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83709">
      <w:pPr>
        <w:spacing w:line="60" w:lineRule="exact"/>
      </w:pPr>
      <w:r>
        <w:rPr>
          <w:rStyle w:val="CommentReference"/>
          <w:rFonts w:hint="eastAsia"/>
          <w:vanish/>
        </w:rPr>
        <w:commentReference w:id="0"/>
      </w:r>
    </w:p>
    <w:p w:rsidR="00000000" w:rsidRDefault="00B83709">
      <w:pPr>
        <w:pStyle w:val="50"/>
        <w:spacing w:beforeLines="0" w:before="0" w:afterLines="0" w:after="0"/>
        <w:rPr>
          <w:rFonts w:eastAsia="SimHei" w:hint="eastAsia"/>
          <w:b w:val="0"/>
          <w:bCs/>
          <w:color w:val="FF0000"/>
          <w:sz w:val="22"/>
        </w:rPr>
      </w:pPr>
      <w:r>
        <w:rPr>
          <w:rFonts w:eastAsia="SimHei" w:hint="eastAsia"/>
          <w:b w:val="0"/>
          <w:bCs/>
          <w:color w:val="FF0000"/>
          <w:sz w:val="22"/>
        </w:rPr>
        <w:t>消除对妇女歧视委员会</w:t>
      </w:r>
    </w:p>
    <w:p w:rsidR="00000000" w:rsidRDefault="00B83709">
      <w:pPr>
        <w:spacing w:line="240" w:lineRule="auto"/>
        <w:jc w:val="center"/>
        <w:rPr>
          <w:rFonts w:ascii="SimSun" w:hAnsi="STZhongsong"/>
          <w:sz w:val="28"/>
        </w:rPr>
      </w:pPr>
    </w:p>
    <w:p w:rsidR="00000000" w:rsidRDefault="00B83709">
      <w:pPr>
        <w:pStyle w:val="H1"/>
        <w:spacing w:beforeLines="0" w:before="100" w:beforeAutospacing="1"/>
        <w:ind w:left="1264" w:right="1264"/>
        <w:jc w:val="both"/>
        <w:rPr>
          <w:rFonts w:hint="eastAsia"/>
          <w:sz w:val="28"/>
        </w:rPr>
      </w:pPr>
      <w:r>
        <w:rPr>
          <w:rFonts w:hint="eastAsia"/>
          <w:sz w:val="28"/>
        </w:rPr>
        <w:t>审议缔约国根据《消除对妇女一切形式歧视公约》</w:t>
      </w:r>
      <w:r>
        <w:rPr>
          <w:sz w:val="28"/>
        </w:rPr>
        <w:br/>
      </w:r>
      <w:r>
        <w:rPr>
          <w:rFonts w:hint="eastAsia"/>
          <w:sz w:val="28"/>
        </w:rPr>
        <w:t>第十八条提交的报告</w:t>
      </w:r>
    </w:p>
    <w:p w:rsidR="00000000" w:rsidRDefault="00B83709">
      <w:pPr>
        <w:pStyle w:val="H1"/>
        <w:spacing w:beforeLines="0" w:before="100" w:beforeAutospacing="1"/>
        <w:ind w:left="1264" w:right="1264"/>
        <w:jc w:val="both"/>
        <w:rPr>
          <w:sz w:val="28"/>
        </w:rPr>
      </w:pPr>
      <w:r>
        <w:rPr>
          <w:rFonts w:hint="eastAsia"/>
          <w:sz w:val="28"/>
        </w:rPr>
        <w:t>缔约国的第四和第五次合并定期报告</w:t>
      </w:r>
    </w:p>
    <w:p w:rsidR="00000000" w:rsidRDefault="00B83709">
      <w:pPr>
        <w:pStyle w:val="H1"/>
        <w:spacing w:beforeLines="0" w:before="100" w:beforeAutospacing="1"/>
        <w:ind w:left="1264" w:right="1264"/>
        <w:jc w:val="both"/>
        <w:rPr>
          <w:b/>
        </w:rPr>
      </w:pPr>
      <w:r>
        <w:rPr>
          <w:rFonts w:hint="eastAsia"/>
        </w:rPr>
        <w:t>泰国</w:t>
      </w:r>
      <w:r>
        <w:t xml:space="preserve"> </w:t>
      </w:r>
      <w:r>
        <w:rPr>
          <w:vertAlign w:val="superscript"/>
        </w:rPr>
        <w:t>*</w:t>
      </w:r>
    </w:p>
    <w:p w:rsidR="00000000" w:rsidRDefault="00B83709">
      <w:pPr>
        <w:spacing w:after="240" w:line="360" w:lineRule="atLeast"/>
        <w:jc w:val="center"/>
        <w:rPr>
          <w:rFonts w:eastAsia="SimHei"/>
          <w:sz w:val="28"/>
        </w:rPr>
      </w:pPr>
    </w:p>
    <w:p w:rsidR="00000000" w:rsidRDefault="00B83709">
      <w:pPr>
        <w:framePr w:w="9792" w:h="432" w:hSpace="180" w:wrap="around" w:hAnchor="page" w:x="1210" w:yAlign="bottom"/>
        <w:spacing w:line="100" w:lineRule="exact"/>
        <w:rPr>
          <w:sz w:val="10"/>
        </w:rPr>
      </w:pPr>
    </w:p>
    <w:p w:rsidR="00000000" w:rsidRDefault="00B83709">
      <w:pPr>
        <w:framePr w:w="9792" w:h="432" w:hSpace="180" w:wrap="around" w:hAnchor="page" w:x="1210" w:yAlign="bottom"/>
        <w:spacing w:line="60" w:lineRule="exact"/>
        <w:rPr>
          <w:sz w:val="6"/>
        </w:rPr>
      </w:pPr>
      <w:r>
        <w:rPr>
          <w:noProof/>
          <w:sz w:val="6"/>
        </w:rPr>
        <w:pict>
          <v:line id="_x0000_s1094" style="position:absolute;left:0;text-align:left;z-index:13;mso-position-horizontal-relative:page" from="108pt,-1pt" to="180pt,-1pt" strokeweight=".25pt">
            <w10:wrap anchorx="page"/>
          </v:line>
        </w:pict>
      </w:r>
    </w:p>
    <w:p w:rsidR="00000000" w:rsidRDefault="00B83709">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Pr>
          <w:sz w:val="18"/>
        </w:rPr>
        <w:tab/>
        <w:t>*</w:t>
      </w:r>
      <w:r>
        <w:rPr>
          <w:sz w:val="18"/>
        </w:rPr>
        <w:tab/>
      </w:r>
      <w:r>
        <w:rPr>
          <w:rFonts w:hint="eastAsia"/>
          <w:sz w:val="18"/>
        </w:rPr>
        <w:t>本报告未经正式编辑。秘书处于</w:t>
      </w:r>
      <w:r>
        <w:rPr>
          <w:rFonts w:hint="eastAsia"/>
          <w:sz w:val="18"/>
        </w:rPr>
        <w:t>2003</w:t>
      </w:r>
      <w:r>
        <w:rPr>
          <w:rFonts w:hint="eastAsia"/>
          <w:sz w:val="18"/>
        </w:rPr>
        <w:t>年</w:t>
      </w:r>
      <w:r>
        <w:rPr>
          <w:rFonts w:hint="eastAsia"/>
          <w:sz w:val="18"/>
        </w:rPr>
        <w:t>10</w:t>
      </w:r>
      <w:r>
        <w:rPr>
          <w:rFonts w:hint="eastAsia"/>
          <w:sz w:val="18"/>
        </w:rPr>
        <w:t>月</w:t>
      </w:r>
      <w:r>
        <w:rPr>
          <w:rFonts w:hint="eastAsia"/>
          <w:sz w:val="18"/>
        </w:rPr>
        <w:t>7</w:t>
      </w:r>
      <w:r>
        <w:rPr>
          <w:rFonts w:hint="eastAsia"/>
          <w:sz w:val="18"/>
        </w:rPr>
        <w:t>日收到泰国的第四和第五次合并定期报告。</w:t>
      </w:r>
    </w:p>
    <w:p w:rsidR="00000000" w:rsidRDefault="00B83709">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Pr>
          <w:sz w:val="18"/>
        </w:rPr>
        <w:tab/>
      </w:r>
      <w:r>
        <w:rPr>
          <w:rFonts w:hint="eastAsia"/>
          <w:spacing w:val="-2"/>
          <w:sz w:val="18"/>
        </w:rPr>
        <w:t>泰国政府的初次报告，见</w:t>
      </w:r>
      <w:r>
        <w:rPr>
          <w:rFonts w:hint="eastAsia"/>
          <w:spacing w:val="-2"/>
          <w:sz w:val="18"/>
        </w:rPr>
        <w:t>CEDAW/C/5/Add.51</w:t>
      </w:r>
      <w:r>
        <w:rPr>
          <w:rFonts w:hint="eastAsia"/>
          <w:spacing w:val="-2"/>
          <w:sz w:val="18"/>
        </w:rPr>
        <w:t>。该报告在委员会第九次会议上审议。</w:t>
      </w:r>
      <w:r>
        <w:rPr>
          <w:rFonts w:hint="eastAsia"/>
          <w:sz w:val="18"/>
        </w:rPr>
        <w:t>泰国政府的第二和第三次合并定期报告，见</w:t>
      </w:r>
      <w:r>
        <w:rPr>
          <w:rFonts w:hint="eastAsia"/>
          <w:sz w:val="18"/>
        </w:rPr>
        <w:t>CEDAW/C/THA/2-3</w:t>
      </w:r>
      <w:r>
        <w:rPr>
          <w:rFonts w:hint="eastAsia"/>
          <w:sz w:val="18"/>
        </w:rPr>
        <w:t>。该报告在委员会第十二次会议上审议。</w:t>
      </w:r>
    </w:p>
    <w:p w:rsidR="00000000" w:rsidRDefault="00B83709">
      <w:pPr>
        <w:spacing w:afterLines="50" w:after="120" w:line="360" w:lineRule="atLeast"/>
        <w:rPr>
          <w:rFonts w:ascii="SimHei" w:eastAsia="SimHei" w:hint="eastAsia"/>
          <w:sz w:val="24"/>
          <w:szCs w:val="21"/>
        </w:rPr>
      </w:pPr>
      <w:r>
        <w:rPr>
          <w:rFonts w:eastAsia="SimHei"/>
          <w:sz w:val="28"/>
        </w:rPr>
        <w:br w:type="page"/>
      </w: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r>
        <w:rPr>
          <w:rFonts w:ascii="SimHei" w:eastAsia="SimHei"/>
          <w:noProof/>
          <w:sz w:val="20"/>
          <w:szCs w:val="21"/>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6" type="#_x0000_t136" style="position:absolute;left:0;text-align:left;margin-left:6pt;margin-top:-23pt;width:3in;height:51pt;z-index:1">
            <v:shadow on="t"/>
            <v:textpath style="font-family:&quot;Arial Black&quot;;font-style:italic;v-text-kern:t" trim="t" fitpath="t" string="消除对妇女歧视委员会"/>
          </v:shape>
        </w:pict>
      </w: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pBdr>
          <w:top w:val="single" w:sz="24" w:space="1" w:color="auto"/>
        </w:pBdr>
        <w:adjustRightInd w:val="0"/>
        <w:spacing w:beforeLines="0" w:before="0" w:after="120" w:line="360" w:lineRule="atLeast"/>
        <w:jc w:val="center"/>
        <w:textAlignment w:val="baseline"/>
        <w:rPr>
          <w:rFonts w:ascii="Times New Roman" w:eastAsia="SimSun" w:hAnsi="Times New Roman" w:hint="eastAsia"/>
        </w:rPr>
      </w:pPr>
    </w:p>
    <w:p w:rsidR="00000000" w:rsidRDefault="00B83709">
      <w:pPr>
        <w:pStyle w:val="21"/>
        <w:pBdr>
          <w:top w:val="single" w:sz="24" w:space="1" w:color="auto"/>
        </w:pBdr>
        <w:adjustRightInd w:val="0"/>
        <w:spacing w:beforeLines="0" w:before="0" w:after="120" w:line="360" w:lineRule="atLeast"/>
        <w:jc w:val="center"/>
        <w:textAlignment w:val="baseline"/>
        <w:rPr>
          <w:rFonts w:ascii="SimHei" w:eastAsia="SimSun" w:hAnsi="Times New Roman" w:hint="eastAsia"/>
          <w:kern w:val="0"/>
          <w:sz w:val="28"/>
          <w:szCs w:val="20"/>
          <w:lang w:val="en-US"/>
        </w:rPr>
      </w:pPr>
      <w:r>
        <w:rPr>
          <w:rFonts w:ascii="Times New Roman" w:eastAsia="SimSun" w:hAnsi="Times New Roman" w:hint="eastAsia"/>
          <w:sz w:val="28"/>
        </w:rPr>
        <w:t>泰国提交消除对妇女歧视委员会的第四和第五次合并报告</w:t>
      </w: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83709">
      <w:pPr>
        <w:spacing w:afterLines="50" w:after="120" w:line="360" w:lineRule="atLeast"/>
        <w:jc w:val="center"/>
        <w:rPr>
          <w:rFonts w:eastAsia="SimHei" w:hint="eastAsia"/>
          <w:bCs/>
          <w:color w:val="FF0000"/>
          <w:sz w:val="28"/>
        </w:rPr>
      </w:pPr>
      <w:r>
        <w:rPr>
          <w:rFonts w:ascii="SimHei" w:eastAsia="SimHei"/>
          <w:noProof/>
          <w:sz w:val="20"/>
        </w:rPr>
        <w:pict>
          <v:shapetype id="_x0000_t202" coordsize="21600,21600" o:spt="202" path="m,l,21600r21600,l21600,xe">
            <v:stroke joinstyle="miter"/>
            <v:path gradientshapeok="t" o:connecttype="rect"/>
          </v:shapetype>
          <v:shape id="_x0000_s1079" type="#_x0000_t202" style="position:absolute;left:0;text-align:left;margin-left:99.6pt;margin-top:17.4pt;width:374.4pt;height:50.05pt;z-index:3" o:regroupid="1" stroked="f">
            <v:textbox style="mso-next-textbox:#_x0000_s1079">
              <w:txbxContent>
                <w:p w:rsidR="00000000" w:rsidRDefault="00B83709">
                  <w:pPr>
                    <w:spacing w:line="360" w:lineRule="auto"/>
                    <w:rPr>
                      <w:rFonts w:hint="eastAsia"/>
                      <w:b/>
                      <w:bCs/>
                      <w:color w:val="FF0000"/>
                      <w:sz w:val="24"/>
                      <w:szCs w:val="24"/>
                    </w:rPr>
                  </w:pPr>
                  <w:r>
                    <w:rPr>
                      <w:rFonts w:eastAsia="SimHei" w:hint="eastAsia"/>
                      <w:bCs/>
                      <w:color w:val="FF0000"/>
                      <w:sz w:val="24"/>
                      <w:szCs w:val="24"/>
                    </w:rPr>
                    <w:t>社会发展和人类安全部</w:t>
                  </w:r>
                </w:p>
                <w:p w:rsidR="00000000" w:rsidRDefault="00B83709">
                  <w:pPr>
                    <w:spacing w:line="360" w:lineRule="auto"/>
                    <w:rPr>
                      <w:rFonts w:eastAsia="SimHei" w:hint="eastAsia"/>
                      <w:bCs/>
                      <w:color w:val="FF0000"/>
                      <w:sz w:val="24"/>
                      <w:szCs w:val="24"/>
                    </w:rPr>
                  </w:pPr>
                  <w:r>
                    <w:rPr>
                      <w:rFonts w:eastAsia="SimHei" w:hint="eastAsia"/>
                      <w:bCs/>
                      <w:color w:val="FF0000"/>
                      <w:sz w:val="24"/>
                      <w:szCs w:val="24"/>
                    </w:rPr>
                    <w:t>妇女事务和家庭发展署</w:t>
                  </w:r>
                </w:p>
                <w:p w:rsidR="00000000" w:rsidRDefault="00B83709">
                  <w:pPr>
                    <w:pStyle w:val="Heading2"/>
                    <w:spacing w:before="0" w:after="0" w:line="360" w:lineRule="auto"/>
                    <w:rPr>
                      <w:rFonts w:ascii="Times New Roman" w:hAnsi="Times New Roman"/>
                      <w:b w:val="0"/>
                      <w:bCs/>
                      <w:color w:val="FF0000"/>
                      <w:sz w:val="24"/>
                      <w:szCs w:val="24"/>
                    </w:rPr>
                  </w:pPr>
                </w:p>
              </w:txbxContent>
            </v:textbox>
          </v:shape>
        </w:pict>
      </w:r>
      <w:r>
        <w:rPr>
          <w:rFonts w:ascii="SimHei" w:eastAsia="SimHei"/>
          <w:noProof/>
          <w:sz w:val="20"/>
        </w:rPr>
        <w:pict>
          <v:shape id="_x0000_s1078" type="#_x0000_t202" style="position:absolute;left:0;text-align:left;margin-left:5pt;margin-top:2.85pt;width:84.65pt;height:79.2pt;z-index:2" o:regroupid="1" stroked="f">
            <v:textbox style="mso-next-textbox:#_x0000_s1078">
              <w:txbxContent>
                <w:p w:rsidR="00000000" w:rsidRDefault="00B83709">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0.5pt;height:1in" fillcolor="window">
                        <v:imagedata r:id="rId8" o:title="CEDAW"/>
                      </v:shape>
                    </w:pict>
                  </w:r>
                </w:p>
              </w:txbxContent>
            </v:textbox>
          </v:shape>
        </w:pict>
      </w:r>
      <w:r>
        <w:rPr>
          <w:rFonts w:ascii="SimHei" w:eastAsia="SimHei"/>
          <w:sz w:val="24"/>
        </w:rPr>
        <w:br w:type="page"/>
      </w: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p>
    <w:p w:rsidR="00000000" w:rsidRDefault="00B83709">
      <w:pPr>
        <w:spacing w:after="120" w:line="320" w:lineRule="atLeast"/>
        <w:jc w:val="right"/>
        <w:rPr>
          <w:rFonts w:eastAsia="KaiTi_GB2312" w:hint="eastAsia"/>
          <w:bCs/>
          <w:color w:val="0000FF"/>
          <w:szCs w:val="21"/>
        </w:rPr>
      </w:pPr>
      <w:r>
        <w:rPr>
          <w:rFonts w:eastAsia="KaiTi_GB2312" w:hint="eastAsia"/>
          <w:bCs/>
          <w:color w:val="0000FF"/>
          <w:szCs w:val="21"/>
        </w:rPr>
        <w:t>段次</w:t>
      </w:r>
    </w:p>
    <w:p w:rsidR="00000000" w:rsidRDefault="00B83709">
      <w:pPr>
        <w:tabs>
          <w:tab w:val="center" w:leader="dot" w:pos="9120"/>
          <w:tab w:val="right" w:pos="9840"/>
        </w:tabs>
        <w:spacing w:after="120" w:line="320" w:lineRule="atLeast"/>
        <w:rPr>
          <w:rFonts w:hint="eastAsia"/>
          <w:b/>
          <w:color w:val="FF0000"/>
          <w:szCs w:val="21"/>
        </w:rPr>
      </w:pPr>
      <w:r>
        <w:rPr>
          <w:rFonts w:eastAsia="SimHei" w:hint="eastAsia"/>
          <w:bCs/>
          <w:color w:val="FF0000"/>
          <w:szCs w:val="21"/>
        </w:rPr>
        <w:t>导言</w:t>
      </w:r>
    </w:p>
    <w:p w:rsidR="00000000" w:rsidRDefault="00B83709">
      <w:pPr>
        <w:tabs>
          <w:tab w:val="center" w:leader="dot" w:pos="9120"/>
          <w:tab w:val="right" w:pos="9840"/>
        </w:tabs>
        <w:spacing w:after="120" w:line="320" w:lineRule="atLeast"/>
        <w:rPr>
          <w:rFonts w:hint="eastAsia"/>
          <w:b/>
          <w:szCs w:val="21"/>
        </w:rPr>
      </w:pPr>
      <w:r>
        <w:rPr>
          <w:rFonts w:eastAsia="SimHei" w:hint="eastAsia"/>
          <w:bCs/>
          <w:color w:val="FF0000"/>
          <w:szCs w:val="24"/>
        </w:rPr>
        <w:t>第一部分：泰国的社会、经济和政治状况</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人口</w:t>
      </w:r>
      <w:r>
        <w:rPr>
          <w:rFonts w:hint="eastAsia"/>
          <w:szCs w:val="21"/>
        </w:rPr>
        <w:tab/>
      </w:r>
      <w:r>
        <w:rPr>
          <w:rFonts w:hint="eastAsia"/>
          <w:szCs w:val="21"/>
        </w:rPr>
        <w:tab/>
        <w:t>1-4</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经济状况</w:t>
      </w:r>
      <w:r>
        <w:rPr>
          <w:rFonts w:hint="eastAsia"/>
          <w:szCs w:val="21"/>
        </w:rPr>
        <w:tab/>
      </w:r>
      <w:r>
        <w:rPr>
          <w:rFonts w:hint="eastAsia"/>
          <w:szCs w:val="21"/>
        </w:rPr>
        <w:tab/>
        <w:t>5-7</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社会状况</w:t>
      </w:r>
      <w:r>
        <w:rPr>
          <w:rFonts w:hint="eastAsia"/>
          <w:szCs w:val="21"/>
        </w:rPr>
        <w:tab/>
      </w:r>
      <w:r>
        <w:rPr>
          <w:rFonts w:hint="eastAsia"/>
          <w:szCs w:val="21"/>
        </w:rPr>
        <w:tab/>
        <w:t>8-10</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政治和行政</w:t>
      </w:r>
      <w:r>
        <w:rPr>
          <w:rFonts w:hint="eastAsia"/>
          <w:szCs w:val="21"/>
        </w:rPr>
        <w:tab/>
      </w:r>
      <w:r>
        <w:rPr>
          <w:rFonts w:hint="eastAsia"/>
          <w:szCs w:val="21"/>
        </w:rPr>
        <w:tab/>
        <w:t>11-20</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公约执行情况</w:t>
      </w:r>
      <w:r>
        <w:rPr>
          <w:rFonts w:hint="eastAsia"/>
          <w:szCs w:val="21"/>
        </w:rPr>
        <w:tab/>
      </w:r>
      <w:r>
        <w:rPr>
          <w:rFonts w:hint="eastAsia"/>
          <w:szCs w:val="21"/>
        </w:rPr>
        <w:tab/>
        <w:t>21-22</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机制和战略</w:t>
      </w:r>
      <w:r>
        <w:rPr>
          <w:rFonts w:hint="eastAsia"/>
          <w:szCs w:val="21"/>
        </w:rPr>
        <w:tab/>
      </w:r>
      <w:r>
        <w:rPr>
          <w:rFonts w:hint="eastAsia"/>
          <w:szCs w:val="21"/>
        </w:rPr>
        <w:tab/>
        <w:t>23-24</w:t>
      </w:r>
    </w:p>
    <w:p w:rsidR="00000000" w:rsidRDefault="00B83709">
      <w:pPr>
        <w:pStyle w:val="Date"/>
        <w:tabs>
          <w:tab w:val="center" w:pos="9120"/>
          <w:tab w:val="right" w:pos="9840"/>
        </w:tabs>
        <w:spacing w:after="120" w:line="320" w:lineRule="atLeast"/>
        <w:rPr>
          <w:rFonts w:eastAsia="SimHei" w:hint="eastAsia"/>
          <w:color w:val="FF0000"/>
          <w:szCs w:val="21"/>
        </w:rPr>
      </w:pPr>
      <w:r>
        <w:rPr>
          <w:rFonts w:eastAsia="SimHei" w:hint="eastAsia"/>
          <w:color w:val="FF0000"/>
          <w:szCs w:val="21"/>
        </w:rPr>
        <w:t>第二部分：条款</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第一条：歧视的定义</w:t>
      </w:r>
      <w:r>
        <w:rPr>
          <w:rFonts w:hint="eastAsia"/>
          <w:szCs w:val="21"/>
        </w:rPr>
        <w:tab/>
      </w:r>
      <w:r>
        <w:rPr>
          <w:rFonts w:hint="eastAsia"/>
          <w:szCs w:val="21"/>
        </w:rPr>
        <w:tab/>
        <w:t>25-29</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第二条：消除歧视的政策措施</w:t>
      </w:r>
      <w:r>
        <w:rPr>
          <w:rFonts w:hint="eastAsia"/>
          <w:szCs w:val="21"/>
        </w:rPr>
        <w:tab/>
      </w:r>
      <w:r>
        <w:rPr>
          <w:rFonts w:hint="eastAsia"/>
          <w:szCs w:val="21"/>
        </w:rPr>
        <w:tab/>
        <w:t>30-36</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第三条：适当的措施</w:t>
      </w:r>
      <w:r>
        <w:rPr>
          <w:rFonts w:hint="eastAsia"/>
          <w:szCs w:val="21"/>
        </w:rPr>
        <w:tab/>
      </w:r>
      <w:r>
        <w:rPr>
          <w:rFonts w:hint="eastAsia"/>
          <w:szCs w:val="21"/>
        </w:rPr>
        <w:tab/>
        <w:t>37-42</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第四条：特别措施</w:t>
      </w:r>
      <w:r>
        <w:rPr>
          <w:rFonts w:hint="eastAsia"/>
          <w:szCs w:val="21"/>
        </w:rPr>
        <w:tab/>
      </w:r>
      <w:r>
        <w:rPr>
          <w:rFonts w:hint="eastAsia"/>
          <w:szCs w:val="21"/>
        </w:rPr>
        <w:tab/>
        <w:t>43-46</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第五条：性别陈规定型观念和传统态度</w:t>
      </w:r>
      <w:r>
        <w:rPr>
          <w:rFonts w:hint="eastAsia"/>
          <w:szCs w:val="21"/>
        </w:rPr>
        <w:tab/>
      </w:r>
      <w:r>
        <w:rPr>
          <w:rFonts w:hint="eastAsia"/>
          <w:szCs w:val="21"/>
        </w:rPr>
        <w:tab/>
        <w:t>47-54</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对妇女的暴力</w:t>
      </w:r>
      <w:r>
        <w:rPr>
          <w:rFonts w:hint="eastAsia"/>
          <w:szCs w:val="21"/>
        </w:rPr>
        <w:tab/>
      </w:r>
      <w:r>
        <w:rPr>
          <w:rFonts w:hint="eastAsia"/>
          <w:szCs w:val="21"/>
        </w:rPr>
        <w:tab/>
        <w:t>55-66</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提高社会认识和了解的宣传活动</w:t>
      </w:r>
      <w:r>
        <w:rPr>
          <w:rFonts w:hint="eastAsia"/>
          <w:szCs w:val="21"/>
        </w:rPr>
        <w:tab/>
      </w:r>
      <w:r>
        <w:rPr>
          <w:rFonts w:hint="eastAsia"/>
          <w:szCs w:val="21"/>
        </w:rPr>
        <w:tab/>
      </w:r>
      <w:r>
        <w:rPr>
          <w:rFonts w:eastAsia="KaiTi_GB2312" w:hint="eastAsia"/>
          <w:szCs w:val="21"/>
        </w:rPr>
        <w:t>67-68</w:t>
      </w:r>
    </w:p>
    <w:p w:rsidR="00000000" w:rsidRDefault="00B83709" w:rsidP="00B83709">
      <w:pPr>
        <w:tabs>
          <w:tab w:val="center" w:pos="8880"/>
          <w:tab w:val="center" w:pos="9480"/>
        </w:tabs>
        <w:spacing w:after="120" w:line="320" w:lineRule="atLeast"/>
        <w:ind w:firstLineChars="200" w:firstLine="31680"/>
        <w:rPr>
          <w:rFonts w:hint="eastAsia"/>
          <w:szCs w:val="21"/>
        </w:rPr>
      </w:pPr>
      <w:r>
        <w:rPr>
          <w:rFonts w:hint="eastAsia"/>
          <w:szCs w:val="21"/>
        </w:rPr>
        <w:t>第六条：贩卖和剥削</w:t>
      </w:r>
      <w:r>
        <w:rPr>
          <w:rFonts w:hint="eastAsia"/>
          <w:szCs w:val="21"/>
        </w:rPr>
        <w:t>妇女</w:t>
      </w:r>
      <w:r>
        <w:rPr>
          <w:rFonts w:hint="eastAsia"/>
          <w:szCs w:val="21"/>
        </w:rPr>
        <w:tab/>
      </w:r>
      <w:r>
        <w:rPr>
          <w:rFonts w:hint="eastAsia"/>
          <w:szCs w:val="21"/>
        </w:rPr>
        <w:tab/>
        <w:t>69</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泰国贩卖和剥削妇女的状况</w:t>
      </w:r>
      <w:r>
        <w:rPr>
          <w:rFonts w:hint="eastAsia"/>
          <w:szCs w:val="21"/>
        </w:rPr>
        <w:tab/>
      </w:r>
      <w:r>
        <w:rPr>
          <w:rFonts w:hint="eastAsia"/>
          <w:szCs w:val="21"/>
        </w:rPr>
        <w:tab/>
        <w:t>70-73</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泰国的行动</w:t>
      </w:r>
      <w:r>
        <w:rPr>
          <w:rFonts w:hint="eastAsia"/>
          <w:szCs w:val="21"/>
        </w:rPr>
        <w:tab/>
      </w:r>
      <w:r>
        <w:rPr>
          <w:rFonts w:hint="eastAsia"/>
          <w:szCs w:val="21"/>
        </w:rPr>
        <w:tab/>
        <w:t>74-75</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法律措施</w:t>
      </w:r>
      <w:r>
        <w:rPr>
          <w:rFonts w:hint="eastAsia"/>
          <w:szCs w:val="21"/>
        </w:rPr>
        <w:tab/>
      </w:r>
      <w:r>
        <w:rPr>
          <w:rFonts w:hint="eastAsia"/>
          <w:szCs w:val="21"/>
        </w:rPr>
        <w:tab/>
        <w:t>76-86</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解决贩卖妇女问题的合作</w:t>
      </w:r>
      <w:r>
        <w:rPr>
          <w:rFonts w:hint="eastAsia"/>
          <w:szCs w:val="21"/>
        </w:rPr>
        <w:tab/>
      </w:r>
      <w:r>
        <w:rPr>
          <w:rFonts w:hint="eastAsia"/>
          <w:szCs w:val="21"/>
        </w:rPr>
        <w:tab/>
        <w:t>87-89</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解决贩卖妇女和儿童问题以及使受害妇女和儿童得以康复和遣返的方案</w:t>
      </w:r>
      <w:r>
        <w:rPr>
          <w:rFonts w:hint="eastAsia"/>
          <w:szCs w:val="21"/>
        </w:rPr>
        <w:tab/>
      </w:r>
      <w:r>
        <w:rPr>
          <w:rFonts w:hint="eastAsia"/>
          <w:szCs w:val="21"/>
        </w:rPr>
        <w:tab/>
        <w:t>90-92</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解决对妇女进行商业色情剥削方面的合作</w:t>
      </w:r>
      <w:r>
        <w:rPr>
          <w:rFonts w:hint="eastAsia"/>
          <w:szCs w:val="21"/>
        </w:rPr>
        <w:tab/>
      </w:r>
      <w:r>
        <w:rPr>
          <w:rFonts w:hint="eastAsia"/>
          <w:szCs w:val="21"/>
        </w:rPr>
        <w:tab/>
        <w:t>93-97</w:t>
      </w:r>
    </w:p>
    <w:p w:rsidR="00000000" w:rsidRDefault="00B83709" w:rsidP="00B83709">
      <w:pPr>
        <w:tabs>
          <w:tab w:val="center" w:pos="8880"/>
          <w:tab w:val="center" w:pos="9480"/>
        </w:tabs>
        <w:spacing w:after="120" w:line="320" w:lineRule="atLeast"/>
        <w:ind w:firstLineChars="600" w:firstLine="31680"/>
        <w:rPr>
          <w:rFonts w:hint="eastAsia"/>
          <w:szCs w:val="21"/>
        </w:rPr>
      </w:pPr>
      <w:r>
        <w:rPr>
          <w:rFonts w:eastAsia="KaiTi_GB2312" w:hint="eastAsia"/>
          <w:color w:val="0000FF"/>
          <w:szCs w:val="21"/>
        </w:rPr>
        <w:t>泰国妇女在国外从事商业色情职业的问题</w:t>
      </w:r>
      <w:r>
        <w:rPr>
          <w:rFonts w:hint="eastAsia"/>
          <w:szCs w:val="21"/>
        </w:rPr>
        <w:tab/>
      </w:r>
      <w:r>
        <w:rPr>
          <w:rFonts w:hint="eastAsia"/>
          <w:szCs w:val="21"/>
        </w:rPr>
        <w:tab/>
        <w:t>98-</w:t>
      </w:r>
      <w:r>
        <w:rPr>
          <w:rFonts w:eastAsia="KaiTi_GB2312" w:hint="eastAsia"/>
          <w:szCs w:val="21"/>
        </w:rPr>
        <w:t>100</w:t>
      </w:r>
    </w:p>
    <w:p w:rsidR="00000000" w:rsidRDefault="00B83709" w:rsidP="00B83709">
      <w:pPr>
        <w:tabs>
          <w:tab w:val="center" w:pos="8880"/>
          <w:tab w:val="center" w:pos="9480"/>
        </w:tabs>
        <w:spacing w:after="120" w:line="320" w:lineRule="atLeast"/>
        <w:ind w:firstLineChars="200" w:firstLine="31680"/>
        <w:rPr>
          <w:rFonts w:hint="eastAsia"/>
          <w:szCs w:val="21"/>
        </w:rPr>
      </w:pPr>
      <w:r>
        <w:rPr>
          <w:noProof/>
          <w:sz w:val="20"/>
          <w:szCs w:val="21"/>
        </w:rPr>
        <w:pict>
          <v:shape id="_x0000_s1086" type="#_x0000_t202" style="position:absolute;left:0;text-align:left;margin-left:18pt;margin-top:70.6pt;width:474pt;height:31.2pt;z-index:6" filled="f" stroked="f">
            <v:textbox>
              <w:txbxContent>
                <w:p w:rsidR="00000000" w:rsidRDefault="00B83709">
                  <w:pPr>
                    <w:pBdr>
                      <w:top w:val="single" w:sz="4" w:space="1" w:color="auto"/>
                    </w:pBdr>
                    <w:jc w:val="center"/>
                    <w:rPr>
                      <w:rFonts w:hint="eastAsia"/>
                    </w:rPr>
                  </w:pPr>
                  <w:r>
                    <w:rPr>
                      <w:rFonts w:hint="eastAsia"/>
                    </w:rPr>
                    <w:t>泰国提交的第四和第五次合并报告</w:t>
                  </w:r>
                </w:p>
              </w:txbxContent>
            </v:textbox>
          </v:shape>
        </w:pict>
      </w:r>
      <w:r>
        <w:rPr>
          <w:rFonts w:hint="eastAsia"/>
          <w:szCs w:val="21"/>
        </w:rPr>
        <w:t>第七条：政治和公共事务</w:t>
      </w:r>
      <w:r>
        <w:rPr>
          <w:rFonts w:hint="eastAsia"/>
          <w:szCs w:val="21"/>
        </w:rPr>
        <w:tab/>
      </w:r>
      <w:r>
        <w:rPr>
          <w:rFonts w:hint="eastAsia"/>
          <w:szCs w:val="21"/>
        </w:rPr>
        <w:tab/>
        <w:t>101-</w:t>
      </w:r>
      <w:r>
        <w:rPr>
          <w:rFonts w:eastAsia="KaiTi_GB2312" w:hint="eastAsia"/>
          <w:szCs w:val="21"/>
        </w:rPr>
        <w:t>102</w:t>
      </w:r>
    </w:p>
    <w:p w:rsidR="00000000" w:rsidRDefault="00B83709">
      <w:pPr>
        <w:spacing w:after="120" w:line="320" w:lineRule="atLeast"/>
        <w:jc w:val="center"/>
        <w:rPr>
          <w:rFonts w:eastAsia="SimHei" w:hint="eastAsia"/>
          <w:bCs/>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r>
        <w:rPr>
          <w:rFonts w:eastAsia="SimHei" w:hint="eastAsia"/>
          <w:bCs/>
          <w:color w:val="0000FF"/>
          <w:sz w:val="28"/>
        </w:rPr>
        <w:t>（</w:t>
      </w:r>
      <w:r>
        <w:rPr>
          <w:rFonts w:eastAsia="KaiTi_GB2312" w:hint="eastAsia"/>
          <w:bCs/>
          <w:color w:val="0000FF"/>
          <w:sz w:val="28"/>
        </w:rPr>
        <w:t>续</w:t>
      </w:r>
      <w:r>
        <w:rPr>
          <w:rFonts w:eastAsia="SimHei" w:hint="eastAsia"/>
          <w:bCs/>
          <w:color w:val="0000FF"/>
          <w:sz w:val="28"/>
        </w:rPr>
        <w:t>）</w:t>
      </w:r>
    </w:p>
    <w:p w:rsidR="00000000" w:rsidRDefault="00B83709">
      <w:pPr>
        <w:tabs>
          <w:tab w:val="center" w:pos="8880"/>
          <w:tab w:val="center" w:pos="9480"/>
        </w:tabs>
        <w:wordWrap w:val="0"/>
        <w:spacing w:after="120" w:line="320" w:lineRule="atLeast"/>
        <w:jc w:val="right"/>
        <w:rPr>
          <w:rFonts w:eastAsia="KaiTi_GB2312" w:hint="eastAsia"/>
          <w:szCs w:val="21"/>
        </w:rPr>
      </w:pPr>
      <w:r>
        <w:rPr>
          <w:rFonts w:eastAsia="KaiTi_GB2312" w:hint="eastAsia"/>
          <w:bCs/>
          <w:color w:val="0000FF"/>
          <w:szCs w:val="21"/>
        </w:rPr>
        <w:t>段次</w:t>
      </w:r>
      <w:r>
        <w:rPr>
          <w:rFonts w:eastAsia="KaiTi_GB2312" w:hint="eastAsia"/>
          <w:bCs/>
          <w:color w:val="0000FF"/>
          <w:szCs w:val="21"/>
        </w:rPr>
        <w:t xml:space="preserve"> </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民选职位</w:t>
      </w:r>
      <w:r>
        <w:rPr>
          <w:rFonts w:eastAsia="KaiTi_GB2312" w:hint="eastAsia"/>
          <w:szCs w:val="21"/>
        </w:rPr>
        <w:tab/>
      </w:r>
      <w:r>
        <w:rPr>
          <w:rFonts w:eastAsia="KaiTi_GB2312" w:hint="eastAsia"/>
          <w:szCs w:val="21"/>
        </w:rPr>
        <w:tab/>
        <w:t>103-113</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政府行政管理职位</w:t>
      </w:r>
      <w:r>
        <w:rPr>
          <w:rFonts w:eastAsia="KaiTi_GB2312" w:hint="eastAsia"/>
          <w:szCs w:val="21"/>
        </w:rPr>
        <w:tab/>
      </w:r>
      <w:r>
        <w:rPr>
          <w:rFonts w:eastAsia="KaiTi_GB2312" w:hint="eastAsia"/>
          <w:szCs w:val="21"/>
        </w:rPr>
        <w:tab/>
        <w:t>114-120</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妇女参与政治和公共事务的障碍</w:t>
      </w:r>
      <w:r>
        <w:rPr>
          <w:rFonts w:eastAsia="KaiTi_GB2312" w:hint="eastAsia"/>
          <w:szCs w:val="21"/>
        </w:rPr>
        <w:tab/>
      </w:r>
      <w:r>
        <w:rPr>
          <w:rFonts w:eastAsia="KaiTi_GB2312" w:hint="eastAsia"/>
          <w:szCs w:val="21"/>
        </w:rPr>
        <w:tab/>
        <w:t>121-124</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促进妇女</w:t>
      </w:r>
      <w:r>
        <w:rPr>
          <w:rFonts w:eastAsia="KaiTi_GB2312" w:hint="eastAsia"/>
          <w:color w:val="0000FF"/>
          <w:szCs w:val="21"/>
        </w:rPr>
        <w:t>参政和担任政府高级职位的措施</w:t>
      </w:r>
      <w:r>
        <w:rPr>
          <w:rFonts w:eastAsia="KaiTi_GB2312" w:hint="eastAsia"/>
          <w:szCs w:val="21"/>
        </w:rPr>
        <w:tab/>
      </w:r>
      <w:r>
        <w:rPr>
          <w:rFonts w:eastAsia="KaiTi_GB2312" w:hint="eastAsia"/>
          <w:szCs w:val="21"/>
        </w:rPr>
        <w:tab/>
        <w:t>125-128</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妇女参与私营部门</w:t>
      </w:r>
      <w:r>
        <w:rPr>
          <w:rFonts w:eastAsia="KaiTi_GB2312" w:hint="eastAsia"/>
          <w:szCs w:val="21"/>
        </w:rPr>
        <w:tab/>
      </w:r>
      <w:r>
        <w:rPr>
          <w:rFonts w:eastAsia="KaiTi_GB2312" w:hint="eastAsia"/>
          <w:szCs w:val="21"/>
        </w:rPr>
        <w:tab/>
        <w:t>129-130</w:t>
      </w:r>
    </w:p>
    <w:p w:rsidR="00000000" w:rsidRDefault="00B83709" w:rsidP="00B83709">
      <w:pPr>
        <w:tabs>
          <w:tab w:val="center" w:pos="9120"/>
          <w:tab w:val="center" w:pos="9600"/>
        </w:tabs>
        <w:spacing w:after="120" w:line="320" w:lineRule="atLeast"/>
        <w:ind w:firstLineChars="200" w:firstLine="31680"/>
        <w:rPr>
          <w:szCs w:val="21"/>
        </w:rPr>
      </w:pPr>
      <w:r>
        <w:rPr>
          <w:rFonts w:hint="eastAsia"/>
          <w:szCs w:val="21"/>
        </w:rPr>
        <w:t>第八条：妇女在国际上代表本国和参加国际工作</w:t>
      </w:r>
      <w:r>
        <w:rPr>
          <w:rFonts w:hint="eastAsia"/>
          <w:szCs w:val="21"/>
        </w:rPr>
        <w:tab/>
      </w:r>
      <w:r>
        <w:rPr>
          <w:rFonts w:hint="eastAsia"/>
          <w:szCs w:val="21"/>
        </w:rPr>
        <w:tab/>
        <w:t>131-136</w:t>
      </w:r>
    </w:p>
    <w:p w:rsidR="00000000" w:rsidRDefault="00B83709" w:rsidP="00B83709">
      <w:pPr>
        <w:tabs>
          <w:tab w:val="center" w:pos="9120"/>
          <w:tab w:val="center" w:pos="9600"/>
        </w:tabs>
        <w:spacing w:after="120" w:line="320" w:lineRule="atLeast"/>
        <w:ind w:firstLineChars="200" w:firstLine="31680"/>
        <w:rPr>
          <w:szCs w:val="21"/>
        </w:rPr>
      </w:pPr>
      <w:r>
        <w:rPr>
          <w:rFonts w:hint="eastAsia"/>
          <w:szCs w:val="21"/>
        </w:rPr>
        <w:t>第九条：国籍问题</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婚姻权利</w:t>
      </w:r>
      <w:r>
        <w:rPr>
          <w:rFonts w:eastAsia="KaiTi_GB2312" w:hint="eastAsia"/>
          <w:szCs w:val="21"/>
        </w:rPr>
        <w:tab/>
      </w:r>
      <w:r>
        <w:rPr>
          <w:rFonts w:eastAsia="KaiTi_GB2312" w:hint="eastAsia"/>
          <w:szCs w:val="21"/>
        </w:rPr>
        <w:tab/>
        <w:t>137-141</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土地所有权</w:t>
      </w:r>
      <w:r>
        <w:rPr>
          <w:rFonts w:eastAsia="KaiTi_GB2312" w:hint="eastAsia"/>
          <w:szCs w:val="21"/>
        </w:rPr>
        <w:tab/>
      </w:r>
      <w:r>
        <w:rPr>
          <w:rFonts w:eastAsia="KaiTi_GB2312" w:hint="eastAsia"/>
          <w:szCs w:val="21"/>
        </w:rPr>
        <w:tab/>
        <w:t>142-144</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出国旅行</w:t>
      </w:r>
      <w:r>
        <w:rPr>
          <w:rFonts w:eastAsia="KaiTi_GB2312" w:hint="eastAsia"/>
          <w:szCs w:val="21"/>
        </w:rPr>
        <w:tab/>
      </w:r>
      <w:r>
        <w:rPr>
          <w:rFonts w:eastAsia="KaiTi_GB2312" w:hint="eastAsia"/>
          <w:szCs w:val="21"/>
        </w:rPr>
        <w:tab/>
        <w:t>145</w:t>
      </w:r>
    </w:p>
    <w:p w:rsidR="00000000" w:rsidRDefault="00B83709" w:rsidP="00B83709">
      <w:pPr>
        <w:tabs>
          <w:tab w:val="center" w:pos="9120"/>
          <w:tab w:val="center" w:pos="9600"/>
        </w:tabs>
        <w:spacing w:after="120" w:line="320" w:lineRule="atLeast"/>
        <w:ind w:firstLineChars="200" w:firstLine="31680"/>
        <w:rPr>
          <w:szCs w:val="21"/>
        </w:rPr>
      </w:pPr>
      <w:r>
        <w:rPr>
          <w:rFonts w:hint="eastAsia"/>
          <w:szCs w:val="21"/>
        </w:rPr>
        <w:t>第十条：教育</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泰国的教育</w:t>
      </w:r>
      <w:r>
        <w:rPr>
          <w:rFonts w:eastAsia="KaiTi_GB2312" w:hint="eastAsia"/>
          <w:szCs w:val="21"/>
        </w:rPr>
        <w:tab/>
      </w:r>
      <w:r>
        <w:rPr>
          <w:rFonts w:eastAsia="KaiTi_GB2312" w:hint="eastAsia"/>
          <w:szCs w:val="21"/>
        </w:rPr>
        <w:tab/>
        <w:t>146-149</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促进女童接受教育的措施</w:t>
      </w:r>
      <w:r>
        <w:rPr>
          <w:rFonts w:eastAsia="KaiTi_GB2312" w:hint="eastAsia"/>
          <w:szCs w:val="21"/>
        </w:rPr>
        <w:tab/>
      </w:r>
      <w:r>
        <w:rPr>
          <w:rFonts w:eastAsia="KaiTi_GB2312" w:hint="eastAsia"/>
          <w:szCs w:val="21"/>
        </w:rPr>
        <w:tab/>
        <w:t>150</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特别关切的问题</w:t>
      </w:r>
      <w:r>
        <w:rPr>
          <w:rFonts w:eastAsia="KaiTi_GB2312" w:hint="eastAsia"/>
          <w:szCs w:val="21"/>
        </w:rPr>
        <w:tab/>
      </w:r>
      <w:r>
        <w:rPr>
          <w:rFonts w:eastAsia="KaiTi_GB2312" w:hint="eastAsia"/>
          <w:szCs w:val="21"/>
        </w:rPr>
        <w:tab/>
        <w:t>151-153</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陈规定型观念</w:t>
      </w:r>
      <w:r>
        <w:rPr>
          <w:rFonts w:eastAsia="KaiTi_GB2312" w:hint="eastAsia"/>
          <w:szCs w:val="21"/>
        </w:rPr>
        <w:tab/>
      </w:r>
      <w:r>
        <w:rPr>
          <w:rFonts w:eastAsia="KaiTi_GB2312" w:hint="eastAsia"/>
          <w:szCs w:val="21"/>
        </w:rPr>
        <w:tab/>
        <w:t>154-158</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非正规教育</w:t>
      </w:r>
      <w:r>
        <w:rPr>
          <w:rFonts w:eastAsia="KaiTi_GB2312" w:hint="eastAsia"/>
          <w:szCs w:val="21"/>
        </w:rPr>
        <w:tab/>
      </w:r>
      <w:r>
        <w:rPr>
          <w:rFonts w:eastAsia="KaiTi_GB2312" w:hint="eastAsia"/>
          <w:szCs w:val="21"/>
        </w:rPr>
        <w:tab/>
        <w:t>159-161</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处境不利妇女的教育</w:t>
      </w:r>
      <w:r>
        <w:rPr>
          <w:rFonts w:eastAsia="KaiTi_GB2312" w:hint="eastAsia"/>
          <w:szCs w:val="21"/>
        </w:rPr>
        <w:tab/>
      </w:r>
      <w:r>
        <w:rPr>
          <w:rFonts w:eastAsia="KaiTi_GB2312" w:hint="eastAsia"/>
          <w:szCs w:val="21"/>
        </w:rPr>
        <w:tab/>
        <w:t>162-164</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性教育</w:t>
      </w:r>
      <w:r>
        <w:rPr>
          <w:rFonts w:eastAsia="KaiTi_GB2312" w:hint="eastAsia"/>
          <w:szCs w:val="21"/>
        </w:rPr>
        <w:tab/>
      </w:r>
      <w:r>
        <w:rPr>
          <w:rFonts w:eastAsia="KaiTi_GB2312" w:hint="eastAsia"/>
          <w:szCs w:val="21"/>
        </w:rPr>
        <w:tab/>
        <w:t>165-167</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教师比例</w:t>
      </w:r>
      <w:r>
        <w:rPr>
          <w:rFonts w:eastAsia="KaiTi_GB2312" w:hint="eastAsia"/>
          <w:szCs w:val="21"/>
        </w:rPr>
        <w:tab/>
      </w:r>
      <w:r>
        <w:rPr>
          <w:rFonts w:eastAsia="KaiTi_GB2312" w:hint="eastAsia"/>
          <w:szCs w:val="21"/>
        </w:rPr>
        <w:tab/>
        <w:t>168-170</w:t>
      </w:r>
    </w:p>
    <w:p w:rsidR="00000000" w:rsidRDefault="00B83709" w:rsidP="00B83709">
      <w:pPr>
        <w:tabs>
          <w:tab w:val="center" w:pos="8880"/>
          <w:tab w:val="center" w:pos="9480"/>
        </w:tabs>
        <w:spacing w:after="120" w:line="320" w:lineRule="atLeast"/>
        <w:ind w:firstLineChars="200" w:firstLine="31680"/>
        <w:rPr>
          <w:szCs w:val="21"/>
        </w:rPr>
      </w:pPr>
      <w:r>
        <w:rPr>
          <w:rFonts w:hint="eastAsia"/>
          <w:szCs w:val="21"/>
        </w:rPr>
        <w:t>第十</w:t>
      </w:r>
      <w:r>
        <w:rPr>
          <w:rFonts w:hint="eastAsia"/>
          <w:szCs w:val="21"/>
        </w:rPr>
        <w:t>一条：就业</w:t>
      </w:r>
      <w:r>
        <w:rPr>
          <w:rFonts w:hint="eastAsia"/>
          <w:szCs w:val="21"/>
        </w:rPr>
        <w:tab/>
      </w:r>
      <w:r>
        <w:rPr>
          <w:rFonts w:hint="eastAsia"/>
          <w:szCs w:val="21"/>
        </w:rPr>
        <w:tab/>
        <w:t>171-184</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家庭佣工的类别和扩充</w:t>
      </w:r>
      <w:r>
        <w:rPr>
          <w:rFonts w:eastAsia="KaiTi_GB2312" w:hint="eastAsia"/>
          <w:szCs w:val="21"/>
        </w:rPr>
        <w:tab/>
      </w:r>
      <w:r>
        <w:rPr>
          <w:rFonts w:eastAsia="KaiTi_GB2312" w:hint="eastAsia"/>
          <w:szCs w:val="21"/>
        </w:rPr>
        <w:tab/>
        <w:t>185-186</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家庭佣工的特点</w:t>
      </w:r>
      <w:r>
        <w:rPr>
          <w:rFonts w:eastAsia="KaiTi_GB2312" w:hint="eastAsia"/>
          <w:szCs w:val="21"/>
        </w:rPr>
        <w:tab/>
      </w:r>
      <w:r>
        <w:rPr>
          <w:rFonts w:eastAsia="KaiTi_GB2312" w:hint="eastAsia"/>
          <w:szCs w:val="21"/>
        </w:rPr>
        <w:tab/>
        <w:t>187-190</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家庭佣工的收入</w:t>
      </w:r>
      <w:r>
        <w:rPr>
          <w:rFonts w:eastAsia="KaiTi_GB2312" w:hint="eastAsia"/>
          <w:szCs w:val="21"/>
        </w:rPr>
        <w:tab/>
      </w:r>
      <w:r>
        <w:rPr>
          <w:rFonts w:eastAsia="KaiTi_GB2312" w:hint="eastAsia"/>
          <w:szCs w:val="21"/>
        </w:rPr>
        <w:tab/>
        <w:t>191-192</w:t>
      </w:r>
    </w:p>
    <w:p w:rsidR="00000000" w:rsidRDefault="00B83709" w:rsidP="00B83709">
      <w:pPr>
        <w:tabs>
          <w:tab w:val="center" w:pos="9120"/>
          <w:tab w:val="center" w:pos="9600"/>
        </w:tabs>
        <w:spacing w:after="120" w:line="320" w:lineRule="atLeast"/>
        <w:ind w:firstLineChars="600" w:firstLine="31680"/>
        <w:rPr>
          <w:rFonts w:eastAsia="KaiTi_GB2312"/>
          <w:szCs w:val="21"/>
        </w:rPr>
      </w:pPr>
      <w:r>
        <w:rPr>
          <w:rFonts w:eastAsia="KaiTi_GB2312" w:hint="eastAsia"/>
          <w:color w:val="0000FF"/>
          <w:szCs w:val="21"/>
        </w:rPr>
        <w:t>有关就业的问题</w:t>
      </w:r>
    </w:p>
    <w:p w:rsidR="00000000" w:rsidRDefault="00B83709" w:rsidP="00B83709">
      <w:pPr>
        <w:tabs>
          <w:tab w:val="center" w:pos="8880"/>
          <w:tab w:val="center" w:pos="9480"/>
        </w:tabs>
        <w:spacing w:after="120" w:line="320" w:lineRule="atLeast"/>
        <w:ind w:firstLineChars="800" w:firstLine="31680"/>
        <w:rPr>
          <w:szCs w:val="21"/>
        </w:rPr>
      </w:pPr>
      <w:r>
        <w:rPr>
          <w:noProof/>
          <w:sz w:val="20"/>
          <w:szCs w:val="21"/>
        </w:rPr>
        <w:pict>
          <v:shape id="_x0000_s1087" type="#_x0000_t202" style="position:absolute;left:0;text-align:left;margin-left:0;margin-top:70.6pt;width:474pt;height:31.2pt;z-index:7" filled="f" stroked="f">
            <v:textbox>
              <w:txbxContent>
                <w:p w:rsidR="00000000" w:rsidRDefault="00B83709">
                  <w:pPr>
                    <w:pBdr>
                      <w:top w:val="single" w:sz="4" w:space="1" w:color="auto"/>
                    </w:pBdr>
                    <w:jc w:val="center"/>
                    <w:rPr>
                      <w:rFonts w:hint="eastAsia"/>
                    </w:rPr>
                  </w:pPr>
                  <w:r>
                    <w:rPr>
                      <w:rFonts w:hint="eastAsia"/>
                    </w:rPr>
                    <w:t>泰国提交的第四和第五次合并报告</w:t>
                  </w:r>
                </w:p>
              </w:txbxContent>
            </v:textbox>
          </v:shape>
        </w:pict>
      </w:r>
      <w:r>
        <w:rPr>
          <w:rFonts w:hint="eastAsia"/>
          <w:szCs w:val="21"/>
        </w:rPr>
        <w:t>（</w:t>
      </w:r>
      <w:r>
        <w:rPr>
          <w:szCs w:val="21"/>
        </w:rPr>
        <w:t>a</w:t>
      </w:r>
      <w:r>
        <w:rPr>
          <w:rFonts w:hint="eastAsia"/>
          <w:szCs w:val="21"/>
        </w:rPr>
        <w:t>）工作权利</w:t>
      </w:r>
      <w:r>
        <w:rPr>
          <w:rFonts w:hint="eastAsia"/>
          <w:szCs w:val="21"/>
        </w:rPr>
        <w:tab/>
      </w:r>
      <w:r>
        <w:rPr>
          <w:rFonts w:hint="eastAsia"/>
          <w:szCs w:val="21"/>
        </w:rPr>
        <w:tab/>
        <w:t>193</w:t>
      </w:r>
    </w:p>
    <w:p w:rsidR="00000000" w:rsidRDefault="00B83709">
      <w:pPr>
        <w:spacing w:after="120" w:line="320" w:lineRule="atLeast"/>
        <w:jc w:val="center"/>
        <w:rPr>
          <w:rFonts w:eastAsia="SimHei" w:hint="eastAsia"/>
          <w:bCs/>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r>
        <w:rPr>
          <w:rFonts w:eastAsia="SimHei" w:hint="eastAsia"/>
          <w:bCs/>
          <w:color w:val="0000FF"/>
          <w:sz w:val="28"/>
        </w:rPr>
        <w:t>（</w:t>
      </w:r>
      <w:r>
        <w:rPr>
          <w:rFonts w:eastAsia="KaiTi_GB2312" w:hint="eastAsia"/>
          <w:bCs/>
          <w:color w:val="0000FF"/>
          <w:sz w:val="28"/>
        </w:rPr>
        <w:t>续</w:t>
      </w:r>
      <w:r>
        <w:rPr>
          <w:rFonts w:eastAsia="SimHei" w:hint="eastAsia"/>
          <w:bCs/>
          <w:color w:val="0000FF"/>
          <w:sz w:val="28"/>
        </w:rPr>
        <w:t>）</w:t>
      </w:r>
    </w:p>
    <w:p w:rsidR="00000000" w:rsidRDefault="00B83709">
      <w:pPr>
        <w:tabs>
          <w:tab w:val="center" w:pos="8880"/>
          <w:tab w:val="center" w:pos="9480"/>
        </w:tabs>
        <w:wordWrap w:val="0"/>
        <w:spacing w:after="120" w:line="320" w:lineRule="atLeast"/>
        <w:jc w:val="right"/>
        <w:rPr>
          <w:rFonts w:hint="eastAsia"/>
          <w:szCs w:val="21"/>
        </w:rPr>
      </w:pPr>
      <w:r>
        <w:rPr>
          <w:rFonts w:eastAsia="KaiTi_GB2312" w:hint="eastAsia"/>
          <w:bCs/>
          <w:color w:val="0000FF"/>
          <w:szCs w:val="21"/>
        </w:rPr>
        <w:t>段次</w:t>
      </w:r>
      <w:r>
        <w:rPr>
          <w:rFonts w:eastAsia="KaiTi_GB2312" w:hint="eastAsia"/>
          <w:bCs/>
          <w:color w:val="0000FF"/>
          <w:szCs w:val="21"/>
        </w:rPr>
        <w:t xml:space="preserve"> </w:t>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b</w:t>
      </w:r>
      <w:r>
        <w:rPr>
          <w:rFonts w:hint="eastAsia"/>
          <w:szCs w:val="21"/>
        </w:rPr>
        <w:t>）就业机会</w:t>
      </w:r>
      <w:r>
        <w:rPr>
          <w:rFonts w:hint="eastAsia"/>
          <w:szCs w:val="21"/>
        </w:rPr>
        <w:tab/>
      </w:r>
      <w:r>
        <w:rPr>
          <w:rFonts w:hint="eastAsia"/>
          <w:szCs w:val="21"/>
        </w:rPr>
        <w:tab/>
        <w:t>194</w:t>
      </w:r>
    </w:p>
    <w:p w:rsidR="00000000" w:rsidRDefault="00B83709" w:rsidP="00B83709">
      <w:pPr>
        <w:tabs>
          <w:tab w:val="center" w:pos="8760"/>
          <w:tab w:val="center" w:pos="9480"/>
        </w:tabs>
        <w:spacing w:after="120" w:line="320" w:lineRule="atLeast"/>
        <w:ind w:firstLineChars="800" w:firstLine="31680"/>
        <w:rPr>
          <w:szCs w:val="21"/>
        </w:rPr>
      </w:pPr>
      <w:r>
        <w:rPr>
          <w:rFonts w:hint="eastAsia"/>
          <w:szCs w:val="21"/>
        </w:rPr>
        <w:t>（</w:t>
      </w:r>
      <w:r>
        <w:rPr>
          <w:szCs w:val="21"/>
        </w:rPr>
        <w:t>c</w:t>
      </w:r>
      <w:r>
        <w:rPr>
          <w:rFonts w:hint="eastAsia"/>
          <w:szCs w:val="21"/>
        </w:rPr>
        <w:t>）应享有的不工作权利</w:t>
      </w:r>
      <w:r>
        <w:rPr>
          <w:rFonts w:hint="eastAsia"/>
          <w:szCs w:val="21"/>
        </w:rPr>
        <w:tab/>
      </w:r>
      <w:r>
        <w:rPr>
          <w:rFonts w:hint="eastAsia"/>
          <w:szCs w:val="21"/>
        </w:rPr>
        <w:tab/>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d</w:t>
      </w:r>
      <w:r>
        <w:rPr>
          <w:rFonts w:hint="eastAsia"/>
          <w:szCs w:val="21"/>
        </w:rPr>
        <w:t>）选择、条件和训练</w:t>
      </w:r>
      <w:r>
        <w:rPr>
          <w:rFonts w:hint="eastAsia"/>
          <w:szCs w:val="21"/>
        </w:rPr>
        <w:tab/>
      </w:r>
      <w:r>
        <w:rPr>
          <w:rFonts w:hint="eastAsia"/>
          <w:szCs w:val="21"/>
        </w:rPr>
        <w:tab/>
        <w:t>195-197</w:t>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e</w:t>
      </w:r>
      <w:r>
        <w:rPr>
          <w:rFonts w:hint="eastAsia"/>
          <w:szCs w:val="21"/>
        </w:rPr>
        <w:t>）职业安全</w:t>
      </w:r>
      <w:r>
        <w:rPr>
          <w:rFonts w:hint="eastAsia"/>
          <w:szCs w:val="21"/>
        </w:rPr>
        <w:tab/>
      </w:r>
      <w:r>
        <w:rPr>
          <w:rFonts w:hint="eastAsia"/>
          <w:szCs w:val="21"/>
        </w:rPr>
        <w:tab/>
        <w:t>198-200</w:t>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f</w:t>
      </w:r>
      <w:r>
        <w:rPr>
          <w:rFonts w:hint="eastAsia"/>
          <w:szCs w:val="21"/>
        </w:rPr>
        <w:t>）性骚扰</w:t>
      </w:r>
      <w:r>
        <w:rPr>
          <w:rFonts w:hint="eastAsia"/>
          <w:szCs w:val="21"/>
        </w:rPr>
        <w:tab/>
      </w:r>
      <w:r>
        <w:rPr>
          <w:rFonts w:hint="eastAsia"/>
          <w:szCs w:val="21"/>
        </w:rPr>
        <w:tab/>
        <w:t>201</w:t>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g</w:t>
      </w:r>
      <w:r>
        <w:rPr>
          <w:rFonts w:hint="eastAsia"/>
          <w:szCs w:val="21"/>
        </w:rPr>
        <w:t>）平等报酬</w:t>
      </w:r>
      <w:r>
        <w:rPr>
          <w:rFonts w:hint="eastAsia"/>
          <w:szCs w:val="21"/>
        </w:rPr>
        <w:tab/>
      </w:r>
      <w:r>
        <w:rPr>
          <w:rFonts w:hint="eastAsia"/>
          <w:szCs w:val="21"/>
        </w:rPr>
        <w:tab/>
        <w:t>202-203</w:t>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h</w:t>
      </w:r>
      <w:r>
        <w:rPr>
          <w:rFonts w:hint="eastAsia"/>
          <w:szCs w:val="21"/>
        </w:rPr>
        <w:t>）社会保险</w:t>
      </w:r>
      <w:r>
        <w:rPr>
          <w:rFonts w:hint="eastAsia"/>
          <w:szCs w:val="21"/>
        </w:rPr>
        <w:tab/>
      </w:r>
      <w:r>
        <w:rPr>
          <w:rFonts w:hint="eastAsia"/>
          <w:szCs w:val="21"/>
        </w:rPr>
        <w:tab/>
        <w:t>204-207</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怀孕和工作</w:t>
      </w:r>
      <w:r>
        <w:rPr>
          <w:rFonts w:eastAsia="KaiTi_GB2312" w:hint="eastAsia"/>
          <w:szCs w:val="21"/>
        </w:rPr>
        <w:tab/>
      </w:r>
      <w:r>
        <w:rPr>
          <w:rFonts w:eastAsia="KaiTi_GB2312" w:hint="eastAsia"/>
          <w:szCs w:val="21"/>
        </w:rPr>
        <w:tab/>
        <w:t>208</w:t>
      </w:r>
    </w:p>
    <w:p w:rsidR="00000000" w:rsidRDefault="00B83709" w:rsidP="00B83709">
      <w:pPr>
        <w:tabs>
          <w:tab w:val="center" w:pos="8880"/>
          <w:tab w:val="center" w:pos="9480"/>
        </w:tabs>
        <w:spacing w:after="120" w:line="320" w:lineRule="atLeast"/>
        <w:ind w:firstLineChars="200" w:firstLine="31680"/>
        <w:rPr>
          <w:szCs w:val="21"/>
        </w:rPr>
      </w:pPr>
      <w:r>
        <w:rPr>
          <w:rFonts w:hint="eastAsia"/>
          <w:szCs w:val="21"/>
        </w:rPr>
        <w:t>第十二条：保健</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保健</w:t>
      </w:r>
      <w:r>
        <w:rPr>
          <w:rFonts w:eastAsia="KaiTi_GB2312" w:hint="eastAsia"/>
          <w:color w:val="0000FF"/>
          <w:szCs w:val="21"/>
        </w:rPr>
        <w:t>/</w:t>
      </w:r>
      <w:r>
        <w:rPr>
          <w:rFonts w:eastAsia="KaiTi_GB2312" w:hint="eastAsia"/>
          <w:color w:val="0000FF"/>
          <w:szCs w:val="21"/>
        </w:rPr>
        <w:t>促进健康</w:t>
      </w:r>
      <w:r>
        <w:rPr>
          <w:rFonts w:eastAsia="KaiTi_GB2312" w:hint="eastAsia"/>
          <w:szCs w:val="21"/>
        </w:rPr>
        <w:tab/>
      </w:r>
      <w:r>
        <w:rPr>
          <w:rFonts w:eastAsia="KaiTi_GB2312" w:hint="eastAsia"/>
          <w:szCs w:val="21"/>
        </w:rPr>
        <w:tab/>
        <w:t>209-211</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其他问题</w:t>
      </w:r>
    </w:p>
    <w:p w:rsidR="00000000" w:rsidRDefault="00B83709" w:rsidP="00B83709">
      <w:pPr>
        <w:tabs>
          <w:tab w:val="center" w:pos="8880"/>
          <w:tab w:val="center" w:pos="9480"/>
        </w:tabs>
        <w:spacing w:after="120" w:line="320" w:lineRule="atLeast"/>
        <w:ind w:firstLineChars="800" w:firstLine="31680"/>
        <w:rPr>
          <w:szCs w:val="24"/>
        </w:rPr>
      </w:pPr>
      <w:r>
        <w:rPr>
          <w:rFonts w:hint="eastAsia"/>
          <w:szCs w:val="24"/>
        </w:rPr>
        <w:t>艾</w:t>
      </w:r>
      <w:r>
        <w:rPr>
          <w:rFonts w:hint="eastAsia"/>
          <w:szCs w:val="24"/>
        </w:rPr>
        <w:t>滋病毒</w:t>
      </w:r>
      <w:r>
        <w:rPr>
          <w:rFonts w:hint="eastAsia"/>
          <w:szCs w:val="24"/>
        </w:rPr>
        <w:t>/</w:t>
      </w:r>
      <w:r>
        <w:rPr>
          <w:rFonts w:hint="eastAsia"/>
          <w:szCs w:val="24"/>
        </w:rPr>
        <w:t>艾滋病</w:t>
      </w:r>
      <w:r>
        <w:rPr>
          <w:rFonts w:hint="eastAsia"/>
          <w:szCs w:val="24"/>
        </w:rPr>
        <w:tab/>
      </w:r>
      <w:r>
        <w:rPr>
          <w:rFonts w:hint="eastAsia"/>
          <w:szCs w:val="24"/>
        </w:rPr>
        <w:tab/>
        <w:t>212-215</w:t>
      </w:r>
    </w:p>
    <w:p w:rsidR="00000000" w:rsidRDefault="00B83709" w:rsidP="00B83709">
      <w:pPr>
        <w:tabs>
          <w:tab w:val="center" w:pos="8880"/>
          <w:tab w:val="center" w:pos="9480"/>
        </w:tabs>
        <w:spacing w:after="120" w:line="320" w:lineRule="atLeast"/>
        <w:ind w:firstLineChars="800" w:firstLine="31680"/>
        <w:rPr>
          <w:szCs w:val="24"/>
        </w:rPr>
      </w:pPr>
      <w:r>
        <w:rPr>
          <w:rFonts w:hint="eastAsia"/>
          <w:szCs w:val="24"/>
        </w:rPr>
        <w:t>堕胎</w:t>
      </w:r>
      <w:r>
        <w:rPr>
          <w:rFonts w:hint="eastAsia"/>
          <w:szCs w:val="24"/>
        </w:rPr>
        <w:tab/>
      </w:r>
      <w:r>
        <w:rPr>
          <w:rFonts w:hint="eastAsia"/>
          <w:szCs w:val="24"/>
        </w:rPr>
        <w:tab/>
        <w:t>216-218</w:t>
      </w:r>
    </w:p>
    <w:p w:rsidR="00000000" w:rsidRDefault="00B83709" w:rsidP="00B83709">
      <w:pPr>
        <w:tabs>
          <w:tab w:val="center" w:pos="8880"/>
          <w:tab w:val="center" w:pos="9480"/>
        </w:tabs>
        <w:spacing w:after="120" w:line="320" w:lineRule="atLeast"/>
        <w:ind w:firstLineChars="800" w:firstLine="31680"/>
        <w:rPr>
          <w:szCs w:val="24"/>
        </w:rPr>
      </w:pPr>
      <w:r>
        <w:rPr>
          <w:rFonts w:hint="eastAsia"/>
          <w:szCs w:val="24"/>
        </w:rPr>
        <w:t>职业保健与安全</w:t>
      </w:r>
      <w:r>
        <w:rPr>
          <w:rFonts w:hint="eastAsia"/>
          <w:szCs w:val="24"/>
        </w:rPr>
        <w:tab/>
      </w:r>
      <w:r>
        <w:rPr>
          <w:rFonts w:hint="eastAsia"/>
          <w:szCs w:val="24"/>
        </w:rPr>
        <w:tab/>
        <w:t>219-221</w:t>
      </w:r>
    </w:p>
    <w:p w:rsidR="00000000" w:rsidRDefault="00B83709" w:rsidP="00B83709">
      <w:pPr>
        <w:tabs>
          <w:tab w:val="center" w:pos="8880"/>
          <w:tab w:val="center" w:pos="9480"/>
        </w:tabs>
        <w:spacing w:after="120" w:line="320" w:lineRule="atLeast"/>
        <w:ind w:firstLineChars="800" w:firstLine="31680"/>
        <w:rPr>
          <w:szCs w:val="24"/>
        </w:rPr>
      </w:pPr>
      <w:r>
        <w:rPr>
          <w:rFonts w:hint="eastAsia"/>
          <w:szCs w:val="24"/>
        </w:rPr>
        <w:t>心理保健</w:t>
      </w:r>
      <w:r>
        <w:rPr>
          <w:rFonts w:hint="eastAsia"/>
          <w:szCs w:val="24"/>
        </w:rPr>
        <w:tab/>
      </w:r>
      <w:r>
        <w:rPr>
          <w:rFonts w:hint="eastAsia"/>
          <w:szCs w:val="24"/>
        </w:rPr>
        <w:tab/>
        <w:t>222-223</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计划生育服务的使用</w:t>
      </w:r>
      <w:r>
        <w:rPr>
          <w:rFonts w:eastAsia="KaiTi_GB2312" w:hint="eastAsia"/>
          <w:szCs w:val="21"/>
        </w:rPr>
        <w:tab/>
      </w:r>
      <w:r>
        <w:rPr>
          <w:rFonts w:eastAsia="KaiTi_GB2312" w:hint="eastAsia"/>
          <w:szCs w:val="21"/>
        </w:rPr>
        <w:tab/>
        <w:t>224-225</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替代药物</w:t>
      </w:r>
      <w:r>
        <w:rPr>
          <w:rFonts w:eastAsia="KaiTi_GB2312" w:hint="eastAsia"/>
          <w:szCs w:val="21"/>
        </w:rPr>
        <w:tab/>
      </w:r>
      <w:r>
        <w:rPr>
          <w:rFonts w:eastAsia="KaiTi_GB2312" w:hint="eastAsia"/>
          <w:szCs w:val="21"/>
        </w:rPr>
        <w:tab/>
        <w:t>226</w:t>
      </w:r>
    </w:p>
    <w:p w:rsidR="00000000" w:rsidRDefault="00B83709" w:rsidP="00B83709">
      <w:pPr>
        <w:tabs>
          <w:tab w:val="center" w:pos="8880"/>
          <w:tab w:val="center" w:pos="9480"/>
        </w:tabs>
        <w:spacing w:after="120" w:line="320" w:lineRule="atLeast"/>
        <w:ind w:firstLineChars="200" w:firstLine="31680"/>
        <w:rPr>
          <w:szCs w:val="21"/>
        </w:rPr>
      </w:pPr>
      <w:r>
        <w:rPr>
          <w:rFonts w:hint="eastAsia"/>
          <w:szCs w:val="21"/>
        </w:rPr>
        <w:t>第十三条：经济和社会生活</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家属津贴</w:t>
      </w:r>
      <w:r>
        <w:rPr>
          <w:rFonts w:eastAsia="KaiTi_GB2312" w:hint="eastAsia"/>
          <w:szCs w:val="21"/>
        </w:rPr>
        <w:tab/>
      </w:r>
      <w:r>
        <w:rPr>
          <w:rFonts w:eastAsia="KaiTi_GB2312" w:hint="eastAsia"/>
          <w:szCs w:val="21"/>
        </w:rPr>
        <w:tab/>
        <w:t>227-228</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信贷</w:t>
      </w:r>
      <w:r>
        <w:rPr>
          <w:rFonts w:eastAsia="KaiTi_GB2312" w:hint="eastAsia"/>
          <w:szCs w:val="21"/>
        </w:rPr>
        <w:tab/>
      </w:r>
      <w:r>
        <w:rPr>
          <w:rFonts w:eastAsia="KaiTi_GB2312" w:hint="eastAsia"/>
          <w:szCs w:val="21"/>
        </w:rPr>
        <w:tab/>
        <w:t>229</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娱乐和文化</w:t>
      </w:r>
      <w:r>
        <w:rPr>
          <w:rFonts w:eastAsia="KaiTi_GB2312" w:hint="eastAsia"/>
          <w:szCs w:val="21"/>
        </w:rPr>
        <w:tab/>
      </w:r>
      <w:r>
        <w:rPr>
          <w:rFonts w:eastAsia="KaiTi_GB2312" w:hint="eastAsia"/>
          <w:szCs w:val="21"/>
        </w:rPr>
        <w:tab/>
        <w:t>230-234</w:t>
      </w:r>
    </w:p>
    <w:p w:rsidR="00000000" w:rsidRDefault="00B83709" w:rsidP="00B83709">
      <w:pPr>
        <w:tabs>
          <w:tab w:val="center" w:pos="8880"/>
          <w:tab w:val="center" w:pos="9480"/>
        </w:tabs>
        <w:spacing w:after="120" w:line="320" w:lineRule="atLeast"/>
        <w:ind w:firstLineChars="200" w:firstLine="31680"/>
        <w:rPr>
          <w:szCs w:val="21"/>
        </w:rPr>
      </w:pPr>
      <w:r>
        <w:rPr>
          <w:rFonts w:hint="eastAsia"/>
          <w:szCs w:val="21"/>
        </w:rPr>
        <w:t>第十四条：农村妇女</w:t>
      </w:r>
    </w:p>
    <w:p w:rsidR="00000000" w:rsidRDefault="00B83709" w:rsidP="00B83709">
      <w:pPr>
        <w:tabs>
          <w:tab w:val="center" w:pos="8880"/>
          <w:tab w:val="center" w:pos="9480"/>
        </w:tabs>
        <w:spacing w:after="120" w:line="320" w:lineRule="atLeast"/>
        <w:ind w:firstLineChars="600" w:firstLine="31680"/>
        <w:rPr>
          <w:rFonts w:eastAsia="KaiTi_GB2312"/>
          <w:szCs w:val="21"/>
        </w:rPr>
      </w:pPr>
      <w:r>
        <w:rPr>
          <w:rFonts w:eastAsia="KaiTi_GB2312" w:hint="eastAsia"/>
          <w:color w:val="0000FF"/>
          <w:szCs w:val="21"/>
        </w:rPr>
        <w:t>一般状况</w:t>
      </w:r>
      <w:r>
        <w:rPr>
          <w:rFonts w:eastAsia="KaiTi_GB2312" w:hint="eastAsia"/>
          <w:szCs w:val="21"/>
        </w:rPr>
        <w:tab/>
      </w:r>
      <w:r>
        <w:rPr>
          <w:rFonts w:eastAsia="KaiTi_GB2312" w:hint="eastAsia"/>
          <w:szCs w:val="21"/>
        </w:rPr>
        <w:tab/>
        <w:t>235-237</w:t>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a</w:t>
      </w:r>
      <w:r>
        <w:rPr>
          <w:rFonts w:hint="eastAsia"/>
          <w:szCs w:val="21"/>
        </w:rPr>
        <w:t>）保健</w:t>
      </w:r>
      <w:r>
        <w:rPr>
          <w:rFonts w:hint="eastAsia"/>
          <w:szCs w:val="21"/>
        </w:rPr>
        <w:tab/>
      </w:r>
      <w:r>
        <w:rPr>
          <w:rFonts w:hint="eastAsia"/>
          <w:szCs w:val="21"/>
        </w:rPr>
        <w:tab/>
        <w:t>238-239</w:t>
      </w:r>
    </w:p>
    <w:p w:rsidR="00000000" w:rsidRDefault="00B83709" w:rsidP="00B83709">
      <w:pPr>
        <w:tabs>
          <w:tab w:val="center" w:pos="8880"/>
          <w:tab w:val="center" w:pos="9480"/>
        </w:tabs>
        <w:spacing w:after="120" w:line="320" w:lineRule="atLeast"/>
        <w:ind w:firstLineChars="800" w:firstLine="31680"/>
        <w:rPr>
          <w:szCs w:val="21"/>
        </w:rPr>
      </w:pPr>
      <w:r>
        <w:rPr>
          <w:noProof/>
          <w:sz w:val="20"/>
          <w:szCs w:val="21"/>
        </w:rPr>
        <w:pict>
          <v:shape id="_x0000_s1088" type="#_x0000_t202" style="position:absolute;left:0;text-align:left;margin-left:12pt;margin-top:70.6pt;width:474pt;height:31.2pt;z-index:8" filled="f" stroked="f">
            <v:textbox>
              <w:txbxContent>
                <w:p w:rsidR="00000000" w:rsidRDefault="00B83709">
                  <w:pPr>
                    <w:pBdr>
                      <w:top w:val="single" w:sz="4" w:space="1" w:color="auto"/>
                    </w:pBdr>
                    <w:jc w:val="center"/>
                    <w:rPr>
                      <w:rFonts w:hint="eastAsia"/>
                    </w:rPr>
                  </w:pPr>
                  <w:r>
                    <w:rPr>
                      <w:rFonts w:hint="eastAsia"/>
                    </w:rPr>
                    <w:t>泰国提交的第四和第五次合并报告</w:t>
                  </w:r>
                </w:p>
              </w:txbxContent>
            </v:textbox>
          </v:shape>
        </w:pict>
      </w:r>
      <w:r>
        <w:rPr>
          <w:rFonts w:hint="eastAsia"/>
          <w:szCs w:val="21"/>
        </w:rPr>
        <w:t>（</w:t>
      </w:r>
      <w:r>
        <w:rPr>
          <w:szCs w:val="21"/>
        </w:rPr>
        <w:t>b</w:t>
      </w:r>
      <w:r>
        <w:rPr>
          <w:rFonts w:hint="eastAsia"/>
          <w:szCs w:val="21"/>
        </w:rPr>
        <w:t>）教育和培训</w:t>
      </w:r>
      <w:r>
        <w:rPr>
          <w:rFonts w:hint="eastAsia"/>
          <w:szCs w:val="21"/>
        </w:rPr>
        <w:tab/>
      </w:r>
      <w:r>
        <w:rPr>
          <w:rFonts w:hint="eastAsia"/>
          <w:szCs w:val="21"/>
        </w:rPr>
        <w:tab/>
        <w:t>240</w:t>
      </w:r>
    </w:p>
    <w:p w:rsidR="00000000" w:rsidRDefault="00B83709">
      <w:pPr>
        <w:spacing w:after="120" w:line="320" w:lineRule="atLeast"/>
        <w:jc w:val="center"/>
        <w:rPr>
          <w:rFonts w:eastAsia="SimHei" w:hint="eastAsia"/>
          <w:bCs/>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r>
        <w:rPr>
          <w:rFonts w:eastAsia="SimHei" w:hint="eastAsia"/>
          <w:bCs/>
          <w:color w:val="0000FF"/>
          <w:sz w:val="28"/>
        </w:rPr>
        <w:t>（</w:t>
      </w:r>
      <w:r>
        <w:rPr>
          <w:rFonts w:eastAsia="KaiTi_GB2312" w:hint="eastAsia"/>
          <w:bCs/>
          <w:color w:val="0000FF"/>
          <w:sz w:val="28"/>
        </w:rPr>
        <w:t>续</w:t>
      </w:r>
      <w:r>
        <w:rPr>
          <w:rFonts w:eastAsia="SimHei" w:hint="eastAsia"/>
          <w:bCs/>
          <w:color w:val="0000FF"/>
          <w:sz w:val="28"/>
        </w:rPr>
        <w:t>）</w:t>
      </w:r>
    </w:p>
    <w:p w:rsidR="00000000" w:rsidRDefault="00B83709">
      <w:pPr>
        <w:tabs>
          <w:tab w:val="center" w:pos="8880"/>
          <w:tab w:val="center" w:pos="9480"/>
        </w:tabs>
        <w:wordWrap w:val="0"/>
        <w:spacing w:after="120" w:line="320" w:lineRule="atLeast"/>
        <w:jc w:val="right"/>
        <w:rPr>
          <w:rFonts w:hint="eastAsia"/>
          <w:color w:val="0000FF"/>
          <w:szCs w:val="21"/>
        </w:rPr>
      </w:pPr>
      <w:r>
        <w:rPr>
          <w:rFonts w:eastAsia="KaiTi_GB2312" w:hint="eastAsia"/>
          <w:bCs/>
          <w:color w:val="0000FF"/>
          <w:szCs w:val="21"/>
        </w:rPr>
        <w:t>段次</w:t>
      </w:r>
      <w:r>
        <w:rPr>
          <w:rFonts w:eastAsia="KaiTi_GB2312" w:hint="eastAsia"/>
          <w:bCs/>
          <w:color w:val="0000FF"/>
          <w:szCs w:val="21"/>
        </w:rPr>
        <w:t xml:space="preserve"> </w:t>
      </w:r>
    </w:p>
    <w:p w:rsidR="00000000" w:rsidRDefault="00B83709" w:rsidP="00B83709">
      <w:pPr>
        <w:tabs>
          <w:tab w:val="center" w:pos="8880"/>
          <w:tab w:val="center" w:pos="9480"/>
        </w:tabs>
        <w:spacing w:after="120" w:line="320" w:lineRule="atLeast"/>
        <w:ind w:firstLineChars="800" w:firstLine="31680"/>
        <w:rPr>
          <w:szCs w:val="21"/>
        </w:rPr>
      </w:pPr>
      <w:r>
        <w:rPr>
          <w:rFonts w:hint="eastAsia"/>
          <w:szCs w:val="21"/>
        </w:rPr>
        <w:t>（</w:t>
      </w:r>
      <w:r>
        <w:rPr>
          <w:szCs w:val="21"/>
        </w:rPr>
        <w:t>c</w:t>
      </w:r>
      <w:r>
        <w:rPr>
          <w:rFonts w:hint="eastAsia"/>
          <w:szCs w:val="21"/>
        </w:rPr>
        <w:t>）自助小组与合作社</w:t>
      </w:r>
      <w:r>
        <w:rPr>
          <w:rFonts w:hint="eastAsia"/>
          <w:szCs w:val="21"/>
        </w:rPr>
        <w:tab/>
      </w:r>
      <w:r>
        <w:rPr>
          <w:rFonts w:hint="eastAsia"/>
          <w:szCs w:val="21"/>
        </w:rPr>
        <w:tab/>
        <w:t>241-249</w:t>
      </w:r>
    </w:p>
    <w:p w:rsidR="00000000" w:rsidRDefault="00B83709" w:rsidP="00B83709">
      <w:pPr>
        <w:tabs>
          <w:tab w:val="center" w:pos="8880"/>
          <w:tab w:val="center" w:pos="9480"/>
        </w:tabs>
        <w:spacing w:after="120" w:line="320" w:lineRule="atLeast"/>
        <w:ind w:firstLineChars="200" w:firstLine="31680"/>
        <w:rPr>
          <w:szCs w:val="21"/>
        </w:rPr>
      </w:pPr>
      <w:r>
        <w:rPr>
          <w:rFonts w:hint="eastAsia"/>
          <w:szCs w:val="21"/>
        </w:rPr>
        <w:t>第十五条：法律面前平等</w:t>
      </w:r>
      <w:r>
        <w:rPr>
          <w:rFonts w:hint="eastAsia"/>
          <w:szCs w:val="21"/>
        </w:rPr>
        <w:tab/>
      </w:r>
      <w:r>
        <w:rPr>
          <w:rFonts w:hint="eastAsia"/>
          <w:szCs w:val="21"/>
        </w:rPr>
        <w:tab/>
        <w:t>250-264</w:t>
      </w:r>
    </w:p>
    <w:p w:rsidR="00000000" w:rsidRDefault="00B83709" w:rsidP="00B83709">
      <w:pPr>
        <w:tabs>
          <w:tab w:val="center" w:pos="8880"/>
          <w:tab w:val="center" w:pos="9480"/>
        </w:tabs>
        <w:spacing w:after="120" w:line="320" w:lineRule="atLeast"/>
        <w:ind w:firstLineChars="200" w:firstLine="31680"/>
        <w:rPr>
          <w:szCs w:val="21"/>
        </w:rPr>
      </w:pPr>
      <w:r>
        <w:rPr>
          <w:rFonts w:hint="eastAsia"/>
          <w:szCs w:val="21"/>
        </w:rPr>
        <w:t>第十六条：婚姻和家庭</w:t>
      </w:r>
      <w:r>
        <w:rPr>
          <w:rFonts w:hint="eastAsia"/>
          <w:szCs w:val="21"/>
        </w:rPr>
        <w:t>法</w:t>
      </w:r>
      <w:r>
        <w:rPr>
          <w:rFonts w:hint="eastAsia"/>
          <w:szCs w:val="21"/>
        </w:rPr>
        <w:tab/>
      </w:r>
      <w:r>
        <w:rPr>
          <w:rFonts w:hint="eastAsia"/>
          <w:szCs w:val="21"/>
        </w:rPr>
        <w:tab/>
        <w:t>265</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1</w:t>
      </w:r>
      <w:r>
        <w:rPr>
          <w:rFonts w:hint="eastAsia"/>
          <w:szCs w:val="24"/>
        </w:rPr>
        <w:t>）</w:t>
      </w:r>
      <w:r>
        <w:rPr>
          <w:rFonts w:hint="eastAsia"/>
          <w:szCs w:val="21"/>
        </w:rPr>
        <w:t>订婚</w:t>
      </w:r>
      <w:r>
        <w:rPr>
          <w:rFonts w:hint="eastAsia"/>
          <w:szCs w:val="21"/>
        </w:rPr>
        <w:tab/>
      </w:r>
      <w:r>
        <w:rPr>
          <w:rFonts w:hint="eastAsia"/>
          <w:szCs w:val="21"/>
        </w:rPr>
        <w:tab/>
        <w:t>266</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2</w:t>
      </w:r>
      <w:r>
        <w:rPr>
          <w:rFonts w:hint="eastAsia"/>
          <w:szCs w:val="24"/>
        </w:rPr>
        <w:t>）结婚</w:t>
      </w:r>
      <w:r>
        <w:rPr>
          <w:rFonts w:hint="eastAsia"/>
          <w:szCs w:val="24"/>
        </w:rPr>
        <w:tab/>
      </w:r>
      <w:r>
        <w:rPr>
          <w:rFonts w:hint="eastAsia"/>
          <w:szCs w:val="24"/>
        </w:rPr>
        <w:tab/>
        <w:t>267-268</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3</w:t>
      </w:r>
      <w:r>
        <w:rPr>
          <w:rFonts w:hint="eastAsia"/>
          <w:szCs w:val="24"/>
        </w:rPr>
        <w:t>）离婚</w:t>
      </w:r>
      <w:r>
        <w:rPr>
          <w:rFonts w:hint="eastAsia"/>
          <w:szCs w:val="24"/>
        </w:rPr>
        <w:tab/>
      </w:r>
      <w:r>
        <w:rPr>
          <w:rFonts w:hint="eastAsia"/>
          <w:szCs w:val="24"/>
        </w:rPr>
        <w:tab/>
        <w:t>269-270</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4</w:t>
      </w:r>
      <w:r>
        <w:rPr>
          <w:rFonts w:hint="eastAsia"/>
          <w:szCs w:val="24"/>
        </w:rPr>
        <w:t>）重婚</w:t>
      </w:r>
      <w:r>
        <w:rPr>
          <w:rFonts w:hint="eastAsia"/>
          <w:szCs w:val="24"/>
        </w:rPr>
        <w:tab/>
      </w:r>
      <w:r>
        <w:rPr>
          <w:rFonts w:hint="eastAsia"/>
          <w:szCs w:val="24"/>
        </w:rPr>
        <w:tab/>
        <w:t>271-272</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5</w:t>
      </w:r>
      <w:r>
        <w:rPr>
          <w:rFonts w:hint="eastAsia"/>
          <w:szCs w:val="24"/>
        </w:rPr>
        <w:t>）共有财产的管理</w:t>
      </w:r>
      <w:r>
        <w:rPr>
          <w:rFonts w:hint="eastAsia"/>
          <w:szCs w:val="24"/>
        </w:rPr>
        <w:tab/>
      </w:r>
      <w:r>
        <w:rPr>
          <w:rFonts w:hint="eastAsia"/>
          <w:szCs w:val="24"/>
        </w:rPr>
        <w:tab/>
        <w:t>273-274</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6</w:t>
      </w:r>
      <w:r>
        <w:rPr>
          <w:rFonts w:hint="eastAsia"/>
          <w:szCs w:val="24"/>
        </w:rPr>
        <w:t>）工作权利</w:t>
      </w:r>
      <w:r>
        <w:rPr>
          <w:rFonts w:hint="eastAsia"/>
          <w:szCs w:val="24"/>
        </w:rPr>
        <w:tab/>
      </w:r>
      <w:r>
        <w:rPr>
          <w:rFonts w:hint="eastAsia"/>
          <w:szCs w:val="24"/>
        </w:rPr>
        <w:tab/>
        <w:t>275</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7</w:t>
      </w:r>
      <w:r>
        <w:rPr>
          <w:rFonts w:hint="eastAsia"/>
          <w:szCs w:val="24"/>
        </w:rPr>
        <w:t>）婚姻称谓</w:t>
      </w:r>
      <w:r>
        <w:rPr>
          <w:rFonts w:hint="eastAsia"/>
          <w:szCs w:val="24"/>
        </w:rPr>
        <w:tab/>
      </w:r>
      <w:r>
        <w:rPr>
          <w:rFonts w:hint="eastAsia"/>
          <w:szCs w:val="24"/>
        </w:rPr>
        <w:tab/>
        <w:t>276-277</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8</w:t>
      </w:r>
      <w:r>
        <w:rPr>
          <w:rFonts w:hint="eastAsia"/>
          <w:szCs w:val="24"/>
        </w:rPr>
        <w:t>）姓氏</w:t>
      </w:r>
      <w:r>
        <w:rPr>
          <w:rFonts w:hint="eastAsia"/>
          <w:szCs w:val="24"/>
        </w:rPr>
        <w:tab/>
      </w:r>
      <w:r>
        <w:rPr>
          <w:rFonts w:hint="eastAsia"/>
          <w:szCs w:val="24"/>
        </w:rPr>
        <w:tab/>
        <w:t>278-280</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9</w:t>
      </w:r>
      <w:r>
        <w:rPr>
          <w:rFonts w:hint="eastAsia"/>
          <w:szCs w:val="24"/>
        </w:rPr>
        <w:t>）子女监护</w:t>
      </w:r>
      <w:r>
        <w:rPr>
          <w:rFonts w:hint="eastAsia"/>
          <w:szCs w:val="24"/>
        </w:rPr>
        <w:tab/>
      </w:r>
      <w:r>
        <w:rPr>
          <w:rFonts w:hint="eastAsia"/>
          <w:szCs w:val="24"/>
        </w:rPr>
        <w:tab/>
        <w:t>281</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1</w:t>
      </w:r>
      <w:r>
        <w:rPr>
          <w:rFonts w:hint="eastAsia"/>
          <w:szCs w:val="24"/>
        </w:rPr>
        <w:t>0</w:t>
      </w:r>
      <w:r>
        <w:rPr>
          <w:rFonts w:hint="eastAsia"/>
          <w:szCs w:val="24"/>
        </w:rPr>
        <w:t>）遗产继承</w:t>
      </w:r>
      <w:r>
        <w:rPr>
          <w:rFonts w:hint="eastAsia"/>
          <w:szCs w:val="24"/>
        </w:rPr>
        <w:tab/>
      </w:r>
      <w:r>
        <w:rPr>
          <w:rFonts w:hint="eastAsia"/>
          <w:szCs w:val="24"/>
        </w:rPr>
        <w:tab/>
        <w:t>282-283</w:t>
      </w:r>
    </w:p>
    <w:p w:rsidR="00000000" w:rsidRDefault="00B83709" w:rsidP="00B83709">
      <w:pPr>
        <w:tabs>
          <w:tab w:val="center" w:pos="8880"/>
          <w:tab w:val="center" w:pos="9480"/>
        </w:tabs>
        <w:spacing w:after="120" w:line="320" w:lineRule="atLeast"/>
        <w:ind w:firstLineChars="700" w:firstLine="31680"/>
        <w:rPr>
          <w:szCs w:val="24"/>
        </w:rPr>
      </w:pPr>
      <w:r>
        <w:rPr>
          <w:rFonts w:hint="eastAsia"/>
          <w:szCs w:val="24"/>
        </w:rPr>
        <w:t>（</w:t>
      </w:r>
      <w:r>
        <w:rPr>
          <w:szCs w:val="24"/>
        </w:rPr>
        <w:t>11</w:t>
      </w:r>
      <w:r>
        <w:rPr>
          <w:rFonts w:hint="eastAsia"/>
          <w:szCs w:val="24"/>
        </w:rPr>
        <w:t>）所得税</w:t>
      </w:r>
      <w:r>
        <w:rPr>
          <w:rFonts w:hint="eastAsia"/>
          <w:szCs w:val="24"/>
        </w:rPr>
        <w:tab/>
      </w:r>
      <w:r>
        <w:rPr>
          <w:rFonts w:hint="eastAsia"/>
          <w:szCs w:val="24"/>
        </w:rPr>
        <w:tab/>
        <w:t>284</w:t>
      </w:r>
    </w:p>
    <w:p w:rsidR="00000000" w:rsidRDefault="00B83709" w:rsidP="00B83709">
      <w:pPr>
        <w:tabs>
          <w:tab w:val="center" w:pos="8880"/>
          <w:tab w:val="center" w:pos="9480"/>
        </w:tabs>
        <w:spacing w:after="120" w:line="320" w:lineRule="atLeast"/>
        <w:ind w:firstLineChars="700" w:firstLine="31680"/>
        <w:rPr>
          <w:rFonts w:hint="eastAsia"/>
          <w:szCs w:val="24"/>
        </w:rPr>
      </w:pPr>
    </w:p>
    <w:p w:rsidR="00000000" w:rsidRDefault="00B83709" w:rsidP="00B83709">
      <w:pPr>
        <w:tabs>
          <w:tab w:val="center" w:pos="9120"/>
          <w:tab w:val="center" w:pos="9600"/>
        </w:tabs>
        <w:spacing w:after="120" w:line="320" w:lineRule="atLeast"/>
        <w:ind w:firstLineChars="200" w:firstLine="31680"/>
        <w:rPr>
          <w:rFonts w:hint="eastAsia"/>
          <w:szCs w:val="21"/>
        </w:rPr>
      </w:pPr>
    </w:p>
    <w:p w:rsidR="00000000" w:rsidRDefault="00B83709">
      <w:pPr>
        <w:spacing w:after="240" w:line="360" w:lineRule="exact"/>
        <w:rPr>
          <w:rFonts w:eastAsia="SimHei" w:hint="eastAsia"/>
          <w:bCs/>
          <w:color w:val="FF0000"/>
          <w:sz w:val="28"/>
          <w:szCs w:val="21"/>
        </w:rPr>
      </w:pPr>
      <w:r>
        <w:rPr>
          <w:noProof/>
          <w:sz w:val="20"/>
          <w:szCs w:val="21"/>
        </w:rPr>
        <w:pict>
          <v:shape id="_x0000_s1089" type="#_x0000_t202" style="position:absolute;left:0;text-align:left;margin-left:0;margin-top:246.6pt;width:474pt;height:31.2pt;z-index:9" filled="f" stroked="f">
            <v:textbox>
              <w:txbxContent>
                <w:p w:rsidR="00000000" w:rsidRDefault="00B83709">
                  <w:pPr>
                    <w:pBdr>
                      <w:top w:val="single" w:sz="4" w:space="1" w:color="auto"/>
                    </w:pBdr>
                    <w:jc w:val="center"/>
                    <w:rPr>
                      <w:rFonts w:hint="eastAsia"/>
                    </w:rPr>
                  </w:pPr>
                  <w:r>
                    <w:rPr>
                      <w:rFonts w:hint="eastAsia"/>
                    </w:rPr>
                    <w:t>泰国提交的第四和第五次合并报告</w:t>
                  </w:r>
                </w:p>
              </w:txbxContent>
            </v:textbox>
          </v:shape>
        </w:pict>
      </w:r>
      <w:r>
        <w:rPr>
          <w:szCs w:val="21"/>
        </w:rPr>
        <w:br w:type="page"/>
      </w:r>
      <w:r>
        <w:rPr>
          <w:rFonts w:eastAsia="SimHei" w:hint="eastAsia"/>
          <w:bCs/>
          <w:color w:val="FF0000"/>
          <w:sz w:val="28"/>
          <w:szCs w:val="21"/>
        </w:rPr>
        <w:t>导言</w:t>
      </w:r>
    </w:p>
    <w:p w:rsidR="00000000" w:rsidRDefault="00B83709" w:rsidP="00B83709">
      <w:pPr>
        <w:spacing w:after="240" w:line="360" w:lineRule="exact"/>
        <w:ind w:firstLineChars="200" w:firstLine="31680"/>
        <w:rPr>
          <w:rFonts w:hint="eastAsia"/>
        </w:rPr>
      </w:pPr>
      <w:r>
        <w:rPr>
          <w:rFonts w:hint="eastAsia"/>
          <w:szCs w:val="24"/>
        </w:rPr>
        <w:t>泰国于</w:t>
      </w:r>
      <w:r>
        <w:rPr>
          <w:rFonts w:hint="eastAsia"/>
          <w:szCs w:val="24"/>
        </w:rPr>
        <w:t>1985</w:t>
      </w:r>
      <w:r>
        <w:rPr>
          <w:rFonts w:hint="eastAsia"/>
          <w:szCs w:val="24"/>
        </w:rPr>
        <w:t>年</w:t>
      </w:r>
      <w:r>
        <w:rPr>
          <w:rFonts w:hint="eastAsia"/>
          <w:szCs w:val="24"/>
        </w:rPr>
        <w:t>8</w:t>
      </w:r>
      <w:r>
        <w:rPr>
          <w:rFonts w:hint="eastAsia"/>
          <w:szCs w:val="24"/>
        </w:rPr>
        <w:t>月</w:t>
      </w:r>
      <w:r>
        <w:rPr>
          <w:rFonts w:hint="eastAsia"/>
          <w:szCs w:val="24"/>
        </w:rPr>
        <w:t>9</w:t>
      </w:r>
      <w:r>
        <w:rPr>
          <w:rFonts w:hint="eastAsia"/>
          <w:szCs w:val="24"/>
        </w:rPr>
        <w:t>日加入《消除对妇女一切形式歧视公约》，它对公约承担的义务于</w:t>
      </w:r>
      <w:r>
        <w:rPr>
          <w:rFonts w:hint="eastAsia"/>
          <w:szCs w:val="24"/>
        </w:rPr>
        <w:t>1985</w:t>
      </w:r>
      <w:r>
        <w:rPr>
          <w:rFonts w:hint="eastAsia"/>
          <w:szCs w:val="24"/>
        </w:rPr>
        <w:t>年</w:t>
      </w:r>
      <w:r>
        <w:rPr>
          <w:rFonts w:hint="eastAsia"/>
          <w:szCs w:val="24"/>
        </w:rPr>
        <w:t>9</w:t>
      </w:r>
      <w:r>
        <w:rPr>
          <w:rFonts w:hint="eastAsia"/>
          <w:szCs w:val="24"/>
        </w:rPr>
        <w:t>月</w:t>
      </w:r>
      <w:r>
        <w:rPr>
          <w:rFonts w:hint="eastAsia"/>
          <w:szCs w:val="24"/>
        </w:rPr>
        <w:t>8</w:t>
      </w:r>
      <w:r>
        <w:rPr>
          <w:rFonts w:hint="eastAsia"/>
          <w:szCs w:val="24"/>
        </w:rPr>
        <w:t>日生效。泰国政府必须实施公约，作为制订妇女政策和计划及消除</w:t>
      </w:r>
      <w:r>
        <w:rPr>
          <w:rFonts w:hint="eastAsia"/>
          <w:szCs w:val="24"/>
        </w:rPr>
        <w:t>一切形式歧视的法律规章的准则。有一个机制是对公约的执行采取后续行动，其规定见公约第十八条，即：“</w:t>
      </w:r>
      <w:r>
        <w:t>缔约各国应就本国为使本公约各项规定生效所通过的立法、司法、行政或其他措施以及所取得的进展，向联合国秘书长提出报告，供委员会审议：（</w:t>
      </w:r>
      <w:r>
        <w:rPr>
          <w:rFonts w:hint="eastAsia"/>
        </w:rPr>
        <w:t>a</w:t>
      </w:r>
      <w:r>
        <w:t>）在公约对本国生效后一年内提出，并且（</w:t>
      </w:r>
      <w:r>
        <w:rPr>
          <w:rFonts w:hint="eastAsia"/>
        </w:rPr>
        <w:t>b</w:t>
      </w:r>
      <w:r>
        <w:t>）自此以后，至少每四年并随时在委员会的请求下提出。</w:t>
      </w:r>
      <w:r>
        <w:rPr>
          <w:rFonts w:hint="eastAsia"/>
        </w:rPr>
        <w:t>”</w:t>
      </w:r>
      <w:r>
        <w:rPr>
          <w:rFonts w:hint="eastAsia"/>
        </w:rPr>
        <w:t xml:space="preserve"> </w:t>
      </w:r>
    </w:p>
    <w:p w:rsidR="00000000" w:rsidRDefault="00B83709" w:rsidP="00B83709">
      <w:pPr>
        <w:spacing w:after="240" w:line="360" w:lineRule="exact"/>
        <w:ind w:firstLineChars="200" w:firstLine="31680"/>
        <w:rPr>
          <w:rFonts w:hint="eastAsia"/>
        </w:rPr>
      </w:pPr>
      <w:r>
        <w:rPr>
          <w:rFonts w:hint="eastAsia"/>
        </w:rPr>
        <w:t>泰国作为公约缔约国于</w:t>
      </w:r>
      <w:r>
        <w:rPr>
          <w:rFonts w:hint="eastAsia"/>
        </w:rPr>
        <w:t>1987</w:t>
      </w:r>
      <w:r>
        <w:rPr>
          <w:rFonts w:hint="eastAsia"/>
        </w:rPr>
        <w:t>年提交其初次报告，这份报告连同一份补充报告在委员会</w:t>
      </w:r>
      <w:r>
        <w:rPr>
          <w:rFonts w:hint="eastAsia"/>
        </w:rPr>
        <w:t>1990</w:t>
      </w:r>
      <w:r>
        <w:rPr>
          <w:rFonts w:hint="eastAsia"/>
        </w:rPr>
        <w:t>年</w:t>
      </w:r>
      <w:r>
        <w:rPr>
          <w:rFonts w:hint="eastAsia"/>
        </w:rPr>
        <w:t>1</w:t>
      </w:r>
      <w:r>
        <w:rPr>
          <w:rFonts w:hint="eastAsia"/>
        </w:rPr>
        <w:t>月第九次会议上审议。此后，泰国于</w:t>
      </w:r>
      <w:r>
        <w:rPr>
          <w:rFonts w:hint="eastAsia"/>
        </w:rPr>
        <w:t>1997</w:t>
      </w:r>
      <w:r>
        <w:rPr>
          <w:rFonts w:hint="eastAsia"/>
        </w:rPr>
        <w:t>年提交了第二和第三次合并报告，这份报告连同一份补充报告在委</w:t>
      </w:r>
      <w:r>
        <w:rPr>
          <w:rFonts w:hint="eastAsia"/>
        </w:rPr>
        <w:t>员会</w:t>
      </w:r>
      <w:r>
        <w:rPr>
          <w:rFonts w:hint="eastAsia"/>
        </w:rPr>
        <w:t>1999</w:t>
      </w:r>
      <w:r>
        <w:rPr>
          <w:rFonts w:hint="eastAsia"/>
        </w:rPr>
        <w:t>年</w:t>
      </w:r>
      <w:r>
        <w:rPr>
          <w:rFonts w:hint="eastAsia"/>
        </w:rPr>
        <w:t>1</w:t>
      </w:r>
      <w:r>
        <w:rPr>
          <w:rFonts w:hint="eastAsia"/>
        </w:rPr>
        <w:t>月</w:t>
      </w:r>
      <w:r>
        <w:rPr>
          <w:rFonts w:hint="eastAsia"/>
        </w:rPr>
        <w:t>19</w:t>
      </w:r>
      <w:r>
        <w:rPr>
          <w:rFonts w:hint="eastAsia"/>
        </w:rPr>
        <w:t>日至</w:t>
      </w:r>
      <w:r>
        <w:rPr>
          <w:rFonts w:hint="eastAsia"/>
        </w:rPr>
        <w:t>2</w:t>
      </w:r>
      <w:r>
        <w:rPr>
          <w:rFonts w:hint="eastAsia"/>
        </w:rPr>
        <w:t>月</w:t>
      </w:r>
      <w:r>
        <w:rPr>
          <w:rFonts w:hint="eastAsia"/>
        </w:rPr>
        <w:t>5</w:t>
      </w:r>
      <w:r>
        <w:rPr>
          <w:rFonts w:hint="eastAsia"/>
        </w:rPr>
        <w:t>日第二十次会议上审议。本报告是第四和第五次合并报告。</w:t>
      </w:r>
    </w:p>
    <w:p w:rsidR="00000000" w:rsidRDefault="00B83709" w:rsidP="00B83709">
      <w:pPr>
        <w:spacing w:after="240" w:line="360" w:lineRule="exact"/>
        <w:ind w:firstLineChars="200" w:firstLine="31680"/>
        <w:rPr>
          <w:rFonts w:hint="eastAsia"/>
          <w:szCs w:val="24"/>
        </w:rPr>
      </w:pPr>
      <w:r>
        <w:rPr>
          <w:rFonts w:hint="eastAsia"/>
          <w:szCs w:val="24"/>
        </w:rPr>
        <w:t>在编写本报告时，泰国编纂了作为准则使用的文件及其他资料来源，包括：评估妇女地位；根据</w:t>
      </w:r>
      <w:r>
        <w:rPr>
          <w:rFonts w:hint="eastAsia"/>
          <w:szCs w:val="24"/>
        </w:rPr>
        <w:t>2000</w:t>
      </w:r>
      <w:r>
        <w:rPr>
          <w:rFonts w:hint="eastAsia"/>
          <w:szCs w:val="24"/>
        </w:rPr>
        <w:t>年公约编写报告的指南；第一次、第二次和第三次公约报告；泰国</w:t>
      </w:r>
      <w:r>
        <w:rPr>
          <w:rFonts w:hint="eastAsia"/>
          <w:szCs w:val="24"/>
        </w:rPr>
        <w:t>1998</w:t>
      </w:r>
      <w:r>
        <w:rPr>
          <w:rFonts w:hint="eastAsia"/>
          <w:szCs w:val="24"/>
        </w:rPr>
        <w:t>年妇女地位补充文件；委员会对第二和第三次报告以及补充报告的意见；此外还有各有关组织提供的报告和研究文集。</w:t>
      </w:r>
    </w:p>
    <w:p w:rsidR="00000000" w:rsidRDefault="00B83709">
      <w:pPr>
        <w:spacing w:after="240" w:line="360" w:lineRule="exact"/>
        <w:rPr>
          <w:rFonts w:hint="eastAsia"/>
          <w:szCs w:val="24"/>
        </w:rPr>
      </w:pPr>
      <w:r>
        <w:rPr>
          <w:rFonts w:hint="eastAsia"/>
          <w:szCs w:val="24"/>
        </w:rPr>
        <w:t xml:space="preserve">　　本报告所载的资料和统计数字说明泰国自上个报告期以来在执行公约方面取得了进展。虽然以前的报告包括一些载有一般性资料的部分，但本报告再次提供这些部分，目的是让读者</w:t>
      </w:r>
      <w:r>
        <w:rPr>
          <w:rFonts w:hint="eastAsia"/>
          <w:szCs w:val="24"/>
        </w:rPr>
        <w:t>了解全部背景，不用查阅先前的报告。</w:t>
      </w:r>
    </w:p>
    <w:p w:rsidR="00000000" w:rsidRDefault="00B83709">
      <w:pPr>
        <w:spacing w:after="240" w:line="360" w:lineRule="exact"/>
        <w:rPr>
          <w:rFonts w:hint="eastAsia"/>
          <w:szCs w:val="24"/>
        </w:rPr>
      </w:pPr>
      <w:r>
        <w:rPr>
          <w:rFonts w:hint="eastAsia"/>
          <w:szCs w:val="24"/>
        </w:rPr>
        <w:t xml:space="preserve">　　在编写本报告时，妇女事务全国委员会办公室（见附录）举行的各类会议和研讨会期间征求了一些非政府组织和政府机构的意见，目的是编纂编写本报告所需的资料。它们的出色合作使得本报告得以及时完成。</w:t>
      </w:r>
    </w:p>
    <w:p w:rsidR="00000000" w:rsidRDefault="00B83709">
      <w:pPr>
        <w:spacing w:after="240" w:line="360" w:lineRule="exact"/>
        <w:rPr>
          <w:rFonts w:hint="eastAsia"/>
          <w:szCs w:val="21"/>
        </w:rPr>
      </w:pPr>
      <w:r>
        <w:rPr>
          <w:rFonts w:hint="eastAsia"/>
          <w:szCs w:val="24"/>
        </w:rPr>
        <w:t xml:space="preserve">　　尽管泰国还没有成功地撤回它对第十六条和第二十九条的保留意见，但总的来说，泰国妇女享有以有意义的方式幸福生活的权利和机会。泰国妇女仍然面临的问题是全世界妇女目前遇到的问题，解决这些问题要求国际社会的通力合作。</w:t>
      </w:r>
    </w:p>
    <w:p w:rsidR="00000000" w:rsidRDefault="00B83709">
      <w:pPr>
        <w:numPr>
          <w:ilvl w:val="0"/>
          <w:numId w:val="1037"/>
        </w:numPr>
        <w:spacing w:after="240" w:line="360" w:lineRule="exact"/>
        <w:rPr>
          <w:rFonts w:hint="eastAsia"/>
          <w:szCs w:val="21"/>
        </w:rPr>
      </w:pPr>
    </w:p>
    <w:p w:rsidR="00000000" w:rsidRDefault="00B83709">
      <w:pPr>
        <w:pStyle w:val="Title"/>
        <w:numPr>
          <w:ilvl w:val="0"/>
          <w:numId w:val="0"/>
        </w:numPr>
        <w:spacing w:after="240" w:line="360" w:lineRule="exact"/>
        <w:jc w:val="both"/>
        <w:rPr>
          <w:rFonts w:eastAsia="SimHei"/>
          <w:b w:val="0"/>
          <w:bCs/>
          <w:color w:val="FF0000"/>
          <w:sz w:val="28"/>
          <w:szCs w:val="24"/>
        </w:rPr>
        <w:sectPr w:rsidR="00000000">
          <w:headerReference w:type="even" r:id="rId9"/>
          <w:headerReference w:type="default" r:id="rId10"/>
          <w:footerReference w:type="even" r:id="rId11"/>
          <w:footerReference w:type="default" r:id="rId12"/>
          <w:headerReference w:type="first" r:id="rId13"/>
          <w:footerReference w:type="first" r:id="rId14"/>
          <w:pgSz w:w="12242" w:h="15842" w:code="54"/>
          <w:pgMar w:top="1741" w:right="1196" w:bottom="1899" w:left="1196" w:header="578" w:footer="1032" w:gutter="0"/>
          <w:pgNumType w:start="0"/>
          <w:cols w:space="425"/>
          <w:titlePg/>
        </w:sectPr>
      </w:pPr>
      <w:r>
        <w:rPr>
          <w:rFonts w:eastAsia="SimHei"/>
          <w:b w:val="0"/>
          <w:bCs/>
          <w:noProof/>
          <w:color w:val="FF0000"/>
          <w:sz w:val="20"/>
          <w:szCs w:val="24"/>
        </w:rPr>
        <w:pict>
          <v:shape id="_x0000_s1090" type="#_x0000_t202" style="position:absolute;left:0;text-align:left;margin-left:12pt;margin-top:170.8pt;width:474pt;height:31.2pt;z-index:10" filled="f" stroked="f">
            <v:textbox>
              <w:txbxContent>
                <w:p w:rsidR="00000000" w:rsidRDefault="00B83709">
                  <w:pPr>
                    <w:pBdr>
                      <w:top w:val="single" w:sz="4" w:space="1" w:color="auto"/>
                    </w:pBdr>
                    <w:jc w:val="center"/>
                    <w:rPr>
                      <w:rFonts w:hint="eastAsia"/>
                    </w:rPr>
                  </w:pPr>
                  <w:r>
                    <w:rPr>
                      <w:rFonts w:hint="eastAsia"/>
                    </w:rPr>
                    <w:t>泰国提交的第四和第五次合并报告</w:t>
                  </w:r>
                </w:p>
              </w:txbxContent>
            </v:textbox>
          </v:shape>
        </w:pict>
      </w:r>
    </w:p>
    <w:p w:rsidR="00000000" w:rsidRDefault="00B83709">
      <w:pPr>
        <w:pStyle w:val="Title"/>
        <w:numPr>
          <w:ilvl w:val="0"/>
          <w:numId w:val="0"/>
        </w:numPr>
        <w:spacing w:after="240" w:line="360" w:lineRule="exact"/>
        <w:jc w:val="both"/>
        <w:rPr>
          <w:rFonts w:eastAsia="SimHei" w:hint="eastAsia"/>
          <w:b w:val="0"/>
          <w:bCs/>
          <w:color w:val="FF0000"/>
          <w:sz w:val="28"/>
          <w:szCs w:val="24"/>
        </w:rPr>
      </w:pPr>
      <w:r>
        <w:rPr>
          <w:rFonts w:eastAsia="SimHei"/>
          <w:b w:val="0"/>
          <w:bCs/>
          <w:noProof/>
          <w:color w:val="FF0000"/>
          <w:sz w:val="20"/>
          <w:szCs w:val="24"/>
        </w:rPr>
        <w:pict>
          <v:shape id="_x0000_s1092" type="#_x0000_t202" style="position:absolute;left:0;text-align:left;margin-left:-6pt;margin-top:-57.2pt;width:7in;height:50.4pt;z-index:11;mso-wrap-style:tight" stroked="f">
            <v:textbox style="mso-next-textbox:#_x0000_s109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83709">
                        <w:pPr>
                          <w:pStyle w:val="Header"/>
                          <w:pBdr>
                            <w:bottom w:val="none" w:sz="0" w:space="0" w:color="auto"/>
                          </w:pBdr>
                        </w:pPr>
                      </w:p>
                    </w:tc>
                    <w:tc>
                      <w:tcPr>
                        <w:tcW w:w="5048" w:type="dxa"/>
                        <w:tcBorders>
                          <w:bottom w:val="single" w:sz="4" w:space="0" w:color="auto"/>
                        </w:tcBorders>
                        <w:vAlign w:val="bottom"/>
                      </w:tcPr>
                      <w:p w:rsidR="00000000" w:rsidRDefault="00B83709">
                        <w:pPr>
                          <w:pStyle w:val="Header"/>
                          <w:pBdr>
                            <w:bottom w:val="none" w:sz="0" w:space="0" w:color="auto"/>
                          </w:pBdr>
                          <w:spacing w:after="80"/>
                          <w:jc w:val="right"/>
                          <w:rPr>
                            <w:b/>
                          </w:rPr>
                        </w:pPr>
                        <w:r>
                          <w:rPr>
                            <w:b/>
                          </w:rPr>
                          <w:t>CEDAW/C/THA/4-5</w:t>
                        </w:r>
                      </w:p>
                    </w:tc>
                  </w:tr>
                </w:tbl>
                <w:p w:rsidR="00000000" w:rsidRDefault="00B83709"/>
              </w:txbxContent>
            </v:textbox>
          </v:shape>
        </w:pict>
      </w:r>
      <w:r>
        <w:rPr>
          <w:rFonts w:eastAsia="SimHei" w:hint="eastAsia"/>
          <w:b w:val="0"/>
          <w:bCs/>
          <w:color w:val="FF0000"/>
          <w:sz w:val="28"/>
          <w:szCs w:val="24"/>
        </w:rPr>
        <w:t>第一部分</w:t>
      </w:r>
    </w:p>
    <w:p w:rsidR="00000000" w:rsidRDefault="00B83709">
      <w:pPr>
        <w:pStyle w:val="Subtitle"/>
        <w:pBdr>
          <w:bottom w:val="none" w:sz="0" w:space="0" w:color="auto"/>
        </w:pBdr>
        <w:spacing w:before="0" w:after="240" w:line="360" w:lineRule="exact"/>
        <w:jc w:val="both"/>
        <w:rPr>
          <w:rFonts w:ascii="Times New Roman" w:eastAsia="SimHei" w:hAnsi="Times New Roman" w:hint="eastAsia"/>
          <w:b w:val="0"/>
          <w:bCs/>
          <w:color w:val="FF0000"/>
          <w:sz w:val="28"/>
          <w:szCs w:val="24"/>
          <w:lang w:eastAsia="zh-CN"/>
        </w:rPr>
      </w:pPr>
      <w:r>
        <w:rPr>
          <w:rFonts w:ascii="Times New Roman" w:eastAsia="SimHei" w:hAnsi="Times New Roman" w:hint="eastAsia"/>
          <w:b w:val="0"/>
          <w:bCs/>
          <w:color w:val="FF0000"/>
          <w:sz w:val="28"/>
          <w:szCs w:val="24"/>
          <w:lang w:eastAsia="zh-CN"/>
        </w:rPr>
        <w:t>泰国的社会、经济和政治状况</w:t>
      </w:r>
    </w:p>
    <w:p w:rsidR="00000000" w:rsidRDefault="00B83709">
      <w:pPr>
        <w:spacing w:after="240" w:line="360" w:lineRule="exact"/>
        <w:jc w:val="center"/>
        <w:rPr>
          <w:rFonts w:eastAsia="SimHei" w:hint="eastAsia"/>
          <w:color w:val="FF0000"/>
          <w:sz w:val="24"/>
        </w:rPr>
      </w:pPr>
      <w:r>
        <w:rPr>
          <w:rFonts w:eastAsia="SimHei" w:hint="eastAsia"/>
          <w:color w:val="FF0000"/>
          <w:sz w:val="24"/>
        </w:rPr>
        <w:t>人</w:t>
      </w:r>
      <w:r>
        <w:rPr>
          <w:rFonts w:eastAsia="SimHei" w:hint="eastAsia"/>
          <w:color w:val="FF0000"/>
          <w:sz w:val="24"/>
        </w:rPr>
        <w:t xml:space="preserve">  </w:t>
      </w:r>
      <w:r>
        <w:rPr>
          <w:rFonts w:eastAsia="SimHei" w:hint="eastAsia"/>
          <w:color w:val="FF0000"/>
          <w:sz w:val="24"/>
        </w:rPr>
        <w:t>口</w:t>
      </w:r>
    </w:p>
    <w:p w:rsidR="00000000" w:rsidRDefault="00B83709">
      <w:pPr>
        <w:numPr>
          <w:ilvl w:val="0"/>
          <w:numId w:val="1049"/>
        </w:numPr>
        <w:tabs>
          <w:tab w:val="clear" w:pos="360"/>
          <w:tab w:val="num" w:pos="480"/>
        </w:tabs>
        <w:spacing w:after="240" w:line="360" w:lineRule="exact"/>
        <w:rPr>
          <w:szCs w:val="24"/>
        </w:rPr>
      </w:pPr>
      <w:r>
        <w:rPr>
          <w:rFonts w:hint="eastAsia"/>
          <w:szCs w:val="24"/>
        </w:rPr>
        <w:t>自</w:t>
      </w:r>
      <w:r>
        <w:rPr>
          <w:rFonts w:hint="eastAsia"/>
          <w:szCs w:val="24"/>
        </w:rPr>
        <w:t>1996</w:t>
      </w:r>
      <w:r>
        <w:rPr>
          <w:rFonts w:hint="eastAsia"/>
          <w:szCs w:val="24"/>
        </w:rPr>
        <w:t>年编写上</w:t>
      </w:r>
      <w:r>
        <w:rPr>
          <w:rFonts w:hint="eastAsia"/>
          <w:szCs w:val="24"/>
        </w:rPr>
        <w:t>次报告以来，泰国的社会、经济和政治状况发生了重大变化。这些变化发生的原因之一是始于</w:t>
      </w:r>
      <w:r>
        <w:rPr>
          <w:rFonts w:hint="eastAsia"/>
          <w:szCs w:val="24"/>
        </w:rPr>
        <w:t>1997</w:t>
      </w:r>
      <w:r>
        <w:rPr>
          <w:rFonts w:hint="eastAsia"/>
          <w:szCs w:val="24"/>
        </w:rPr>
        <w:t>年的亚洲经济危机产生的影响，这场危机不可避免地对妇女以及其他人口群体产生了影响。另一个重要影响是在制订泰国社会的质量和公正标准方面取得了进展。这种进展致使国家政治机制和行政管理发生变化，其特征将在本报告后文中详细讨论。</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表</w:t>
      </w:r>
      <w:r>
        <w:rPr>
          <w:rFonts w:hint="eastAsia"/>
          <w:szCs w:val="24"/>
        </w:rPr>
        <w:t>1</w:t>
      </w:r>
      <w:r>
        <w:rPr>
          <w:rFonts w:hint="eastAsia"/>
          <w:szCs w:val="24"/>
        </w:rPr>
        <w:t>分列了反映泰国妇女社会地位的重要统计数字。</w:t>
      </w:r>
    </w:p>
    <w:p w:rsidR="00000000" w:rsidRDefault="00B83709">
      <w:pPr>
        <w:spacing w:after="240" w:line="360" w:lineRule="exact"/>
        <w:rPr>
          <w:rFonts w:hint="eastAsia"/>
          <w:szCs w:val="24"/>
        </w:rPr>
      </w:pPr>
      <w:r>
        <w:rPr>
          <w:rFonts w:ascii="SimHei" w:eastAsia="SimHei" w:hint="eastAsia"/>
          <w:bCs/>
          <w:color w:val="FF0000"/>
          <w:szCs w:val="24"/>
        </w:rPr>
        <w:t>表</w:t>
      </w:r>
      <w:r>
        <w:rPr>
          <w:rFonts w:ascii="SimHei" w:eastAsia="SimHei" w:hint="eastAsia"/>
          <w:bCs/>
          <w:color w:val="FF0000"/>
          <w:szCs w:val="24"/>
        </w:rPr>
        <w:t>1</w:t>
      </w:r>
      <w:r>
        <w:rPr>
          <w:rFonts w:ascii="SimHei" w:eastAsia="SimHei"/>
          <w:bCs/>
          <w:color w:val="FF0000"/>
          <w:szCs w:val="24"/>
        </w:rPr>
        <w:t xml:space="preserve">. </w:t>
      </w:r>
      <w:r>
        <w:rPr>
          <w:rFonts w:hint="eastAsia"/>
          <w:szCs w:val="24"/>
        </w:rPr>
        <w:t>泰国妇女地位概况</w:t>
      </w:r>
    </w:p>
    <w:tbl>
      <w:tblPr>
        <w:tblW w:w="5000" w:type="pct"/>
        <w:tblBorders>
          <w:top w:val="single" w:sz="2" w:space="0" w:color="auto"/>
          <w:bottom w:val="single" w:sz="2" w:space="0" w:color="auto"/>
        </w:tblBorders>
        <w:tblLook w:val="0000" w:firstRow="0" w:lastRow="0" w:firstColumn="0" w:lastColumn="0" w:noHBand="0" w:noVBand="0"/>
      </w:tblPr>
      <w:tblGrid>
        <w:gridCol w:w="6468"/>
        <w:gridCol w:w="3598"/>
      </w:tblGrid>
      <w:tr w:rsidR="00000000">
        <w:tblPrEx>
          <w:tblCellMar>
            <w:top w:w="0" w:type="dxa"/>
            <w:bottom w:w="0" w:type="dxa"/>
          </w:tblCellMar>
        </w:tblPrEx>
        <w:tc>
          <w:tcPr>
            <w:tcW w:w="3213" w:type="pct"/>
          </w:tcPr>
          <w:p w:rsidR="00000000" w:rsidRDefault="00B83709">
            <w:pPr>
              <w:spacing w:line="360" w:lineRule="exact"/>
              <w:rPr>
                <w:szCs w:val="24"/>
              </w:rPr>
            </w:pPr>
            <w:r>
              <w:rPr>
                <w:rFonts w:hint="eastAsia"/>
                <w:szCs w:val="24"/>
              </w:rPr>
              <w:t>平均预期寿命</w:t>
            </w:r>
          </w:p>
        </w:tc>
        <w:tc>
          <w:tcPr>
            <w:tcW w:w="1787" w:type="pct"/>
          </w:tcPr>
          <w:p w:rsidR="00000000" w:rsidRDefault="00B83709">
            <w:pPr>
              <w:spacing w:line="360" w:lineRule="exact"/>
              <w:jc w:val="center"/>
              <w:rPr>
                <w:szCs w:val="24"/>
              </w:rPr>
            </w:pPr>
            <w:r>
              <w:rPr>
                <w:szCs w:val="24"/>
              </w:rPr>
              <w:t>75</w:t>
            </w:r>
            <w:r>
              <w:rPr>
                <w:rFonts w:hint="eastAsia"/>
                <w:szCs w:val="24"/>
              </w:rPr>
              <w:t>岁</w:t>
            </w:r>
          </w:p>
        </w:tc>
      </w:tr>
      <w:tr w:rsidR="00000000">
        <w:tblPrEx>
          <w:tblCellMar>
            <w:top w:w="0" w:type="dxa"/>
            <w:bottom w:w="0" w:type="dxa"/>
          </w:tblCellMar>
        </w:tblPrEx>
        <w:tc>
          <w:tcPr>
            <w:tcW w:w="3213" w:type="pct"/>
          </w:tcPr>
          <w:p w:rsidR="00000000" w:rsidRDefault="00B83709">
            <w:pPr>
              <w:spacing w:line="360" w:lineRule="exact"/>
              <w:rPr>
                <w:rFonts w:hint="eastAsia"/>
                <w:szCs w:val="24"/>
              </w:rPr>
            </w:pPr>
            <w:r>
              <w:rPr>
                <w:rFonts w:hint="eastAsia"/>
                <w:szCs w:val="24"/>
              </w:rPr>
              <w:t>平均产妇死亡率</w:t>
            </w:r>
          </w:p>
        </w:tc>
        <w:tc>
          <w:tcPr>
            <w:tcW w:w="1787" w:type="pct"/>
          </w:tcPr>
          <w:p w:rsidR="00000000" w:rsidRDefault="00B83709">
            <w:pPr>
              <w:spacing w:line="360" w:lineRule="exact"/>
              <w:jc w:val="center"/>
              <w:rPr>
                <w:szCs w:val="24"/>
              </w:rPr>
            </w:pPr>
            <w:r>
              <w:rPr>
                <w:rFonts w:hint="eastAsia"/>
                <w:szCs w:val="24"/>
              </w:rPr>
              <w:t>每</w:t>
            </w:r>
            <w:r>
              <w:rPr>
                <w:szCs w:val="24"/>
              </w:rPr>
              <w:t>100</w:t>
            </w:r>
            <w:r>
              <w:rPr>
                <w:rFonts w:hint="eastAsia"/>
                <w:szCs w:val="24"/>
              </w:rPr>
              <w:t xml:space="preserve"> </w:t>
            </w:r>
            <w:r>
              <w:rPr>
                <w:szCs w:val="24"/>
              </w:rPr>
              <w:t>000</w:t>
            </w:r>
            <w:r>
              <w:rPr>
                <w:rFonts w:hint="eastAsia"/>
                <w:szCs w:val="24"/>
              </w:rPr>
              <w:t>例活产</w:t>
            </w:r>
            <w:r>
              <w:rPr>
                <w:rFonts w:hint="eastAsia"/>
                <w:szCs w:val="24"/>
              </w:rPr>
              <w:t>43.9</w:t>
            </w:r>
            <w:r>
              <w:rPr>
                <w:rFonts w:hint="eastAsia"/>
                <w:szCs w:val="24"/>
              </w:rPr>
              <w:t>人</w:t>
            </w:r>
          </w:p>
        </w:tc>
      </w:tr>
      <w:tr w:rsidR="00000000">
        <w:tblPrEx>
          <w:tblCellMar>
            <w:top w:w="0" w:type="dxa"/>
            <w:bottom w:w="0" w:type="dxa"/>
          </w:tblCellMar>
        </w:tblPrEx>
        <w:tc>
          <w:tcPr>
            <w:tcW w:w="3213" w:type="pct"/>
          </w:tcPr>
          <w:p w:rsidR="00000000" w:rsidRDefault="00B83709">
            <w:pPr>
              <w:spacing w:line="360" w:lineRule="exact"/>
              <w:rPr>
                <w:rFonts w:hint="eastAsia"/>
                <w:szCs w:val="24"/>
              </w:rPr>
            </w:pPr>
            <w:r>
              <w:rPr>
                <w:rFonts w:hint="eastAsia"/>
                <w:szCs w:val="24"/>
              </w:rPr>
              <w:t>出口业的女性劳动力</w:t>
            </w:r>
          </w:p>
        </w:tc>
        <w:tc>
          <w:tcPr>
            <w:tcW w:w="1787" w:type="pct"/>
          </w:tcPr>
          <w:p w:rsidR="00000000" w:rsidRDefault="00B83709">
            <w:pPr>
              <w:spacing w:line="360" w:lineRule="exact"/>
              <w:jc w:val="center"/>
              <w:rPr>
                <w:rFonts w:hint="eastAsia"/>
                <w:szCs w:val="24"/>
              </w:rPr>
            </w:pPr>
            <w:r>
              <w:rPr>
                <w:szCs w:val="24"/>
              </w:rPr>
              <w:t>70%</w:t>
            </w:r>
          </w:p>
        </w:tc>
      </w:tr>
      <w:tr w:rsidR="00000000">
        <w:tblPrEx>
          <w:tblCellMar>
            <w:top w:w="0" w:type="dxa"/>
            <w:bottom w:w="0" w:type="dxa"/>
          </w:tblCellMar>
        </w:tblPrEx>
        <w:tc>
          <w:tcPr>
            <w:tcW w:w="3213" w:type="pct"/>
          </w:tcPr>
          <w:p w:rsidR="00000000" w:rsidRDefault="00B83709">
            <w:pPr>
              <w:pStyle w:val="Date"/>
              <w:spacing w:line="360" w:lineRule="exact"/>
              <w:rPr>
                <w:rFonts w:hint="eastAsia"/>
                <w:szCs w:val="24"/>
              </w:rPr>
            </w:pPr>
            <w:r>
              <w:rPr>
                <w:rFonts w:hint="eastAsia"/>
                <w:szCs w:val="24"/>
              </w:rPr>
              <w:t>参政情况</w:t>
            </w:r>
          </w:p>
          <w:p w:rsidR="00000000" w:rsidRDefault="00B83709" w:rsidP="00B83709">
            <w:pPr>
              <w:spacing w:line="360" w:lineRule="exact"/>
              <w:ind w:firstLineChars="200" w:firstLine="31680"/>
              <w:rPr>
                <w:rFonts w:hint="eastAsia"/>
                <w:szCs w:val="24"/>
              </w:rPr>
            </w:pPr>
            <w:r>
              <w:rPr>
                <w:rFonts w:hint="eastAsia"/>
                <w:szCs w:val="24"/>
              </w:rPr>
              <w:t>议会选举中的</w:t>
            </w:r>
            <w:r>
              <w:rPr>
                <w:rFonts w:hint="eastAsia"/>
                <w:szCs w:val="24"/>
              </w:rPr>
              <w:t>参与率（</w:t>
            </w:r>
            <w:r>
              <w:rPr>
                <w:rFonts w:hint="eastAsia"/>
                <w:szCs w:val="24"/>
              </w:rPr>
              <w:t>1996</w:t>
            </w:r>
            <w:r>
              <w:rPr>
                <w:rFonts w:hint="eastAsia"/>
                <w:szCs w:val="24"/>
              </w:rPr>
              <w:t>年）</w:t>
            </w:r>
          </w:p>
          <w:p w:rsidR="00000000" w:rsidRDefault="00B83709" w:rsidP="00B83709">
            <w:pPr>
              <w:spacing w:line="360" w:lineRule="exact"/>
              <w:ind w:firstLineChars="200" w:firstLine="31680"/>
              <w:rPr>
                <w:rFonts w:hint="eastAsia"/>
                <w:szCs w:val="24"/>
              </w:rPr>
            </w:pPr>
            <w:r>
              <w:rPr>
                <w:rFonts w:hint="eastAsia"/>
                <w:szCs w:val="24"/>
              </w:rPr>
              <w:t>2001</w:t>
            </w:r>
            <w:r>
              <w:rPr>
                <w:rFonts w:hint="eastAsia"/>
                <w:szCs w:val="24"/>
              </w:rPr>
              <w:t>年当选为议员的比率</w:t>
            </w:r>
          </w:p>
        </w:tc>
        <w:tc>
          <w:tcPr>
            <w:tcW w:w="1787" w:type="pct"/>
          </w:tcPr>
          <w:p w:rsidR="00000000" w:rsidRDefault="00B83709">
            <w:pPr>
              <w:pStyle w:val="BodyText2"/>
              <w:framePr w:wrap="auto"/>
              <w:spacing w:line="360" w:lineRule="exact"/>
              <w:jc w:val="center"/>
              <w:rPr>
                <w:rFonts w:hint="eastAsia"/>
                <w:sz w:val="21"/>
                <w:szCs w:val="24"/>
              </w:rPr>
            </w:pPr>
          </w:p>
          <w:p w:rsidR="00000000" w:rsidRDefault="00B83709">
            <w:pPr>
              <w:pStyle w:val="BodyText2"/>
              <w:framePr w:wrap="auto"/>
              <w:spacing w:line="360" w:lineRule="exact"/>
              <w:jc w:val="center"/>
              <w:rPr>
                <w:sz w:val="21"/>
                <w:szCs w:val="24"/>
              </w:rPr>
            </w:pPr>
            <w:r>
              <w:rPr>
                <w:sz w:val="21"/>
                <w:szCs w:val="24"/>
              </w:rPr>
              <w:t>52.1%</w:t>
            </w:r>
          </w:p>
          <w:p w:rsidR="00000000" w:rsidRDefault="00B83709">
            <w:pPr>
              <w:spacing w:line="360" w:lineRule="exact"/>
              <w:jc w:val="center"/>
              <w:rPr>
                <w:szCs w:val="24"/>
              </w:rPr>
            </w:pPr>
            <w:r>
              <w:rPr>
                <w:szCs w:val="24"/>
              </w:rPr>
              <w:t>9.2%</w:t>
            </w:r>
          </w:p>
        </w:tc>
      </w:tr>
      <w:tr w:rsidR="00000000">
        <w:tblPrEx>
          <w:tblCellMar>
            <w:top w:w="0" w:type="dxa"/>
            <w:bottom w:w="0" w:type="dxa"/>
          </w:tblCellMar>
        </w:tblPrEx>
        <w:tc>
          <w:tcPr>
            <w:tcW w:w="3213" w:type="pct"/>
          </w:tcPr>
          <w:p w:rsidR="00000000" w:rsidRDefault="00B83709">
            <w:pPr>
              <w:spacing w:line="360" w:lineRule="exact"/>
              <w:rPr>
                <w:rFonts w:hint="eastAsia"/>
                <w:szCs w:val="24"/>
              </w:rPr>
            </w:pPr>
            <w:r>
              <w:rPr>
                <w:rFonts w:hint="eastAsia"/>
                <w:szCs w:val="24"/>
              </w:rPr>
              <w:t>政府部门女主管的百分比，</w:t>
            </w:r>
            <w:r>
              <w:rPr>
                <w:rFonts w:hint="eastAsia"/>
                <w:szCs w:val="24"/>
              </w:rPr>
              <w:t>2000</w:t>
            </w:r>
            <w:r>
              <w:rPr>
                <w:rFonts w:hint="eastAsia"/>
                <w:szCs w:val="24"/>
              </w:rPr>
              <w:t>年</w:t>
            </w:r>
          </w:p>
        </w:tc>
        <w:tc>
          <w:tcPr>
            <w:tcW w:w="1787" w:type="pct"/>
          </w:tcPr>
          <w:p w:rsidR="00000000" w:rsidRDefault="00B83709">
            <w:pPr>
              <w:pStyle w:val="BodyText2"/>
              <w:framePr w:wrap="auto"/>
              <w:spacing w:line="360" w:lineRule="exact"/>
              <w:jc w:val="center"/>
              <w:rPr>
                <w:sz w:val="21"/>
                <w:szCs w:val="24"/>
              </w:rPr>
            </w:pPr>
            <w:r>
              <w:rPr>
                <w:sz w:val="21"/>
                <w:szCs w:val="24"/>
              </w:rPr>
              <w:t>15.64%</w:t>
            </w:r>
          </w:p>
        </w:tc>
      </w:tr>
    </w:tbl>
    <w:p w:rsidR="00000000" w:rsidRDefault="00B83709">
      <w:pPr>
        <w:numPr>
          <w:ilvl w:val="0"/>
          <w:numId w:val="1049"/>
        </w:numPr>
        <w:tabs>
          <w:tab w:val="clear" w:pos="360"/>
          <w:tab w:val="num" w:pos="480"/>
        </w:tabs>
        <w:spacing w:before="240" w:after="240" w:line="360" w:lineRule="exact"/>
        <w:rPr>
          <w:rFonts w:hint="eastAsia"/>
          <w:szCs w:val="24"/>
        </w:rPr>
      </w:pPr>
      <w:r>
        <w:rPr>
          <w:rFonts w:hint="eastAsia"/>
          <w:szCs w:val="24"/>
        </w:rPr>
        <w:t>2000</w:t>
      </w:r>
      <w:r>
        <w:rPr>
          <w:rFonts w:hint="eastAsia"/>
          <w:szCs w:val="24"/>
        </w:rPr>
        <w:t>年，泰国人口达</w:t>
      </w:r>
      <w:r>
        <w:rPr>
          <w:szCs w:val="24"/>
        </w:rPr>
        <w:t>60</w:t>
      </w:r>
      <w:r>
        <w:rPr>
          <w:rFonts w:hint="eastAsia"/>
          <w:szCs w:val="24"/>
        </w:rPr>
        <w:t xml:space="preserve"> </w:t>
      </w:r>
      <w:r>
        <w:rPr>
          <w:szCs w:val="24"/>
        </w:rPr>
        <w:t>606</w:t>
      </w:r>
      <w:r>
        <w:rPr>
          <w:rFonts w:hint="eastAsia"/>
          <w:szCs w:val="24"/>
        </w:rPr>
        <w:t xml:space="preserve"> </w:t>
      </w:r>
      <w:r>
        <w:rPr>
          <w:szCs w:val="24"/>
        </w:rPr>
        <w:t>947</w:t>
      </w:r>
      <w:r>
        <w:rPr>
          <w:rFonts w:hint="eastAsia"/>
          <w:szCs w:val="24"/>
        </w:rPr>
        <w:t>人，其中，男子</w:t>
      </w:r>
      <w:r>
        <w:rPr>
          <w:szCs w:val="24"/>
        </w:rPr>
        <w:t>29</w:t>
      </w:r>
      <w:r>
        <w:rPr>
          <w:rFonts w:hint="eastAsia"/>
          <w:szCs w:val="24"/>
        </w:rPr>
        <w:t xml:space="preserve"> </w:t>
      </w:r>
      <w:r>
        <w:rPr>
          <w:szCs w:val="24"/>
        </w:rPr>
        <w:t>844</w:t>
      </w:r>
      <w:r>
        <w:rPr>
          <w:rFonts w:hint="eastAsia"/>
          <w:szCs w:val="24"/>
        </w:rPr>
        <w:t xml:space="preserve"> </w:t>
      </w:r>
      <w:r>
        <w:rPr>
          <w:szCs w:val="24"/>
        </w:rPr>
        <w:t>870</w:t>
      </w:r>
      <w:r>
        <w:rPr>
          <w:rFonts w:hint="eastAsia"/>
          <w:szCs w:val="24"/>
        </w:rPr>
        <w:t>人，妇女</w:t>
      </w:r>
      <w:r>
        <w:rPr>
          <w:szCs w:val="24"/>
        </w:rPr>
        <w:t>30</w:t>
      </w:r>
      <w:r>
        <w:rPr>
          <w:rFonts w:hint="eastAsia"/>
          <w:szCs w:val="24"/>
        </w:rPr>
        <w:t xml:space="preserve"> </w:t>
      </w:r>
      <w:r>
        <w:rPr>
          <w:szCs w:val="24"/>
        </w:rPr>
        <w:t>762</w:t>
      </w:r>
      <w:r>
        <w:rPr>
          <w:rFonts w:hint="eastAsia"/>
          <w:szCs w:val="24"/>
        </w:rPr>
        <w:t xml:space="preserve"> </w:t>
      </w:r>
      <w:r>
        <w:rPr>
          <w:szCs w:val="24"/>
        </w:rPr>
        <w:t xml:space="preserve">077 </w:t>
      </w:r>
      <w:r>
        <w:rPr>
          <w:rFonts w:hint="eastAsia"/>
          <w:szCs w:val="24"/>
        </w:rPr>
        <w:t>人。下文表</w:t>
      </w:r>
      <w:r>
        <w:rPr>
          <w:rFonts w:hint="eastAsia"/>
          <w:szCs w:val="24"/>
        </w:rPr>
        <w:t>2</w:t>
      </w:r>
      <w:r>
        <w:rPr>
          <w:rFonts w:hint="eastAsia"/>
          <w:szCs w:val="24"/>
        </w:rPr>
        <w:t>列示了人口年龄分布情况。</w:t>
      </w:r>
    </w:p>
    <w:p w:rsidR="00000000" w:rsidRDefault="00B83709">
      <w:pPr>
        <w:spacing w:after="240" w:line="360" w:lineRule="exact"/>
        <w:rPr>
          <w:rFonts w:ascii="SimHei" w:eastAsia="SimHei" w:hint="eastAsia"/>
          <w:bCs/>
          <w:color w:val="FF0000"/>
          <w:szCs w:val="24"/>
        </w:rPr>
      </w:pPr>
      <w:r>
        <w:rPr>
          <w:rFonts w:ascii="SimHei" w:eastAsia="SimHei" w:hint="eastAsia"/>
          <w:bCs/>
          <w:color w:val="FF0000"/>
          <w:szCs w:val="24"/>
        </w:rPr>
        <w:t>表</w:t>
      </w:r>
      <w:r>
        <w:rPr>
          <w:rFonts w:ascii="SimHei" w:eastAsia="SimHei" w:hint="eastAsia"/>
          <w:bCs/>
          <w:color w:val="FF0000"/>
          <w:szCs w:val="24"/>
        </w:rPr>
        <w:t>2</w:t>
      </w:r>
      <w:r>
        <w:rPr>
          <w:rFonts w:ascii="SimHei" w:eastAsia="SimHei"/>
          <w:bCs/>
          <w:color w:val="FF0000"/>
          <w:szCs w:val="24"/>
        </w:rPr>
        <w:t xml:space="preserve">. </w:t>
      </w:r>
      <w:r>
        <w:rPr>
          <w:rFonts w:hint="eastAsia"/>
          <w:szCs w:val="24"/>
        </w:rPr>
        <w:t>2000</w:t>
      </w:r>
      <w:r>
        <w:rPr>
          <w:rFonts w:hint="eastAsia"/>
          <w:szCs w:val="24"/>
        </w:rPr>
        <w:t>年按年龄组开列的人口比例</w:t>
      </w:r>
    </w:p>
    <w:tbl>
      <w:tblPr>
        <w:tblW w:w="5000" w:type="pct"/>
        <w:tblLook w:val="0000" w:firstRow="0" w:lastRow="0" w:firstColumn="0" w:lastColumn="0" w:noHBand="0" w:noVBand="0"/>
      </w:tblPr>
      <w:tblGrid>
        <w:gridCol w:w="2516"/>
        <w:gridCol w:w="2516"/>
        <w:gridCol w:w="2517"/>
        <w:gridCol w:w="2517"/>
      </w:tblGrid>
      <w:tr w:rsidR="00000000">
        <w:tblPrEx>
          <w:tblCellMar>
            <w:top w:w="0" w:type="dxa"/>
            <w:bottom w:w="0" w:type="dxa"/>
          </w:tblCellMar>
        </w:tblPrEx>
        <w:tc>
          <w:tcPr>
            <w:tcW w:w="1250"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rFonts w:hint="eastAsia"/>
                <w:bCs/>
                <w:color w:val="FF0000"/>
                <w:sz w:val="21"/>
                <w:szCs w:val="24"/>
              </w:rPr>
              <w:t>年龄（岁数）</w:t>
            </w:r>
          </w:p>
        </w:tc>
        <w:tc>
          <w:tcPr>
            <w:tcW w:w="1250"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合计</w:t>
            </w:r>
          </w:p>
        </w:tc>
        <w:tc>
          <w:tcPr>
            <w:tcW w:w="1250"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男性</w:t>
            </w:r>
          </w:p>
        </w:tc>
        <w:tc>
          <w:tcPr>
            <w:tcW w:w="1250"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女性</w:t>
            </w:r>
          </w:p>
        </w:tc>
      </w:tr>
      <w:tr w:rsidR="00000000">
        <w:tblPrEx>
          <w:tblCellMar>
            <w:top w:w="0" w:type="dxa"/>
            <w:bottom w:w="0" w:type="dxa"/>
          </w:tblCellMar>
        </w:tblPrEx>
        <w:tc>
          <w:tcPr>
            <w:tcW w:w="1250" w:type="pct"/>
          </w:tcPr>
          <w:p w:rsidR="00000000" w:rsidRDefault="00B83709">
            <w:pPr>
              <w:pStyle w:val="BodyText2"/>
              <w:framePr w:w="0" w:hRule="auto" w:hSpace="0" w:wrap="auto" w:vAnchor="margin" w:hAnchor="text" w:xAlign="left" w:yAlign="inline"/>
              <w:spacing w:line="360" w:lineRule="exact"/>
              <w:rPr>
                <w:rFonts w:eastAsia="SimSun" w:hint="eastAsia"/>
                <w:sz w:val="21"/>
                <w:szCs w:val="24"/>
              </w:rPr>
            </w:pPr>
            <w:r>
              <w:rPr>
                <w:rFonts w:eastAsia="SimSun" w:hint="eastAsia"/>
                <w:sz w:val="21"/>
                <w:szCs w:val="24"/>
              </w:rPr>
              <w:t>所有年龄</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100</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49.7</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50.3</w:t>
            </w:r>
          </w:p>
        </w:tc>
      </w:tr>
      <w:tr w:rsidR="00000000">
        <w:tblPrEx>
          <w:tblCellMar>
            <w:top w:w="0" w:type="dxa"/>
            <w:bottom w:w="0" w:type="dxa"/>
          </w:tblCellMar>
        </w:tblPrEx>
        <w:tc>
          <w:tcPr>
            <w:tcW w:w="1250" w:type="pct"/>
          </w:tcPr>
          <w:p w:rsidR="00000000" w:rsidRDefault="00B83709">
            <w:pPr>
              <w:pStyle w:val="BodyText2"/>
              <w:framePr w:w="0" w:hRule="auto" w:hSpace="0" w:wrap="auto" w:vAnchor="margin" w:hAnchor="text" w:xAlign="left" w:yAlign="inline"/>
              <w:spacing w:line="360" w:lineRule="exact"/>
              <w:rPr>
                <w:rFonts w:eastAsia="SimSun" w:hint="eastAsia"/>
                <w:sz w:val="21"/>
                <w:szCs w:val="24"/>
              </w:rPr>
            </w:pPr>
            <w:r>
              <w:rPr>
                <w:rFonts w:eastAsia="SimSun"/>
                <w:sz w:val="21"/>
                <w:szCs w:val="24"/>
              </w:rPr>
              <w:t>15</w:t>
            </w:r>
            <w:r>
              <w:rPr>
                <w:rFonts w:eastAsia="SimSun" w:hint="eastAsia"/>
                <w:sz w:val="21"/>
                <w:szCs w:val="24"/>
              </w:rPr>
              <w:t>岁以下</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25.7</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13.0</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12.7</w:t>
            </w:r>
          </w:p>
        </w:tc>
      </w:tr>
      <w:tr w:rsidR="00000000">
        <w:tblPrEx>
          <w:tblCellMar>
            <w:top w:w="0" w:type="dxa"/>
            <w:bottom w:w="0" w:type="dxa"/>
          </w:tblCellMar>
        </w:tblPrEx>
        <w:tc>
          <w:tcPr>
            <w:tcW w:w="1250" w:type="pct"/>
          </w:tcPr>
          <w:p w:rsidR="00000000" w:rsidRDefault="00B83709">
            <w:pPr>
              <w:pStyle w:val="BodyText2"/>
              <w:framePr w:w="0" w:hRule="auto" w:hSpace="0" w:wrap="auto" w:vAnchor="margin" w:hAnchor="text" w:xAlign="left" w:yAlign="inline"/>
              <w:spacing w:line="360" w:lineRule="exact"/>
              <w:rPr>
                <w:rFonts w:eastAsia="SimSun" w:hint="eastAsia"/>
                <w:sz w:val="21"/>
                <w:szCs w:val="24"/>
              </w:rPr>
            </w:pPr>
            <w:r>
              <w:rPr>
                <w:rFonts w:eastAsia="SimSun"/>
                <w:sz w:val="21"/>
                <w:szCs w:val="24"/>
              </w:rPr>
              <w:t>15-59</w:t>
            </w:r>
            <w:r>
              <w:rPr>
                <w:rFonts w:eastAsia="SimSun" w:hint="eastAsia"/>
                <w:sz w:val="21"/>
                <w:szCs w:val="24"/>
              </w:rPr>
              <w:t>岁</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65.1</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32.4</w:t>
            </w:r>
          </w:p>
        </w:tc>
        <w:tc>
          <w:tcPr>
            <w:tcW w:w="1250" w:type="pct"/>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32.6</w:t>
            </w:r>
          </w:p>
        </w:tc>
      </w:tr>
      <w:tr w:rsidR="00000000">
        <w:tblPrEx>
          <w:tblCellMar>
            <w:top w:w="0" w:type="dxa"/>
            <w:bottom w:w="0" w:type="dxa"/>
          </w:tblCellMar>
        </w:tblPrEx>
        <w:tc>
          <w:tcPr>
            <w:tcW w:w="1250" w:type="pct"/>
            <w:tcBorders>
              <w:bottom w:val="single" w:sz="4" w:space="0" w:color="auto"/>
            </w:tcBorders>
          </w:tcPr>
          <w:p w:rsidR="00000000" w:rsidRDefault="00B83709">
            <w:pPr>
              <w:pStyle w:val="BodyText2"/>
              <w:framePr w:w="0" w:hRule="auto" w:hSpace="0" w:wrap="auto" w:vAnchor="margin" w:hAnchor="text" w:xAlign="left" w:yAlign="inline"/>
              <w:spacing w:line="360" w:lineRule="exact"/>
              <w:rPr>
                <w:rFonts w:eastAsia="SimSun" w:hint="eastAsia"/>
                <w:sz w:val="21"/>
                <w:szCs w:val="24"/>
              </w:rPr>
            </w:pPr>
            <w:r>
              <w:rPr>
                <w:rFonts w:eastAsia="SimSun"/>
                <w:sz w:val="21"/>
                <w:szCs w:val="24"/>
              </w:rPr>
              <w:t>60</w:t>
            </w:r>
            <w:r>
              <w:rPr>
                <w:rFonts w:eastAsia="SimSun" w:hint="eastAsia"/>
                <w:sz w:val="21"/>
                <w:szCs w:val="24"/>
              </w:rPr>
              <w:t>岁以上</w:t>
            </w:r>
          </w:p>
        </w:tc>
        <w:tc>
          <w:tcPr>
            <w:tcW w:w="1250" w:type="pct"/>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9.3</w:t>
            </w:r>
          </w:p>
        </w:tc>
        <w:tc>
          <w:tcPr>
            <w:tcW w:w="1250" w:type="pct"/>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w:t>
            </w:r>
          </w:p>
        </w:tc>
        <w:tc>
          <w:tcPr>
            <w:tcW w:w="1250" w:type="pct"/>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5.0</w:t>
            </w:r>
          </w:p>
        </w:tc>
      </w:tr>
    </w:tbl>
    <w:p w:rsidR="00000000" w:rsidRDefault="00B83709">
      <w:pPr>
        <w:numPr>
          <w:ilvl w:val="0"/>
          <w:numId w:val="1049"/>
        </w:numPr>
        <w:tabs>
          <w:tab w:val="clear" w:pos="360"/>
          <w:tab w:val="num" w:pos="480"/>
        </w:tabs>
        <w:spacing w:before="240" w:after="240" w:line="360" w:lineRule="exact"/>
        <w:rPr>
          <w:szCs w:val="24"/>
        </w:rPr>
      </w:pPr>
      <w:r>
        <w:rPr>
          <w:noProof/>
          <w:sz w:val="20"/>
          <w:szCs w:val="24"/>
        </w:rPr>
        <w:pict>
          <v:shape id="_x0000_s1093" type="#_x0000_t202" style="position:absolute;left:0;text-align:left;margin-left:480pt;margin-top:82pt;width:24pt;height:31.2pt;z-index:12;mso-position-horizontal-relative:text;mso-position-vertical-relative:text" filled="f" stroked="f">
            <v:textbox>
              <w:txbxContent>
                <w:p w:rsidR="00000000" w:rsidRDefault="00B83709">
                  <w:pPr>
                    <w:rPr>
                      <w:rFonts w:hint="eastAsia"/>
                      <w:sz w:val="18"/>
                    </w:rPr>
                  </w:pPr>
                  <w:r>
                    <w:rPr>
                      <w:rFonts w:hint="eastAsia"/>
                      <w:sz w:val="18"/>
                    </w:rPr>
                    <w:t>1</w:t>
                  </w:r>
                </w:p>
              </w:txbxContent>
            </v:textbox>
          </v:shape>
        </w:pict>
      </w:r>
      <w:r>
        <w:rPr>
          <w:rFonts w:hint="eastAsia"/>
          <w:szCs w:val="24"/>
        </w:rPr>
        <w:t>1995</w:t>
      </w:r>
      <w:r>
        <w:rPr>
          <w:rFonts w:hint="eastAsia"/>
          <w:szCs w:val="24"/>
        </w:rPr>
        <w:t>至</w:t>
      </w:r>
      <w:r>
        <w:rPr>
          <w:rFonts w:hint="eastAsia"/>
          <w:szCs w:val="24"/>
        </w:rPr>
        <w:t>1996</w:t>
      </w:r>
      <w:r>
        <w:rPr>
          <w:rFonts w:hint="eastAsia"/>
          <w:szCs w:val="24"/>
        </w:rPr>
        <w:t>年，泰国中部地区的出生时平均预期寿命男子为</w:t>
      </w:r>
      <w:r>
        <w:rPr>
          <w:szCs w:val="24"/>
        </w:rPr>
        <w:t>75.57</w:t>
      </w:r>
      <w:r>
        <w:rPr>
          <w:rFonts w:hint="eastAsia"/>
          <w:szCs w:val="24"/>
        </w:rPr>
        <w:t>岁、妇女为</w:t>
      </w:r>
      <w:r>
        <w:rPr>
          <w:szCs w:val="24"/>
        </w:rPr>
        <w:t>79.71</w:t>
      </w:r>
      <w:r>
        <w:rPr>
          <w:rFonts w:hint="eastAsia"/>
          <w:szCs w:val="24"/>
        </w:rPr>
        <w:t>岁。婴儿死亡率降至每</w:t>
      </w:r>
      <w:r>
        <w:rPr>
          <w:rFonts w:hint="eastAsia"/>
          <w:szCs w:val="24"/>
        </w:rPr>
        <w:t>1 000</w:t>
      </w:r>
      <w:r>
        <w:rPr>
          <w:rFonts w:hint="eastAsia"/>
          <w:szCs w:val="24"/>
        </w:rPr>
        <w:t>名活产仅</w:t>
      </w:r>
      <w:r>
        <w:rPr>
          <w:rFonts w:hint="eastAsia"/>
          <w:szCs w:val="24"/>
        </w:rPr>
        <w:t>10</w:t>
      </w:r>
      <w:r>
        <w:rPr>
          <w:rFonts w:hint="eastAsia"/>
          <w:szCs w:val="24"/>
        </w:rPr>
        <w:t>列以下。</w:t>
      </w:r>
      <w:r>
        <w:rPr>
          <w:rFonts w:hint="eastAsia"/>
          <w:szCs w:val="24"/>
        </w:rPr>
        <w:t>2000</w:t>
      </w:r>
      <w:r>
        <w:rPr>
          <w:rFonts w:hint="eastAsia"/>
          <w:szCs w:val="24"/>
        </w:rPr>
        <w:t>年，每</w:t>
      </w:r>
      <w:r>
        <w:rPr>
          <w:rFonts w:hint="eastAsia"/>
          <w:szCs w:val="24"/>
        </w:rPr>
        <w:t>211</w:t>
      </w:r>
      <w:r>
        <w:rPr>
          <w:rFonts w:hint="eastAsia"/>
          <w:szCs w:val="24"/>
        </w:rPr>
        <w:t>例活产对</w:t>
      </w:r>
      <w:r>
        <w:rPr>
          <w:rFonts w:hint="eastAsia"/>
          <w:szCs w:val="24"/>
        </w:rPr>
        <w:t>100</w:t>
      </w:r>
      <w:r>
        <w:rPr>
          <w:rFonts w:hint="eastAsia"/>
          <w:szCs w:val="24"/>
        </w:rPr>
        <w:t>例死亡。避孕普及率是</w:t>
      </w:r>
      <w:r>
        <w:rPr>
          <w:szCs w:val="24"/>
        </w:rPr>
        <w:t>79.2%</w:t>
      </w:r>
      <w:r>
        <w:rPr>
          <w:rFonts w:hint="eastAsia"/>
          <w:szCs w:val="24"/>
        </w:rPr>
        <w:t>。</w:t>
      </w:r>
      <w:r>
        <w:rPr>
          <w:szCs w:val="24"/>
        </w:rPr>
        <w:t xml:space="preserve">  </w:t>
      </w:r>
    </w:p>
    <w:p w:rsidR="00000000" w:rsidRDefault="00B83709">
      <w:pPr>
        <w:spacing w:after="240" w:line="360" w:lineRule="exact"/>
        <w:jc w:val="center"/>
        <w:rPr>
          <w:rFonts w:eastAsia="SimHei" w:hint="eastAsia"/>
          <w:color w:val="FF0000"/>
          <w:sz w:val="24"/>
        </w:rPr>
      </w:pPr>
      <w:r>
        <w:rPr>
          <w:rFonts w:eastAsia="SimHei" w:hint="eastAsia"/>
          <w:color w:val="FF0000"/>
          <w:sz w:val="24"/>
        </w:rPr>
        <w:t>经济状况</w:t>
      </w:r>
    </w:p>
    <w:p w:rsidR="00000000" w:rsidRDefault="00B83709">
      <w:pPr>
        <w:numPr>
          <w:ilvl w:val="0"/>
          <w:numId w:val="1049"/>
        </w:numPr>
        <w:tabs>
          <w:tab w:val="clear" w:pos="360"/>
          <w:tab w:val="num" w:pos="480"/>
        </w:tabs>
        <w:spacing w:after="240" w:line="360" w:lineRule="exact"/>
        <w:rPr>
          <w:szCs w:val="24"/>
        </w:rPr>
      </w:pPr>
      <w:r>
        <w:rPr>
          <w:rFonts w:hint="eastAsia"/>
          <w:szCs w:val="24"/>
        </w:rPr>
        <w:t>由于亚洲经济危机，泰国自</w:t>
      </w:r>
      <w:r>
        <w:rPr>
          <w:rFonts w:hint="eastAsia"/>
          <w:szCs w:val="24"/>
        </w:rPr>
        <w:t>1997</w:t>
      </w:r>
      <w:r>
        <w:rPr>
          <w:rFonts w:hint="eastAsia"/>
          <w:szCs w:val="24"/>
        </w:rPr>
        <w:t>年起遇到经济困境。泰铢的价值继汇率制度调整后大幅度下降。很多私营企业和金融机构纷纷倒闭，或被迫调整企业结构。这场经济危机影响到泰国居民的所有部门，从被解雇的雇员到刚刚毕业的学生，以及收入蒙受重大损失的投资商，更不用说不断恶化的身心健康了。</w:t>
      </w:r>
    </w:p>
    <w:p w:rsidR="00000000" w:rsidRDefault="00B83709">
      <w:pPr>
        <w:numPr>
          <w:ilvl w:val="0"/>
          <w:numId w:val="1049"/>
        </w:numPr>
        <w:tabs>
          <w:tab w:val="clear" w:pos="360"/>
          <w:tab w:val="num" w:pos="480"/>
        </w:tabs>
        <w:spacing w:after="240" w:line="360" w:lineRule="exact"/>
        <w:rPr>
          <w:szCs w:val="24"/>
        </w:rPr>
      </w:pPr>
      <w:r>
        <w:rPr>
          <w:rFonts w:hint="eastAsia"/>
          <w:szCs w:val="24"/>
        </w:rPr>
        <w:t>为了应对这场</w:t>
      </w:r>
      <w:r>
        <w:rPr>
          <w:rFonts w:hint="eastAsia"/>
          <w:szCs w:val="24"/>
        </w:rPr>
        <w:t>危机，泰国不断调整经济状况，其结果是经济增长和投资领域呈现出积极趋势，同时，政府支出不断增大，比如从</w:t>
      </w:r>
      <w:r>
        <w:rPr>
          <w:rFonts w:hint="eastAsia"/>
          <w:szCs w:val="24"/>
        </w:rPr>
        <w:t>2000</w:t>
      </w:r>
      <w:r>
        <w:rPr>
          <w:rFonts w:hint="eastAsia"/>
          <w:szCs w:val="24"/>
        </w:rPr>
        <w:t>年的</w:t>
      </w:r>
      <w:r>
        <w:rPr>
          <w:rFonts w:hint="eastAsia"/>
          <w:szCs w:val="24"/>
        </w:rPr>
        <w:t>8 530</w:t>
      </w:r>
      <w:r>
        <w:rPr>
          <w:rFonts w:hint="eastAsia"/>
          <w:szCs w:val="24"/>
        </w:rPr>
        <w:t>亿铢增至</w:t>
      </w:r>
      <w:r>
        <w:rPr>
          <w:rFonts w:hint="eastAsia"/>
          <w:szCs w:val="24"/>
        </w:rPr>
        <w:t>2001</w:t>
      </w:r>
      <w:r>
        <w:rPr>
          <w:rFonts w:hint="eastAsia"/>
          <w:szCs w:val="24"/>
        </w:rPr>
        <w:t>年的</w:t>
      </w:r>
      <w:r>
        <w:rPr>
          <w:rFonts w:hint="eastAsia"/>
          <w:szCs w:val="24"/>
        </w:rPr>
        <w:t>9 080</w:t>
      </w:r>
      <w:r>
        <w:rPr>
          <w:rFonts w:hint="eastAsia"/>
          <w:szCs w:val="24"/>
        </w:rPr>
        <w:t>亿铢。开支增加的部分原因是包括赤字预算政策在内的一揽子经济激励计划。同时，泰国政府过去（现在仍然）非常关心人民的福利和生活质量。譬如，</w:t>
      </w:r>
      <w:r>
        <w:rPr>
          <w:szCs w:val="24"/>
        </w:rPr>
        <w:t>2001</w:t>
      </w:r>
      <w:r>
        <w:rPr>
          <w:rFonts w:hint="eastAsia"/>
          <w:szCs w:val="24"/>
        </w:rPr>
        <w:t>年，教育预算拨款约为</w:t>
      </w:r>
      <w:r>
        <w:rPr>
          <w:rFonts w:hint="eastAsia"/>
          <w:szCs w:val="24"/>
        </w:rPr>
        <w:t>2 210</w:t>
      </w:r>
      <w:r>
        <w:rPr>
          <w:rFonts w:hint="eastAsia"/>
          <w:szCs w:val="24"/>
        </w:rPr>
        <w:t>亿铢，公共卫生预算拨款约为</w:t>
      </w:r>
      <w:r>
        <w:rPr>
          <w:rFonts w:hint="eastAsia"/>
          <w:szCs w:val="24"/>
        </w:rPr>
        <w:t>870</w:t>
      </w:r>
      <w:r>
        <w:rPr>
          <w:rFonts w:hint="eastAsia"/>
          <w:szCs w:val="24"/>
        </w:rPr>
        <w:t>亿铢。</w:t>
      </w:r>
    </w:p>
    <w:p w:rsidR="00000000" w:rsidRDefault="00B83709">
      <w:pPr>
        <w:numPr>
          <w:ilvl w:val="0"/>
          <w:numId w:val="1049"/>
        </w:numPr>
        <w:tabs>
          <w:tab w:val="clear" w:pos="360"/>
          <w:tab w:val="num" w:pos="480"/>
        </w:tabs>
        <w:spacing w:after="240" w:line="360" w:lineRule="exact"/>
        <w:rPr>
          <w:szCs w:val="24"/>
        </w:rPr>
      </w:pPr>
      <w:r>
        <w:rPr>
          <w:szCs w:val="24"/>
        </w:rPr>
        <w:t>2000</w:t>
      </w:r>
      <w:r>
        <w:rPr>
          <w:rFonts w:hint="eastAsia"/>
          <w:szCs w:val="24"/>
        </w:rPr>
        <w:t>年，泰国国内生产总值是</w:t>
      </w:r>
      <w:r>
        <w:rPr>
          <w:szCs w:val="24"/>
        </w:rPr>
        <w:t>49</w:t>
      </w:r>
      <w:r>
        <w:rPr>
          <w:rFonts w:hint="eastAsia"/>
          <w:szCs w:val="24"/>
        </w:rPr>
        <w:t xml:space="preserve"> </w:t>
      </w:r>
      <w:r>
        <w:rPr>
          <w:szCs w:val="24"/>
        </w:rPr>
        <w:t>049</w:t>
      </w:r>
      <w:r>
        <w:rPr>
          <w:rFonts w:hint="eastAsia"/>
          <w:szCs w:val="24"/>
        </w:rPr>
        <w:t>亿铢。</w:t>
      </w:r>
      <w:r>
        <w:rPr>
          <w:rFonts w:hint="eastAsia"/>
          <w:szCs w:val="24"/>
        </w:rPr>
        <w:t>2001</w:t>
      </w:r>
      <w:r>
        <w:rPr>
          <w:rFonts w:hint="eastAsia"/>
          <w:szCs w:val="24"/>
        </w:rPr>
        <w:t>年的人均收入从</w:t>
      </w:r>
      <w:r>
        <w:rPr>
          <w:rFonts w:hint="eastAsia"/>
          <w:szCs w:val="24"/>
        </w:rPr>
        <w:t>2000</w:t>
      </w:r>
      <w:r>
        <w:rPr>
          <w:rFonts w:hint="eastAsia"/>
          <w:szCs w:val="24"/>
        </w:rPr>
        <w:t>年的</w:t>
      </w:r>
      <w:r>
        <w:rPr>
          <w:rFonts w:hint="eastAsia"/>
          <w:szCs w:val="24"/>
        </w:rPr>
        <w:t>72 901</w:t>
      </w:r>
      <w:r>
        <w:rPr>
          <w:rFonts w:hint="eastAsia"/>
          <w:szCs w:val="24"/>
        </w:rPr>
        <w:t>铢增至</w:t>
      </w:r>
      <w:r>
        <w:rPr>
          <w:szCs w:val="24"/>
        </w:rPr>
        <w:t>77</w:t>
      </w:r>
      <w:r>
        <w:rPr>
          <w:rFonts w:hint="eastAsia"/>
          <w:szCs w:val="24"/>
        </w:rPr>
        <w:t xml:space="preserve"> </w:t>
      </w:r>
      <w:r>
        <w:rPr>
          <w:szCs w:val="24"/>
        </w:rPr>
        <w:t>362</w:t>
      </w:r>
      <w:r>
        <w:rPr>
          <w:rFonts w:hint="eastAsia"/>
          <w:szCs w:val="24"/>
        </w:rPr>
        <w:t>铢。</w:t>
      </w:r>
      <w:r>
        <w:rPr>
          <w:rFonts w:hint="eastAsia"/>
          <w:szCs w:val="24"/>
        </w:rPr>
        <w:t>2001</w:t>
      </w:r>
      <w:r>
        <w:rPr>
          <w:rFonts w:hint="eastAsia"/>
          <w:szCs w:val="24"/>
        </w:rPr>
        <w:t>年</w:t>
      </w:r>
      <w:r>
        <w:rPr>
          <w:rFonts w:hint="eastAsia"/>
          <w:szCs w:val="24"/>
        </w:rPr>
        <w:t>7</w:t>
      </w:r>
      <w:r>
        <w:rPr>
          <w:rFonts w:hint="eastAsia"/>
          <w:szCs w:val="24"/>
        </w:rPr>
        <w:t>月至</w:t>
      </w:r>
      <w:r>
        <w:rPr>
          <w:rFonts w:hint="eastAsia"/>
          <w:szCs w:val="24"/>
        </w:rPr>
        <w:t>9</w:t>
      </w:r>
      <w:r>
        <w:rPr>
          <w:rFonts w:hint="eastAsia"/>
          <w:szCs w:val="24"/>
        </w:rPr>
        <w:t>月，泰国的就业</w:t>
      </w:r>
      <w:r>
        <w:rPr>
          <w:rFonts w:hint="eastAsia"/>
          <w:szCs w:val="24"/>
        </w:rPr>
        <w:t>人数达到</w:t>
      </w:r>
      <w:r>
        <w:rPr>
          <w:szCs w:val="24"/>
        </w:rPr>
        <w:t xml:space="preserve"> 3</w:t>
      </w:r>
      <w:r>
        <w:rPr>
          <w:rFonts w:hint="eastAsia"/>
          <w:szCs w:val="24"/>
        </w:rPr>
        <w:t xml:space="preserve"> </w:t>
      </w:r>
      <w:r>
        <w:rPr>
          <w:szCs w:val="24"/>
        </w:rPr>
        <w:t>348</w:t>
      </w:r>
      <w:r>
        <w:rPr>
          <w:rFonts w:hint="eastAsia"/>
          <w:szCs w:val="24"/>
        </w:rPr>
        <w:t>万，其中，男性占</w:t>
      </w:r>
      <w:r>
        <w:rPr>
          <w:szCs w:val="24"/>
        </w:rPr>
        <w:t>44.84%</w:t>
      </w:r>
      <w:r>
        <w:rPr>
          <w:rFonts w:hint="eastAsia"/>
          <w:szCs w:val="24"/>
        </w:rPr>
        <w:t>，女性占</w:t>
      </w:r>
      <w:r>
        <w:rPr>
          <w:szCs w:val="24"/>
        </w:rPr>
        <w:t>55.16%</w:t>
      </w:r>
      <w:r>
        <w:rPr>
          <w:rFonts w:hint="eastAsia"/>
          <w:szCs w:val="24"/>
        </w:rPr>
        <w:t>；</w:t>
      </w:r>
      <w:r>
        <w:rPr>
          <w:szCs w:val="24"/>
        </w:rPr>
        <w:t>18.47%</w:t>
      </w:r>
      <w:r>
        <w:rPr>
          <w:rFonts w:hint="eastAsia"/>
          <w:szCs w:val="24"/>
        </w:rPr>
        <w:t>的人在农业部门就业。这些数字突出表明，尽管泰国国民经济受到亚洲经济危机的影响，但目前正在不断改善。</w:t>
      </w:r>
    </w:p>
    <w:p w:rsidR="00000000" w:rsidRDefault="00B83709">
      <w:pPr>
        <w:spacing w:after="240" w:line="360" w:lineRule="exact"/>
        <w:jc w:val="center"/>
        <w:rPr>
          <w:rFonts w:eastAsia="SimHei" w:hint="eastAsia"/>
          <w:color w:val="FF0000"/>
          <w:sz w:val="24"/>
        </w:rPr>
      </w:pPr>
      <w:r>
        <w:rPr>
          <w:rFonts w:eastAsia="SimHei" w:hint="eastAsia"/>
          <w:color w:val="FF0000"/>
          <w:sz w:val="24"/>
        </w:rPr>
        <w:t>社会状况</w:t>
      </w:r>
    </w:p>
    <w:p w:rsidR="00000000" w:rsidRDefault="00B83709">
      <w:pPr>
        <w:numPr>
          <w:ilvl w:val="0"/>
          <w:numId w:val="1049"/>
        </w:numPr>
        <w:tabs>
          <w:tab w:val="clear" w:pos="360"/>
          <w:tab w:val="num" w:pos="480"/>
        </w:tabs>
        <w:spacing w:after="240" w:line="360" w:lineRule="exact"/>
        <w:rPr>
          <w:szCs w:val="24"/>
        </w:rPr>
      </w:pPr>
      <w:r>
        <w:rPr>
          <w:rFonts w:hint="eastAsia"/>
          <w:szCs w:val="24"/>
        </w:rPr>
        <w:t>泰国面临的经济变革对个人（男子、妇女、儿童、老人）、家庭制度和社区关系产生了影响。但在最近，泰国的若干社会部门取得了进展，最显著的是教育、公共卫生、社会福利、法律制度和援助以及人民权利的保护。</w:t>
      </w:r>
    </w:p>
    <w:p w:rsidR="00000000" w:rsidRDefault="00B83709">
      <w:pPr>
        <w:numPr>
          <w:ilvl w:val="0"/>
          <w:numId w:val="1049"/>
        </w:numPr>
        <w:tabs>
          <w:tab w:val="clear" w:pos="360"/>
          <w:tab w:val="num" w:pos="480"/>
        </w:tabs>
        <w:spacing w:after="240" w:line="360" w:lineRule="exact"/>
        <w:rPr>
          <w:szCs w:val="24"/>
        </w:rPr>
      </w:pPr>
      <w:r>
        <w:rPr>
          <w:rFonts w:hint="eastAsia"/>
          <w:szCs w:val="24"/>
        </w:rPr>
        <w:t>塔信·钦那瓦于</w:t>
      </w:r>
      <w:r>
        <w:rPr>
          <w:rFonts w:hint="eastAsia"/>
          <w:szCs w:val="24"/>
        </w:rPr>
        <w:t>2001</w:t>
      </w:r>
      <w:r>
        <w:rPr>
          <w:rFonts w:hint="eastAsia"/>
          <w:szCs w:val="24"/>
        </w:rPr>
        <w:t>年担任泰国总理，他领导的本届政府对“人人享有健康”或“为每种疾病补贴</w:t>
      </w:r>
      <w:r>
        <w:rPr>
          <w:rFonts w:hint="eastAsia"/>
          <w:szCs w:val="24"/>
        </w:rPr>
        <w:t>30</w:t>
      </w:r>
      <w:r>
        <w:rPr>
          <w:rFonts w:hint="eastAsia"/>
          <w:szCs w:val="24"/>
        </w:rPr>
        <w:t>铢”的政策给予优先重视。这个项目</w:t>
      </w:r>
      <w:r>
        <w:rPr>
          <w:rFonts w:hint="eastAsia"/>
          <w:szCs w:val="24"/>
        </w:rPr>
        <w:t>旨在减少国家支出总额和个人保健费用，同时为人人获得基本公共卫生服务创造平等的机会。</w:t>
      </w:r>
    </w:p>
    <w:p w:rsidR="00000000" w:rsidRDefault="00B83709">
      <w:pPr>
        <w:numPr>
          <w:ilvl w:val="0"/>
          <w:numId w:val="1049"/>
        </w:numPr>
        <w:tabs>
          <w:tab w:val="clear" w:pos="360"/>
          <w:tab w:val="num" w:pos="480"/>
        </w:tabs>
        <w:spacing w:after="240" w:line="360" w:lineRule="exact"/>
        <w:rPr>
          <w:szCs w:val="24"/>
        </w:rPr>
      </w:pPr>
      <w:r>
        <w:rPr>
          <w:rFonts w:hint="eastAsia"/>
          <w:szCs w:val="24"/>
        </w:rPr>
        <w:t>在教育方面，</w:t>
      </w:r>
      <w:r>
        <w:rPr>
          <w:rFonts w:hint="eastAsia"/>
          <w:szCs w:val="24"/>
        </w:rPr>
        <w:t>2000</w:t>
      </w:r>
      <w:r>
        <w:rPr>
          <w:rFonts w:hint="eastAsia"/>
          <w:szCs w:val="24"/>
        </w:rPr>
        <w:t>年的文盲率是</w:t>
      </w:r>
      <w:r>
        <w:rPr>
          <w:szCs w:val="24"/>
        </w:rPr>
        <w:t>7.71%</w:t>
      </w:r>
      <w:r>
        <w:rPr>
          <w:rFonts w:hint="eastAsia"/>
          <w:szCs w:val="24"/>
        </w:rPr>
        <w:t>。此外，</w:t>
      </w:r>
      <w:r>
        <w:rPr>
          <w:szCs w:val="24"/>
        </w:rPr>
        <w:t>48.47%</w:t>
      </w:r>
      <w:r>
        <w:rPr>
          <w:rFonts w:hint="eastAsia"/>
          <w:szCs w:val="24"/>
        </w:rPr>
        <w:t>的妇女接受过小学教育，</w:t>
      </w:r>
      <w:r>
        <w:rPr>
          <w:szCs w:val="24"/>
        </w:rPr>
        <w:t>49.8%</w:t>
      </w:r>
      <w:r>
        <w:rPr>
          <w:rFonts w:hint="eastAsia"/>
          <w:szCs w:val="24"/>
        </w:rPr>
        <w:t>完成了初级中学教育，</w:t>
      </w:r>
      <w:r>
        <w:rPr>
          <w:szCs w:val="24"/>
        </w:rPr>
        <w:t>56.69%</w:t>
      </w:r>
      <w:r>
        <w:rPr>
          <w:rFonts w:hint="eastAsia"/>
          <w:szCs w:val="24"/>
        </w:rPr>
        <w:t>完成了高等教育。教育领域因</w:t>
      </w:r>
      <w:r>
        <w:rPr>
          <w:rFonts w:hint="eastAsia"/>
          <w:szCs w:val="24"/>
        </w:rPr>
        <w:t>1999</w:t>
      </w:r>
      <w:r>
        <w:rPr>
          <w:rFonts w:hint="eastAsia"/>
          <w:szCs w:val="24"/>
        </w:rPr>
        <w:t>年的《国家教育法》取得了重要改善，因为这个法案的侧重点是学习改革；将教师的地位提高为一种职业；建立保障素质教育的机制；开发媒体和教育技术；以及调整行政管理结构。</w:t>
      </w:r>
    </w:p>
    <w:p w:rsidR="00000000" w:rsidRDefault="00B83709">
      <w:pPr>
        <w:spacing w:after="240" w:line="360" w:lineRule="exact"/>
        <w:jc w:val="center"/>
        <w:rPr>
          <w:rFonts w:eastAsia="SimHei" w:hint="eastAsia"/>
          <w:color w:val="FF0000"/>
          <w:sz w:val="24"/>
        </w:rPr>
      </w:pPr>
      <w:r>
        <w:rPr>
          <w:rFonts w:eastAsia="SimHei" w:hint="eastAsia"/>
          <w:color w:val="FF0000"/>
          <w:sz w:val="24"/>
        </w:rPr>
        <w:t>政治和行政</w:t>
      </w:r>
    </w:p>
    <w:p w:rsidR="00000000" w:rsidRDefault="00B83709">
      <w:pPr>
        <w:numPr>
          <w:ilvl w:val="0"/>
          <w:numId w:val="1049"/>
        </w:numPr>
        <w:tabs>
          <w:tab w:val="clear" w:pos="360"/>
          <w:tab w:val="num" w:pos="480"/>
        </w:tabs>
        <w:spacing w:after="240" w:line="360" w:lineRule="exact"/>
        <w:rPr>
          <w:szCs w:val="24"/>
        </w:rPr>
      </w:pPr>
      <w:r>
        <w:rPr>
          <w:rFonts w:hint="eastAsia"/>
          <w:szCs w:val="24"/>
        </w:rPr>
        <w:t>在过去五年间，泰国在制定其政治和行政管理制度以及改进社会公正机制方面进行了若干创新。大多数泰国</w:t>
      </w:r>
      <w:r>
        <w:rPr>
          <w:rFonts w:hint="eastAsia"/>
          <w:szCs w:val="24"/>
        </w:rPr>
        <w:t>人渴望了解如何行使他们的权利以及如何利用这些新机制。《</w:t>
      </w:r>
      <w:r>
        <w:rPr>
          <w:szCs w:val="24"/>
        </w:rPr>
        <w:t>1997</w:t>
      </w:r>
      <w:r>
        <w:rPr>
          <w:rFonts w:hint="eastAsia"/>
          <w:szCs w:val="24"/>
        </w:rPr>
        <w:t>年宪法》是在社会各部门全面参与下起草的第一部宪法。因此，这部宪法非常审慎地对保护公民权利以及建立维护这些权利的机制做出了规定。《宪法》第三十条和第八十条具体涉及平等问题。</w:t>
      </w:r>
    </w:p>
    <w:p w:rsidR="00000000" w:rsidRDefault="00B83709">
      <w:pPr>
        <w:numPr>
          <w:ilvl w:val="0"/>
          <w:numId w:val="1049"/>
        </w:numPr>
        <w:tabs>
          <w:tab w:val="clear" w:pos="360"/>
          <w:tab w:val="num" w:pos="480"/>
        </w:tabs>
        <w:spacing w:after="240" w:line="360" w:lineRule="exact"/>
        <w:rPr>
          <w:szCs w:val="24"/>
        </w:rPr>
      </w:pPr>
      <w:r>
        <w:rPr>
          <w:rFonts w:hint="eastAsia"/>
          <w:szCs w:val="24"/>
        </w:rPr>
        <w:t>泰国议会实行两院制，由下议院和上议院组成。《</w:t>
      </w:r>
      <w:r>
        <w:rPr>
          <w:rFonts w:hint="eastAsia"/>
          <w:szCs w:val="24"/>
        </w:rPr>
        <w:t>1997</w:t>
      </w:r>
      <w:r>
        <w:rPr>
          <w:rFonts w:hint="eastAsia"/>
          <w:szCs w:val="24"/>
        </w:rPr>
        <w:t>年宪法》规定对选举制度进行了一些修改。在选举议员时，候选人的年龄和学历的资格要求有所变化，最明显的是他们至少应满</w:t>
      </w:r>
      <w:r>
        <w:rPr>
          <w:rFonts w:hint="eastAsia"/>
          <w:szCs w:val="24"/>
        </w:rPr>
        <w:t>25</w:t>
      </w:r>
      <w:r>
        <w:rPr>
          <w:rFonts w:hint="eastAsia"/>
          <w:szCs w:val="24"/>
        </w:rPr>
        <w:t>岁，并且应有学士学位。所有选民无论男女至少应满</w:t>
      </w:r>
      <w:r>
        <w:rPr>
          <w:rFonts w:hint="eastAsia"/>
          <w:szCs w:val="24"/>
        </w:rPr>
        <w:t>18</w:t>
      </w:r>
      <w:r>
        <w:rPr>
          <w:rFonts w:hint="eastAsia"/>
          <w:szCs w:val="24"/>
        </w:rPr>
        <w:t>岁。</w:t>
      </w:r>
    </w:p>
    <w:p w:rsidR="00000000" w:rsidRDefault="00B83709">
      <w:pPr>
        <w:numPr>
          <w:ilvl w:val="0"/>
          <w:numId w:val="1049"/>
        </w:numPr>
        <w:tabs>
          <w:tab w:val="clear" w:pos="360"/>
          <w:tab w:val="num" w:pos="480"/>
        </w:tabs>
        <w:spacing w:after="240" w:line="360" w:lineRule="exact"/>
        <w:rPr>
          <w:szCs w:val="24"/>
        </w:rPr>
      </w:pPr>
      <w:r>
        <w:rPr>
          <w:rFonts w:hint="eastAsia"/>
          <w:szCs w:val="24"/>
        </w:rPr>
        <w:t>自</w:t>
      </w:r>
      <w:r>
        <w:rPr>
          <w:rFonts w:hint="eastAsia"/>
          <w:szCs w:val="24"/>
        </w:rPr>
        <w:t>2000</w:t>
      </w:r>
      <w:r>
        <w:rPr>
          <w:rFonts w:hint="eastAsia"/>
          <w:szCs w:val="24"/>
        </w:rPr>
        <w:t>年选举之后，上议院也进行了改革。以前，上议院</w:t>
      </w:r>
      <w:r>
        <w:rPr>
          <w:rFonts w:hint="eastAsia"/>
          <w:szCs w:val="24"/>
        </w:rPr>
        <w:t>的议员是任命的议员，但根据现行《宪法》，上议院议员通过选举产生。上议院共有</w:t>
      </w:r>
      <w:r>
        <w:rPr>
          <w:rFonts w:hint="eastAsia"/>
          <w:szCs w:val="24"/>
        </w:rPr>
        <w:t>200</w:t>
      </w:r>
      <w:r>
        <w:rPr>
          <w:rFonts w:hint="eastAsia"/>
          <w:szCs w:val="24"/>
        </w:rPr>
        <w:t>个席位，其候选人的年龄应在</w:t>
      </w:r>
      <w:r>
        <w:rPr>
          <w:rFonts w:hint="eastAsia"/>
          <w:szCs w:val="24"/>
        </w:rPr>
        <w:t>35</w:t>
      </w:r>
      <w:r>
        <w:rPr>
          <w:rFonts w:hint="eastAsia"/>
          <w:szCs w:val="24"/>
        </w:rPr>
        <w:t>岁以上，并且至少拥有学士学位。同样，竞选上议院议员的选民至少应为</w:t>
      </w:r>
      <w:r>
        <w:rPr>
          <w:rFonts w:hint="eastAsia"/>
          <w:szCs w:val="24"/>
        </w:rPr>
        <w:t>18</w:t>
      </w:r>
      <w:r>
        <w:rPr>
          <w:rFonts w:hint="eastAsia"/>
          <w:szCs w:val="24"/>
        </w:rPr>
        <w:t>岁。</w:t>
      </w:r>
    </w:p>
    <w:p w:rsidR="00000000" w:rsidRDefault="00B83709">
      <w:pPr>
        <w:numPr>
          <w:ilvl w:val="0"/>
          <w:numId w:val="1049"/>
        </w:numPr>
        <w:tabs>
          <w:tab w:val="clear" w:pos="360"/>
          <w:tab w:val="num" w:pos="480"/>
        </w:tabs>
        <w:spacing w:after="240" w:line="360" w:lineRule="exact"/>
        <w:rPr>
          <w:szCs w:val="24"/>
        </w:rPr>
      </w:pPr>
      <w:r>
        <w:rPr>
          <w:rFonts w:hint="eastAsia"/>
          <w:szCs w:val="24"/>
        </w:rPr>
        <w:t>泰国的政治制度仍为多党制，因此，下议院由很多政党组成。在</w:t>
      </w:r>
      <w:r>
        <w:rPr>
          <w:rFonts w:hint="eastAsia"/>
          <w:szCs w:val="24"/>
        </w:rPr>
        <w:t>2000</w:t>
      </w:r>
      <w:r>
        <w:rPr>
          <w:rFonts w:hint="eastAsia"/>
          <w:szCs w:val="24"/>
        </w:rPr>
        <w:t>年普选中，大多数议员来自两大政党。泰爱泰党赢得的议会席位的最多（</w:t>
      </w:r>
      <w:r>
        <w:rPr>
          <w:rFonts w:hint="eastAsia"/>
          <w:szCs w:val="24"/>
        </w:rPr>
        <w:t>50%</w:t>
      </w:r>
      <w:r>
        <w:rPr>
          <w:rFonts w:hint="eastAsia"/>
          <w:szCs w:val="24"/>
        </w:rPr>
        <w:t>以上），并与其他四个政党组成了新联盟政府的核心。民主党获得的席位总数排名第二，是最大的反对党。</w:t>
      </w:r>
    </w:p>
    <w:p w:rsidR="00000000" w:rsidRDefault="00B83709">
      <w:pPr>
        <w:numPr>
          <w:ilvl w:val="0"/>
          <w:numId w:val="1049"/>
        </w:numPr>
        <w:tabs>
          <w:tab w:val="clear" w:pos="360"/>
          <w:tab w:val="num" w:pos="480"/>
        </w:tabs>
        <w:spacing w:after="240" w:line="360" w:lineRule="exact"/>
        <w:rPr>
          <w:szCs w:val="24"/>
        </w:rPr>
      </w:pPr>
      <w:r>
        <w:rPr>
          <w:rFonts w:hint="eastAsia"/>
          <w:szCs w:val="24"/>
        </w:rPr>
        <w:t>根据《宪法》，部长会议应由</w:t>
      </w:r>
      <w:r>
        <w:rPr>
          <w:rFonts w:hint="eastAsia"/>
          <w:szCs w:val="24"/>
        </w:rPr>
        <w:t>36</w:t>
      </w:r>
      <w:r>
        <w:rPr>
          <w:rFonts w:hint="eastAsia"/>
          <w:szCs w:val="24"/>
        </w:rPr>
        <w:t>人组成，包括总理、副总理、部长和副部长。</w:t>
      </w:r>
    </w:p>
    <w:p w:rsidR="00000000" w:rsidRDefault="00B83709">
      <w:pPr>
        <w:numPr>
          <w:ilvl w:val="0"/>
          <w:numId w:val="1049"/>
        </w:numPr>
        <w:tabs>
          <w:tab w:val="clear" w:pos="360"/>
          <w:tab w:val="num" w:pos="480"/>
        </w:tabs>
        <w:spacing w:after="240" w:line="360" w:lineRule="exact"/>
        <w:rPr>
          <w:szCs w:val="24"/>
        </w:rPr>
      </w:pPr>
      <w:r>
        <w:rPr>
          <w:rFonts w:hint="eastAsia"/>
          <w:szCs w:val="24"/>
        </w:rPr>
        <w:t>通过公共部门的改革，公共行</w:t>
      </w:r>
      <w:r>
        <w:rPr>
          <w:rFonts w:hint="eastAsia"/>
          <w:szCs w:val="24"/>
        </w:rPr>
        <w:t>政领域取得了进展。这种改革的关键是官僚结构进行了改革，包括对（系统执行的）规章和预算制度的改革。这一改革进程于</w:t>
      </w:r>
      <w:r>
        <w:rPr>
          <w:rFonts w:hint="eastAsia"/>
          <w:szCs w:val="24"/>
        </w:rPr>
        <w:t>2002</w:t>
      </w:r>
      <w:r>
        <w:rPr>
          <w:rFonts w:hint="eastAsia"/>
          <w:szCs w:val="24"/>
        </w:rPr>
        <w:t>年</w:t>
      </w:r>
      <w:r>
        <w:rPr>
          <w:rFonts w:hint="eastAsia"/>
          <w:szCs w:val="24"/>
        </w:rPr>
        <w:t>10</w:t>
      </w:r>
      <w:r>
        <w:rPr>
          <w:rFonts w:hint="eastAsia"/>
          <w:szCs w:val="24"/>
        </w:rPr>
        <w:t>月完成，在新的结构下设立了</w:t>
      </w:r>
      <w:r>
        <w:rPr>
          <w:rFonts w:hint="eastAsia"/>
          <w:szCs w:val="24"/>
        </w:rPr>
        <w:t>20</w:t>
      </w:r>
      <w:r>
        <w:rPr>
          <w:rFonts w:hint="eastAsia"/>
          <w:szCs w:val="24"/>
        </w:rPr>
        <w:t>个部。</w:t>
      </w:r>
    </w:p>
    <w:p w:rsidR="00000000" w:rsidRDefault="00B83709">
      <w:pPr>
        <w:numPr>
          <w:ilvl w:val="0"/>
          <w:numId w:val="1049"/>
        </w:numPr>
        <w:tabs>
          <w:tab w:val="clear" w:pos="360"/>
          <w:tab w:val="num" w:pos="480"/>
        </w:tabs>
        <w:spacing w:after="240" w:line="360" w:lineRule="exact"/>
        <w:rPr>
          <w:szCs w:val="24"/>
        </w:rPr>
      </w:pPr>
      <w:r>
        <w:rPr>
          <w:rFonts w:hint="eastAsia"/>
          <w:szCs w:val="24"/>
        </w:rPr>
        <w:t>公共行政领域的另一个改进是权力下放，因此，生活在本地社区</w:t>
      </w:r>
      <w:r>
        <w:rPr>
          <w:rFonts w:hint="eastAsia"/>
          <w:szCs w:val="24"/>
        </w:rPr>
        <w:t>/</w:t>
      </w:r>
      <w:r>
        <w:rPr>
          <w:rFonts w:hint="eastAsia"/>
          <w:szCs w:val="24"/>
        </w:rPr>
        <w:t>府的居民能够进一步参与并可做出更加积极的决策。</w:t>
      </w:r>
      <w:r>
        <w:rPr>
          <w:rFonts w:hint="eastAsia"/>
          <w:szCs w:val="24"/>
        </w:rPr>
        <w:t>1999</w:t>
      </w:r>
      <w:r>
        <w:rPr>
          <w:rFonts w:hint="eastAsia"/>
          <w:szCs w:val="24"/>
        </w:rPr>
        <w:t>年，议会核准一项法案，规定向本地社区组织下放权力的计划和程序。该项法案于</w:t>
      </w:r>
      <w:r>
        <w:rPr>
          <w:rFonts w:hint="eastAsia"/>
          <w:szCs w:val="24"/>
        </w:rPr>
        <w:t>1999</w:t>
      </w:r>
      <w:r>
        <w:rPr>
          <w:rFonts w:hint="eastAsia"/>
          <w:szCs w:val="24"/>
        </w:rPr>
        <w:t>年</w:t>
      </w:r>
      <w:r>
        <w:rPr>
          <w:rFonts w:hint="eastAsia"/>
          <w:szCs w:val="24"/>
        </w:rPr>
        <w:t>11</w:t>
      </w:r>
      <w:r>
        <w:rPr>
          <w:rFonts w:hint="eastAsia"/>
          <w:szCs w:val="24"/>
        </w:rPr>
        <w:t>月</w:t>
      </w:r>
      <w:r>
        <w:rPr>
          <w:rFonts w:hint="eastAsia"/>
          <w:szCs w:val="24"/>
        </w:rPr>
        <w:t>19</w:t>
      </w:r>
      <w:r>
        <w:rPr>
          <w:rFonts w:hint="eastAsia"/>
          <w:szCs w:val="24"/>
        </w:rPr>
        <w:t>日生效。</w:t>
      </w:r>
    </w:p>
    <w:p w:rsidR="00000000" w:rsidRDefault="00B83709">
      <w:pPr>
        <w:numPr>
          <w:ilvl w:val="0"/>
          <w:numId w:val="1049"/>
        </w:numPr>
        <w:tabs>
          <w:tab w:val="clear" w:pos="360"/>
          <w:tab w:val="num" w:pos="480"/>
        </w:tabs>
        <w:spacing w:after="240" w:line="360" w:lineRule="exact"/>
        <w:rPr>
          <w:szCs w:val="24"/>
        </w:rPr>
      </w:pPr>
      <w:r>
        <w:rPr>
          <w:rFonts w:hint="eastAsia"/>
          <w:szCs w:val="24"/>
        </w:rPr>
        <w:t>为保护人民权利创建的宪法机制和组织有：</w:t>
      </w:r>
    </w:p>
    <w:p w:rsidR="00000000" w:rsidRDefault="00B83709">
      <w:pPr>
        <w:numPr>
          <w:ilvl w:val="0"/>
          <w:numId w:val="1054"/>
        </w:numPr>
        <w:tabs>
          <w:tab w:val="clear" w:pos="1080"/>
          <w:tab w:val="num" w:pos="840"/>
        </w:tabs>
        <w:spacing w:after="240" w:line="360" w:lineRule="exact"/>
        <w:ind w:left="840"/>
        <w:rPr>
          <w:szCs w:val="24"/>
        </w:rPr>
      </w:pPr>
      <w:r>
        <w:rPr>
          <w:rFonts w:hint="eastAsia"/>
          <w:szCs w:val="24"/>
        </w:rPr>
        <w:t>行政法院；</w:t>
      </w:r>
    </w:p>
    <w:p w:rsidR="00000000" w:rsidRDefault="00B83709">
      <w:pPr>
        <w:numPr>
          <w:ilvl w:val="0"/>
          <w:numId w:val="1054"/>
        </w:numPr>
        <w:tabs>
          <w:tab w:val="clear" w:pos="1080"/>
          <w:tab w:val="num" w:pos="840"/>
        </w:tabs>
        <w:spacing w:after="240" w:line="360" w:lineRule="exact"/>
        <w:ind w:left="840"/>
        <w:rPr>
          <w:szCs w:val="24"/>
        </w:rPr>
      </w:pPr>
      <w:r>
        <w:rPr>
          <w:rFonts w:hint="eastAsia"/>
          <w:szCs w:val="24"/>
        </w:rPr>
        <w:t>监察员；</w:t>
      </w:r>
    </w:p>
    <w:p w:rsidR="00000000" w:rsidRDefault="00B83709">
      <w:pPr>
        <w:numPr>
          <w:ilvl w:val="0"/>
          <w:numId w:val="1054"/>
        </w:numPr>
        <w:tabs>
          <w:tab w:val="clear" w:pos="1080"/>
          <w:tab w:val="num" w:pos="840"/>
        </w:tabs>
        <w:spacing w:after="240" w:line="360" w:lineRule="exact"/>
        <w:ind w:left="840"/>
        <w:rPr>
          <w:szCs w:val="24"/>
        </w:rPr>
      </w:pPr>
      <w:r>
        <w:rPr>
          <w:rFonts w:hint="eastAsia"/>
          <w:szCs w:val="24"/>
        </w:rPr>
        <w:t>宪法法院；</w:t>
      </w:r>
    </w:p>
    <w:p w:rsidR="00000000" w:rsidRDefault="00B83709">
      <w:pPr>
        <w:numPr>
          <w:ilvl w:val="0"/>
          <w:numId w:val="1054"/>
        </w:numPr>
        <w:tabs>
          <w:tab w:val="clear" w:pos="1080"/>
          <w:tab w:val="num" w:pos="840"/>
        </w:tabs>
        <w:spacing w:after="240" w:line="360" w:lineRule="exact"/>
        <w:ind w:left="840"/>
        <w:rPr>
          <w:szCs w:val="24"/>
        </w:rPr>
      </w:pPr>
      <w:r>
        <w:rPr>
          <w:rFonts w:hint="eastAsia"/>
          <w:szCs w:val="24"/>
        </w:rPr>
        <w:t>选举委员会；以及</w:t>
      </w:r>
    </w:p>
    <w:p w:rsidR="00000000" w:rsidRDefault="00B83709">
      <w:pPr>
        <w:numPr>
          <w:ilvl w:val="0"/>
          <w:numId w:val="1054"/>
        </w:numPr>
        <w:tabs>
          <w:tab w:val="clear" w:pos="1080"/>
          <w:tab w:val="num" w:pos="840"/>
        </w:tabs>
        <w:spacing w:after="240" w:line="360" w:lineRule="exact"/>
        <w:ind w:left="840"/>
        <w:rPr>
          <w:szCs w:val="24"/>
        </w:rPr>
      </w:pPr>
      <w:r>
        <w:rPr>
          <w:rFonts w:hint="eastAsia"/>
          <w:szCs w:val="24"/>
        </w:rPr>
        <w:t>人权委员会。</w:t>
      </w:r>
    </w:p>
    <w:p w:rsidR="00000000" w:rsidRDefault="00B83709">
      <w:pPr>
        <w:numPr>
          <w:ilvl w:val="0"/>
          <w:numId w:val="1049"/>
        </w:numPr>
        <w:tabs>
          <w:tab w:val="clear" w:pos="360"/>
          <w:tab w:val="num" w:pos="480"/>
        </w:tabs>
        <w:spacing w:after="240" w:line="360" w:lineRule="exact"/>
        <w:rPr>
          <w:szCs w:val="24"/>
        </w:rPr>
      </w:pPr>
      <w:r>
        <w:rPr>
          <w:rFonts w:hint="eastAsia"/>
          <w:szCs w:val="24"/>
        </w:rPr>
        <w:t>《宪法》</w:t>
      </w:r>
      <w:r>
        <w:rPr>
          <w:szCs w:val="24"/>
        </w:rPr>
        <w:t>(</w:t>
      </w:r>
      <w:r>
        <w:rPr>
          <w:rFonts w:hint="eastAsia"/>
          <w:szCs w:val="24"/>
        </w:rPr>
        <w:t>第一百七十条</w:t>
      </w:r>
      <w:r>
        <w:rPr>
          <w:szCs w:val="24"/>
        </w:rPr>
        <w:t xml:space="preserve">) </w:t>
      </w:r>
      <w:r>
        <w:rPr>
          <w:rFonts w:hint="eastAsia"/>
          <w:szCs w:val="24"/>
        </w:rPr>
        <w:t>规定</w:t>
      </w:r>
      <w:r>
        <w:rPr>
          <w:rFonts w:hint="eastAsia"/>
          <w:szCs w:val="24"/>
        </w:rPr>
        <w:t>的一项重要措施准许</w:t>
      </w:r>
      <w:r>
        <w:rPr>
          <w:szCs w:val="24"/>
        </w:rPr>
        <w:t>50</w:t>
      </w:r>
      <w:r>
        <w:rPr>
          <w:rFonts w:hint="eastAsia"/>
          <w:szCs w:val="24"/>
        </w:rPr>
        <w:t xml:space="preserve"> </w:t>
      </w:r>
      <w:r>
        <w:rPr>
          <w:szCs w:val="24"/>
        </w:rPr>
        <w:t>000</w:t>
      </w:r>
      <w:r>
        <w:rPr>
          <w:rFonts w:hint="eastAsia"/>
          <w:szCs w:val="24"/>
        </w:rPr>
        <w:t>名合格选民向议会提交制订新法律的要求。</w:t>
      </w:r>
    </w:p>
    <w:p w:rsidR="00000000" w:rsidRDefault="00B83709">
      <w:pPr>
        <w:numPr>
          <w:ilvl w:val="0"/>
          <w:numId w:val="1049"/>
        </w:numPr>
        <w:tabs>
          <w:tab w:val="clear" w:pos="360"/>
          <w:tab w:val="num" w:pos="480"/>
        </w:tabs>
        <w:spacing w:after="240" w:line="360" w:lineRule="exact"/>
        <w:rPr>
          <w:szCs w:val="24"/>
        </w:rPr>
      </w:pPr>
      <w:r>
        <w:rPr>
          <w:rFonts w:hint="eastAsia"/>
          <w:szCs w:val="24"/>
        </w:rPr>
        <w:t>这种措施和组织是保护人民权利的重要机制，妇女是从这种改革中受益的一个重要群体。这些改进旨在促进公众参政、保护公民权利，以及解决选举中的不规范行为问题。希望这些制度和机制能够促进政治进步，并实现经济和社会改进。</w:t>
      </w:r>
    </w:p>
    <w:p w:rsidR="00000000" w:rsidRDefault="00B83709">
      <w:pPr>
        <w:spacing w:after="240" w:line="360" w:lineRule="exact"/>
        <w:jc w:val="center"/>
        <w:rPr>
          <w:rFonts w:eastAsia="SimHei" w:hint="eastAsia"/>
          <w:color w:val="FF0000"/>
          <w:sz w:val="24"/>
        </w:rPr>
      </w:pPr>
      <w:r>
        <w:rPr>
          <w:rFonts w:eastAsia="SimHei" w:hint="eastAsia"/>
          <w:color w:val="FF0000"/>
          <w:sz w:val="24"/>
        </w:rPr>
        <w:t>公约执行情况</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泰国是</w:t>
      </w:r>
      <w:r>
        <w:rPr>
          <w:rFonts w:hint="eastAsia"/>
          <w:szCs w:val="24"/>
        </w:rPr>
        <w:t>1985</w:t>
      </w:r>
      <w:r>
        <w:rPr>
          <w:rFonts w:hint="eastAsia"/>
          <w:szCs w:val="24"/>
        </w:rPr>
        <w:t>年加入公约的缔约国，并提出七项保留。五项保留已取消，但仍有两项具有效力，即第十六条和第二十九条。</w:t>
      </w:r>
    </w:p>
    <w:p w:rsidR="00000000" w:rsidRDefault="00B83709">
      <w:pPr>
        <w:numPr>
          <w:ilvl w:val="0"/>
          <w:numId w:val="1049"/>
        </w:numPr>
        <w:tabs>
          <w:tab w:val="clear" w:pos="360"/>
          <w:tab w:val="num" w:pos="480"/>
        </w:tabs>
        <w:spacing w:after="240" w:line="360" w:lineRule="exact"/>
        <w:rPr>
          <w:szCs w:val="24"/>
        </w:rPr>
      </w:pPr>
      <w:r>
        <w:rPr>
          <w:rFonts w:hint="eastAsia"/>
          <w:szCs w:val="24"/>
        </w:rPr>
        <w:t>关于家庭内的平等（第十六条），泰国正在努力制定各种法律，以促进这种平等；譬如，修正有关妇女选择姓氏及其婚后</w:t>
      </w:r>
      <w:r>
        <w:rPr>
          <w:rFonts w:hint="eastAsia"/>
          <w:szCs w:val="24"/>
        </w:rPr>
        <w:t>称谓（如小姐、夫人）的法律，提议制定有关家庭暴力的法律，详细内容将在本报告的下文介绍。</w:t>
      </w:r>
    </w:p>
    <w:p w:rsidR="00000000" w:rsidRDefault="00B83709">
      <w:pPr>
        <w:spacing w:after="240" w:line="360" w:lineRule="exact"/>
        <w:jc w:val="center"/>
        <w:rPr>
          <w:rFonts w:eastAsia="SimHei" w:hint="eastAsia"/>
          <w:color w:val="FF0000"/>
          <w:sz w:val="24"/>
        </w:rPr>
      </w:pPr>
      <w:r>
        <w:rPr>
          <w:rFonts w:eastAsia="SimHei" w:hint="eastAsia"/>
          <w:color w:val="FF0000"/>
          <w:sz w:val="24"/>
        </w:rPr>
        <w:t>机制和战略</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妇女事务全国委员会办公室是负责促进两性平等的国家机制。目前，它的地位仍然与上次报告确定的一样。副总理担任妇女事务全国委员会的主席，该委员会由政府、主要的非政府组织代表及两性平等专家组成。</w:t>
      </w:r>
    </w:p>
    <w:p w:rsidR="00000000" w:rsidRDefault="00B83709">
      <w:pPr>
        <w:numPr>
          <w:ilvl w:val="0"/>
          <w:numId w:val="1049"/>
        </w:numPr>
        <w:tabs>
          <w:tab w:val="clear" w:pos="360"/>
          <w:tab w:val="num" w:pos="480"/>
        </w:tabs>
        <w:spacing w:after="240" w:line="360" w:lineRule="exact"/>
        <w:rPr>
          <w:szCs w:val="24"/>
        </w:rPr>
      </w:pPr>
      <w:r>
        <w:rPr>
          <w:rFonts w:hint="eastAsia"/>
          <w:szCs w:val="24"/>
        </w:rPr>
        <w:t>但在</w:t>
      </w:r>
      <w:r>
        <w:rPr>
          <w:rFonts w:hint="eastAsia"/>
          <w:szCs w:val="24"/>
        </w:rPr>
        <w:t>2002</w:t>
      </w:r>
      <w:r>
        <w:rPr>
          <w:rFonts w:hint="eastAsia"/>
          <w:szCs w:val="24"/>
        </w:rPr>
        <w:t>年</w:t>
      </w:r>
      <w:r>
        <w:rPr>
          <w:rFonts w:hint="eastAsia"/>
          <w:szCs w:val="24"/>
        </w:rPr>
        <w:t>10</w:t>
      </w:r>
      <w:r>
        <w:rPr>
          <w:rFonts w:hint="eastAsia"/>
          <w:szCs w:val="24"/>
        </w:rPr>
        <w:t>月，各部会均进行了结构改革。妇女事务全国委员会办公室隶属于新组建的社会发展和人类安全部，其任务是发展、帮助和保护儿童、青年、妇女、老人和残障人，并管理福利和康复事务。在新部内设立了妇女办公室，并与家庭发展处</w:t>
      </w:r>
      <w:r>
        <w:rPr>
          <w:rFonts w:hint="eastAsia"/>
          <w:szCs w:val="24"/>
        </w:rPr>
        <w:t>合并。</w:t>
      </w:r>
    </w:p>
    <w:p w:rsidR="00000000" w:rsidRDefault="00B83709">
      <w:pPr>
        <w:pStyle w:val="Title"/>
        <w:numPr>
          <w:ilvl w:val="0"/>
          <w:numId w:val="0"/>
        </w:numPr>
        <w:spacing w:before="240" w:after="240" w:line="360" w:lineRule="exact"/>
        <w:jc w:val="both"/>
        <w:rPr>
          <w:rFonts w:eastAsia="SimHei" w:hint="eastAsia"/>
          <w:b w:val="0"/>
          <w:bCs/>
          <w:color w:val="FF0000"/>
          <w:sz w:val="28"/>
          <w:szCs w:val="24"/>
        </w:rPr>
      </w:pPr>
      <w:r>
        <w:rPr>
          <w:rFonts w:eastAsia="SimHei" w:hint="eastAsia"/>
          <w:b w:val="0"/>
          <w:bCs/>
          <w:color w:val="FF0000"/>
          <w:sz w:val="28"/>
          <w:szCs w:val="24"/>
        </w:rPr>
        <w:t>第二部分</w:t>
      </w:r>
    </w:p>
    <w:p w:rsidR="00000000" w:rsidRDefault="00B83709">
      <w:pPr>
        <w:pStyle w:val="Subtitle"/>
        <w:pBdr>
          <w:bottom w:val="none" w:sz="0" w:space="0" w:color="auto"/>
        </w:pBdr>
        <w:spacing w:before="0" w:after="240" w:line="360" w:lineRule="exact"/>
        <w:jc w:val="both"/>
        <w:rPr>
          <w:rFonts w:ascii="Times New Roman" w:eastAsia="SimHei" w:hAnsi="Times New Roman" w:hint="eastAsia"/>
          <w:b w:val="0"/>
          <w:bCs/>
          <w:color w:val="FF0000"/>
          <w:sz w:val="28"/>
          <w:szCs w:val="24"/>
          <w:lang w:eastAsia="zh-CN"/>
        </w:rPr>
      </w:pPr>
      <w:r>
        <w:rPr>
          <w:rFonts w:ascii="Times New Roman" w:eastAsia="SimHei" w:hAnsi="Times New Roman" w:hint="eastAsia"/>
          <w:b w:val="0"/>
          <w:bCs/>
          <w:color w:val="FF0000"/>
          <w:sz w:val="28"/>
          <w:szCs w:val="24"/>
          <w:lang w:eastAsia="zh-CN"/>
        </w:rPr>
        <w:t>条款</w:t>
      </w:r>
    </w:p>
    <w:p w:rsidR="00000000" w:rsidRDefault="00B83709">
      <w:pPr>
        <w:spacing w:after="240" w:line="360" w:lineRule="exact"/>
        <w:jc w:val="center"/>
        <w:rPr>
          <w:rFonts w:eastAsia="SimHei" w:hint="eastAsia"/>
          <w:color w:val="FF0000"/>
          <w:sz w:val="24"/>
        </w:rPr>
      </w:pPr>
      <w:r>
        <w:rPr>
          <w:rFonts w:eastAsia="SimHei" w:hint="eastAsia"/>
          <w:color w:val="FF0000"/>
          <w:sz w:val="24"/>
        </w:rPr>
        <w:t>第一条：歧视的定义</w:t>
      </w:r>
    </w:p>
    <w:p w:rsidR="00000000" w:rsidRDefault="00B83709" w:rsidP="00B83709">
      <w:pPr>
        <w:pStyle w:val="BodyText3"/>
        <w:spacing w:after="240" w:line="360" w:lineRule="exact"/>
        <w:ind w:firstLineChars="200" w:firstLine="31680"/>
        <w:rPr>
          <w:rFonts w:eastAsia="KaiTi_GB2312"/>
          <w:iCs/>
          <w:color w:val="0000FF"/>
          <w:sz w:val="21"/>
          <w:szCs w:val="24"/>
          <w:lang w:eastAsia="zh-CN"/>
        </w:rPr>
      </w:pPr>
      <w:r>
        <w:rPr>
          <w:rFonts w:eastAsia="KaiTi_GB2312"/>
          <w:iCs/>
          <w:color w:val="0000FF"/>
          <w:sz w:val="21"/>
          <w:szCs w:val="24"/>
          <w:lang w:eastAsia="zh-CN"/>
        </w:rPr>
        <w:t>为本公约的目的，</w:t>
      </w:r>
      <w:r>
        <w:rPr>
          <w:rFonts w:eastAsia="KaiTi_GB2312" w:hint="eastAsia"/>
          <w:iCs/>
          <w:color w:val="0000FF"/>
          <w:sz w:val="21"/>
          <w:szCs w:val="24"/>
          <w:lang w:eastAsia="zh-CN"/>
        </w:rPr>
        <w:t>“</w:t>
      </w:r>
      <w:r>
        <w:rPr>
          <w:rFonts w:eastAsia="KaiTi_GB2312"/>
          <w:iCs/>
          <w:color w:val="0000FF"/>
          <w:sz w:val="21"/>
          <w:szCs w:val="24"/>
          <w:lang w:eastAsia="zh-CN"/>
        </w:rPr>
        <w:t>对妇女的歧视</w:t>
      </w:r>
      <w:r>
        <w:rPr>
          <w:rFonts w:eastAsia="KaiTi_GB2312" w:hint="eastAsia"/>
          <w:iCs/>
          <w:color w:val="0000FF"/>
          <w:sz w:val="21"/>
          <w:szCs w:val="24"/>
          <w:lang w:eastAsia="zh-CN"/>
        </w:rPr>
        <w:t>”</w:t>
      </w:r>
      <w:r>
        <w:rPr>
          <w:rFonts w:eastAsia="KaiTi_GB2312"/>
          <w:iCs/>
          <w:color w:val="0000FF"/>
          <w:sz w:val="21"/>
          <w:szCs w:val="24"/>
          <w:lang w:eastAsia="zh-CN"/>
        </w:rPr>
        <w:t>一词指基于性别而作的任何区别、排斥或限制，其影响或其目的均足以妨碍或否认妇女不论已婚未婚在男女平等的基础上认识、享有或行使在政治、经济、社会、文化、公民或任何其他方面的人权和基本自由。</w:t>
      </w:r>
      <w:r>
        <w:rPr>
          <w:rFonts w:eastAsia="KaiTi_GB2312"/>
          <w:iCs/>
          <w:color w:val="0000FF"/>
          <w:sz w:val="21"/>
          <w:szCs w:val="24"/>
          <w:lang w:eastAsia="zh-CN"/>
        </w:rPr>
        <w:t xml:space="preserve"> </w:t>
      </w:r>
    </w:p>
    <w:p w:rsidR="00000000" w:rsidRDefault="00B83709">
      <w:pPr>
        <w:numPr>
          <w:ilvl w:val="0"/>
          <w:numId w:val="1049"/>
        </w:numPr>
        <w:tabs>
          <w:tab w:val="clear" w:pos="360"/>
          <w:tab w:val="num" w:pos="480"/>
        </w:tabs>
        <w:spacing w:after="240" w:line="360" w:lineRule="exact"/>
        <w:rPr>
          <w:snapToGrid w:val="0"/>
          <w:szCs w:val="24"/>
        </w:rPr>
      </w:pPr>
      <w:r>
        <w:rPr>
          <w:rFonts w:hint="eastAsia"/>
          <w:snapToGrid w:val="0"/>
          <w:szCs w:val="24"/>
        </w:rPr>
        <w:t>泰国法律还没有明确确定歧视的定义。但是，泰国作为公约的缔约国，同意实施上文楷体字部分的公约第一条的定义。</w:t>
      </w:r>
      <w:r>
        <w:rPr>
          <w:snapToGrid w:val="0"/>
          <w:szCs w:val="24"/>
        </w:rPr>
        <w:t xml:space="preserve">  </w:t>
      </w:r>
    </w:p>
    <w:p w:rsidR="00000000" w:rsidRDefault="00B83709">
      <w:pPr>
        <w:numPr>
          <w:ilvl w:val="0"/>
          <w:numId w:val="1049"/>
        </w:numPr>
        <w:tabs>
          <w:tab w:val="clear" w:pos="360"/>
          <w:tab w:val="num" w:pos="480"/>
        </w:tabs>
        <w:spacing w:after="240" w:line="360" w:lineRule="exact"/>
        <w:rPr>
          <w:snapToGrid w:val="0"/>
          <w:szCs w:val="24"/>
        </w:rPr>
      </w:pPr>
      <w:r>
        <w:rPr>
          <w:rFonts w:hint="eastAsia"/>
          <w:snapToGrid w:val="0"/>
          <w:szCs w:val="24"/>
        </w:rPr>
        <w:t>此外，泰国已</w:t>
      </w:r>
      <w:r>
        <w:rPr>
          <w:rFonts w:hint="eastAsia"/>
          <w:szCs w:val="24"/>
        </w:rPr>
        <w:t>做</w:t>
      </w:r>
      <w:r>
        <w:rPr>
          <w:rFonts w:hint="eastAsia"/>
          <w:snapToGrid w:val="0"/>
          <w:szCs w:val="24"/>
        </w:rPr>
        <w:t>出努力，以制定关于消除对妇女歧视的法律。一部这样的法律目前正由妇女事务全国委员会下属的全国法律委员会审议，并使用了与公约相同</w:t>
      </w:r>
      <w:r>
        <w:rPr>
          <w:rFonts w:hint="eastAsia"/>
          <w:snapToGrid w:val="0"/>
          <w:szCs w:val="24"/>
        </w:rPr>
        <w:t>的定义。</w:t>
      </w:r>
    </w:p>
    <w:p w:rsidR="00000000" w:rsidRDefault="00B83709">
      <w:pPr>
        <w:numPr>
          <w:ilvl w:val="0"/>
          <w:numId w:val="1049"/>
        </w:numPr>
        <w:tabs>
          <w:tab w:val="clear" w:pos="360"/>
          <w:tab w:val="num" w:pos="480"/>
        </w:tabs>
        <w:spacing w:after="240" w:line="360" w:lineRule="exact"/>
        <w:rPr>
          <w:snapToGrid w:val="0"/>
          <w:szCs w:val="24"/>
        </w:rPr>
      </w:pPr>
      <w:r>
        <w:rPr>
          <w:rFonts w:hint="eastAsia"/>
          <w:snapToGrid w:val="0"/>
          <w:szCs w:val="24"/>
        </w:rPr>
        <w:t>《</w:t>
      </w:r>
      <w:r>
        <w:rPr>
          <w:snapToGrid w:val="0"/>
          <w:szCs w:val="24"/>
        </w:rPr>
        <w:t>1997</w:t>
      </w:r>
      <w:r>
        <w:rPr>
          <w:rFonts w:hint="eastAsia"/>
          <w:snapToGrid w:val="0"/>
          <w:szCs w:val="24"/>
        </w:rPr>
        <w:t xml:space="preserve">年宪法》在以下条款中明确规定不加区别地促进平等：　</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第四条：“应保护人的尊严、权利和自由。”</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第五条：“泰国人民无论出身、性别或宗教如何，都应得到《宪法》的平等保护。”</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第二十八条：“个人可要求做人的尊严或行使其权利和自由，只要不侵犯他人的权利和自由，或者与本《宪法》或良好道德相抵触。”</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 xml:space="preserve">“凡由本《宪法》承认的权利和自由遭到侵犯的人，可援引《宪法》规定，提起法律诉讼，或者在法庭为本人辩护。”　</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第三十条：“法律面前人人平等，人人应受法律的平等保护。男子和妇女应享有同等权利。”</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“不得因出</w:t>
      </w:r>
      <w:r>
        <w:rPr>
          <w:rFonts w:hint="eastAsia"/>
          <w:snapToGrid w:val="0"/>
          <w:szCs w:val="24"/>
        </w:rPr>
        <w:t>身、种族、语言、性别、年龄、身心状况、个人身份、经济或社会地位、宗教信仰、教育或宪政观点的差异，对个人实施不正当的歧视。”</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“根据第三款，国家为消除障碍、或促进个人同他人一样行使权利和自由的能力而决定采取的措施，不得视为不正当的歧视。”</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第八十条：“国家应保护和发展儿童和青年，促进男女平等，加强和发展家庭纽带和社区。”</w:t>
      </w:r>
    </w:p>
    <w:p w:rsidR="00000000" w:rsidRDefault="00B83709" w:rsidP="00B83709">
      <w:pPr>
        <w:spacing w:after="240" w:line="360" w:lineRule="exact"/>
        <w:ind w:firstLineChars="200" w:firstLine="31680"/>
        <w:rPr>
          <w:rFonts w:hint="eastAsia"/>
          <w:snapToGrid w:val="0"/>
          <w:szCs w:val="24"/>
        </w:rPr>
      </w:pPr>
      <w:r>
        <w:rPr>
          <w:rFonts w:hint="eastAsia"/>
          <w:snapToGrid w:val="0"/>
          <w:szCs w:val="24"/>
        </w:rPr>
        <w:t>“国家应帮助老年人、穷人、残疾人以及社会经济地位低下的阶层享有良好的生活质量并使他们能够自食其力。”</w:t>
      </w:r>
    </w:p>
    <w:p w:rsidR="00000000" w:rsidRDefault="00B83709">
      <w:pPr>
        <w:numPr>
          <w:ilvl w:val="0"/>
          <w:numId w:val="1049"/>
        </w:numPr>
        <w:tabs>
          <w:tab w:val="clear" w:pos="360"/>
          <w:tab w:val="num" w:pos="480"/>
        </w:tabs>
        <w:spacing w:after="240" w:line="360" w:lineRule="exact"/>
        <w:rPr>
          <w:snapToGrid w:val="0"/>
          <w:szCs w:val="24"/>
        </w:rPr>
      </w:pPr>
      <w:r>
        <w:rPr>
          <w:rFonts w:hint="eastAsia"/>
          <w:snapToGrid w:val="0"/>
          <w:szCs w:val="24"/>
        </w:rPr>
        <w:t>第三十条最后一款规定，“凡为消除障碍或促进行使平等权利和自由而制定的政府措施，不得视为不</w:t>
      </w:r>
      <w:r>
        <w:rPr>
          <w:rFonts w:hint="eastAsia"/>
          <w:snapToGrid w:val="0"/>
          <w:szCs w:val="24"/>
        </w:rPr>
        <w:t>公平的歧视。”这项声明</w:t>
      </w:r>
      <w:r>
        <w:rPr>
          <w:rFonts w:hint="eastAsia"/>
          <w:szCs w:val="24"/>
        </w:rPr>
        <w:t>确认</w:t>
      </w:r>
      <w:r>
        <w:rPr>
          <w:rFonts w:hint="eastAsia"/>
          <w:snapToGrid w:val="0"/>
          <w:szCs w:val="24"/>
        </w:rPr>
        <w:t>，不考虑人的差别的平等待遇原则实际上可能导致不平等待遇。因此，最后一款明确规定，政府区别对待一群人的目的若是为了消除障碍，或者是为了促进行使其权利和自由，不得将这种待遇视为不公平。譬如，曼谷的高架列车系统建成后，政府拨付了大笔公共资金建造电梯，目的是方便残疾人乘坐列车。另外，政府以长期贷款形式为来自低收入家庭的学生提供奖学金。在这两种情形下，政府的行为不得被视为偏袒（不公平）或不公正待遇，而应被视为促进残疾人和低收入家庭儿童的权利和自由的支助措施。</w:t>
      </w:r>
    </w:p>
    <w:p w:rsidR="00000000" w:rsidRDefault="00B83709">
      <w:pPr>
        <w:numPr>
          <w:ilvl w:val="0"/>
          <w:numId w:val="1049"/>
        </w:numPr>
        <w:tabs>
          <w:tab w:val="clear" w:pos="360"/>
          <w:tab w:val="num" w:pos="480"/>
        </w:tabs>
        <w:spacing w:after="240" w:line="360" w:lineRule="exact"/>
        <w:rPr>
          <w:snapToGrid w:val="0"/>
          <w:szCs w:val="24"/>
        </w:rPr>
      </w:pPr>
      <w:r>
        <w:rPr>
          <w:rFonts w:hint="eastAsia"/>
          <w:snapToGrid w:val="0"/>
          <w:szCs w:val="24"/>
        </w:rPr>
        <w:t>泰国视平等原则为人类尊严的根本。</w:t>
      </w:r>
      <w:r>
        <w:rPr>
          <w:rFonts w:hint="eastAsia"/>
          <w:snapToGrid w:val="0"/>
          <w:szCs w:val="24"/>
        </w:rPr>
        <w:t>仅当在人们能够平等地行使为了保护他们以立法形式确定的权利时，人类尊严才能得到保护。因此，一切形式的歧视均违背平等原则和人类尊严。</w:t>
      </w:r>
    </w:p>
    <w:p w:rsidR="00000000" w:rsidRDefault="00B83709">
      <w:pPr>
        <w:spacing w:after="240" w:line="360" w:lineRule="exact"/>
        <w:jc w:val="center"/>
        <w:rPr>
          <w:rFonts w:eastAsia="SimHei" w:hint="eastAsia"/>
          <w:color w:val="FF0000"/>
          <w:sz w:val="24"/>
        </w:rPr>
      </w:pPr>
      <w:r>
        <w:rPr>
          <w:rFonts w:eastAsia="SimHei" w:hint="eastAsia"/>
          <w:color w:val="FF0000"/>
          <w:sz w:val="24"/>
        </w:rPr>
        <w:t>第二条：消除歧视的政策措施</w:t>
      </w:r>
    </w:p>
    <w:p w:rsidR="00000000" w:rsidRDefault="00B83709" w:rsidP="00B83709">
      <w:pPr>
        <w:spacing w:after="240" w:line="360" w:lineRule="exact"/>
        <w:ind w:firstLineChars="200" w:firstLine="31680"/>
        <w:rPr>
          <w:rFonts w:eastAsia="KaiTi_GB2312"/>
          <w:snapToGrid w:val="0"/>
          <w:color w:val="0000FF"/>
          <w:szCs w:val="24"/>
        </w:rPr>
      </w:pPr>
      <w:r>
        <w:rPr>
          <w:rFonts w:eastAsia="KaiTi_GB2312"/>
          <w:snapToGrid w:val="0"/>
          <w:color w:val="0000FF"/>
          <w:szCs w:val="24"/>
          <w:lang w:eastAsia="th-TH"/>
        </w:rPr>
        <w:t>缔约各国谴责对妇女一切形式的歧视，协议立即用一切适当办法，推行政策，消除对妇女的歧视。为此目的，承担：</w:t>
      </w:r>
      <w:r>
        <w:rPr>
          <w:rFonts w:eastAsia="KaiTi_GB2312"/>
          <w:snapToGrid w:val="0"/>
          <w:color w:val="0000FF"/>
          <w:szCs w:val="24"/>
        </w:rPr>
        <w:t xml:space="preserve"> </w:t>
      </w:r>
    </w:p>
    <w:p w:rsidR="00000000" w:rsidRDefault="00B83709">
      <w:pPr>
        <w:spacing w:after="240" w:line="360" w:lineRule="exact"/>
        <w:rPr>
          <w:rFonts w:eastAsia="KaiTi_GB2312"/>
          <w:snapToGrid w:val="0"/>
          <w:color w:val="0000FF"/>
          <w:szCs w:val="24"/>
        </w:rPr>
      </w:pPr>
      <w:r>
        <w:rPr>
          <w:rFonts w:eastAsia="KaiTi_GB2312"/>
          <w:snapToGrid w:val="0"/>
          <w:color w:val="0000FF"/>
          <w:szCs w:val="24"/>
        </w:rPr>
        <w:t>    </w:t>
      </w:r>
      <w:r>
        <w:rPr>
          <w:rFonts w:eastAsia="KaiTi_GB2312"/>
          <w:snapToGrid w:val="0"/>
          <w:color w:val="0000FF"/>
          <w:szCs w:val="24"/>
          <w:lang w:eastAsia="th-TH"/>
        </w:rPr>
        <w:t>（</w:t>
      </w:r>
      <w:r>
        <w:rPr>
          <w:rFonts w:eastAsia="KaiTi_GB2312" w:hint="eastAsia"/>
          <w:snapToGrid w:val="0"/>
          <w:color w:val="0000FF"/>
          <w:szCs w:val="24"/>
        </w:rPr>
        <w:t>a</w:t>
      </w:r>
      <w:r>
        <w:rPr>
          <w:rFonts w:eastAsia="KaiTi_GB2312"/>
          <w:snapToGrid w:val="0"/>
          <w:color w:val="0000FF"/>
          <w:szCs w:val="24"/>
          <w:lang w:eastAsia="th-TH"/>
        </w:rPr>
        <w:t>）男女平等的原则如尚未列入本国宪法或其他有关法律者，应将其列入，并以法律或其他适当方法，保证实现这项原则；</w:t>
      </w:r>
      <w:r>
        <w:rPr>
          <w:rFonts w:eastAsia="KaiTi_GB2312"/>
          <w:snapToGrid w:val="0"/>
          <w:color w:val="0000FF"/>
          <w:szCs w:val="24"/>
        </w:rPr>
        <w:t xml:space="preserve"> </w:t>
      </w:r>
    </w:p>
    <w:p w:rsidR="00000000" w:rsidRDefault="00B83709">
      <w:pPr>
        <w:spacing w:after="240" w:line="360" w:lineRule="exact"/>
        <w:rPr>
          <w:rFonts w:eastAsia="KaiTi_GB2312"/>
          <w:snapToGrid w:val="0"/>
          <w:color w:val="0000FF"/>
          <w:szCs w:val="24"/>
        </w:rPr>
      </w:pPr>
      <w:r>
        <w:rPr>
          <w:rFonts w:eastAsia="KaiTi_GB2312"/>
          <w:snapToGrid w:val="0"/>
          <w:color w:val="0000FF"/>
          <w:szCs w:val="24"/>
        </w:rPr>
        <w:t>    </w:t>
      </w:r>
      <w:r>
        <w:rPr>
          <w:rFonts w:eastAsia="KaiTi_GB2312"/>
          <w:snapToGrid w:val="0"/>
          <w:color w:val="0000FF"/>
          <w:szCs w:val="24"/>
          <w:lang w:eastAsia="th-TH"/>
        </w:rPr>
        <w:t>（</w:t>
      </w:r>
      <w:r>
        <w:rPr>
          <w:rFonts w:eastAsia="KaiTi_GB2312" w:hint="eastAsia"/>
          <w:snapToGrid w:val="0"/>
          <w:color w:val="0000FF"/>
          <w:szCs w:val="24"/>
        </w:rPr>
        <w:t>b</w:t>
      </w:r>
      <w:r>
        <w:rPr>
          <w:rFonts w:eastAsia="KaiTi_GB2312"/>
          <w:snapToGrid w:val="0"/>
          <w:color w:val="0000FF"/>
          <w:szCs w:val="24"/>
          <w:lang w:eastAsia="th-TH"/>
        </w:rPr>
        <w:t>）采取适当立法和其他措施，包括适当时采取制裁，禁止对妇女的一切歧视；</w:t>
      </w:r>
      <w:r>
        <w:rPr>
          <w:rFonts w:eastAsia="KaiTi_GB2312"/>
          <w:snapToGrid w:val="0"/>
          <w:color w:val="0000FF"/>
          <w:szCs w:val="24"/>
        </w:rPr>
        <w:t xml:space="preserve"> </w:t>
      </w:r>
    </w:p>
    <w:p w:rsidR="00000000" w:rsidRDefault="00B83709">
      <w:pPr>
        <w:spacing w:after="240" w:line="360" w:lineRule="exact"/>
        <w:rPr>
          <w:rFonts w:eastAsia="KaiTi_GB2312"/>
          <w:snapToGrid w:val="0"/>
          <w:color w:val="0000FF"/>
          <w:szCs w:val="24"/>
        </w:rPr>
      </w:pPr>
      <w:r>
        <w:rPr>
          <w:rFonts w:eastAsia="KaiTi_GB2312"/>
          <w:snapToGrid w:val="0"/>
          <w:color w:val="0000FF"/>
          <w:szCs w:val="24"/>
        </w:rPr>
        <w:t>    </w:t>
      </w:r>
      <w:r>
        <w:rPr>
          <w:rFonts w:eastAsia="KaiTi_GB2312"/>
          <w:snapToGrid w:val="0"/>
          <w:color w:val="0000FF"/>
          <w:szCs w:val="24"/>
          <w:lang w:eastAsia="th-TH"/>
        </w:rPr>
        <w:t>（</w:t>
      </w:r>
      <w:r>
        <w:rPr>
          <w:rFonts w:eastAsia="KaiTi_GB2312" w:hint="eastAsia"/>
          <w:snapToGrid w:val="0"/>
          <w:color w:val="0000FF"/>
          <w:szCs w:val="24"/>
        </w:rPr>
        <w:t>c</w:t>
      </w:r>
      <w:r>
        <w:rPr>
          <w:rFonts w:eastAsia="KaiTi_GB2312"/>
          <w:snapToGrid w:val="0"/>
          <w:color w:val="0000FF"/>
          <w:szCs w:val="24"/>
          <w:lang w:eastAsia="th-TH"/>
        </w:rPr>
        <w:t>）为妇女与男子平等的权利确立法</w:t>
      </w:r>
      <w:r>
        <w:rPr>
          <w:rFonts w:eastAsia="KaiTi_GB2312"/>
          <w:snapToGrid w:val="0"/>
          <w:color w:val="0000FF"/>
          <w:szCs w:val="24"/>
          <w:lang w:eastAsia="th-TH"/>
        </w:rPr>
        <w:t>律保护，通过各国的主管法庭及其他公共机构，保证切实保护妇女不受任何歧视；</w:t>
      </w:r>
      <w:r>
        <w:rPr>
          <w:rFonts w:eastAsia="KaiTi_GB2312"/>
          <w:snapToGrid w:val="0"/>
          <w:color w:val="0000FF"/>
          <w:szCs w:val="24"/>
        </w:rPr>
        <w:t xml:space="preserve"> </w:t>
      </w:r>
    </w:p>
    <w:p w:rsidR="00000000" w:rsidRDefault="00B83709">
      <w:pPr>
        <w:spacing w:after="240" w:line="360" w:lineRule="exact"/>
        <w:rPr>
          <w:rFonts w:eastAsia="KaiTi_GB2312"/>
          <w:snapToGrid w:val="0"/>
          <w:color w:val="0000FF"/>
          <w:szCs w:val="24"/>
        </w:rPr>
      </w:pPr>
      <w:r>
        <w:rPr>
          <w:rFonts w:eastAsia="KaiTi_GB2312"/>
          <w:snapToGrid w:val="0"/>
          <w:color w:val="0000FF"/>
          <w:szCs w:val="24"/>
        </w:rPr>
        <w:t>    </w:t>
      </w:r>
      <w:r>
        <w:rPr>
          <w:rFonts w:eastAsia="KaiTi_GB2312"/>
          <w:snapToGrid w:val="0"/>
          <w:color w:val="0000FF"/>
          <w:szCs w:val="24"/>
          <w:lang w:eastAsia="th-TH"/>
        </w:rPr>
        <w:t>（</w:t>
      </w:r>
      <w:r>
        <w:rPr>
          <w:rFonts w:eastAsia="KaiTi_GB2312" w:hint="eastAsia"/>
          <w:snapToGrid w:val="0"/>
          <w:color w:val="0000FF"/>
          <w:szCs w:val="24"/>
        </w:rPr>
        <w:t>d</w:t>
      </w:r>
      <w:r>
        <w:rPr>
          <w:rFonts w:eastAsia="KaiTi_GB2312"/>
          <w:snapToGrid w:val="0"/>
          <w:color w:val="0000FF"/>
          <w:szCs w:val="24"/>
          <w:lang w:eastAsia="th-TH"/>
        </w:rPr>
        <w:t>）不采取任何歧视妇女的行为或作法，并保证公共当局和公共机构的行动都不违背这项义务；</w:t>
      </w:r>
      <w:r>
        <w:rPr>
          <w:rFonts w:eastAsia="KaiTi_GB2312"/>
          <w:snapToGrid w:val="0"/>
          <w:color w:val="0000FF"/>
          <w:szCs w:val="24"/>
        </w:rPr>
        <w:t xml:space="preserve"> </w:t>
      </w:r>
    </w:p>
    <w:p w:rsidR="00000000" w:rsidRDefault="00B83709">
      <w:pPr>
        <w:spacing w:after="240" w:line="360" w:lineRule="exact"/>
        <w:rPr>
          <w:rFonts w:eastAsia="KaiTi_GB2312"/>
          <w:snapToGrid w:val="0"/>
          <w:color w:val="0000FF"/>
          <w:szCs w:val="24"/>
        </w:rPr>
      </w:pPr>
      <w:r>
        <w:rPr>
          <w:rFonts w:eastAsia="KaiTi_GB2312"/>
          <w:snapToGrid w:val="0"/>
          <w:color w:val="0000FF"/>
          <w:szCs w:val="24"/>
        </w:rPr>
        <w:t>    </w:t>
      </w:r>
      <w:r>
        <w:rPr>
          <w:rFonts w:eastAsia="KaiTi_GB2312"/>
          <w:snapToGrid w:val="0"/>
          <w:color w:val="0000FF"/>
          <w:szCs w:val="24"/>
          <w:lang w:eastAsia="th-TH"/>
        </w:rPr>
        <w:t>（</w:t>
      </w:r>
      <w:r>
        <w:rPr>
          <w:rFonts w:eastAsia="KaiTi_GB2312" w:hint="eastAsia"/>
          <w:snapToGrid w:val="0"/>
          <w:color w:val="0000FF"/>
          <w:szCs w:val="24"/>
        </w:rPr>
        <w:t>e</w:t>
      </w:r>
      <w:r>
        <w:rPr>
          <w:rFonts w:eastAsia="KaiTi_GB2312"/>
          <w:snapToGrid w:val="0"/>
          <w:color w:val="0000FF"/>
          <w:szCs w:val="24"/>
          <w:lang w:eastAsia="th-TH"/>
        </w:rPr>
        <w:t>）应采取一切适当措施，消除任何个人、组织或企业对妇女的歧视；</w:t>
      </w:r>
      <w:r>
        <w:rPr>
          <w:rFonts w:eastAsia="KaiTi_GB2312"/>
          <w:snapToGrid w:val="0"/>
          <w:color w:val="0000FF"/>
          <w:szCs w:val="24"/>
        </w:rPr>
        <w:t xml:space="preserve"> </w:t>
      </w:r>
    </w:p>
    <w:p w:rsidR="00000000" w:rsidRDefault="00B83709">
      <w:pPr>
        <w:spacing w:after="240" w:line="360" w:lineRule="exact"/>
        <w:rPr>
          <w:rFonts w:eastAsia="KaiTi_GB2312"/>
          <w:snapToGrid w:val="0"/>
          <w:color w:val="0000FF"/>
          <w:szCs w:val="24"/>
        </w:rPr>
      </w:pPr>
      <w:r>
        <w:rPr>
          <w:rFonts w:eastAsia="KaiTi_GB2312"/>
          <w:snapToGrid w:val="0"/>
          <w:color w:val="0000FF"/>
          <w:szCs w:val="24"/>
        </w:rPr>
        <w:t>    </w:t>
      </w:r>
      <w:r>
        <w:rPr>
          <w:rFonts w:eastAsia="KaiTi_GB2312"/>
          <w:snapToGrid w:val="0"/>
          <w:color w:val="0000FF"/>
          <w:szCs w:val="24"/>
          <w:lang w:eastAsia="th-TH"/>
        </w:rPr>
        <w:t>（</w:t>
      </w:r>
      <w:r>
        <w:rPr>
          <w:rFonts w:eastAsia="KaiTi_GB2312" w:hint="eastAsia"/>
          <w:snapToGrid w:val="0"/>
          <w:color w:val="0000FF"/>
          <w:szCs w:val="24"/>
        </w:rPr>
        <w:t>f</w:t>
      </w:r>
      <w:r>
        <w:rPr>
          <w:rFonts w:eastAsia="KaiTi_GB2312"/>
          <w:snapToGrid w:val="0"/>
          <w:color w:val="0000FF"/>
          <w:szCs w:val="24"/>
          <w:lang w:eastAsia="th-TH"/>
        </w:rPr>
        <w:t>）应采取一切适当措施，包括制定法律，以修改或废除构成对妇女歧视的现行法律、规章、习俗和惯例；</w:t>
      </w:r>
      <w:r>
        <w:rPr>
          <w:rFonts w:eastAsia="KaiTi_GB2312"/>
          <w:snapToGrid w:val="0"/>
          <w:color w:val="0000FF"/>
          <w:szCs w:val="24"/>
        </w:rPr>
        <w:t xml:space="preserve"> </w:t>
      </w:r>
    </w:p>
    <w:p w:rsidR="00000000" w:rsidRDefault="00B83709">
      <w:pPr>
        <w:spacing w:after="240" w:line="360" w:lineRule="exact"/>
        <w:rPr>
          <w:rFonts w:hint="eastAsia"/>
          <w:snapToGrid w:val="0"/>
          <w:szCs w:val="24"/>
        </w:rPr>
      </w:pPr>
      <w:r>
        <w:rPr>
          <w:rFonts w:eastAsia="KaiTi_GB2312"/>
          <w:snapToGrid w:val="0"/>
          <w:color w:val="0000FF"/>
          <w:szCs w:val="24"/>
        </w:rPr>
        <w:t>    </w:t>
      </w:r>
      <w:r>
        <w:rPr>
          <w:rFonts w:eastAsia="KaiTi_GB2312"/>
          <w:snapToGrid w:val="0"/>
          <w:color w:val="0000FF"/>
          <w:szCs w:val="24"/>
          <w:lang w:eastAsia="th-TH"/>
        </w:rPr>
        <w:t>（</w:t>
      </w:r>
      <w:r>
        <w:rPr>
          <w:rFonts w:eastAsia="KaiTi_GB2312" w:hint="eastAsia"/>
          <w:snapToGrid w:val="0"/>
          <w:color w:val="0000FF"/>
          <w:szCs w:val="24"/>
        </w:rPr>
        <w:t>g</w:t>
      </w:r>
      <w:r>
        <w:rPr>
          <w:rFonts w:eastAsia="KaiTi_GB2312"/>
          <w:snapToGrid w:val="0"/>
          <w:color w:val="0000FF"/>
          <w:szCs w:val="24"/>
          <w:lang w:eastAsia="th-TH"/>
        </w:rPr>
        <w:t>）</w:t>
      </w:r>
      <w:r>
        <w:rPr>
          <w:rFonts w:eastAsia="KaiTi_GB2312"/>
          <w:snapToGrid w:val="0"/>
          <w:color w:val="0000FF"/>
          <w:szCs w:val="24"/>
        </w:rPr>
        <w:t xml:space="preserve"> </w:t>
      </w:r>
      <w:r>
        <w:rPr>
          <w:rFonts w:eastAsia="KaiTi_GB2312"/>
          <w:snapToGrid w:val="0"/>
          <w:color w:val="0000FF"/>
          <w:szCs w:val="24"/>
          <w:lang w:eastAsia="th-TH"/>
        </w:rPr>
        <w:t>同意废止本国刑法内构成对妇女歧视的一切规定。</w:t>
      </w:r>
      <w:r>
        <w:rPr>
          <w:rFonts w:eastAsia="KaiTi_GB2312"/>
          <w:snapToGrid w:val="0"/>
          <w:color w:val="0000FF"/>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napToGrid w:val="0"/>
          <w:szCs w:val="24"/>
        </w:rPr>
        <w:t>《</w:t>
      </w:r>
      <w:r>
        <w:rPr>
          <w:rFonts w:hint="eastAsia"/>
          <w:snapToGrid w:val="0"/>
          <w:szCs w:val="24"/>
        </w:rPr>
        <w:t>1997</w:t>
      </w:r>
      <w:r>
        <w:rPr>
          <w:rFonts w:hint="eastAsia"/>
          <w:snapToGrid w:val="0"/>
          <w:szCs w:val="24"/>
        </w:rPr>
        <w:t>年宪法》第三十条明确规定人人享有平等机会。为促进男女平等和平等角色，泰国政府为各</w:t>
      </w:r>
      <w:r>
        <w:rPr>
          <w:rFonts w:hint="eastAsia"/>
          <w:snapToGrid w:val="0"/>
          <w:szCs w:val="24"/>
        </w:rPr>
        <w:t>机构制订了一项政策，以便它们分别指派一名高级官员，制订对性别问题具有敏感认识的政策，并监督政策的执行。分派给一个协调中心的任务是进行全面协调，以保证实际工作中的两性平等，包括拟订一份总计划，以促进两性平等，并将两性平等原则纳入所有机构的项目和方案。妇女事务全国委员会向内阁提交了一份提案，提议任命一名行政管理人员，负责促进男女任务，其头衔是两性平等问题主任，并在各部会建立两性平等协调中心（性别问题协调中心）。担任两性平等问题主任一职的人应当是一名高级行政人员（至少是各部会的副主任），并且相信所有人无论性别如何</w:t>
      </w:r>
      <w:r>
        <w:rPr>
          <w:rFonts w:hint="eastAsia"/>
          <w:snapToGrid w:val="0"/>
          <w:szCs w:val="24"/>
        </w:rPr>
        <w:t>的潜力和能力。他或她也应接受将性别观点纳入主流和倡导两性平等的训练。内阁于</w:t>
      </w:r>
      <w:r>
        <w:rPr>
          <w:rFonts w:hint="eastAsia"/>
          <w:snapToGrid w:val="0"/>
          <w:szCs w:val="24"/>
        </w:rPr>
        <w:t>2001</w:t>
      </w:r>
      <w:r>
        <w:rPr>
          <w:rFonts w:hint="eastAsia"/>
          <w:snapToGrid w:val="0"/>
          <w:szCs w:val="24"/>
        </w:rPr>
        <w:t>年</w:t>
      </w:r>
      <w:r>
        <w:rPr>
          <w:rFonts w:hint="eastAsia"/>
          <w:snapToGrid w:val="0"/>
          <w:szCs w:val="24"/>
        </w:rPr>
        <w:t>7</w:t>
      </w:r>
      <w:r>
        <w:rPr>
          <w:rFonts w:hint="eastAsia"/>
          <w:snapToGrid w:val="0"/>
          <w:szCs w:val="24"/>
        </w:rPr>
        <w:t>月</w:t>
      </w:r>
      <w:r>
        <w:rPr>
          <w:rFonts w:hint="eastAsia"/>
          <w:snapToGrid w:val="0"/>
          <w:szCs w:val="24"/>
        </w:rPr>
        <w:t>31</w:t>
      </w:r>
      <w:r>
        <w:rPr>
          <w:rFonts w:hint="eastAsia"/>
          <w:snapToGrid w:val="0"/>
          <w:szCs w:val="24"/>
        </w:rPr>
        <w:t>日核准这一提案。</w:t>
      </w:r>
    </w:p>
    <w:p w:rsidR="00000000" w:rsidRDefault="00B83709">
      <w:pPr>
        <w:numPr>
          <w:ilvl w:val="0"/>
          <w:numId w:val="1049"/>
        </w:numPr>
        <w:tabs>
          <w:tab w:val="clear" w:pos="360"/>
          <w:tab w:val="num" w:pos="480"/>
        </w:tabs>
        <w:spacing w:after="240" w:line="360" w:lineRule="exact"/>
        <w:rPr>
          <w:szCs w:val="24"/>
        </w:rPr>
      </w:pPr>
      <w:r>
        <w:rPr>
          <w:rFonts w:hint="eastAsia"/>
          <w:snapToGrid w:val="0"/>
          <w:szCs w:val="24"/>
        </w:rPr>
        <w:t>两性平等问题</w:t>
      </w:r>
      <w:r>
        <w:rPr>
          <w:rFonts w:hint="eastAsia"/>
          <w:szCs w:val="24"/>
        </w:rPr>
        <w:t>主任</w:t>
      </w:r>
      <w:r>
        <w:rPr>
          <w:rFonts w:hint="eastAsia"/>
          <w:snapToGrid w:val="0"/>
          <w:szCs w:val="24"/>
        </w:rPr>
        <w:t>的任务和职责是：</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1</w:t>
      </w:r>
      <w:r>
        <w:rPr>
          <w:rFonts w:hint="eastAsia"/>
          <w:snapToGrid w:val="0"/>
          <w:szCs w:val="24"/>
        </w:rPr>
        <w:t>）促进政府组织内的平等，以便在男女政府官员间建立有利的理解与合作。将根据总计划通过举办活动来落实这一点。</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）发起并组织活动，以便使政府官员认识性别问题。</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3</w:t>
      </w:r>
      <w:r>
        <w:rPr>
          <w:rFonts w:hint="eastAsia"/>
          <w:snapToGrid w:val="0"/>
          <w:szCs w:val="24"/>
        </w:rPr>
        <w:t>）监督、检查、受理诉状，并提供咨询意见和建议，以保证政府机构的人员管理符合平等和人权原则，以及创建和促进公务员制度中的男女平等准则。</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4</w:t>
      </w:r>
      <w:r>
        <w:rPr>
          <w:rFonts w:hint="eastAsia"/>
          <w:snapToGrid w:val="0"/>
          <w:szCs w:val="24"/>
        </w:rPr>
        <w:t>）在政府组织间建立一个将性别观点纳入主流的网络，以便交流有关性别</w:t>
      </w:r>
      <w:r>
        <w:rPr>
          <w:rFonts w:hint="eastAsia"/>
          <w:snapToGrid w:val="0"/>
          <w:szCs w:val="24"/>
        </w:rPr>
        <w:t>和共同活动举办的信息和观点。</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5</w:t>
      </w:r>
      <w:r>
        <w:rPr>
          <w:rFonts w:hint="eastAsia"/>
          <w:snapToGrid w:val="0"/>
          <w:szCs w:val="24"/>
        </w:rPr>
        <w:t>）控制并监督两性问题协</w:t>
      </w:r>
      <w:r>
        <w:rPr>
          <w:rFonts w:hint="eastAsia"/>
          <w:szCs w:val="24"/>
        </w:rPr>
        <w:t>调中心的执行情况，以监督和报告执行情况。</w:t>
      </w:r>
    </w:p>
    <w:p w:rsidR="00000000" w:rsidRDefault="00B83709">
      <w:pPr>
        <w:numPr>
          <w:ilvl w:val="0"/>
          <w:numId w:val="1049"/>
        </w:numPr>
        <w:tabs>
          <w:tab w:val="clear" w:pos="360"/>
          <w:tab w:val="num" w:pos="480"/>
        </w:tabs>
        <w:spacing w:after="240" w:line="360" w:lineRule="exact"/>
        <w:rPr>
          <w:szCs w:val="24"/>
        </w:rPr>
      </w:pPr>
      <w:r>
        <w:rPr>
          <w:rFonts w:hint="eastAsia"/>
          <w:szCs w:val="24"/>
        </w:rPr>
        <w:t>将通过下列方式创建并支持两性问题协调中心。</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）各政府机构将监督</w:t>
      </w:r>
      <w:r>
        <w:rPr>
          <w:rFonts w:hint="eastAsia"/>
          <w:snapToGrid w:val="0"/>
          <w:szCs w:val="24"/>
        </w:rPr>
        <w:t>两性问题协调中心的任命。</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）两性问题协调中心的任务是根据总计划管理两性平等问题主任的促进两性平等活动，包括监督、评估和报告政府组织内的促进两性平等活动。</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3</w:t>
      </w:r>
      <w:r>
        <w:rPr>
          <w:rFonts w:hint="eastAsia"/>
          <w:snapToGrid w:val="0"/>
          <w:szCs w:val="24"/>
        </w:rPr>
        <w:t>）政府各机构应建立一个委员会，监督两性平等活动和两性平等问题协调中心的执行，并由两性平等问题主任担任该委员会主席，委员会的成员应了解并理解关心的问题。</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4</w:t>
      </w:r>
      <w:r>
        <w:rPr>
          <w:rFonts w:hint="eastAsia"/>
          <w:snapToGrid w:val="0"/>
          <w:szCs w:val="24"/>
        </w:rPr>
        <w:t>）政府组织将根据总</w:t>
      </w:r>
      <w:r>
        <w:rPr>
          <w:rFonts w:hint="eastAsia"/>
          <w:szCs w:val="24"/>
        </w:rPr>
        <w:t>计划在每年</w:t>
      </w:r>
      <w:r>
        <w:rPr>
          <w:rFonts w:hint="eastAsia"/>
          <w:szCs w:val="24"/>
        </w:rPr>
        <w:t>1</w:t>
      </w:r>
      <w:r>
        <w:rPr>
          <w:rFonts w:hint="eastAsia"/>
          <w:szCs w:val="24"/>
        </w:rPr>
        <w:t>月</w:t>
      </w:r>
      <w:r>
        <w:rPr>
          <w:rFonts w:hint="eastAsia"/>
          <w:szCs w:val="24"/>
        </w:rPr>
        <w:t>31</w:t>
      </w:r>
      <w:r>
        <w:rPr>
          <w:rFonts w:hint="eastAsia"/>
          <w:szCs w:val="24"/>
        </w:rPr>
        <w:t>日前报告其关于促进两性平等的执行活动以及将性别观点纳入主流活动。</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szCs w:val="24"/>
        </w:rPr>
        <w:t>1997</w:t>
      </w:r>
      <w:r>
        <w:rPr>
          <w:rFonts w:hint="eastAsia"/>
          <w:szCs w:val="24"/>
        </w:rPr>
        <w:t>年宪法》保障各方面的平等权利。譬如，第四十三条对基本教育权利做出了规定：“人人享有由国家提供的至少</w:t>
      </w:r>
      <w:r>
        <w:rPr>
          <w:rFonts w:hint="eastAsia"/>
          <w:szCs w:val="24"/>
        </w:rPr>
        <w:t>12</w:t>
      </w:r>
      <w:r>
        <w:rPr>
          <w:rFonts w:hint="eastAsia"/>
          <w:szCs w:val="24"/>
        </w:rPr>
        <w:t xml:space="preserve">年的免费普及基础教育的平等权利。”此外，第五十二条保障公共卫生权利，内容是：“人人享有获得基本公共卫生服务的平等权利，穷人有权在政府公共卫生中心免费接受治疗。”第八十六条对公平的劳动补偿做出了规定，内容是：“政府应便利劳动年龄人口的就业，特别应为妇女儿童提供劳动保护、建立劳动关系制度及提供社会保险。”　</w:t>
      </w:r>
    </w:p>
    <w:p w:rsidR="00000000" w:rsidRDefault="00B83709">
      <w:pPr>
        <w:numPr>
          <w:ilvl w:val="0"/>
          <w:numId w:val="1049"/>
        </w:numPr>
        <w:tabs>
          <w:tab w:val="clear" w:pos="360"/>
          <w:tab w:val="num" w:pos="480"/>
        </w:tabs>
        <w:spacing w:after="240" w:line="360" w:lineRule="exact"/>
        <w:rPr>
          <w:szCs w:val="24"/>
        </w:rPr>
      </w:pPr>
      <w:r>
        <w:rPr>
          <w:rFonts w:hint="eastAsia"/>
          <w:szCs w:val="24"/>
        </w:rPr>
        <w:t>本届政府认识到包括儿童</w:t>
      </w:r>
      <w:r>
        <w:rPr>
          <w:rFonts w:hint="eastAsia"/>
          <w:szCs w:val="24"/>
        </w:rPr>
        <w:t>、妇女和老人在内的家庭制度的重要性。《宪法》第十条载有一项社会强化政策，即政府应从身心健康和智力能力方面开发人力资源，并提高社会效率和可持续性，目的是提高道德水平和增强稳定。另外还有一项社会赋予家庭、儿童、青年、妇女和老人以权力的政策，根据这项政策，政府应制订政策，以便将关爱和稳固的家庭确定为经济复苏的基础，并为社会问题提供较为有力的预防办法。实现这些目标采取的某些办法如下。</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）在本地社区建立家庭发展中心，并由社区成员参与，目的是提供家庭信息和服务，如有益于健康的计划生育和家庭问</w:t>
      </w:r>
      <w:r>
        <w:rPr>
          <w:rFonts w:hint="eastAsia"/>
          <w:snapToGrid w:val="0"/>
          <w:szCs w:val="24"/>
        </w:rPr>
        <w:t>题的解决办法。</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）支</w:t>
      </w:r>
      <w:r>
        <w:rPr>
          <w:rFonts w:hint="eastAsia"/>
          <w:snapToGrid w:val="0"/>
          <w:szCs w:val="24"/>
        </w:rPr>
        <w:t>持在本地社区和工作机构建立合格的标准化保育中心。</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3</w:t>
      </w:r>
      <w:r>
        <w:rPr>
          <w:rFonts w:hint="eastAsia"/>
          <w:snapToGrid w:val="0"/>
          <w:szCs w:val="24"/>
        </w:rPr>
        <w:t>）修正并有效地执行法律，以保护、镇压和惩罚侵犯儿童权利及对儿童施暴的罪犯。</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4</w:t>
      </w:r>
      <w:r>
        <w:rPr>
          <w:rFonts w:hint="eastAsia"/>
          <w:snapToGrid w:val="0"/>
          <w:szCs w:val="24"/>
        </w:rPr>
        <w:t>）促进妇女的权利、地位和角色，目的是开发她们的潜力，使她们能够按照经济、社会和政治方针充分参与所属社区和国家的发展。</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5</w:t>
      </w:r>
      <w:r>
        <w:rPr>
          <w:rFonts w:hint="eastAsia"/>
          <w:snapToGrid w:val="0"/>
          <w:szCs w:val="24"/>
        </w:rPr>
        <w:t>）尊重老年人</w:t>
      </w:r>
      <w:r>
        <w:rPr>
          <w:rFonts w:hint="eastAsia"/>
          <w:szCs w:val="24"/>
        </w:rPr>
        <w:t>并为他们提供安全，采取的办法是建立社会安全网，发展保健服务，以及使他们有能力利用个人的知识和经验推动社会发展。</w:t>
      </w:r>
    </w:p>
    <w:p w:rsidR="00000000" w:rsidRDefault="00B83709">
      <w:pPr>
        <w:numPr>
          <w:ilvl w:val="0"/>
          <w:numId w:val="1049"/>
        </w:numPr>
        <w:tabs>
          <w:tab w:val="clear" w:pos="360"/>
          <w:tab w:val="num" w:pos="480"/>
        </w:tabs>
        <w:spacing w:after="240" w:line="360" w:lineRule="exact"/>
        <w:rPr>
          <w:szCs w:val="24"/>
        </w:rPr>
      </w:pPr>
      <w:r>
        <w:rPr>
          <w:rFonts w:hint="eastAsia"/>
          <w:szCs w:val="24"/>
        </w:rPr>
        <w:t>政府通过总理府指定妇女事务全国委员会为促进和协调妇女事务的协调中心。委员会主席是总理或由总理指定的副总理。副主席由总理府下属的一位部</w:t>
      </w:r>
      <w:r>
        <w:rPr>
          <w:rFonts w:hint="eastAsia"/>
          <w:szCs w:val="24"/>
        </w:rPr>
        <w:t>长担任，并由总理指定。委员会其他成员包括政府和非政府组织的负责人和代表，以及由总理指定的其他成员。委员会执行秘书兼委员是由常务秘书指定的副常务秘书。妇女事务全国委员会的任务如下：</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）向内阁提议促</w:t>
      </w:r>
      <w:r>
        <w:rPr>
          <w:rFonts w:hint="eastAsia"/>
          <w:snapToGrid w:val="0"/>
          <w:szCs w:val="24"/>
        </w:rPr>
        <w:t>进妇女角色和活动的政策和总计划。</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）制订执行内阁批准的且符合国民经济与社会发展计划的政策和总计划的准则，以及协调、监督和评估政策和总计划的执行。</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3</w:t>
      </w:r>
      <w:r>
        <w:rPr>
          <w:rFonts w:hint="eastAsia"/>
          <w:snapToGrid w:val="0"/>
          <w:szCs w:val="24"/>
        </w:rPr>
        <w:t>）协助其他政府机构和组织、国有企业和私营企业开展有关妇女发展的活动。</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4</w:t>
      </w:r>
      <w:r>
        <w:rPr>
          <w:rFonts w:hint="eastAsia"/>
          <w:snapToGrid w:val="0"/>
          <w:szCs w:val="24"/>
        </w:rPr>
        <w:t>）就需要的法律或者对现行法律的修正向总理提交意见和建议，目的是促进妇女活动以及妇女的角</w:t>
      </w:r>
      <w:r>
        <w:rPr>
          <w:rFonts w:hint="eastAsia"/>
          <w:snapToGrid w:val="0"/>
          <w:szCs w:val="24"/>
        </w:rPr>
        <w:t>色和地位。</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5</w:t>
      </w:r>
      <w:r>
        <w:rPr>
          <w:rFonts w:hint="eastAsia"/>
          <w:snapToGrid w:val="0"/>
          <w:szCs w:val="24"/>
        </w:rPr>
        <w:t>）至少每两年向内阁提交关于泰国妇女地位的报告。</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6</w:t>
      </w:r>
      <w:r>
        <w:rPr>
          <w:rFonts w:hint="eastAsia"/>
          <w:snapToGrid w:val="0"/>
          <w:szCs w:val="24"/>
        </w:rPr>
        <w:t>）请政府官员和雇员、国有企业工人或者其他有关人士就委员会的审议提出答复和意见，并为委员会的审议提供必要的文件。</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7</w:t>
      </w:r>
      <w:r>
        <w:rPr>
          <w:rFonts w:hint="eastAsia"/>
          <w:snapToGrid w:val="0"/>
          <w:szCs w:val="24"/>
        </w:rPr>
        <w:t>）完成内阁分配</w:t>
      </w:r>
      <w:r>
        <w:rPr>
          <w:rFonts w:hint="eastAsia"/>
          <w:szCs w:val="24"/>
        </w:rPr>
        <w:t>的其他妇女活动。</w:t>
      </w:r>
    </w:p>
    <w:p w:rsidR="00000000" w:rsidRDefault="00B83709">
      <w:pPr>
        <w:numPr>
          <w:ilvl w:val="0"/>
          <w:numId w:val="1049"/>
        </w:numPr>
        <w:tabs>
          <w:tab w:val="clear" w:pos="360"/>
          <w:tab w:val="num" w:pos="480"/>
        </w:tabs>
        <w:spacing w:after="240" w:line="360" w:lineRule="exact"/>
        <w:rPr>
          <w:szCs w:val="24"/>
        </w:rPr>
      </w:pPr>
      <w:r>
        <w:rPr>
          <w:rFonts w:hint="eastAsia"/>
          <w:szCs w:val="24"/>
        </w:rPr>
        <w:t>为了根据政府政策促进两性平等，公务员制度委员会办公室于</w:t>
      </w:r>
      <w:r>
        <w:rPr>
          <w:rFonts w:hint="eastAsia"/>
          <w:szCs w:val="24"/>
        </w:rPr>
        <w:t>2000</w:t>
      </w:r>
      <w:r>
        <w:rPr>
          <w:rFonts w:hint="eastAsia"/>
          <w:szCs w:val="24"/>
        </w:rPr>
        <w:t>年</w:t>
      </w:r>
      <w:r>
        <w:rPr>
          <w:rFonts w:hint="eastAsia"/>
          <w:szCs w:val="24"/>
        </w:rPr>
        <w:t>9</w:t>
      </w:r>
      <w:r>
        <w:rPr>
          <w:rFonts w:hint="eastAsia"/>
          <w:szCs w:val="24"/>
        </w:rPr>
        <w:t>月</w:t>
      </w:r>
      <w:r>
        <w:rPr>
          <w:rFonts w:hint="eastAsia"/>
          <w:szCs w:val="24"/>
        </w:rPr>
        <w:t>18</w:t>
      </w:r>
      <w:r>
        <w:rPr>
          <w:rFonts w:hint="eastAsia"/>
          <w:szCs w:val="24"/>
        </w:rPr>
        <w:t>日提出一项政策倡议，提供了在人事管理方面促进两性平等的准则。其目的是加强公务员系统内的男女平等和能力利用，以便他们能够有效地完成工作，造福所属组织和大众。这项政策也可用作在工作任务、出国进修、培训、研讨会和晋升等方面促进和形</w:t>
      </w:r>
      <w:r>
        <w:rPr>
          <w:rFonts w:hint="eastAsia"/>
          <w:szCs w:val="24"/>
        </w:rPr>
        <w:t>成两性平等的准则。</w:t>
      </w:r>
    </w:p>
    <w:p w:rsidR="00000000" w:rsidRDefault="00B83709">
      <w:pPr>
        <w:spacing w:after="240" w:line="360" w:lineRule="exact"/>
        <w:jc w:val="center"/>
        <w:rPr>
          <w:rFonts w:eastAsia="SimHei" w:hint="eastAsia"/>
          <w:color w:val="FF0000"/>
          <w:sz w:val="24"/>
        </w:rPr>
      </w:pPr>
      <w:r>
        <w:rPr>
          <w:rFonts w:eastAsia="SimHei" w:hint="eastAsia"/>
          <w:color w:val="FF0000"/>
          <w:sz w:val="24"/>
        </w:rPr>
        <w:t>第三条：适当的措施</w:t>
      </w:r>
    </w:p>
    <w:p w:rsidR="00000000" w:rsidRDefault="00B83709" w:rsidP="00B83709">
      <w:pPr>
        <w:pStyle w:val="BodyText3"/>
        <w:spacing w:after="240" w:line="360" w:lineRule="exact"/>
        <w:ind w:firstLineChars="200" w:firstLine="31680"/>
        <w:rPr>
          <w:rFonts w:eastAsia="KaiTi_GB2312" w:hint="eastAsia"/>
          <w:color w:val="0000FF"/>
          <w:sz w:val="21"/>
          <w:szCs w:val="24"/>
          <w:lang w:eastAsia="zh-CN"/>
        </w:rPr>
      </w:pPr>
      <w:r>
        <w:rPr>
          <w:rFonts w:eastAsia="KaiTi_GB2312"/>
          <w:color w:val="0000FF"/>
          <w:sz w:val="21"/>
          <w:szCs w:val="24"/>
          <w:lang w:eastAsia="zh-CN"/>
        </w:rPr>
        <w:t>缔约各国应承担在所有领域，特别是在政治、社会、经济、文化领域，采取一切适当措施，包括制定法律，保证妇女得到充分发展和进步，其目的是为确保她们在与男子平等的基础上，行使和享有人权和基本自由。</w:t>
      </w:r>
      <w:r>
        <w:rPr>
          <w:rFonts w:eastAsia="KaiTi_GB2312"/>
          <w:color w:val="0000FF"/>
          <w:sz w:val="21"/>
          <w:szCs w:val="24"/>
          <w:lang w:eastAsia="zh-CN"/>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泰国向来优先重视妇女发展，并将妇女发展列为国民经济与社会发展计划的组成部分。妇女问题列入第三个国民经济与社会发展计划</w:t>
      </w:r>
      <w:r>
        <w:rPr>
          <w:szCs w:val="24"/>
        </w:rPr>
        <w:t xml:space="preserve"> </w:t>
      </w:r>
      <w:r>
        <w:rPr>
          <w:rFonts w:hint="eastAsia"/>
          <w:szCs w:val="24"/>
        </w:rPr>
        <w:t>（</w:t>
      </w:r>
      <w:r>
        <w:rPr>
          <w:szCs w:val="24"/>
        </w:rPr>
        <w:t>1971-1976</w:t>
      </w:r>
      <w:r>
        <w:rPr>
          <w:rFonts w:hint="eastAsia"/>
          <w:szCs w:val="24"/>
        </w:rPr>
        <w:t>年），妇女计划和项目列入第四个国民经济与社会发展计划（</w:t>
      </w:r>
      <w:r>
        <w:rPr>
          <w:szCs w:val="24"/>
        </w:rPr>
        <w:t>1977-1981</w:t>
      </w:r>
      <w:r>
        <w:rPr>
          <w:rFonts w:hint="eastAsia"/>
          <w:szCs w:val="24"/>
        </w:rPr>
        <w:t>年）。此后，一项长期的妇女发展计划</w:t>
      </w:r>
      <w:r>
        <w:rPr>
          <w:szCs w:val="24"/>
        </w:rPr>
        <w:t xml:space="preserve"> </w:t>
      </w:r>
      <w:r>
        <w:rPr>
          <w:rFonts w:hint="eastAsia"/>
          <w:szCs w:val="24"/>
        </w:rPr>
        <w:t>（</w:t>
      </w:r>
      <w:r>
        <w:rPr>
          <w:szCs w:val="24"/>
        </w:rPr>
        <w:t>1982-2001</w:t>
      </w:r>
      <w:r>
        <w:rPr>
          <w:rFonts w:hint="eastAsia"/>
          <w:szCs w:val="24"/>
        </w:rPr>
        <w:t>年）得以制定，</w:t>
      </w:r>
      <w:r>
        <w:rPr>
          <w:rFonts w:hint="eastAsia"/>
          <w:szCs w:val="24"/>
        </w:rPr>
        <w:t>并在第五个国民经济与社会发展计划（</w:t>
      </w:r>
      <w:r>
        <w:rPr>
          <w:rFonts w:hint="eastAsia"/>
          <w:szCs w:val="24"/>
        </w:rPr>
        <w:t>1982-1986</w:t>
      </w:r>
      <w:r>
        <w:rPr>
          <w:rFonts w:hint="eastAsia"/>
          <w:szCs w:val="24"/>
        </w:rPr>
        <w:t>年）和第六个国民经济与社会发展计划（</w:t>
      </w:r>
      <w:r>
        <w:rPr>
          <w:rFonts w:hint="eastAsia"/>
          <w:szCs w:val="24"/>
        </w:rPr>
        <w:t>1987-1991</w:t>
      </w:r>
      <w:r>
        <w:rPr>
          <w:rFonts w:hint="eastAsia"/>
          <w:szCs w:val="24"/>
        </w:rPr>
        <w:t>年）中作为制定一项五年妇女发展计划的框架。泰国促进妇女的发展符合在</w:t>
      </w:r>
      <w:r>
        <w:rPr>
          <w:rFonts w:hint="eastAsia"/>
          <w:szCs w:val="24"/>
        </w:rPr>
        <w:t>1975</w:t>
      </w:r>
      <w:r>
        <w:rPr>
          <w:rFonts w:hint="eastAsia"/>
          <w:szCs w:val="24"/>
        </w:rPr>
        <w:t>年国际妇女年以及</w:t>
      </w:r>
      <w:r>
        <w:rPr>
          <w:rFonts w:hint="eastAsia"/>
          <w:szCs w:val="24"/>
        </w:rPr>
        <w:t>1976-1985</w:t>
      </w:r>
      <w:r>
        <w:rPr>
          <w:rFonts w:hint="eastAsia"/>
          <w:szCs w:val="24"/>
        </w:rPr>
        <w:t>年促进平等、发展与和平的妇女十年期间发表的《联合国宣言》，以便提高全球对妇女的重要性以及对妇女问题的重要性的认识。</w:t>
      </w:r>
    </w:p>
    <w:p w:rsidR="00000000" w:rsidRDefault="00B83709">
      <w:pPr>
        <w:numPr>
          <w:ilvl w:val="0"/>
          <w:numId w:val="1049"/>
        </w:numPr>
        <w:tabs>
          <w:tab w:val="clear" w:pos="360"/>
          <w:tab w:val="num" w:pos="480"/>
        </w:tabs>
        <w:spacing w:after="240" w:line="360" w:lineRule="exact"/>
        <w:rPr>
          <w:szCs w:val="24"/>
        </w:rPr>
      </w:pPr>
      <w:r>
        <w:rPr>
          <w:rFonts w:hint="eastAsia"/>
          <w:szCs w:val="24"/>
        </w:rPr>
        <w:t>在第九个国家经济与社会发展计划（</w:t>
      </w:r>
      <w:r>
        <w:rPr>
          <w:szCs w:val="24"/>
        </w:rPr>
        <w:t>2002-2006</w:t>
      </w:r>
      <w:r>
        <w:rPr>
          <w:rFonts w:hint="eastAsia"/>
          <w:szCs w:val="24"/>
        </w:rPr>
        <w:t>年）内，妇女事务全国委员会下属的国家政策发展委员会起草了妇女发展计划。该项计划的重点是长期发展，与第九个国家经济与社会发展计划的自足</w:t>
      </w:r>
      <w:r>
        <w:rPr>
          <w:rFonts w:hint="eastAsia"/>
          <w:szCs w:val="24"/>
        </w:rPr>
        <w:t>经济设想和可持续发展原则一致。该计划并优先重视人力资源开发，也支持保障妇女权利和促进男女平等的《</w:t>
      </w:r>
      <w:r>
        <w:rPr>
          <w:rFonts w:hint="eastAsia"/>
          <w:szCs w:val="24"/>
        </w:rPr>
        <w:t>1997</w:t>
      </w:r>
      <w:r>
        <w:rPr>
          <w:rFonts w:hint="eastAsia"/>
          <w:szCs w:val="24"/>
        </w:rPr>
        <w:t>年宪法》；《人权宣言》；包括《政治宣言和行动计划》在内的《消除对妇女一切形式歧视公约》；制订执行大会第二十三届特别会议（</w:t>
      </w:r>
      <w:r>
        <w:rPr>
          <w:rFonts w:hint="eastAsia"/>
          <w:szCs w:val="24"/>
        </w:rPr>
        <w:t>2000</w:t>
      </w:r>
      <w:r>
        <w:rPr>
          <w:rFonts w:hint="eastAsia"/>
          <w:szCs w:val="24"/>
        </w:rPr>
        <w:t>年</w:t>
      </w:r>
      <w:r>
        <w:rPr>
          <w:rFonts w:hint="eastAsia"/>
          <w:szCs w:val="24"/>
        </w:rPr>
        <w:t>6</w:t>
      </w:r>
      <w:r>
        <w:rPr>
          <w:rFonts w:hint="eastAsia"/>
          <w:szCs w:val="24"/>
        </w:rPr>
        <w:t>月）的《北京宣言和行动纲要》的新准则的建议；以及对《纲要》的评估和监督。</w:t>
      </w:r>
      <w:r>
        <w:rPr>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包含妇女发展计划在内的设想内容如下：</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）所有妇女在</w:t>
      </w:r>
      <w:r>
        <w:rPr>
          <w:rFonts w:hint="eastAsia"/>
          <w:snapToGrid w:val="0"/>
          <w:szCs w:val="24"/>
        </w:rPr>
        <w:t>各个方面充分发挥她们的潜力，并成为宝贵的人力资源，自食其力，一生都能够体面地生活。</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）所有妇女都有权参与各级决策。</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3</w:t>
      </w:r>
      <w:r>
        <w:rPr>
          <w:rFonts w:hint="eastAsia"/>
          <w:snapToGrid w:val="0"/>
          <w:szCs w:val="24"/>
        </w:rPr>
        <w:t>）所有妇女都能得到家</w:t>
      </w:r>
      <w:r>
        <w:rPr>
          <w:rFonts w:hint="eastAsia"/>
          <w:snapToGrid w:val="0"/>
          <w:szCs w:val="24"/>
        </w:rPr>
        <w:t>庭、社区和社会的保护，并且在平等的基础上享有同男子相同的待遇。</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4</w:t>
      </w:r>
      <w:r>
        <w:rPr>
          <w:rFonts w:hint="eastAsia"/>
          <w:snapToGrid w:val="0"/>
          <w:szCs w:val="24"/>
        </w:rPr>
        <w:t>）妇女从旨</w:t>
      </w:r>
      <w:r>
        <w:rPr>
          <w:rFonts w:hint="eastAsia"/>
          <w:szCs w:val="24"/>
        </w:rPr>
        <w:t>在提高妇女地位的有效和强有力的管理和行政中得到益惠。</w:t>
      </w:r>
    </w:p>
    <w:p w:rsidR="00000000" w:rsidRDefault="00B83709">
      <w:pPr>
        <w:numPr>
          <w:ilvl w:val="0"/>
          <w:numId w:val="1049"/>
        </w:numPr>
        <w:tabs>
          <w:tab w:val="clear" w:pos="360"/>
          <w:tab w:val="num" w:pos="480"/>
        </w:tabs>
        <w:spacing w:after="240" w:line="360" w:lineRule="exact"/>
        <w:rPr>
          <w:szCs w:val="24"/>
        </w:rPr>
      </w:pPr>
      <w:r>
        <w:rPr>
          <w:rFonts w:hint="eastAsia"/>
          <w:szCs w:val="24"/>
        </w:rPr>
        <w:t>第九个国家经济与社会发展计划（</w:t>
      </w:r>
      <w:r>
        <w:rPr>
          <w:rFonts w:hint="eastAsia"/>
          <w:szCs w:val="24"/>
        </w:rPr>
        <w:t>2002-2006</w:t>
      </w:r>
      <w:r>
        <w:rPr>
          <w:rFonts w:hint="eastAsia"/>
          <w:szCs w:val="24"/>
        </w:rPr>
        <w:t>年）时期的妇女发展计划包括五项妇女发展战略，即：</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）提高</w:t>
      </w:r>
      <w:r>
        <w:rPr>
          <w:rFonts w:hint="eastAsia"/>
          <w:snapToGrid w:val="0"/>
          <w:szCs w:val="24"/>
        </w:rPr>
        <w:t>妇女潜力。</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）妇女参与各级决策。</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3</w:t>
      </w:r>
      <w:r>
        <w:rPr>
          <w:rFonts w:hint="eastAsia"/>
          <w:snapToGrid w:val="0"/>
          <w:szCs w:val="24"/>
        </w:rPr>
        <w:t>）促进平等和社会保护。</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4</w:t>
      </w:r>
      <w:r>
        <w:rPr>
          <w:rFonts w:hint="eastAsia"/>
          <w:snapToGrid w:val="0"/>
          <w:szCs w:val="24"/>
        </w:rPr>
        <w:t>）改进与妇女问题有关的大众媒体。</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5</w:t>
      </w:r>
      <w:r>
        <w:rPr>
          <w:rFonts w:hint="eastAsia"/>
          <w:snapToGrid w:val="0"/>
          <w:szCs w:val="24"/>
        </w:rPr>
        <w:t>）发展妇</w:t>
      </w:r>
      <w:r>
        <w:rPr>
          <w:rFonts w:hint="eastAsia"/>
          <w:szCs w:val="24"/>
        </w:rPr>
        <w:t>女问题的组织和行政管理机制。</w:t>
      </w:r>
    </w:p>
    <w:p w:rsidR="00000000" w:rsidRDefault="00B83709">
      <w:pPr>
        <w:numPr>
          <w:ilvl w:val="0"/>
          <w:numId w:val="1049"/>
        </w:numPr>
        <w:tabs>
          <w:tab w:val="clear" w:pos="360"/>
          <w:tab w:val="num" w:pos="480"/>
        </w:tabs>
        <w:spacing w:after="240" w:line="360" w:lineRule="exact"/>
        <w:rPr>
          <w:szCs w:val="24"/>
        </w:rPr>
      </w:pPr>
      <w:r>
        <w:rPr>
          <w:rFonts w:hint="eastAsia"/>
          <w:szCs w:val="24"/>
        </w:rPr>
        <w:t>除了为前面提及的妇女发展确定明确的框架和方向外，《宪法》第三十条的一般原则也保障男女平等。泰国法律没有歧视；男女同样有机会获得</w:t>
      </w:r>
      <w:r>
        <w:rPr>
          <w:rFonts w:hint="eastAsia"/>
          <w:szCs w:val="24"/>
        </w:rPr>
        <w:t>政府服务，如公共卫生、教育、就业、财产所有权、社会福利和参政。</w:t>
      </w:r>
    </w:p>
    <w:p w:rsidR="00000000" w:rsidRDefault="00B83709">
      <w:pPr>
        <w:numPr>
          <w:ilvl w:val="0"/>
          <w:numId w:val="1049"/>
        </w:numPr>
        <w:tabs>
          <w:tab w:val="clear" w:pos="360"/>
          <w:tab w:val="num" w:pos="480"/>
        </w:tabs>
        <w:spacing w:after="240" w:line="360" w:lineRule="exact"/>
        <w:rPr>
          <w:szCs w:val="24"/>
        </w:rPr>
      </w:pPr>
      <w:r>
        <w:rPr>
          <w:rFonts w:hint="eastAsia"/>
          <w:szCs w:val="24"/>
        </w:rPr>
        <w:t>促进两性平等的其他因素如下：</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1</w:t>
      </w:r>
      <w:r>
        <w:rPr>
          <w:rFonts w:hint="eastAsia"/>
          <w:szCs w:val="24"/>
        </w:rPr>
        <w:t>）在起草法律所依据的程序方面，《</w:t>
      </w:r>
      <w:r>
        <w:rPr>
          <w:rFonts w:hint="eastAsia"/>
          <w:szCs w:val="24"/>
        </w:rPr>
        <w:t>1997</w:t>
      </w:r>
      <w:r>
        <w:rPr>
          <w:rFonts w:hint="eastAsia"/>
          <w:szCs w:val="24"/>
        </w:rPr>
        <w:t>年宪法》第一百九十条规定，起草的法律若由下议院多数党领袖（议长）认定与儿童、妇女和老人有关，如果负责起草该等法律的委员会不完全由下议院议员组成，可设立一个特别委员会，至少三分之一的委员会成员是处理与法律草案有关的具体问题的非政府组织代表。</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2</w:t>
      </w:r>
      <w:r>
        <w:rPr>
          <w:rFonts w:hint="eastAsia"/>
          <w:szCs w:val="24"/>
        </w:rPr>
        <w:t>）妇女在起草法律方面与男子享有同等权利。根据《宪法》第一百七十条，《</w:t>
      </w:r>
      <w:r>
        <w:rPr>
          <w:rFonts w:hint="eastAsia"/>
          <w:szCs w:val="24"/>
        </w:rPr>
        <w:t>1999</w:t>
      </w:r>
      <w:r>
        <w:rPr>
          <w:rFonts w:hint="eastAsia"/>
          <w:szCs w:val="24"/>
        </w:rPr>
        <w:t>年关于制定新法的法律》规定，合格选民人数只有达到</w:t>
      </w:r>
      <w:r>
        <w:rPr>
          <w:szCs w:val="24"/>
        </w:rPr>
        <w:t>50</w:t>
      </w:r>
      <w:r>
        <w:rPr>
          <w:rFonts w:hint="eastAsia"/>
          <w:szCs w:val="24"/>
        </w:rPr>
        <w:t xml:space="preserve"> </w:t>
      </w:r>
      <w:r>
        <w:rPr>
          <w:szCs w:val="24"/>
        </w:rPr>
        <w:t>000</w:t>
      </w:r>
      <w:r>
        <w:rPr>
          <w:rFonts w:hint="eastAsia"/>
          <w:szCs w:val="24"/>
        </w:rPr>
        <w:t>人才能向下议院提出申请，要求审议有关泰国人民的权利和自由的法律。根据《宪法》第一百零五条，这类合格选民应为：</w:t>
      </w:r>
      <w:r>
        <w:rPr>
          <w:szCs w:val="24"/>
        </w:rPr>
        <w:t>1</w:t>
      </w:r>
      <w:r>
        <w:rPr>
          <w:rFonts w:hint="eastAsia"/>
          <w:szCs w:val="24"/>
        </w:rPr>
        <w:t>）泰国国民，或者已经取得泰国国籍至少五年；</w:t>
      </w:r>
      <w:r>
        <w:rPr>
          <w:szCs w:val="24"/>
        </w:rPr>
        <w:t>2</w:t>
      </w:r>
      <w:r>
        <w:rPr>
          <w:rFonts w:hint="eastAsia"/>
          <w:szCs w:val="24"/>
        </w:rPr>
        <w:t>）在选举年</w:t>
      </w:r>
      <w:r>
        <w:rPr>
          <w:rFonts w:hint="eastAsia"/>
          <w:szCs w:val="24"/>
        </w:rPr>
        <w:t>1</w:t>
      </w:r>
      <w:r>
        <w:rPr>
          <w:rFonts w:hint="eastAsia"/>
          <w:szCs w:val="24"/>
        </w:rPr>
        <w:t>月</w:t>
      </w:r>
      <w:r>
        <w:rPr>
          <w:rFonts w:hint="eastAsia"/>
          <w:szCs w:val="24"/>
        </w:rPr>
        <w:t>1</w:t>
      </w:r>
      <w:r>
        <w:rPr>
          <w:rFonts w:hint="eastAsia"/>
          <w:szCs w:val="24"/>
        </w:rPr>
        <w:t>日至少年满</w:t>
      </w:r>
      <w:r>
        <w:rPr>
          <w:rFonts w:hint="eastAsia"/>
          <w:szCs w:val="24"/>
        </w:rPr>
        <w:t>18</w:t>
      </w:r>
      <w:r>
        <w:rPr>
          <w:rFonts w:hint="eastAsia"/>
          <w:szCs w:val="24"/>
        </w:rPr>
        <w:t>岁；以及</w:t>
      </w:r>
      <w:r>
        <w:rPr>
          <w:szCs w:val="24"/>
        </w:rPr>
        <w:t xml:space="preserve">3) </w:t>
      </w:r>
      <w:r>
        <w:rPr>
          <w:rFonts w:hint="eastAsia"/>
          <w:szCs w:val="24"/>
        </w:rPr>
        <w:t>已在居住地区（本地普查登记处）登记姓名至少达</w:t>
      </w:r>
      <w:r>
        <w:rPr>
          <w:rFonts w:hint="eastAsia"/>
          <w:szCs w:val="24"/>
        </w:rPr>
        <w:t>90</w:t>
      </w:r>
      <w:r>
        <w:rPr>
          <w:rFonts w:hint="eastAsia"/>
          <w:szCs w:val="24"/>
        </w:rPr>
        <w:t>天。</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3</w:t>
      </w:r>
      <w:r>
        <w:rPr>
          <w:rFonts w:hint="eastAsia"/>
          <w:szCs w:val="24"/>
        </w:rPr>
        <w:t>）</w:t>
      </w:r>
      <w:r>
        <w:rPr>
          <w:szCs w:val="24"/>
        </w:rPr>
        <w:t>1999</w:t>
      </w:r>
      <w:r>
        <w:rPr>
          <w:rFonts w:hint="eastAsia"/>
          <w:szCs w:val="24"/>
        </w:rPr>
        <w:t>年《人权委员会法案》是保护和促进《</w:t>
      </w:r>
      <w:r>
        <w:rPr>
          <w:rFonts w:hint="eastAsia"/>
          <w:szCs w:val="24"/>
        </w:rPr>
        <w:t>1997</w:t>
      </w:r>
      <w:r>
        <w:rPr>
          <w:rFonts w:hint="eastAsia"/>
          <w:szCs w:val="24"/>
        </w:rPr>
        <w:t>年宪法》规定的人权的原则机制。第</w:t>
      </w:r>
      <w:r>
        <w:rPr>
          <w:rFonts w:hint="eastAsia"/>
          <w:szCs w:val="24"/>
        </w:rPr>
        <w:t>5</w:t>
      </w:r>
      <w:r>
        <w:rPr>
          <w:rFonts w:hint="eastAsia"/>
          <w:szCs w:val="24"/>
        </w:rPr>
        <w:t>条明确规定设立国家人权委员会，由国王指定的一名主席和</w:t>
      </w:r>
      <w:r>
        <w:rPr>
          <w:rFonts w:hint="eastAsia"/>
          <w:szCs w:val="24"/>
        </w:rPr>
        <w:t>10</w:t>
      </w:r>
      <w:r>
        <w:rPr>
          <w:rFonts w:hint="eastAsia"/>
          <w:szCs w:val="24"/>
        </w:rPr>
        <w:t>名成员组成，并同上议院协商。该委员会的成员应为人权保护领域的合格专家。应考虑男子和妇女以及处理人权问题的非政</w:t>
      </w:r>
      <w:r>
        <w:rPr>
          <w:rFonts w:hint="eastAsia"/>
          <w:szCs w:val="24"/>
        </w:rPr>
        <w:t>府组织的参与。目前，人权委员会由</w:t>
      </w:r>
      <w:r>
        <w:rPr>
          <w:rFonts w:hint="eastAsia"/>
          <w:szCs w:val="24"/>
        </w:rPr>
        <w:t>11</w:t>
      </w:r>
      <w:r>
        <w:rPr>
          <w:rFonts w:hint="eastAsia"/>
          <w:szCs w:val="24"/>
        </w:rPr>
        <w:t>名成员（五名妇女、六名男子）组成，他们的任务是：</w:t>
      </w:r>
      <w:r>
        <w:rPr>
          <w:szCs w:val="24"/>
        </w:rPr>
        <w:t xml:space="preserve"> (a) </w:t>
      </w:r>
      <w:r>
        <w:rPr>
          <w:rFonts w:hint="eastAsia"/>
          <w:szCs w:val="24"/>
        </w:rPr>
        <w:t>审查和报告侵犯人权或与泰国所做的国际承诺不一致的行动或过失，并提议采取适当干预措施，纠正对责任人或责任方的侵权行为；</w:t>
      </w:r>
      <w:r>
        <w:rPr>
          <w:szCs w:val="24"/>
        </w:rPr>
        <w:t xml:space="preserve">(b) </w:t>
      </w:r>
      <w:r>
        <w:rPr>
          <w:rFonts w:hint="eastAsia"/>
          <w:szCs w:val="24"/>
        </w:rPr>
        <w:t>提出政策和建议，改进法律、规章以及对下议院和内阁的义务，以促进和保护人权；</w:t>
      </w:r>
      <w:r>
        <w:rPr>
          <w:szCs w:val="24"/>
        </w:rPr>
        <w:t xml:space="preserve"> (c) </w:t>
      </w:r>
      <w:r>
        <w:rPr>
          <w:rFonts w:hint="eastAsia"/>
          <w:szCs w:val="24"/>
        </w:rPr>
        <w:t>促进人权知识的教育、研究和传播；</w:t>
      </w:r>
      <w:r>
        <w:rPr>
          <w:szCs w:val="24"/>
        </w:rPr>
        <w:t xml:space="preserve">(d) </w:t>
      </w:r>
      <w:r>
        <w:rPr>
          <w:rFonts w:hint="eastAsia"/>
          <w:szCs w:val="24"/>
        </w:rPr>
        <w:t>促进政府组织、非政府组织及其他各方开展人权合作与协作；</w:t>
      </w:r>
      <w:r>
        <w:rPr>
          <w:szCs w:val="24"/>
        </w:rPr>
        <w:t xml:space="preserve"> (e) </w:t>
      </w:r>
      <w:r>
        <w:rPr>
          <w:rFonts w:hint="eastAsia"/>
          <w:szCs w:val="24"/>
        </w:rPr>
        <w:t>拟定评估国内人权状况的年度报告，并就此向下议院提交提案。</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4</w:t>
      </w:r>
      <w:r>
        <w:rPr>
          <w:rFonts w:hint="eastAsia"/>
          <w:szCs w:val="24"/>
        </w:rPr>
        <w:t>）监察员是保障《</w:t>
      </w:r>
      <w:r>
        <w:rPr>
          <w:rFonts w:hint="eastAsia"/>
          <w:szCs w:val="24"/>
        </w:rPr>
        <w:t>1997</w:t>
      </w:r>
      <w:r>
        <w:rPr>
          <w:rFonts w:hint="eastAsia"/>
          <w:szCs w:val="24"/>
        </w:rPr>
        <w:t>年宪法》规定的人权的</w:t>
      </w:r>
      <w:r>
        <w:rPr>
          <w:rFonts w:hint="eastAsia"/>
          <w:szCs w:val="24"/>
        </w:rPr>
        <w:t>另一个机制。这个职位是人民对政府的不公平待遇提出申诉的一个渠道，即使国家当局给予人民的该等待遇依据的是现行法律。监察员的任务是审议申诉，调查与政府官员、政府工作人员或政府组织的其他雇员以及国有企业或地方政府机构的有关人员给予的待遇有关的证据。</w:t>
      </w:r>
      <w:r>
        <w:rPr>
          <w:rFonts w:hint="eastAsia"/>
          <w:snapToGrid w:val="0"/>
          <w:szCs w:val="24"/>
        </w:rPr>
        <w:t>无论</w:t>
      </w:r>
      <w:r>
        <w:rPr>
          <w:rFonts w:hint="eastAsia"/>
          <w:szCs w:val="24"/>
        </w:rPr>
        <w:t>该等待遇是否合法，是否违背当局的现行方针，是否因履行公务的过失所致，以及该等行为对原告或公众造成不公平的损害，均应调查提出的申诉和证据。</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第四条：特别措施</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缔约各国为加速实现男女事实上的平等而采取的暂行特别措施，不得视为本公约所指的歧视，亦不得因此导致维持不平等或分</w:t>
      </w:r>
      <w:r>
        <w:rPr>
          <w:rFonts w:eastAsia="KaiTi_GB2312"/>
          <w:color w:val="0000FF"/>
          <w:szCs w:val="24"/>
        </w:rPr>
        <w:t>别的标准；这些措施应在男女机会和待遇平等的目的达到之后，停止采用。</w:t>
      </w:r>
      <w:r>
        <w:rPr>
          <w:rFonts w:eastAsia="KaiTi_GB2312"/>
          <w:color w:val="0000FF"/>
          <w:szCs w:val="24"/>
        </w:rPr>
        <w:t xml:space="preserve"> </w:t>
      </w:r>
    </w:p>
    <w:p w:rsidR="00000000" w:rsidRDefault="00B83709">
      <w:pPr>
        <w:spacing w:after="240" w:line="360" w:lineRule="exact"/>
        <w:rPr>
          <w:rFonts w:hint="eastAsia"/>
          <w:szCs w:val="24"/>
        </w:rPr>
      </w:pPr>
      <w:r>
        <w:rPr>
          <w:rFonts w:eastAsia="KaiTi_GB2312"/>
          <w:color w:val="0000FF"/>
          <w:szCs w:val="24"/>
        </w:rPr>
        <w:t>    </w:t>
      </w:r>
      <w:r>
        <w:rPr>
          <w:rFonts w:eastAsia="KaiTi_GB2312" w:hint="eastAsia"/>
          <w:color w:val="0000FF"/>
          <w:szCs w:val="24"/>
        </w:rPr>
        <w:t xml:space="preserve">　</w:t>
      </w:r>
      <w:r>
        <w:rPr>
          <w:rFonts w:eastAsia="KaiTi_GB2312"/>
          <w:color w:val="0000FF"/>
          <w:szCs w:val="24"/>
        </w:rPr>
        <w:t>缔约各国为保护母性而采取的特别措施，包括本公约所列各项措施，不得视为歧视。</w:t>
      </w:r>
      <w:r>
        <w:rPr>
          <w:rFonts w:eastAsia="KaiTi_GB2312"/>
          <w:color w:val="0000FF"/>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本届政府认识到自力更生和赋予本地社区权力的必要性。因此执行了一项紧急政策，以便为每个社区设立</w:t>
      </w:r>
      <w:r>
        <w:rPr>
          <w:rFonts w:hint="eastAsia"/>
          <w:szCs w:val="24"/>
        </w:rPr>
        <w:t>100</w:t>
      </w:r>
      <w:r>
        <w:rPr>
          <w:rFonts w:hint="eastAsia"/>
          <w:szCs w:val="24"/>
        </w:rPr>
        <w:t>万铢的城乡社区基金。开办小型企业、微型企业以及家庭企业的人士可将基金用作投资和创收的资源。目标是通过使本地社区根据本地价值观和知识解决自身的需要并学会管理自己的事务，提高本地社区的认识，建设本地社区的能力。此举也可为处境不利者带来益惠，促进政府下放权力，并</w:t>
      </w:r>
      <w:r>
        <w:rPr>
          <w:rFonts w:hint="eastAsia"/>
          <w:szCs w:val="24"/>
        </w:rPr>
        <w:t>发展本地民主制度。</w:t>
      </w:r>
    </w:p>
    <w:p w:rsidR="00000000" w:rsidRDefault="00B83709">
      <w:pPr>
        <w:numPr>
          <w:ilvl w:val="0"/>
          <w:numId w:val="1049"/>
        </w:numPr>
        <w:tabs>
          <w:tab w:val="clear" w:pos="360"/>
          <w:tab w:val="num" w:pos="480"/>
        </w:tabs>
        <w:spacing w:after="240" w:line="360" w:lineRule="exact"/>
        <w:rPr>
          <w:szCs w:val="24"/>
        </w:rPr>
      </w:pPr>
      <w:r>
        <w:rPr>
          <w:rFonts w:hint="eastAsia"/>
          <w:szCs w:val="24"/>
        </w:rPr>
        <w:t>城乡基金委员会修订了管理基金的规章制度。具体来说，委员会应由至少九名成员组成，但成员人数不应超过</w:t>
      </w:r>
      <w:r>
        <w:rPr>
          <w:rFonts w:hint="eastAsia"/>
          <w:szCs w:val="24"/>
        </w:rPr>
        <w:t>15</w:t>
      </w:r>
      <w:r>
        <w:rPr>
          <w:rFonts w:hint="eastAsia"/>
          <w:szCs w:val="24"/>
        </w:rPr>
        <w:t>人，男女成员的人数应均等。这项规定给予妇女参与基金管理的平等机会，社区所有人都能受到其益惠。</w:t>
      </w:r>
    </w:p>
    <w:p w:rsidR="00000000" w:rsidRDefault="00B83709">
      <w:pPr>
        <w:numPr>
          <w:ilvl w:val="0"/>
          <w:numId w:val="1049"/>
        </w:numPr>
        <w:tabs>
          <w:tab w:val="clear" w:pos="360"/>
          <w:tab w:val="num" w:pos="480"/>
        </w:tabs>
        <w:spacing w:after="240" w:line="360" w:lineRule="exact"/>
        <w:rPr>
          <w:szCs w:val="24"/>
        </w:rPr>
      </w:pPr>
      <w:r>
        <w:rPr>
          <w:rFonts w:hint="eastAsia"/>
          <w:szCs w:val="24"/>
        </w:rPr>
        <w:t>在实施城乡社区基金后的短暂期限内，该基金取得一定的成功。同样，妇女作为基金成员而参与令人满意。譬如在素林府，已设立</w:t>
      </w:r>
      <w:r>
        <w:rPr>
          <w:szCs w:val="24"/>
        </w:rPr>
        <w:t>2</w:t>
      </w:r>
      <w:r>
        <w:rPr>
          <w:rFonts w:hint="eastAsia"/>
          <w:szCs w:val="24"/>
        </w:rPr>
        <w:t xml:space="preserve"> </w:t>
      </w:r>
      <w:r>
        <w:rPr>
          <w:szCs w:val="24"/>
        </w:rPr>
        <w:t>053</w:t>
      </w:r>
      <w:r>
        <w:rPr>
          <w:rFonts w:hint="eastAsia"/>
          <w:szCs w:val="24"/>
        </w:rPr>
        <w:t>项基金，成员人数总共达到</w:t>
      </w:r>
      <w:r>
        <w:rPr>
          <w:szCs w:val="24"/>
        </w:rPr>
        <w:t>30</w:t>
      </w:r>
      <w:r>
        <w:rPr>
          <w:rFonts w:hint="eastAsia"/>
          <w:szCs w:val="24"/>
        </w:rPr>
        <w:t xml:space="preserve"> </w:t>
      </w:r>
      <w:r>
        <w:rPr>
          <w:szCs w:val="24"/>
        </w:rPr>
        <w:t>260</w:t>
      </w:r>
      <w:r>
        <w:rPr>
          <w:rFonts w:hint="eastAsia"/>
          <w:szCs w:val="24"/>
        </w:rPr>
        <w:t>人（每个基金平均</w:t>
      </w:r>
      <w:r>
        <w:rPr>
          <w:szCs w:val="24"/>
        </w:rPr>
        <w:t>14.7</w:t>
      </w:r>
      <w:r>
        <w:rPr>
          <w:rFonts w:hint="eastAsia"/>
          <w:szCs w:val="24"/>
        </w:rPr>
        <w:t>人）。在总计</w:t>
      </w:r>
      <w:r>
        <w:rPr>
          <w:rFonts w:hint="eastAsia"/>
          <w:szCs w:val="24"/>
        </w:rPr>
        <w:t>30 260</w:t>
      </w:r>
      <w:r>
        <w:rPr>
          <w:rFonts w:hint="eastAsia"/>
          <w:szCs w:val="24"/>
        </w:rPr>
        <w:t>人中，男成员为</w:t>
      </w:r>
      <w:r>
        <w:rPr>
          <w:szCs w:val="24"/>
        </w:rPr>
        <w:t>18</w:t>
      </w:r>
      <w:r>
        <w:rPr>
          <w:rFonts w:hint="eastAsia"/>
          <w:szCs w:val="24"/>
        </w:rPr>
        <w:t xml:space="preserve"> </w:t>
      </w:r>
      <w:r>
        <w:rPr>
          <w:szCs w:val="24"/>
        </w:rPr>
        <w:t>866</w:t>
      </w:r>
      <w:r>
        <w:rPr>
          <w:rFonts w:hint="eastAsia"/>
          <w:szCs w:val="24"/>
        </w:rPr>
        <w:t>人</w:t>
      </w:r>
      <w:r>
        <w:rPr>
          <w:szCs w:val="24"/>
        </w:rPr>
        <w:t xml:space="preserve"> </w:t>
      </w:r>
      <w:r>
        <w:rPr>
          <w:rFonts w:hint="eastAsia"/>
          <w:szCs w:val="24"/>
        </w:rPr>
        <w:t>（每个基金平均</w:t>
      </w:r>
      <w:r>
        <w:rPr>
          <w:szCs w:val="24"/>
        </w:rPr>
        <w:t>8.7</w:t>
      </w:r>
      <w:r>
        <w:rPr>
          <w:rFonts w:hint="eastAsia"/>
          <w:szCs w:val="24"/>
        </w:rPr>
        <w:t>人），女成员</w:t>
      </w:r>
      <w:r>
        <w:rPr>
          <w:szCs w:val="24"/>
        </w:rPr>
        <w:t>12</w:t>
      </w:r>
      <w:r>
        <w:rPr>
          <w:rFonts w:hint="eastAsia"/>
          <w:szCs w:val="24"/>
        </w:rPr>
        <w:t xml:space="preserve"> </w:t>
      </w:r>
      <w:r>
        <w:rPr>
          <w:szCs w:val="24"/>
        </w:rPr>
        <w:t>394</w:t>
      </w:r>
      <w:r>
        <w:rPr>
          <w:rFonts w:hint="eastAsia"/>
          <w:szCs w:val="24"/>
        </w:rPr>
        <w:t>人（每个基金平均</w:t>
      </w:r>
      <w:r>
        <w:rPr>
          <w:szCs w:val="24"/>
        </w:rPr>
        <w:t>6</w:t>
      </w:r>
      <w:r>
        <w:rPr>
          <w:rFonts w:hint="eastAsia"/>
          <w:szCs w:val="24"/>
        </w:rPr>
        <w:t>人）。男性主席</w:t>
      </w:r>
      <w:r>
        <w:rPr>
          <w:szCs w:val="24"/>
        </w:rPr>
        <w:t>1</w:t>
      </w:r>
      <w:r>
        <w:rPr>
          <w:rFonts w:hint="eastAsia"/>
          <w:szCs w:val="24"/>
        </w:rPr>
        <w:t xml:space="preserve"> </w:t>
      </w:r>
      <w:r>
        <w:rPr>
          <w:szCs w:val="24"/>
        </w:rPr>
        <w:t>934</w:t>
      </w:r>
      <w:r>
        <w:rPr>
          <w:rFonts w:hint="eastAsia"/>
          <w:szCs w:val="24"/>
        </w:rPr>
        <w:t>人，女性主席</w:t>
      </w:r>
      <w:r>
        <w:rPr>
          <w:szCs w:val="24"/>
        </w:rPr>
        <w:t>119</w:t>
      </w:r>
      <w:r>
        <w:rPr>
          <w:rFonts w:hint="eastAsia"/>
          <w:szCs w:val="24"/>
        </w:rPr>
        <w:t>人。根据这些数字，妇女看来参与了基金管理，并提出自己的见解和需要。最终目标是让妇女取得与男子相同的益惠，从而扩大基层的两性平等，并最终扩大全国一级的两性平等。</w:t>
      </w:r>
    </w:p>
    <w:p w:rsidR="00000000" w:rsidRDefault="00B83709">
      <w:pPr>
        <w:numPr>
          <w:ilvl w:val="0"/>
          <w:numId w:val="1049"/>
        </w:numPr>
        <w:tabs>
          <w:tab w:val="clear" w:pos="360"/>
          <w:tab w:val="num" w:pos="480"/>
        </w:tabs>
        <w:spacing w:after="240" w:line="360" w:lineRule="exact"/>
        <w:rPr>
          <w:szCs w:val="24"/>
        </w:rPr>
      </w:pPr>
      <w:r>
        <w:rPr>
          <w:rFonts w:hint="eastAsia"/>
          <w:szCs w:val="24"/>
        </w:rPr>
        <w:t>此外，泰国执行了若干项临时特别措施，部分措施取得成功，而其他措施需要进一步的发展。其他措施包括试图规定妇女在各种全国委员会中占有一定比例，并规定区行政委员会的男女比例相等。</w:t>
      </w:r>
    </w:p>
    <w:p w:rsidR="00000000" w:rsidRDefault="00B83709">
      <w:pPr>
        <w:spacing w:after="240" w:line="360" w:lineRule="exact"/>
        <w:jc w:val="center"/>
        <w:rPr>
          <w:rFonts w:eastAsia="SimHei" w:hint="eastAsia"/>
          <w:color w:val="FF0000"/>
          <w:sz w:val="24"/>
        </w:rPr>
      </w:pPr>
      <w:r>
        <w:rPr>
          <w:rFonts w:eastAsia="SimHei" w:hint="eastAsia"/>
          <w:color w:val="FF0000"/>
          <w:sz w:val="24"/>
        </w:rPr>
        <w:t>第五条：性别陈规定型观念和传统态度</w:t>
      </w:r>
    </w:p>
    <w:p w:rsidR="00000000" w:rsidRDefault="00B83709">
      <w:pPr>
        <w:pStyle w:val="NormalWeb"/>
        <w:spacing w:before="0" w:beforeAutospacing="0" w:after="240" w:afterAutospacing="0" w:line="360" w:lineRule="exact"/>
        <w:ind w:left="45" w:right="45"/>
        <w:jc w:val="both"/>
        <w:rPr>
          <w:sz w:val="21"/>
        </w:rPr>
      </w:pPr>
      <w:r>
        <w:rPr>
          <w:rFonts w:ascii="Times New Roman" w:eastAsia="KaiTi_GB2312" w:hAnsi="Times New Roman"/>
          <w:color w:val="0000FF"/>
          <w:sz w:val="21"/>
        </w:rPr>
        <w:t>缔约各国应采取一切适当措施：</w:t>
      </w:r>
      <w:r>
        <w:rPr>
          <w:sz w:val="21"/>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hint="eastAsia"/>
          <w:color w:val="0000FF"/>
          <w:szCs w:val="24"/>
        </w:rPr>
        <w:t>（</w:t>
      </w:r>
      <w:r>
        <w:rPr>
          <w:rFonts w:eastAsia="KaiTi_GB2312"/>
          <w:color w:val="0000FF"/>
          <w:szCs w:val="24"/>
        </w:rPr>
        <w:t>a</w:t>
      </w:r>
      <w:r>
        <w:rPr>
          <w:rFonts w:eastAsia="KaiTi_GB2312" w:hint="eastAsia"/>
          <w:color w:val="0000FF"/>
          <w:szCs w:val="24"/>
        </w:rPr>
        <w:t>）</w:t>
      </w:r>
      <w:r>
        <w:rPr>
          <w:rFonts w:eastAsia="KaiTi_GB2312"/>
          <w:color w:val="0000FF"/>
          <w:szCs w:val="24"/>
        </w:rPr>
        <w:t>改变男女的社会和文化行为模式，以消除基于性别而分尊卑观念或基</w:t>
      </w:r>
      <w:r>
        <w:rPr>
          <w:rFonts w:eastAsia="KaiTi_GB2312"/>
          <w:color w:val="0000FF"/>
          <w:szCs w:val="24"/>
        </w:rPr>
        <w:t>于男女定型任务的偏见、习俗和一切其他作法；</w:t>
      </w:r>
      <w:r>
        <w:rPr>
          <w:rFonts w:eastAsia="KaiTi_GB2312"/>
          <w:color w:val="0000FF"/>
          <w:szCs w:val="24"/>
        </w:rPr>
        <w:t xml:space="preserve"> </w:t>
      </w:r>
    </w:p>
    <w:p w:rsidR="00000000" w:rsidRDefault="00B83709" w:rsidP="00B83709">
      <w:pPr>
        <w:spacing w:after="240" w:line="360" w:lineRule="exact"/>
        <w:ind w:firstLineChars="200" w:firstLine="31680"/>
        <w:rPr>
          <w:szCs w:val="24"/>
        </w:rPr>
      </w:pPr>
      <w:r>
        <w:rPr>
          <w:rFonts w:eastAsia="KaiTi_GB2312" w:hint="eastAsia"/>
          <w:color w:val="0000FF"/>
          <w:szCs w:val="24"/>
        </w:rPr>
        <w:t>（</w:t>
      </w:r>
      <w:r>
        <w:rPr>
          <w:rFonts w:eastAsia="KaiTi_GB2312"/>
          <w:color w:val="0000FF"/>
          <w:szCs w:val="24"/>
        </w:rPr>
        <w:t>b</w:t>
      </w:r>
      <w:r>
        <w:rPr>
          <w:rFonts w:eastAsia="KaiTi_GB2312" w:hint="eastAsia"/>
          <w:color w:val="0000FF"/>
          <w:szCs w:val="24"/>
        </w:rPr>
        <w:t>）</w:t>
      </w:r>
      <w:r>
        <w:rPr>
          <w:rFonts w:eastAsia="KaiTi_GB2312"/>
          <w:color w:val="0000FF"/>
          <w:szCs w:val="24"/>
        </w:rPr>
        <w:t>保证家庭教育应包括正确了解母性的社会功能和确认教养子女是父母的共同责任，但了解到在任何情况下应首先考虑子女的利益。</w:t>
      </w:r>
      <w:r>
        <w:rPr>
          <w:rFonts w:eastAsia="KaiTi_GB2312"/>
          <w:color w:val="0000FF"/>
          <w:szCs w:val="24"/>
        </w:rPr>
        <w:t xml:space="preserve"> </w:t>
      </w:r>
      <w:r>
        <w:rPr>
          <w:rFonts w:eastAsia="KaiTi_GB2312" w:hint="eastAsia"/>
          <w:color w:val="0000FF"/>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泰国认识到，妇女的传统角色对家庭、学校和社会中的少女抚育和融入社会产生了严重的消极影响。这些根深蒂固的陈规定型观念导致的行为无法令人接受，并且难以改变。关于这些陈规定型观念，社会上流行三种态度：对妇女和少女的工作和职责的态度、对妇女所面临的危险的态度以及对妇女能力的态度。</w:t>
      </w:r>
    </w:p>
    <w:p w:rsidR="00000000" w:rsidRDefault="00B83709">
      <w:pPr>
        <w:numPr>
          <w:ilvl w:val="0"/>
          <w:numId w:val="1049"/>
        </w:numPr>
        <w:tabs>
          <w:tab w:val="clear" w:pos="360"/>
          <w:tab w:val="num" w:pos="480"/>
        </w:tabs>
        <w:spacing w:after="240" w:line="360" w:lineRule="exact"/>
        <w:rPr>
          <w:szCs w:val="24"/>
        </w:rPr>
      </w:pPr>
      <w:r>
        <w:rPr>
          <w:rFonts w:hint="eastAsia"/>
          <w:szCs w:val="24"/>
        </w:rPr>
        <w:t>另外一种陈规定型观念与家庭、社区、政府和社会领导地位有关。这些领域</w:t>
      </w:r>
      <w:r>
        <w:rPr>
          <w:rFonts w:hint="eastAsia"/>
          <w:szCs w:val="24"/>
        </w:rPr>
        <w:t>通常被认为是男子的领域，男子扮演主要角色。这种态度限制了妇女担任领导角色的希望，妨碍她们为接受这类角色付出努力。</w:t>
      </w:r>
    </w:p>
    <w:p w:rsidR="00000000" w:rsidRDefault="00B83709">
      <w:pPr>
        <w:numPr>
          <w:ilvl w:val="0"/>
          <w:numId w:val="1049"/>
        </w:numPr>
        <w:tabs>
          <w:tab w:val="clear" w:pos="360"/>
          <w:tab w:val="num" w:pos="480"/>
        </w:tabs>
        <w:spacing w:after="240" w:line="360" w:lineRule="exact"/>
        <w:rPr>
          <w:szCs w:val="24"/>
        </w:rPr>
      </w:pPr>
      <w:r>
        <w:rPr>
          <w:rFonts w:hint="eastAsia"/>
          <w:szCs w:val="24"/>
        </w:rPr>
        <w:t>不过，泰国本届政府正在设法根据《宪法》通过教育改革改变传统态度，在这场改革中，泰国正在变成一个学习型社会。这是发展知识型经济的一个重要条件，在知识型经济中，所有泰国人都享有终身学习、培训以及提高其创收知识能力的平等机会。主要目标是建立对教育产出和服务质量的信心，同时也保证各级培训和教育机构的毕业生的资格。这些人应做到头脑清醒，具备适当的知识能力、道德以及不断学习和跟上社会变革的适应能力。</w:t>
      </w:r>
    </w:p>
    <w:p w:rsidR="00000000" w:rsidRDefault="00B83709">
      <w:pPr>
        <w:numPr>
          <w:ilvl w:val="0"/>
          <w:numId w:val="1049"/>
        </w:numPr>
        <w:tabs>
          <w:tab w:val="clear" w:pos="360"/>
          <w:tab w:val="num" w:pos="480"/>
        </w:tabs>
        <w:spacing w:after="240" w:line="360" w:lineRule="exact"/>
        <w:rPr>
          <w:szCs w:val="24"/>
        </w:rPr>
      </w:pPr>
      <w:r>
        <w:rPr>
          <w:rFonts w:hint="eastAsia"/>
          <w:szCs w:val="24"/>
        </w:rPr>
        <w:t>教育改</w:t>
      </w:r>
      <w:r>
        <w:rPr>
          <w:rFonts w:hint="eastAsia"/>
          <w:szCs w:val="24"/>
        </w:rPr>
        <w:t>革将对不断变化的、有关两个关键问题的态度产生影响。</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1</w:t>
      </w:r>
      <w:r>
        <w:rPr>
          <w:rFonts w:hint="eastAsia"/>
          <w:szCs w:val="24"/>
        </w:rPr>
        <w:t>）过去，教育由中央管理。在本届政府中，教育结构的特点是将教育行政管理的权力下放到教育地区（区）、院校和地方行政管理机构。这种迈向权力下放的举措在新形势下成为必要，以前的中央管理方式不适于应对变革。中央一级的管理人员不能解决地方一级的问题，原因是他们不了解地方的情况。因此，通过教育行政管理结构的权力下放，本地人可寻找并采用最适合自身情况的解决办法。</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2</w:t>
      </w:r>
      <w:r>
        <w:rPr>
          <w:rFonts w:hint="eastAsia"/>
          <w:szCs w:val="24"/>
        </w:rPr>
        <w:t>）学习改革是教育改革的关键因素，应当集中于四个方面。</w:t>
      </w:r>
    </w:p>
    <w:p w:rsidR="00000000" w:rsidRDefault="00B83709">
      <w:pPr>
        <w:numPr>
          <w:ilvl w:val="1"/>
          <w:numId w:val="1101"/>
        </w:numPr>
        <w:tabs>
          <w:tab w:val="clear" w:pos="420"/>
          <w:tab w:val="num" w:pos="960"/>
        </w:tabs>
        <w:spacing w:after="240" w:line="360" w:lineRule="exact"/>
        <w:ind w:left="0" w:firstLine="480"/>
        <w:rPr>
          <w:szCs w:val="24"/>
        </w:rPr>
      </w:pPr>
      <w:r>
        <w:rPr>
          <w:rFonts w:eastAsia="KaiTi_GB2312" w:hint="eastAsia"/>
          <w:color w:val="0000FF"/>
          <w:szCs w:val="24"/>
        </w:rPr>
        <w:t>课程改革。</w:t>
      </w:r>
      <w:r>
        <w:rPr>
          <w:rFonts w:hint="eastAsia"/>
          <w:iCs/>
          <w:szCs w:val="24"/>
        </w:rPr>
        <w:t>新课程应顾及学习课程的环境，并应充分界</w:t>
      </w:r>
      <w:r>
        <w:rPr>
          <w:rFonts w:hint="eastAsia"/>
          <w:iCs/>
          <w:szCs w:val="24"/>
        </w:rPr>
        <w:t>定各个级别的学习目标。此外，</w:t>
      </w:r>
      <w:r>
        <w:rPr>
          <w:rFonts w:hint="eastAsia"/>
          <w:szCs w:val="24"/>
        </w:rPr>
        <w:t>地方课程必须设计得当，以适应学生的需要及其生活、学习的本地实情。</w:t>
      </w:r>
    </w:p>
    <w:p w:rsidR="00000000" w:rsidRDefault="00B83709">
      <w:pPr>
        <w:numPr>
          <w:ilvl w:val="1"/>
          <w:numId w:val="1101"/>
        </w:numPr>
        <w:tabs>
          <w:tab w:val="clear" w:pos="420"/>
          <w:tab w:val="num" w:pos="960"/>
        </w:tabs>
        <w:spacing w:after="240" w:line="360" w:lineRule="exact"/>
        <w:ind w:left="0" w:firstLine="480"/>
        <w:rPr>
          <w:szCs w:val="24"/>
        </w:rPr>
      </w:pPr>
      <w:r>
        <w:rPr>
          <w:rFonts w:eastAsia="KaiTi_GB2312" w:hint="eastAsia"/>
          <w:color w:val="0000FF"/>
          <w:szCs w:val="24"/>
        </w:rPr>
        <w:t>侧重学习者的教学和学习改革。</w:t>
      </w:r>
      <w:r>
        <w:rPr>
          <w:rFonts w:hint="eastAsia"/>
          <w:iCs/>
          <w:szCs w:val="24"/>
        </w:rPr>
        <w:t>采取这种办法，教师采用的教学和学习方式应最大限度地让学生参与，并为学生提供依其年龄和能力表达自己观点的机会，从而促进学生自由思考的能力，而不单单侧重于基本的数学技能。</w:t>
      </w:r>
    </w:p>
    <w:p w:rsidR="00000000" w:rsidRDefault="00B83709">
      <w:pPr>
        <w:numPr>
          <w:ilvl w:val="1"/>
          <w:numId w:val="1101"/>
        </w:numPr>
        <w:tabs>
          <w:tab w:val="clear" w:pos="420"/>
          <w:tab w:val="num" w:pos="960"/>
        </w:tabs>
        <w:spacing w:after="240" w:line="360" w:lineRule="exact"/>
        <w:ind w:left="0" w:firstLine="480"/>
        <w:rPr>
          <w:szCs w:val="24"/>
        </w:rPr>
      </w:pPr>
      <w:r>
        <w:rPr>
          <w:rFonts w:eastAsia="KaiTi_GB2312" w:hint="eastAsia"/>
          <w:color w:val="0000FF"/>
          <w:szCs w:val="24"/>
        </w:rPr>
        <w:t>改革教师和教育人事制度。</w:t>
      </w:r>
      <w:r>
        <w:rPr>
          <w:rFonts w:hint="eastAsia"/>
          <w:iCs/>
          <w:szCs w:val="24"/>
        </w:rPr>
        <w:t>这项改革措施的中心是发展教师的能力，使他们的教学方法适应基于学习者的制度的能力。教师可能需要其他知识和技能并鼓励努力帮助儿童学习。教师的能力培养尤其侧重于帮助教师开发新的课程，并采用新的教学技巧应用</w:t>
      </w:r>
      <w:r>
        <w:rPr>
          <w:rFonts w:hint="eastAsia"/>
          <w:iCs/>
          <w:szCs w:val="24"/>
        </w:rPr>
        <w:t>该等课程。</w:t>
      </w:r>
    </w:p>
    <w:p w:rsidR="00000000" w:rsidRDefault="00B83709">
      <w:pPr>
        <w:numPr>
          <w:ilvl w:val="1"/>
          <w:numId w:val="1101"/>
        </w:numPr>
        <w:tabs>
          <w:tab w:val="clear" w:pos="420"/>
          <w:tab w:val="num" w:pos="960"/>
        </w:tabs>
        <w:spacing w:after="240" w:line="360" w:lineRule="exact"/>
        <w:ind w:left="0" w:firstLine="480"/>
        <w:rPr>
          <w:szCs w:val="24"/>
        </w:rPr>
      </w:pPr>
      <w:r>
        <w:rPr>
          <w:rFonts w:eastAsia="KaiTi_GB2312" w:hint="eastAsia"/>
          <w:color w:val="0000FF"/>
          <w:szCs w:val="24"/>
        </w:rPr>
        <w:t>监督和评估改革</w:t>
      </w:r>
      <w:r>
        <w:rPr>
          <w:rFonts w:hint="eastAsia"/>
          <w:iCs/>
          <w:szCs w:val="24"/>
        </w:rPr>
        <w:t>涉及确定教师评估标准。好的课程、有能力的教师和好的教学方法如果得不到有效利用，不一定能保障良好的教育水平。因此，需要适当的监督和评估制度。</w:t>
      </w:r>
    </w:p>
    <w:p w:rsidR="00000000" w:rsidRDefault="00B83709">
      <w:pPr>
        <w:numPr>
          <w:ilvl w:val="0"/>
          <w:numId w:val="1049"/>
        </w:numPr>
        <w:tabs>
          <w:tab w:val="clear" w:pos="360"/>
          <w:tab w:val="num" w:pos="480"/>
        </w:tabs>
        <w:spacing w:after="240" w:line="360" w:lineRule="exact"/>
        <w:rPr>
          <w:szCs w:val="24"/>
        </w:rPr>
      </w:pPr>
      <w:r>
        <w:rPr>
          <w:rFonts w:hint="eastAsia"/>
          <w:szCs w:val="24"/>
        </w:rPr>
        <w:t>希望教育改革将通过侧重于个人和人类以及实施教育改革准则和变革机制的关键因素，改变泰国社会的传统态度。</w:t>
      </w:r>
    </w:p>
    <w:p w:rsidR="00000000" w:rsidRDefault="00B83709">
      <w:pPr>
        <w:numPr>
          <w:ilvl w:val="0"/>
          <w:numId w:val="1049"/>
        </w:numPr>
        <w:tabs>
          <w:tab w:val="clear" w:pos="360"/>
          <w:tab w:val="num" w:pos="480"/>
        </w:tabs>
        <w:spacing w:after="240" w:line="360" w:lineRule="exact"/>
        <w:rPr>
          <w:szCs w:val="24"/>
        </w:rPr>
      </w:pPr>
      <w:r>
        <w:rPr>
          <w:rFonts w:hint="eastAsia"/>
          <w:szCs w:val="24"/>
        </w:rPr>
        <w:t>界定男女角色的社会价值观导致家庭内和社会中的不平等，仍然是根本的挑战。这些价值观对变革构成了特别障碍，最好的例子是对妇女暴力案件，在这类案件中，法律程序和执法不能够让受害者充分行使他们的权利。另外，大众媒介通常对受害抱有偏见，称他们是问题的根源</w:t>
      </w:r>
      <w:r>
        <w:rPr>
          <w:rFonts w:hint="eastAsia"/>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关于儿童保育，根据法律，父母有义务抚养、教育未成年的子女。子女由父母监护的最终期限是父母过世或者子女达到法定成年年龄。法律规定，男女负有抚养子女的同等义务。夫妻若离婚，双方应商定由哪一方监护子女。双方若不能达成协议，法院将做出裁决。法院如果认为父母双方都不适合作监护人，有权撤销子女监护权，并指定替代监护人，但应以子女的最大利益和幸福为重。</w:t>
      </w:r>
    </w:p>
    <w:p w:rsidR="00000000" w:rsidRDefault="00B83709">
      <w:pPr>
        <w:numPr>
          <w:ilvl w:val="0"/>
          <w:numId w:val="1049"/>
        </w:numPr>
        <w:tabs>
          <w:tab w:val="clear" w:pos="360"/>
          <w:tab w:val="num" w:pos="480"/>
        </w:tabs>
        <w:spacing w:after="240" w:line="360" w:lineRule="exact"/>
        <w:rPr>
          <w:szCs w:val="24"/>
        </w:rPr>
      </w:pPr>
      <w:r>
        <w:rPr>
          <w:rFonts w:hint="eastAsia"/>
          <w:szCs w:val="24"/>
        </w:rPr>
        <w:t>在夫妻关系方面，配偶原则上应在各自的能力和手段范围内照料对方。如果共同生活可能导致人身伤害或精神创伤，或者可能严重损害任何一方的幸福，受害的一方在此种情形存续的情况下</w:t>
      </w:r>
      <w:r>
        <w:rPr>
          <w:rFonts w:hint="eastAsia"/>
          <w:szCs w:val="24"/>
        </w:rPr>
        <w:t>，可请求法院勒令他或她分居。在这种情形下，法院可确定应付的补偿金额。</w:t>
      </w:r>
    </w:p>
    <w:p w:rsidR="00000000" w:rsidRDefault="00B83709">
      <w:pPr>
        <w:spacing w:after="240" w:line="360" w:lineRule="exact"/>
        <w:rPr>
          <w:rFonts w:eastAsia="SimHei" w:hint="eastAsia"/>
          <w:color w:val="FF0000"/>
        </w:rPr>
      </w:pPr>
      <w:r>
        <w:rPr>
          <w:rFonts w:eastAsia="SimHei" w:hint="eastAsia"/>
          <w:color w:val="FF0000"/>
        </w:rPr>
        <w:t>对妇女的暴力</w:t>
      </w:r>
    </w:p>
    <w:p w:rsidR="00000000" w:rsidRDefault="00B83709">
      <w:pPr>
        <w:numPr>
          <w:ilvl w:val="0"/>
          <w:numId w:val="1049"/>
        </w:numPr>
        <w:tabs>
          <w:tab w:val="clear" w:pos="360"/>
          <w:tab w:val="num" w:pos="480"/>
        </w:tabs>
        <w:spacing w:after="240" w:line="360" w:lineRule="exact"/>
        <w:rPr>
          <w:szCs w:val="24"/>
        </w:rPr>
      </w:pPr>
      <w:r>
        <w:rPr>
          <w:rFonts w:hint="eastAsia"/>
          <w:szCs w:val="24"/>
        </w:rPr>
        <w:t>对妇女儿童的暴力是妨碍发展的一个重要问题。很多妇女儿童在家庭、家中、学校、工作场所、甚至在公共场所遭受了身心虐待和性虐待。这种情形存在了很长一段时间，亚洲经济危机进一步助长了这种情形，因为危机加大了家庭的压力。同时，社会不完全理解和承认这一问题，其结果是对受害者的援助不够。</w:t>
      </w:r>
    </w:p>
    <w:p w:rsidR="00000000" w:rsidRDefault="00B83709">
      <w:pPr>
        <w:numPr>
          <w:ilvl w:val="0"/>
          <w:numId w:val="1049"/>
        </w:numPr>
        <w:tabs>
          <w:tab w:val="clear" w:pos="360"/>
          <w:tab w:val="num" w:pos="480"/>
        </w:tabs>
        <w:spacing w:after="240" w:line="360" w:lineRule="exact"/>
        <w:rPr>
          <w:szCs w:val="24"/>
        </w:rPr>
      </w:pPr>
      <w:r>
        <w:rPr>
          <w:rFonts w:hint="eastAsia"/>
          <w:szCs w:val="24"/>
        </w:rPr>
        <w:t>同全球其他社会一样，泰国社会仍然存在对妇女的身体虐待和性虐待，尽管政府和非政府组织为解决这一问题开展了预防宣传活动，并采取了其他措施。遗憾的是，其他组织</w:t>
      </w:r>
      <w:r>
        <w:rPr>
          <w:rFonts w:hint="eastAsia"/>
          <w:szCs w:val="24"/>
        </w:rPr>
        <w:t>提供的数据表明这种情形在不断恶化。受害者的年龄从幼儿到年长者不等，包括智障者或残疾人。大多数罪犯是受害者的家庭成员或熟人。</w:t>
      </w:r>
    </w:p>
    <w:p w:rsidR="00000000" w:rsidRDefault="00B83709">
      <w:pPr>
        <w:numPr>
          <w:ilvl w:val="0"/>
          <w:numId w:val="1049"/>
        </w:numPr>
        <w:tabs>
          <w:tab w:val="clear" w:pos="360"/>
          <w:tab w:val="num" w:pos="480"/>
        </w:tabs>
        <w:spacing w:after="240" w:line="360" w:lineRule="exact"/>
        <w:rPr>
          <w:szCs w:val="24"/>
        </w:rPr>
      </w:pPr>
      <w:r>
        <w:rPr>
          <w:rFonts w:hint="eastAsia"/>
          <w:szCs w:val="24"/>
        </w:rPr>
        <w:t>社会认为，对妇女的暴力，尤其是家庭暴力，是家务事儿，家庭以外的人员不应介入。因此，许多受害者不想向局外人透露遭受折磨的细节，也不想寻求援助，或者检举罪犯。因此，报告的对妇女暴力的案例数量大大低估了现有情形，仅占虐待受害者的一小部分。</w:t>
      </w:r>
    </w:p>
    <w:p w:rsidR="00000000" w:rsidRDefault="00B83709">
      <w:pPr>
        <w:numPr>
          <w:ilvl w:val="0"/>
          <w:numId w:val="1049"/>
        </w:numPr>
        <w:tabs>
          <w:tab w:val="clear" w:pos="360"/>
          <w:tab w:val="num" w:pos="480"/>
        </w:tabs>
        <w:spacing w:after="240" w:line="360" w:lineRule="exact"/>
        <w:rPr>
          <w:szCs w:val="24"/>
        </w:rPr>
      </w:pPr>
      <w:r>
        <w:rPr>
          <w:rFonts w:hint="eastAsia"/>
          <w:szCs w:val="24"/>
        </w:rPr>
        <w:t>从各机构和组织获得的统计数字表明了这一问题的紧迫性。</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1</w:t>
      </w:r>
      <w:r>
        <w:rPr>
          <w:rFonts w:hint="eastAsia"/>
          <w:szCs w:val="24"/>
        </w:rPr>
        <w:t>）法院数据表明，对妇女暴力的案件数量不断增加。</w:t>
      </w:r>
      <w:r>
        <w:rPr>
          <w:rFonts w:hint="eastAsia"/>
          <w:szCs w:val="24"/>
        </w:rPr>
        <w:t>1990</w:t>
      </w:r>
      <w:r>
        <w:rPr>
          <w:rFonts w:hint="eastAsia"/>
          <w:szCs w:val="24"/>
        </w:rPr>
        <w:t>年的案件数量是</w:t>
      </w:r>
      <w:r>
        <w:rPr>
          <w:szCs w:val="24"/>
        </w:rPr>
        <w:t>2</w:t>
      </w:r>
      <w:r>
        <w:rPr>
          <w:rFonts w:hint="eastAsia"/>
          <w:szCs w:val="24"/>
        </w:rPr>
        <w:t xml:space="preserve"> </w:t>
      </w:r>
      <w:r>
        <w:rPr>
          <w:szCs w:val="24"/>
        </w:rPr>
        <w:t>817</w:t>
      </w:r>
      <w:r>
        <w:rPr>
          <w:rFonts w:hint="eastAsia"/>
          <w:szCs w:val="24"/>
        </w:rPr>
        <w:t>起，</w:t>
      </w:r>
      <w:r>
        <w:rPr>
          <w:rFonts w:hint="eastAsia"/>
          <w:szCs w:val="24"/>
        </w:rPr>
        <w:t>1997</w:t>
      </w:r>
      <w:r>
        <w:rPr>
          <w:rFonts w:hint="eastAsia"/>
          <w:szCs w:val="24"/>
        </w:rPr>
        <w:t>年增至</w:t>
      </w:r>
      <w:r>
        <w:rPr>
          <w:szCs w:val="24"/>
        </w:rPr>
        <w:t>5</w:t>
      </w:r>
      <w:r>
        <w:rPr>
          <w:rFonts w:hint="eastAsia"/>
          <w:szCs w:val="24"/>
        </w:rPr>
        <w:t xml:space="preserve"> </w:t>
      </w:r>
      <w:r>
        <w:rPr>
          <w:szCs w:val="24"/>
        </w:rPr>
        <w:t>840</w:t>
      </w:r>
      <w:r>
        <w:rPr>
          <w:rFonts w:hint="eastAsia"/>
          <w:szCs w:val="24"/>
        </w:rPr>
        <w:t>起，翻了一倍还要多。</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2</w:t>
      </w:r>
      <w:r>
        <w:rPr>
          <w:rFonts w:hint="eastAsia"/>
          <w:szCs w:val="24"/>
        </w:rPr>
        <w:t>）公共福利厅规划和预算处信息中心注意到，</w:t>
      </w:r>
      <w:r>
        <w:rPr>
          <w:rFonts w:hint="eastAsia"/>
          <w:szCs w:val="24"/>
        </w:rPr>
        <w:t>2000</w:t>
      </w:r>
      <w:r>
        <w:rPr>
          <w:rFonts w:hint="eastAsia"/>
          <w:szCs w:val="24"/>
        </w:rPr>
        <w:t>年全国共有：</w:t>
      </w:r>
    </w:p>
    <w:p w:rsidR="00000000" w:rsidRDefault="00B83709">
      <w:pPr>
        <w:numPr>
          <w:ilvl w:val="1"/>
          <w:numId w:val="1113"/>
        </w:numPr>
        <w:tabs>
          <w:tab w:val="clear" w:pos="360"/>
          <w:tab w:val="num" w:pos="1440"/>
        </w:tabs>
        <w:spacing w:after="240" w:line="360" w:lineRule="exact"/>
        <w:ind w:left="0" w:firstLine="960"/>
        <w:rPr>
          <w:szCs w:val="24"/>
        </w:rPr>
      </w:pPr>
      <w:r>
        <w:rPr>
          <w:szCs w:val="24"/>
        </w:rPr>
        <w:t xml:space="preserve"> 4</w:t>
      </w:r>
      <w:r>
        <w:rPr>
          <w:rFonts w:hint="eastAsia"/>
          <w:szCs w:val="24"/>
        </w:rPr>
        <w:t xml:space="preserve"> </w:t>
      </w:r>
      <w:r>
        <w:rPr>
          <w:szCs w:val="24"/>
        </w:rPr>
        <w:t xml:space="preserve">037 </w:t>
      </w:r>
      <w:r>
        <w:rPr>
          <w:rFonts w:hint="eastAsia"/>
          <w:szCs w:val="24"/>
        </w:rPr>
        <w:t>起举报的强奸案件，</w:t>
      </w:r>
      <w:r>
        <w:rPr>
          <w:szCs w:val="24"/>
        </w:rPr>
        <w:t>2</w:t>
      </w:r>
      <w:r>
        <w:rPr>
          <w:rFonts w:hint="eastAsia"/>
          <w:szCs w:val="24"/>
        </w:rPr>
        <w:t xml:space="preserve"> </w:t>
      </w:r>
      <w:r>
        <w:rPr>
          <w:szCs w:val="24"/>
        </w:rPr>
        <w:t>625</w:t>
      </w:r>
      <w:r>
        <w:rPr>
          <w:rFonts w:hint="eastAsia"/>
          <w:szCs w:val="24"/>
        </w:rPr>
        <w:t>人被捕，以及</w:t>
      </w:r>
    </w:p>
    <w:p w:rsidR="00000000" w:rsidRDefault="00B83709">
      <w:pPr>
        <w:numPr>
          <w:ilvl w:val="1"/>
          <w:numId w:val="1113"/>
        </w:numPr>
        <w:tabs>
          <w:tab w:val="clear" w:pos="360"/>
          <w:tab w:val="num" w:pos="1440"/>
        </w:tabs>
        <w:spacing w:after="240" w:line="360" w:lineRule="exact"/>
        <w:ind w:left="0" w:firstLine="960"/>
        <w:rPr>
          <w:szCs w:val="24"/>
        </w:rPr>
      </w:pPr>
      <w:r>
        <w:rPr>
          <w:szCs w:val="24"/>
        </w:rPr>
        <w:t>16</w:t>
      </w:r>
      <w:r>
        <w:rPr>
          <w:rFonts w:hint="eastAsia"/>
          <w:szCs w:val="24"/>
        </w:rPr>
        <w:t>起强奸和谋杀案，</w:t>
      </w:r>
      <w:r>
        <w:rPr>
          <w:rFonts w:hint="eastAsia"/>
          <w:szCs w:val="24"/>
        </w:rPr>
        <w:t>15</w:t>
      </w:r>
      <w:r>
        <w:rPr>
          <w:rFonts w:hint="eastAsia"/>
          <w:szCs w:val="24"/>
        </w:rPr>
        <w:t>人被捕。</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3</w:t>
      </w:r>
      <w:r>
        <w:rPr>
          <w:rFonts w:hint="eastAsia"/>
          <w:szCs w:val="24"/>
        </w:rPr>
        <w:t>）</w:t>
      </w:r>
      <w:r>
        <w:rPr>
          <w:szCs w:val="24"/>
        </w:rPr>
        <w:t>2000</w:t>
      </w:r>
      <w:r>
        <w:rPr>
          <w:rFonts w:hint="eastAsia"/>
          <w:szCs w:val="24"/>
        </w:rPr>
        <w:t>年，公共福利厅保护儿童福利处报告曼谷发生了</w:t>
      </w:r>
      <w:r>
        <w:rPr>
          <w:rFonts w:hint="eastAsia"/>
          <w:szCs w:val="24"/>
        </w:rPr>
        <w:t>97</w:t>
      </w:r>
      <w:r>
        <w:rPr>
          <w:rFonts w:hint="eastAsia"/>
          <w:szCs w:val="24"/>
        </w:rPr>
        <w:t>起虐待儿童的案件，农村地区发生了</w:t>
      </w:r>
      <w:r>
        <w:rPr>
          <w:rFonts w:hint="eastAsia"/>
          <w:szCs w:val="24"/>
        </w:rPr>
        <w:t>173</w:t>
      </w:r>
      <w:r>
        <w:rPr>
          <w:rFonts w:hint="eastAsia"/>
          <w:szCs w:val="24"/>
        </w:rPr>
        <w:t>起同类案件。在所有案件（</w:t>
      </w:r>
      <w:r>
        <w:rPr>
          <w:szCs w:val="24"/>
        </w:rPr>
        <w:t>270</w:t>
      </w:r>
      <w:r>
        <w:rPr>
          <w:rFonts w:hint="eastAsia"/>
          <w:szCs w:val="24"/>
        </w:rPr>
        <w:t>起）中，</w:t>
      </w:r>
      <w:r>
        <w:rPr>
          <w:szCs w:val="24"/>
        </w:rPr>
        <w:t>197</w:t>
      </w:r>
      <w:r>
        <w:rPr>
          <w:rFonts w:hint="eastAsia"/>
          <w:szCs w:val="24"/>
        </w:rPr>
        <w:t>名受害者是少女，</w:t>
      </w:r>
      <w:r>
        <w:rPr>
          <w:rFonts w:hint="eastAsia"/>
          <w:szCs w:val="24"/>
        </w:rPr>
        <w:t>73</w:t>
      </w:r>
      <w:r>
        <w:rPr>
          <w:rFonts w:hint="eastAsia"/>
          <w:szCs w:val="24"/>
        </w:rPr>
        <w:t>人是男童。案件包括遭到人身攻击和性攻击的儿童以及被忽视的儿童。大多数罪犯是受害者的熟人，如父母、监护人、邻居和老师。</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4</w:t>
      </w:r>
      <w:r>
        <w:rPr>
          <w:rFonts w:hint="eastAsia"/>
          <w:szCs w:val="24"/>
        </w:rPr>
        <w:t>）妇女基金会社会服务处报告，</w:t>
      </w:r>
      <w:r>
        <w:rPr>
          <w:rFonts w:hint="eastAsia"/>
          <w:szCs w:val="24"/>
        </w:rPr>
        <w:t>2000</w:t>
      </w:r>
      <w:r>
        <w:rPr>
          <w:rFonts w:hint="eastAsia"/>
          <w:szCs w:val="24"/>
        </w:rPr>
        <w:t>年</w:t>
      </w:r>
      <w:r>
        <w:rPr>
          <w:rFonts w:hint="eastAsia"/>
          <w:szCs w:val="24"/>
        </w:rPr>
        <w:t>1</w:t>
      </w:r>
      <w:r>
        <w:rPr>
          <w:rFonts w:hint="eastAsia"/>
          <w:szCs w:val="24"/>
        </w:rPr>
        <w:t>月至</w:t>
      </w:r>
      <w:r>
        <w:rPr>
          <w:rFonts w:hint="eastAsia"/>
          <w:szCs w:val="24"/>
        </w:rPr>
        <w:t>12</w:t>
      </w:r>
      <w:r>
        <w:rPr>
          <w:rFonts w:hint="eastAsia"/>
          <w:szCs w:val="24"/>
        </w:rPr>
        <w:t>月发生了</w:t>
      </w:r>
      <w:r>
        <w:rPr>
          <w:rFonts w:hint="eastAsia"/>
          <w:szCs w:val="24"/>
        </w:rPr>
        <w:t>97</w:t>
      </w:r>
      <w:r>
        <w:rPr>
          <w:rFonts w:hint="eastAsia"/>
          <w:szCs w:val="24"/>
        </w:rPr>
        <w:t>起性暴力案件、</w:t>
      </w:r>
      <w:r>
        <w:rPr>
          <w:rFonts w:hint="eastAsia"/>
          <w:szCs w:val="24"/>
        </w:rPr>
        <w:t>84</w:t>
      </w:r>
      <w:r>
        <w:rPr>
          <w:rFonts w:hint="eastAsia"/>
          <w:szCs w:val="24"/>
        </w:rPr>
        <w:t>起家庭暴力案件、以及</w:t>
      </w:r>
      <w:r>
        <w:rPr>
          <w:rFonts w:hint="eastAsia"/>
          <w:szCs w:val="24"/>
        </w:rPr>
        <w:t>50</w:t>
      </w:r>
      <w:r>
        <w:rPr>
          <w:rFonts w:hint="eastAsia"/>
          <w:szCs w:val="24"/>
        </w:rPr>
        <w:t>起贩卖</w:t>
      </w:r>
      <w:r>
        <w:rPr>
          <w:rFonts w:hint="eastAsia"/>
          <w:snapToGrid w:val="0"/>
          <w:szCs w:val="24"/>
        </w:rPr>
        <w:t>妇女</w:t>
      </w:r>
      <w:r>
        <w:rPr>
          <w:rFonts w:hint="eastAsia"/>
          <w:szCs w:val="24"/>
        </w:rPr>
        <w:t>案件。</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5</w:t>
      </w:r>
      <w:r>
        <w:rPr>
          <w:rFonts w:hint="eastAsia"/>
          <w:szCs w:val="24"/>
        </w:rPr>
        <w:t>）热线中心基金会报告，</w:t>
      </w:r>
      <w:r>
        <w:rPr>
          <w:rFonts w:hint="eastAsia"/>
          <w:szCs w:val="24"/>
        </w:rPr>
        <w:t>1999</w:t>
      </w:r>
      <w:r>
        <w:rPr>
          <w:rFonts w:hint="eastAsia"/>
          <w:szCs w:val="24"/>
        </w:rPr>
        <w:t>年</w:t>
      </w:r>
      <w:r>
        <w:rPr>
          <w:rFonts w:hint="eastAsia"/>
          <w:szCs w:val="24"/>
        </w:rPr>
        <w:t>1</w:t>
      </w:r>
      <w:r>
        <w:rPr>
          <w:rFonts w:hint="eastAsia"/>
          <w:szCs w:val="24"/>
        </w:rPr>
        <w:t>月至</w:t>
      </w:r>
      <w:r>
        <w:rPr>
          <w:rFonts w:hint="eastAsia"/>
          <w:szCs w:val="24"/>
        </w:rPr>
        <w:t>9</w:t>
      </w:r>
      <w:r>
        <w:rPr>
          <w:rFonts w:hint="eastAsia"/>
          <w:szCs w:val="24"/>
        </w:rPr>
        <w:t>月，</w:t>
      </w:r>
      <w:r>
        <w:rPr>
          <w:rFonts w:hint="eastAsia"/>
          <w:szCs w:val="24"/>
        </w:rPr>
        <w:t>480</w:t>
      </w:r>
      <w:r>
        <w:rPr>
          <w:rFonts w:hint="eastAsia"/>
          <w:szCs w:val="24"/>
        </w:rPr>
        <w:t>人要求提供家庭暴力方面的辅导，</w:t>
      </w:r>
      <w:r>
        <w:rPr>
          <w:rFonts w:hint="eastAsia"/>
          <w:szCs w:val="24"/>
        </w:rPr>
        <w:t>383</w:t>
      </w:r>
      <w:r>
        <w:rPr>
          <w:rFonts w:hint="eastAsia"/>
          <w:szCs w:val="24"/>
        </w:rPr>
        <w:t>起案件涉及强奸。</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6</w:t>
      </w:r>
      <w:r>
        <w:rPr>
          <w:rFonts w:hint="eastAsia"/>
          <w:szCs w:val="24"/>
        </w:rPr>
        <w:t>）妇女权利保护、妇女之友基金会报告，</w:t>
      </w:r>
      <w:r>
        <w:rPr>
          <w:rFonts w:hint="eastAsia"/>
          <w:szCs w:val="24"/>
        </w:rPr>
        <w:t>1997</w:t>
      </w:r>
      <w:r>
        <w:rPr>
          <w:rFonts w:hint="eastAsia"/>
          <w:szCs w:val="24"/>
        </w:rPr>
        <w:t>年</w:t>
      </w:r>
      <w:r>
        <w:rPr>
          <w:rFonts w:hint="eastAsia"/>
          <w:szCs w:val="24"/>
        </w:rPr>
        <w:t>1</w:t>
      </w:r>
      <w:r>
        <w:rPr>
          <w:rFonts w:hint="eastAsia"/>
          <w:szCs w:val="24"/>
        </w:rPr>
        <w:t>月至</w:t>
      </w:r>
      <w:r>
        <w:rPr>
          <w:rFonts w:hint="eastAsia"/>
          <w:szCs w:val="24"/>
        </w:rPr>
        <w:t>12</w:t>
      </w:r>
      <w:r>
        <w:rPr>
          <w:rFonts w:hint="eastAsia"/>
          <w:szCs w:val="24"/>
        </w:rPr>
        <w:t>月，提出援助申请的数量为</w:t>
      </w:r>
      <w:r>
        <w:rPr>
          <w:szCs w:val="24"/>
        </w:rPr>
        <w:t>1</w:t>
      </w:r>
      <w:r>
        <w:rPr>
          <w:rFonts w:hint="eastAsia"/>
          <w:szCs w:val="24"/>
        </w:rPr>
        <w:t xml:space="preserve"> </w:t>
      </w:r>
      <w:r>
        <w:rPr>
          <w:szCs w:val="24"/>
        </w:rPr>
        <w:t>057</w:t>
      </w:r>
      <w:r>
        <w:rPr>
          <w:rFonts w:hint="eastAsia"/>
          <w:szCs w:val="24"/>
        </w:rPr>
        <w:t>起，</w:t>
      </w:r>
      <w:r>
        <w:rPr>
          <w:rFonts w:hint="eastAsia"/>
          <w:szCs w:val="24"/>
        </w:rPr>
        <w:t>1998</w:t>
      </w:r>
      <w:r>
        <w:rPr>
          <w:rFonts w:hint="eastAsia"/>
          <w:szCs w:val="24"/>
        </w:rPr>
        <w:t>年为</w:t>
      </w:r>
      <w:r>
        <w:rPr>
          <w:szCs w:val="24"/>
        </w:rPr>
        <w:t>1</w:t>
      </w:r>
      <w:r>
        <w:rPr>
          <w:rFonts w:hint="eastAsia"/>
          <w:szCs w:val="24"/>
        </w:rPr>
        <w:t xml:space="preserve"> </w:t>
      </w:r>
      <w:r>
        <w:rPr>
          <w:szCs w:val="24"/>
        </w:rPr>
        <w:t>000</w:t>
      </w:r>
      <w:r>
        <w:rPr>
          <w:rFonts w:hint="eastAsia"/>
          <w:szCs w:val="24"/>
        </w:rPr>
        <w:t>起，</w:t>
      </w:r>
      <w:r>
        <w:rPr>
          <w:rFonts w:hint="eastAsia"/>
          <w:szCs w:val="24"/>
        </w:rPr>
        <w:t>80%</w:t>
      </w:r>
      <w:r>
        <w:rPr>
          <w:rFonts w:hint="eastAsia"/>
          <w:szCs w:val="24"/>
        </w:rPr>
        <w:t>的申请涉及家庭暴力和性暴力。</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7</w:t>
      </w:r>
      <w:r>
        <w:rPr>
          <w:rFonts w:hint="eastAsia"/>
          <w:szCs w:val="24"/>
        </w:rPr>
        <w:t>）保护儿童</w:t>
      </w:r>
      <w:r>
        <w:rPr>
          <w:rFonts w:hint="eastAsia"/>
          <w:snapToGrid w:val="0"/>
          <w:szCs w:val="24"/>
        </w:rPr>
        <w:t>权利</w:t>
      </w:r>
      <w:r>
        <w:rPr>
          <w:rFonts w:hint="eastAsia"/>
          <w:szCs w:val="24"/>
        </w:rPr>
        <w:t>基金会提供的统计数字表明，</w:t>
      </w:r>
      <w:r>
        <w:rPr>
          <w:rFonts w:hint="eastAsia"/>
          <w:szCs w:val="24"/>
        </w:rPr>
        <w:t>1998</w:t>
      </w:r>
      <w:r>
        <w:rPr>
          <w:rFonts w:hint="eastAsia"/>
          <w:szCs w:val="24"/>
        </w:rPr>
        <w:t>年</w:t>
      </w:r>
      <w:r>
        <w:rPr>
          <w:rFonts w:hint="eastAsia"/>
          <w:szCs w:val="24"/>
        </w:rPr>
        <w:t>1</w:t>
      </w:r>
      <w:r>
        <w:rPr>
          <w:rFonts w:hint="eastAsia"/>
          <w:szCs w:val="24"/>
        </w:rPr>
        <w:t>月至</w:t>
      </w:r>
      <w:r>
        <w:rPr>
          <w:rFonts w:hint="eastAsia"/>
          <w:szCs w:val="24"/>
        </w:rPr>
        <w:t>11</w:t>
      </w:r>
      <w:r>
        <w:rPr>
          <w:rFonts w:hint="eastAsia"/>
          <w:szCs w:val="24"/>
        </w:rPr>
        <w:t>月，发生了</w:t>
      </w:r>
      <w:r>
        <w:rPr>
          <w:rFonts w:hint="eastAsia"/>
          <w:szCs w:val="24"/>
        </w:rPr>
        <w:t>88</w:t>
      </w:r>
      <w:r>
        <w:rPr>
          <w:rFonts w:hint="eastAsia"/>
          <w:szCs w:val="24"/>
        </w:rPr>
        <w:t>起对儿童性暴力案件，以及涉及如下方面的案件：人身攻击（</w:t>
      </w:r>
      <w:r>
        <w:rPr>
          <w:rFonts w:hint="eastAsia"/>
          <w:szCs w:val="24"/>
        </w:rPr>
        <w:t>33</w:t>
      </w:r>
      <w:r>
        <w:rPr>
          <w:rFonts w:hint="eastAsia"/>
          <w:szCs w:val="24"/>
        </w:rPr>
        <w:t>起）、儿童卖淫（</w:t>
      </w:r>
      <w:r>
        <w:rPr>
          <w:rFonts w:hint="eastAsia"/>
          <w:szCs w:val="24"/>
        </w:rPr>
        <w:t>7</w:t>
      </w:r>
      <w:r>
        <w:rPr>
          <w:rFonts w:hint="eastAsia"/>
          <w:szCs w:val="24"/>
        </w:rPr>
        <w:t>起）、童工</w:t>
      </w:r>
      <w:r>
        <w:rPr>
          <w:rFonts w:hint="eastAsia"/>
          <w:szCs w:val="24"/>
        </w:rPr>
        <w:t>（</w:t>
      </w:r>
      <w:r>
        <w:rPr>
          <w:rFonts w:hint="eastAsia"/>
          <w:szCs w:val="24"/>
        </w:rPr>
        <w:t>4</w:t>
      </w:r>
      <w:r>
        <w:rPr>
          <w:rFonts w:hint="eastAsia"/>
          <w:szCs w:val="24"/>
        </w:rPr>
        <w:t>起）、失踪或绑架（</w:t>
      </w:r>
      <w:r>
        <w:rPr>
          <w:rFonts w:hint="eastAsia"/>
          <w:szCs w:val="24"/>
        </w:rPr>
        <w:t>5</w:t>
      </w:r>
      <w:r>
        <w:rPr>
          <w:rFonts w:hint="eastAsia"/>
          <w:szCs w:val="24"/>
        </w:rPr>
        <w:t>起）以及无家可归和遗弃（</w:t>
      </w:r>
      <w:r>
        <w:rPr>
          <w:szCs w:val="24"/>
        </w:rPr>
        <w:t>28</w:t>
      </w:r>
      <w:r>
        <w:rPr>
          <w:rFonts w:hint="eastAsia"/>
          <w:szCs w:val="24"/>
        </w:rPr>
        <w:t>起）。总共发生了</w:t>
      </w:r>
      <w:r>
        <w:rPr>
          <w:rFonts w:hint="eastAsia"/>
          <w:szCs w:val="24"/>
        </w:rPr>
        <w:t>164</w:t>
      </w:r>
      <w:r>
        <w:rPr>
          <w:rFonts w:hint="eastAsia"/>
          <w:szCs w:val="24"/>
        </w:rPr>
        <w:t>起案件，其中有</w:t>
      </w:r>
      <w:r>
        <w:rPr>
          <w:rFonts w:hint="eastAsia"/>
          <w:szCs w:val="24"/>
        </w:rPr>
        <w:t>153</w:t>
      </w:r>
      <w:r>
        <w:rPr>
          <w:rFonts w:hint="eastAsia"/>
          <w:szCs w:val="24"/>
        </w:rPr>
        <w:t>起获得援助。</w:t>
      </w:r>
    </w:p>
    <w:p w:rsidR="00000000" w:rsidRDefault="00B83709">
      <w:pPr>
        <w:numPr>
          <w:ilvl w:val="0"/>
          <w:numId w:val="1049"/>
        </w:numPr>
        <w:tabs>
          <w:tab w:val="clear" w:pos="360"/>
          <w:tab w:val="num" w:pos="480"/>
        </w:tabs>
        <w:spacing w:after="240" w:line="360" w:lineRule="exact"/>
        <w:rPr>
          <w:szCs w:val="24"/>
        </w:rPr>
      </w:pPr>
      <w:r>
        <w:rPr>
          <w:rFonts w:hint="eastAsia"/>
          <w:szCs w:val="24"/>
        </w:rPr>
        <w:t>这些统计数字反映的只是现有问题的一部分；许多其他问题仍然是隐性问题，原因是社会态度、歧视性法律以及有关人员缺乏知识和了解。</w:t>
      </w:r>
    </w:p>
    <w:p w:rsidR="00000000" w:rsidRDefault="00B83709">
      <w:pPr>
        <w:numPr>
          <w:ilvl w:val="0"/>
          <w:numId w:val="1049"/>
        </w:numPr>
        <w:tabs>
          <w:tab w:val="clear" w:pos="360"/>
          <w:tab w:val="num" w:pos="480"/>
        </w:tabs>
        <w:spacing w:after="240" w:line="360" w:lineRule="exact"/>
        <w:rPr>
          <w:szCs w:val="24"/>
        </w:rPr>
      </w:pPr>
      <w:r>
        <w:rPr>
          <w:rFonts w:hint="eastAsia"/>
          <w:szCs w:val="24"/>
        </w:rPr>
        <w:t>根据以上统计数字，可将问题汇总如下。</w:t>
      </w:r>
    </w:p>
    <w:p w:rsidR="00000000" w:rsidRDefault="00B83709" w:rsidP="00B83709">
      <w:pPr>
        <w:tabs>
          <w:tab w:val="left" w:pos="1080"/>
        </w:tabs>
        <w:spacing w:after="240" w:line="360" w:lineRule="exact"/>
        <w:ind w:firstLineChars="200" w:firstLine="31680"/>
        <w:rPr>
          <w:szCs w:val="24"/>
        </w:rPr>
      </w:pPr>
      <w:r>
        <w:rPr>
          <w:rFonts w:hint="eastAsia"/>
          <w:bCs/>
          <w:szCs w:val="24"/>
        </w:rPr>
        <w:t>（</w:t>
      </w:r>
      <w:r>
        <w:rPr>
          <w:rFonts w:hint="eastAsia"/>
          <w:bCs/>
          <w:szCs w:val="24"/>
        </w:rPr>
        <w:t>1</w:t>
      </w:r>
      <w:r>
        <w:rPr>
          <w:rFonts w:hint="eastAsia"/>
          <w:bCs/>
          <w:szCs w:val="24"/>
        </w:rPr>
        <w:t>）</w:t>
      </w:r>
      <w:r>
        <w:rPr>
          <w:rFonts w:eastAsia="SimHei" w:hint="eastAsia"/>
          <w:bCs/>
          <w:color w:val="FF0000"/>
          <w:szCs w:val="24"/>
        </w:rPr>
        <w:t>家庭暴力。</w:t>
      </w:r>
      <w:r>
        <w:rPr>
          <w:rFonts w:hint="eastAsia"/>
          <w:bCs/>
          <w:szCs w:val="24"/>
        </w:rPr>
        <w:t>泰国法律规定，人身攻击无论发生在家庭内外均为刑事罪。</w:t>
      </w:r>
      <w:r>
        <w:rPr>
          <w:rFonts w:hint="eastAsia"/>
          <w:szCs w:val="24"/>
        </w:rPr>
        <w:t>但实际上，家庭成员、丈夫及其他亲戚对妇女的肉体暴力行为和性暴力行为仍然发生，并且通过大众媒介公诸于众。泰国社会的大多数人，包括家庭内的罪犯和妇女本人，都将这一问题视为私事儿。</w:t>
      </w:r>
      <w:r>
        <w:rPr>
          <w:rFonts w:hint="eastAsia"/>
          <w:szCs w:val="24"/>
        </w:rPr>
        <w:t>因此，局外人也不愿意介入。</w:t>
      </w:r>
    </w:p>
    <w:p w:rsidR="00000000" w:rsidRDefault="00B83709" w:rsidP="00B83709">
      <w:pPr>
        <w:tabs>
          <w:tab w:val="left" w:pos="1080"/>
        </w:tabs>
        <w:spacing w:after="240" w:line="360" w:lineRule="exact"/>
        <w:ind w:firstLineChars="200" w:firstLine="31680"/>
        <w:rPr>
          <w:szCs w:val="24"/>
        </w:rPr>
      </w:pPr>
      <w:r>
        <w:rPr>
          <w:rFonts w:hint="eastAsia"/>
          <w:bCs/>
          <w:szCs w:val="24"/>
        </w:rPr>
        <w:t>（</w:t>
      </w:r>
      <w:r>
        <w:rPr>
          <w:rFonts w:hint="eastAsia"/>
          <w:bCs/>
          <w:szCs w:val="24"/>
        </w:rPr>
        <w:t>2</w:t>
      </w:r>
      <w:r>
        <w:rPr>
          <w:rFonts w:hint="eastAsia"/>
          <w:bCs/>
          <w:szCs w:val="24"/>
        </w:rPr>
        <w:t>）</w:t>
      </w:r>
      <w:r>
        <w:rPr>
          <w:rFonts w:eastAsia="SimHei" w:hint="eastAsia"/>
          <w:bCs/>
          <w:color w:val="FF0000"/>
          <w:szCs w:val="24"/>
        </w:rPr>
        <w:t>婚内强奸</w:t>
      </w:r>
      <w:r>
        <w:rPr>
          <w:rFonts w:hint="eastAsia"/>
          <w:bCs/>
          <w:szCs w:val="24"/>
        </w:rPr>
        <w:t>仍然是一个没有解决的问题，因为法律漏洞使得这种暴力屡屡发生。《刑法》第</w:t>
      </w:r>
      <w:r>
        <w:rPr>
          <w:rFonts w:hint="eastAsia"/>
          <w:bCs/>
          <w:szCs w:val="24"/>
        </w:rPr>
        <w:t>276</w:t>
      </w:r>
      <w:r>
        <w:rPr>
          <w:rFonts w:hint="eastAsia"/>
          <w:bCs/>
          <w:szCs w:val="24"/>
        </w:rPr>
        <w:t>条</w:t>
      </w:r>
      <w:r>
        <w:rPr>
          <w:rFonts w:hint="eastAsia"/>
          <w:szCs w:val="24"/>
        </w:rPr>
        <w:t>规定，强奸系指“……与妻子以外的妇女的性交”。这种措词有效地容许丈夫不受处罚地强奸妻子。此外，很多人不了解强奸是对妇女权利的侵犯，而是认为这是夫妻间的私事儿。</w:t>
      </w:r>
    </w:p>
    <w:p w:rsidR="00000000" w:rsidRDefault="00B83709" w:rsidP="00B83709">
      <w:pPr>
        <w:tabs>
          <w:tab w:val="left" w:pos="1080"/>
        </w:tabs>
        <w:spacing w:after="240" w:line="360" w:lineRule="exact"/>
        <w:ind w:firstLineChars="200" w:firstLine="31680"/>
        <w:rPr>
          <w:szCs w:val="24"/>
        </w:rPr>
      </w:pPr>
      <w:r>
        <w:rPr>
          <w:rFonts w:hint="eastAsia"/>
          <w:bCs/>
          <w:szCs w:val="24"/>
        </w:rPr>
        <w:t>（</w:t>
      </w:r>
      <w:r>
        <w:rPr>
          <w:rFonts w:hint="eastAsia"/>
          <w:bCs/>
          <w:szCs w:val="24"/>
        </w:rPr>
        <w:t>3</w:t>
      </w:r>
      <w:r>
        <w:rPr>
          <w:rFonts w:hint="eastAsia"/>
          <w:bCs/>
          <w:szCs w:val="24"/>
        </w:rPr>
        <w:t>）</w:t>
      </w:r>
      <w:r>
        <w:rPr>
          <w:rFonts w:eastAsia="SimHei" w:hint="eastAsia"/>
          <w:bCs/>
          <w:color w:val="FF0000"/>
          <w:szCs w:val="24"/>
        </w:rPr>
        <w:t>在公共场所对妇女儿童的性暴力</w:t>
      </w:r>
      <w:r>
        <w:rPr>
          <w:rFonts w:hint="eastAsia"/>
          <w:bCs/>
          <w:szCs w:val="24"/>
        </w:rPr>
        <w:t>仍然存在，如在商店、公园、公共汽车、学校、寺庙和政府办公室。</w:t>
      </w:r>
    </w:p>
    <w:p w:rsidR="00000000" w:rsidRDefault="00B83709" w:rsidP="00B83709">
      <w:pPr>
        <w:tabs>
          <w:tab w:val="left" w:pos="1080"/>
        </w:tabs>
        <w:spacing w:after="240" w:line="360" w:lineRule="exact"/>
        <w:ind w:firstLineChars="200" w:firstLine="31680"/>
        <w:rPr>
          <w:szCs w:val="24"/>
        </w:rPr>
      </w:pPr>
      <w:r>
        <w:rPr>
          <w:rFonts w:hint="eastAsia"/>
          <w:bCs/>
          <w:szCs w:val="24"/>
        </w:rPr>
        <w:t>（</w:t>
      </w:r>
      <w:r>
        <w:rPr>
          <w:rFonts w:hint="eastAsia"/>
          <w:bCs/>
          <w:szCs w:val="24"/>
        </w:rPr>
        <w:t>4</w:t>
      </w:r>
      <w:r>
        <w:rPr>
          <w:rFonts w:hint="eastAsia"/>
          <w:bCs/>
          <w:szCs w:val="24"/>
        </w:rPr>
        <w:t>）</w:t>
      </w:r>
      <w:r>
        <w:rPr>
          <w:rFonts w:eastAsia="SimHei" w:hint="eastAsia"/>
          <w:bCs/>
          <w:color w:val="FF0000"/>
          <w:szCs w:val="24"/>
        </w:rPr>
        <w:t>对妇女身体的性骚扰和口头性骚扰</w:t>
      </w:r>
      <w:r>
        <w:rPr>
          <w:rFonts w:hint="eastAsia"/>
          <w:bCs/>
          <w:szCs w:val="24"/>
        </w:rPr>
        <w:t>仍然发生在办公室、工厂、公共场所以及佣工中间，大多数佣工得不到雇主的公平待遇。</w:t>
      </w:r>
    </w:p>
    <w:p w:rsidR="00000000" w:rsidRDefault="00B83709" w:rsidP="00B83709">
      <w:pPr>
        <w:tabs>
          <w:tab w:val="left" w:pos="1080"/>
        </w:tabs>
        <w:spacing w:after="240" w:line="360" w:lineRule="exact"/>
        <w:ind w:firstLineChars="200" w:firstLine="31680"/>
        <w:rPr>
          <w:szCs w:val="24"/>
        </w:rPr>
      </w:pPr>
      <w:r>
        <w:rPr>
          <w:rFonts w:hint="eastAsia"/>
          <w:bCs/>
          <w:szCs w:val="24"/>
        </w:rPr>
        <w:t>（</w:t>
      </w:r>
      <w:r>
        <w:rPr>
          <w:rFonts w:hint="eastAsia"/>
          <w:bCs/>
          <w:szCs w:val="24"/>
        </w:rPr>
        <w:t>5</w:t>
      </w:r>
      <w:r>
        <w:rPr>
          <w:rFonts w:hint="eastAsia"/>
          <w:bCs/>
          <w:szCs w:val="24"/>
        </w:rPr>
        <w:t>）</w:t>
      </w:r>
      <w:r>
        <w:rPr>
          <w:rFonts w:eastAsia="SimHei" w:hint="eastAsia"/>
          <w:bCs/>
          <w:color w:val="FF0000"/>
          <w:szCs w:val="24"/>
        </w:rPr>
        <w:t>色情内容</w:t>
      </w:r>
      <w:r>
        <w:rPr>
          <w:rFonts w:hint="eastAsia"/>
          <w:bCs/>
          <w:szCs w:val="24"/>
        </w:rPr>
        <w:t>见于杂</w:t>
      </w:r>
      <w:r>
        <w:rPr>
          <w:rFonts w:hint="eastAsia"/>
          <w:bCs/>
          <w:szCs w:val="24"/>
        </w:rPr>
        <w:t>志、漫画、录像和因特网。此外，“网”友为勾引少女提供了另一种渠道，导致了肉体暴力和性暴力。</w:t>
      </w:r>
    </w:p>
    <w:p w:rsidR="00000000" w:rsidRDefault="00B83709">
      <w:pPr>
        <w:numPr>
          <w:ilvl w:val="0"/>
          <w:numId w:val="1049"/>
        </w:numPr>
        <w:tabs>
          <w:tab w:val="clear" w:pos="360"/>
          <w:tab w:val="num" w:pos="480"/>
        </w:tabs>
        <w:spacing w:after="240" w:line="360" w:lineRule="exact"/>
        <w:rPr>
          <w:szCs w:val="24"/>
        </w:rPr>
      </w:pPr>
      <w:r>
        <w:rPr>
          <w:rFonts w:hint="eastAsia"/>
          <w:szCs w:val="24"/>
        </w:rPr>
        <w:t>在预防方面，已经在消除对妇女儿童暴力方面取得进展，特别是通过政府和私营部门协力实施方案和开展活动，以及完善和修正法律。取得的部分成就如下。</w:t>
      </w:r>
    </w:p>
    <w:p w:rsidR="00000000" w:rsidRDefault="00B83709">
      <w:pPr>
        <w:numPr>
          <w:ilvl w:val="0"/>
          <w:numId w:val="1049"/>
        </w:numPr>
        <w:tabs>
          <w:tab w:val="clear" w:pos="360"/>
          <w:tab w:val="num" w:pos="480"/>
        </w:tabs>
        <w:spacing w:after="240" w:line="360" w:lineRule="exact"/>
        <w:rPr>
          <w:szCs w:val="24"/>
        </w:rPr>
      </w:pPr>
      <w:r>
        <w:rPr>
          <w:rFonts w:hint="eastAsia"/>
          <w:szCs w:val="24"/>
        </w:rPr>
        <w:t>《宪法》和法律</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w:t>
      </w:r>
      <w:r>
        <w:rPr>
          <w:szCs w:val="24"/>
        </w:rPr>
        <w:t>1997</w:t>
      </w:r>
      <w:r>
        <w:rPr>
          <w:rFonts w:hint="eastAsia"/>
          <w:szCs w:val="24"/>
        </w:rPr>
        <w:t>年宪法》第五十三条涉及暴力问题，内容是“儿童、青年和家庭成员应有权得到政府保护，免受暴力和不公平待遇”。这项规定显然表明社会对家庭暴力问题的关心。由各界人士代表起草《宪法》，并公认为国家最高法律这</w:t>
      </w:r>
      <w:r>
        <w:rPr>
          <w:rFonts w:hint="eastAsia"/>
          <w:snapToGrid w:val="0"/>
          <w:szCs w:val="24"/>
        </w:rPr>
        <w:t>一事实甚至进一步突出了上述关心。</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）一项已修订的</w:t>
      </w:r>
      <w:r>
        <w:rPr>
          <w:rFonts w:hint="eastAsia"/>
          <w:snapToGrid w:val="0"/>
          <w:szCs w:val="24"/>
        </w:rPr>
        <w:t>、与对妇女暴力有关的立法是关于讯问</w:t>
      </w:r>
      <w:r>
        <w:rPr>
          <w:rFonts w:hint="eastAsia"/>
          <w:snapToGrid w:val="0"/>
          <w:szCs w:val="24"/>
        </w:rPr>
        <w:t>18</w:t>
      </w:r>
      <w:r>
        <w:rPr>
          <w:rFonts w:hint="eastAsia"/>
          <w:snapToGrid w:val="0"/>
          <w:szCs w:val="24"/>
        </w:rPr>
        <w:t>岁或</w:t>
      </w:r>
      <w:r>
        <w:rPr>
          <w:rFonts w:hint="eastAsia"/>
          <w:snapToGrid w:val="0"/>
          <w:szCs w:val="24"/>
        </w:rPr>
        <w:t>18</w:t>
      </w:r>
      <w:r>
        <w:rPr>
          <w:rFonts w:hint="eastAsia"/>
          <w:snapToGrid w:val="0"/>
          <w:szCs w:val="24"/>
        </w:rPr>
        <w:t>岁以下的性犯罪被告、受害者或证人的《刑法》。修订的目的是使讯问过程对儿童更加友好，使儿童能够在不忍受进一步困苦的情况下作证。这部法律规定了必须遵行的若干程序，包括请心理学家和社会工作者参与讯问过程，以及避免被告和受害者或证人之间发生冲突。</w:t>
      </w:r>
    </w:p>
    <w:p w:rsidR="00000000" w:rsidRDefault="00B83709" w:rsidP="00B83709">
      <w:pPr>
        <w:tabs>
          <w:tab w:val="left" w:pos="1080"/>
        </w:tabs>
        <w:spacing w:after="240" w:line="360" w:lineRule="exact"/>
        <w:ind w:firstLineChars="200" w:firstLine="31680"/>
        <w:rPr>
          <w:szCs w:val="24"/>
        </w:rPr>
      </w:pPr>
      <w:r>
        <w:rPr>
          <w:snapToGrid w:val="0"/>
          <w:szCs w:val="24"/>
        </w:rPr>
        <w:t xml:space="preserve"> </w:t>
      </w:r>
      <w:r>
        <w:rPr>
          <w:rFonts w:hint="eastAsia"/>
          <w:snapToGrid w:val="0"/>
          <w:szCs w:val="24"/>
        </w:rPr>
        <w:t>（</w:t>
      </w:r>
      <w:r>
        <w:rPr>
          <w:rFonts w:hint="eastAsia"/>
          <w:snapToGrid w:val="0"/>
          <w:szCs w:val="24"/>
        </w:rPr>
        <w:t>3</w:t>
      </w:r>
      <w:r>
        <w:rPr>
          <w:rFonts w:hint="eastAsia"/>
          <w:snapToGrid w:val="0"/>
          <w:szCs w:val="24"/>
        </w:rPr>
        <w:t>）妇女事务全国委员会法律咨询小组委员会指定一个特设委员会起草家庭暴力法（将作为特别法律），并涵盖适当处理家庭暴力问</w:t>
      </w:r>
      <w:r>
        <w:rPr>
          <w:rFonts w:hint="eastAsia"/>
          <w:szCs w:val="24"/>
        </w:rPr>
        <w:t>题的措施。本法可为暴力受害者提供援助，并建立任择程序，以通过法院命令改变罪犯的行为，而不单单依靠刑事处罚。</w:t>
      </w:r>
      <w:r>
        <w:rPr>
          <w:rFonts w:hint="eastAsia"/>
          <w:szCs w:val="24"/>
        </w:rPr>
        <w:t>法律草案预计在</w:t>
      </w:r>
      <w:r>
        <w:rPr>
          <w:rFonts w:hint="eastAsia"/>
          <w:szCs w:val="24"/>
        </w:rPr>
        <w:t>2003</w:t>
      </w:r>
      <w:r>
        <w:rPr>
          <w:rFonts w:hint="eastAsia"/>
          <w:szCs w:val="24"/>
        </w:rPr>
        <w:t>年提交议会。</w:t>
      </w:r>
    </w:p>
    <w:p w:rsidR="00000000" w:rsidRDefault="00B83709">
      <w:pPr>
        <w:numPr>
          <w:ilvl w:val="0"/>
          <w:numId w:val="1049"/>
        </w:numPr>
        <w:tabs>
          <w:tab w:val="clear" w:pos="360"/>
          <w:tab w:val="num" w:pos="480"/>
        </w:tabs>
        <w:spacing w:after="240" w:line="360" w:lineRule="exact"/>
        <w:rPr>
          <w:szCs w:val="24"/>
        </w:rPr>
      </w:pPr>
      <w:r>
        <w:rPr>
          <w:rFonts w:hint="eastAsia"/>
          <w:szCs w:val="24"/>
        </w:rPr>
        <w:t>政府政策和措施</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w:t>
      </w:r>
      <w:r>
        <w:rPr>
          <w:rFonts w:hint="eastAsia"/>
          <w:szCs w:val="24"/>
        </w:rPr>
        <w:t>1999</w:t>
      </w:r>
      <w:r>
        <w:rPr>
          <w:rFonts w:hint="eastAsia"/>
          <w:szCs w:val="24"/>
        </w:rPr>
        <w:t>年</w:t>
      </w:r>
      <w:r>
        <w:rPr>
          <w:rFonts w:hint="eastAsia"/>
          <w:szCs w:val="24"/>
        </w:rPr>
        <w:t>6</w:t>
      </w:r>
      <w:r>
        <w:rPr>
          <w:rFonts w:hint="eastAsia"/>
          <w:szCs w:val="24"/>
        </w:rPr>
        <w:t>月</w:t>
      </w:r>
      <w:r>
        <w:rPr>
          <w:rFonts w:hint="eastAsia"/>
          <w:szCs w:val="24"/>
        </w:rPr>
        <w:t>29</w:t>
      </w:r>
      <w:r>
        <w:rPr>
          <w:rFonts w:hint="eastAsia"/>
          <w:szCs w:val="24"/>
        </w:rPr>
        <w:t>日的内阁决议核可非政府组织通过妇女事务全国委员会提出的“解决对妇女暴力问题的八项措施”。这些措施旨在保护妇女在家庭和公共场所的安全。其中包括取缔色情制品，改善性教育以及改善为受害妇女提供的服</w:t>
      </w:r>
      <w:r>
        <w:rPr>
          <w:rFonts w:hint="eastAsia"/>
          <w:snapToGrid w:val="0"/>
          <w:szCs w:val="24"/>
        </w:rPr>
        <w:t>务，最引人注目的是加速在公立医院急诊科建立援助危机妇女中心。</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2</w:t>
      </w:r>
      <w:r>
        <w:rPr>
          <w:rFonts w:hint="eastAsia"/>
          <w:snapToGrid w:val="0"/>
          <w:szCs w:val="24"/>
        </w:rPr>
        <w:t>）</w:t>
      </w:r>
      <w:r>
        <w:rPr>
          <w:rFonts w:hint="eastAsia"/>
          <w:snapToGrid w:val="0"/>
          <w:szCs w:val="24"/>
        </w:rPr>
        <w:t>2000</w:t>
      </w:r>
      <w:r>
        <w:rPr>
          <w:rFonts w:hint="eastAsia"/>
          <w:snapToGrid w:val="0"/>
          <w:szCs w:val="24"/>
        </w:rPr>
        <w:t>年</w:t>
      </w:r>
      <w:r>
        <w:rPr>
          <w:rFonts w:hint="eastAsia"/>
          <w:snapToGrid w:val="0"/>
          <w:szCs w:val="24"/>
        </w:rPr>
        <w:t>5</w:t>
      </w:r>
      <w:r>
        <w:rPr>
          <w:rFonts w:hint="eastAsia"/>
          <w:snapToGrid w:val="0"/>
          <w:szCs w:val="24"/>
        </w:rPr>
        <w:t>月</w:t>
      </w:r>
      <w:r>
        <w:rPr>
          <w:rFonts w:hint="eastAsia"/>
          <w:snapToGrid w:val="0"/>
          <w:szCs w:val="24"/>
        </w:rPr>
        <w:t>16</w:t>
      </w:r>
      <w:r>
        <w:rPr>
          <w:rFonts w:hint="eastAsia"/>
          <w:snapToGrid w:val="0"/>
          <w:szCs w:val="24"/>
        </w:rPr>
        <w:t>日</w:t>
      </w:r>
      <w:r>
        <w:rPr>
          <w:rFonts w:hint="eastAsia"/>
          <w:szCs w:val="24"/>
        </w:rPr>
        <w:t>，内阁还核可由妇女事务全国委员会提出、政府组织、私营部门和学者代表起草的消除对妇女儿童暴力的政策和计划。这种政策和计划成为有关机构实施与其任务相符的项目和活动</w:t>
      </w:r>
      <w:r>
        <w:rPr>
          <w:rFonts w:hint="eastAsia"/>
          <w:szCs w:val="24"/>
        </w:rPr>
        <w:t>的准则。</w:t>
      </w:r>
    </w:p>
    <w:p w:rsidR="00000000" w:rsidRDefault="00B83709">
      <w:pPr>
        <w:numPr>
          <w:ilvl w:val="0"/>
          <w:numId w:val="1049"/>
        </w:numPr>
        <w:tabs>
          <w:tab w:val="clear" w:pos="360"/>
          <w:tab w:val="num" w:pos="480"/>
        </w:tabs>
        <w:spacing w:after="240" w:line="360" w:lineRule="exact"/>
        <w:rPr>
          <w:szCs w:val="24"/>
        </w:rPr>
      </w:pPr>
      <w:r>
        <w:rPr>
          <w:rFonts w:hint="eastAsia"/>
          <w:szCs w:val="24"/>
        </w:rPr>
        <w:t>在为暴力受害者提供援助服务方面做出的若干努力如下。</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）现已在一些医院设立了综合性危机服务中心。该中心提供（身心）治疗以及有关暴力受害者的社会福利和法律事务咨询。在曼谷地区，</w:t>
      </w:r>
      <w:r>
        <w:rPr>
          <w:rFonts w:hint="eastAsia"/>
          <w:szCs w:val="24"/>
        </w:rPr>
        <w:t>1998</w:t>
      </w:r>
      <w:r>
        <w:rPr>
          <w:rFonts w:hint="eastAsia"/>
          <w:szCs w:val="24"/>
        </w:rPr>
        <w:t>年通过妇女事务全国委员会和曼谷市政厅之间的合作，在曼谷市政厅下属的七家医院设立了这类中心。很多府下面也设立了若干个中心，率先设立此类中心的是孔敬府医院，其次是卫生部下属的</w:t>
      </w:r>
      <w:r>
        <w:rPr>
          <w:rFonts w:hint="eastAsia"/>
          <w:szCs w:val="24"/>
        </w:rPr>
        <w:t>20</w:t>
      </w:r>
      <w:r>
        <w:rPr>
          <w:rFonts w:hint="eastAsia"/>
          <w:szCs w:val="24"/>
        </w:rPr>
        <w:t>家</w:t>
      </w:r>
      <w:r>
        <w:rPr>
          <w:rFonts w:hint="eastAsia"/>
          <w:snapToGrid w:val="0"/>
          <w:szCs w:val="24"/>
        </w:rPr>
        <w:t>医院。不过，这些中心在人员、预算以及向公众散发信息方面，仍然需要更多的支助，以便中心人员在需要时能够信心十足地利用这些中心。</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2</w:t>
      </w:r>
      <w:r>
        <w:rPr>
          <w:rFonts w:hint="eastAsia"/>
          <w:snapToGrid w:val="0"/>
          <w:szCs w:val="24"/>
        </w:rPr>
        <w:t>）在公共福利</w:t>
      </w:r>
      <w:r>
        <w:rPr>
          <w:rFonts w:hint="eastAsia"/>
          <w:snapToGrid w:val="0"/>
          <w:szCs w:val="24"/>
        </w:rPr>
        <w:t>厅设立了全天候热线中心，以便提供咨询服务并处理冤情和申诉，中心配备了社会工作者和心理学家。此外，中</w:t>
      </w:r>
      <w:r>
        <w:rPr>
          <w:rFonts w:hint="eastAsia"/>
          <w:szCs w:val="24"/>
        </w:rPr>
        <w:t>心负责协调将受害者送交有关当局。自</w:t>
      </w:r>
      <w:r>
        <w:rPr>
          <w:rFonts w:hint="eastAsia"/>
          <w:szCs w:val="24"/>
        </w:rPr>
        <w:t>1993</w:t>
      </w:r>
      <w:r>
        <w:rPr>
          <w:rFonts w:hint="eastAsia"/>
          <w:szCs w:val="24"/>
        </w:rPr>
        <w:t>年以来，公共福利厅还提供另外的电话服务（幸福热线），该热线电话显示，儿童、妇女、老年人和处境不利者面临的许多问题的根源是经济困境。因此，该厅调整了服务，以使服务更加及时和有效。</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3</w:t>
      </w:r>
      <w:r>
        <w:rPr>
          <w:rFonts w:hint="eastAsia"/>
          <w:szCs w:val="24"/>
        </w:rPr>
        <w:t>）政府与负责援助权利遭到侵犯，特别是遭到攻击和性暴力的儿童、青年和妇女的私营组织合作，于</w:t>
      </w:r>
      <w:r>
        <w:rPr>
          <w:rFonts w:hint="eastAsia"/>
          <w:szCs w:val="24"/>
        </w:rPr>
        <w:t>1998</w:t>
      </w:r>
      <w:r>
        <w:rPr>
          <w:rFonts w:hint="eastAsia"/>
          <w:szCs w:val="24"/>
        </w:rPr>
        <w:t>年在警察厅下</w:t>
      </w:r>
      <w:r>
        <w:rPr>
          <w:rFonts w:hint="eastAsia"/>
          <w:snapToGrid w:val="0"/>
          <w:szCs w:val="24"/>
        </w:rPr>
        <w:t>设立</w:t>
      </w:r>
      <w:r>
        <w:rPr>
          <w:rFonts w:hint="eastAsia"/>
          <w:szCs w:val="24"/>
        </w:rPr>
        <w:t>了儿童、青年和妇女保护中心。这种援助在改善后“对受害者更加友好”，中心官员接受</w:t>
      </w:r>
      <w:r>
        <w:rPr>
          <w:rFonts w:hint="eastAsia"/>
          <w:szCs w:val="24"/>
        </w:rPr>
        <w:t>培训，以便更加全面地了解这些弱势群体面临的问题。根据修订的</w:t>
      </w:r>
      <w:r>
        <w:rPr>
          <w:rFonts w:hint="eastAsia"/>
          <w:szCs w:val="24"/>
        </w:rPr>
        <w:t>1999</w:t>
      </w:r>
      <w:r>
        <w:rPr>
          <w:rFonts w:hint="eastAsia"/>
          <w:szCs w:val="24"/>
        </w:rPr>
        <w:t>年《刑法》，援助方面的改善也符合用来作证的新程序。不过，这类保护中心仍限制在曼谷及清迈、宋卡和春武里三府。</w:t>
      </w:r>
    </w:p>
    <w:p w:rsidR="00000000" w:rsidRDefault="00B83709">
      <w:pPr>
        <w:numPr>
          <w:ilvl w:val="0"/>
          <w:numId w:val="1049"/>
        </w:numPr>
        <w:tabs>
          <w:tab w:val="clear" w:pos="360"/>
          <w:tab w:val="num" w:pos="480"/>
        </w:tabs>
        <w:spacing w:after="240" w:line="360" w:lineRule="exact"/>
        <w:rPr>
          <w:szCs w:val="24"/>
        </w:rPr>
      </w:pPr>
      <w:r>
        <w:rPr>
          <w:rFonts w:hint="eastAsia"/>
          <w:szCs w:val="24"/>
        </w:rPr>
        <w:t>除政府机构外，各类非政府组织也对保护和援助暴力受害儿童和妇女发挥了重要作用。除其他外，这些非政府组织包括妇女之友基金会、热线中心基金会、妇女基金会、儿童权利保护基金会、儿童保护基金会以及白维纳·宏沙军妇女儿童基金会。泰国的非政府组织极为重要，因为它们的灵活性较大，在援助受害者方面能够更加迅速地做出响应。大多数非政府组织工作人员无论是志愿</w:t>
      </w:r>
      <w:r>
        <w:rPr>
          <w:rFonts w:hint="eastAsia"/>
          <w:szCs w:val="24"/>
        </w:rPr>
        <w:t>者还是长期工作人员，均为有知识、有经验的人士。另外，非政府组织与政府组织密切合作，提高了保护和援助效率，并且不断发展和改善协调工作，协调工作是援助泰国暴力受害者的一个重要特征。</w:t>
      </w:r>
    </w:p>
    <w:p w:rsidR="00000000" w:rsidRDefault="00B83709">
      <w:pPr>
        <w:numPr>
          <w:ilvl w:val="0"/>
          <w:numId w:val="1049"/>
        </w:numPr>
        <w:tabs>
          <w:tab w:val="clear" w:pos="360"/>
          <w:tab w:val="num" w:pos="480"/>
        </w:tabs>
        <w:spacing w:after="240" w:line="360" w:lineRule="exact"/>
        <w:rPr>
          <w:szCs w:val="24"/>
        </w:rPr>
      </w:pPr>
      <w:r>
        <w:rPr>
          <w:rFonts w:hint="eastAsia"/>
          <w:szCs w:val="24"/>
        </w:rPr>
        <w:t>一些组织已开始研究对妇女的暴力。玛希隆大学的人口与社会研究所、妇女基金会和世界卫生组织联合进行了关于“对已婚妇女的暴力”的研究。此外，健康制度研究所与各机构合作，开展了一系列有关对妇女儿童暴力的研究。</w:t>
      </w:r>
    </w:p>
    <w:p w:rsidR="00000000" w:rsidRDefault="00B83709">
      <w:pPr>
        <w:spacing w:after="240" w:line="360" w:lineRule="exact"/>
        <w:rPr>
          <w:rFonts w:eastAsia="SimHei" w:hint="eastAsia"/>
          <w:color w:val="FF0000"/>
        </w:rPr>
      </w:pPr>
      <w:r>
        <w:rPr>
          <w:rFonts w:eastAsia="SimHei" w:hint="eastAsia"/>
          <w:color w:val="FF0000"/>
        </w:rPr>
        <w:t>提高社会认识和了解的宣传活动</w:t>
      </w:r>
    </w:p>
    <w:p w:rsidR="00000000" w:rsidRDefault="00B83709">
      <w:pPr>
        <w:numPr>
          <w:ilvl w:val="0"/>
          <w:numId w:val="1049"/>
        </w:numPr>
        <w:tabs>
          <w:tab w:val="clear" w:pos="360"/>
          <w:tab w:val="num" w:pos="480"/>
        </w:tabs>
        <w:spacing w:after="240" w:line="360" w:lineRule="exact"/>
        <w:rPr>
          <w:szCs w:val="24"/>
        </w:rPr>
      </w:pPr>
      <w:r>
        <w:rPr>
          <w:rFonts w:hint="eastAsia"/>
          <w:szCs w:val="24"/>
        </w:rPr>
        <w:t>发起宣传活动，提高社会认识和了解对妇女的暴力，是从长远解决这个问题的机制。宣传活动的侧重点应当是不断提</w:t>
      </w:r>
      <w:r>
        <w:rPr>
          <w:rFonts w:hint="eastAsia"/>
          <w:szCs w:val="24"/>
        </w:rPr>
        <w:t>高对妇女暴力根本原因的认识，包括基于性别的原因。政府组织和非政府组织在这方面开展的活动如下。</w:t>
      </w:r>
    </w:p>
    <w:p w:rsidR="00000000" w:rsidRDefault="00B83709" w:rsidP="00B83709">
      <w:pPr>
        <w:tabs>
          <w:tab w:val="left" w:pos="1080"/>
        </w:tabs>
        <w:spacing w:after="240" w:line="360" w:lineRule="exact"/>
        <w:ind w:firstLineChars="200" w:firstLine="31680"/>
        <w:rPr>
          <w:rFonts w:hint="eastAsia"/>
          <w:szCs w:val="24"/>
        </w:rPr>
      </w:pPr>
      <w:r>
        <w:rPr>
          <w:rFonts w:hint="eastAsia"/>
          <w:szCs w:val="24"/>
        </w:rPr>
        <w:t>（</w:t>
      </w:r>
      <w:r>
        <w:rPr>
          <w:szCs w:val="24"/>
        </w:rPr>
        <w:t>1</w:t>
      </w:r>
      <w:r>
        <w:rPr>
          <w:rFonts w:hint="eastAsia"/>
          <w:szCs w:val="24"/>
        </w:rPr>
        <w:t>）</w:t>
      </w:r>
      <w:r>
        <w:rPr>
          <w:rFonts w:hint="eastAsia"/>
          <w:szCs w:val="24"/>
        </w:rPr>
        <w:t>1999</w:t>
      </w:r>
      <w:r>
        <w:rPr>
          <w:rFonts w:hint="eastAsia"/>
          <w:szCs w:val="24"/>
        </w:rPr>
        <w:t>年</w:t>
      </w:r>
      <w:r>
        <w:rPr>
          <w:rFonts w:hint="eastAsia"/>
          <w:szCs w:val="24"/>
        </w:rPr>
        <w:t>6</w:t>
      </w:r>
      <w:r>
        <w:rPr>
          <w:rFonts w:hint="eastAsia"/>
          <w:szCs w:val="24"/>
        </w:rPr>
        <w:t>月</w:t>
      </w:r>
      <w:r>
        <w:rPr>
          <w:rFonts w:hint="eastAsia"/>
          <w:szCs w:val="24"/>
        </w:rPr>
        <w:t>29</w:t>
      </w:r>
      <w:r>
        <w:rPr>
          <w:rFonts w:hint="eastAsia"/>
          <w:szCs w:val="24"/>
        </w:rPr>
        <w:t>日内阁决议宣布，</w:t>
      </w:r>
      <w:r>
        <w:rPr>
          <w:rFonts w:hint="eastAsia"/>
          <w:szCs w:val="24"/>
        </w:rPr>
        <w:t>11</w:t>
      </w:r>
      <w:r>
        <w:rPr>
          <w:rFonts w:hint="eastAsia"/>
          <w:szCs w:val="24"/>
        </w:rPr>
        <w:t>月是消除对妇女儿童暴力的宣传月。这项决议得到了政府及其他组织的积极响应。自</w:t>
      </w:r>
      <w:r>
        <w:rPr>
          <w:rFonts w:hint="eastAsia"/>
          <w:szCs w:val="24"/>
        </w:rPr>
        <w:t>1999</w:t>
      </w:r>
      <w:r>
        <w:rPr>
          <w:rFonts w:hint="eastAsia"/>
          <w:szCs w:val="24"/>
        </w:rPr>
        <w:t>年</w:t>
      </w:r>
      <w:r>
        <w:rPr>
          <w:rFonts w:hint="eastAsia"/>
          <w:szCs w:val="24"/>
        </w:rPr>
        <w:t>11</w:t>
      </w:r>
      <w:r>
        <w:rPr>
          <w:rFonts w:hint="eastAsia"/>
          <w:szCs w:val="24"/>
        </w:rPr>
        <w:t>月以来，各类组织开展合作，在泰国各地举办的年度活动如下。</w:t>
      </w:r>
    </w:p>
    <w:p w:rsidR="00000000" w:rsidRDefault="00B83709">
      <w:pPr>
        <w:numPr>
          <w:ilvl w:val="1"/>
          <w:numId w:val="1118"/>
        </w:numPr>
        <w:tabs>
          <w:tab w:val="clear" w:pos="390"/>
          <w:tab w:val="num" w:pos="960"/>
        </w:tabs>
        <w:spacing w:after="240" w:line="360" w:lineRule="exact"/>
        <w:ind w:left="0" w:firstLine="480"/>
        <w:rPr>
          <w:szCs w:val="24"/>
        </w:rPr>
      </w:pPr>
      <w:r>
        <w:rPr>
          <w:rFonts w:hint="eastAsia"/>
          <w:szCs w:val="24"/>
        </w:rPr>
        <w:t>发起一场公共关系宣传活动，活动使用了各种形式的大众传播媒介，分发了宣传材料、招贴画、小册子，并在本地播出了电视和广播现场报道，包括通过村级广播系统和国家广播系统播出。</w:t>
      </w:r>
    </w:p>
    <w:p w:rsidR="00000000" w:rsidRDefault="00B83709">
      <w:pPr>
        <w:numPr>
          <w:ilvl w:val="1"/>
          <w:numId w:val="1118"/>
        </w:numPr>
        <w:tabs>
          <w:tab w:val="clear" w:pos="390"/>
          <w:tab w:val="num" w:pos="960"/>
        </w:tabs>
        <w:spacing w:after="240" w:line="360" w:lineRule="exact"/>
        <w:ind w:left="0" w:firstLine="480"/>
        <w:rPr>
          <w:szCs w:val="24"/>
        </w:rPr>
      </w:pPr>
      <w:r>
        <w:rPr>
          <w:rFonts w:hint="eastAsia"/>
          <w:szCs w:val="24"/>
        </w:rPr>
        <w:t>举办了音乐会并在国家电视台转播，节目内容从各音乐机构的歌唱家</w:t>
      </w:r>
      <w:r>
        <w:rPr>
          <w:rFonts w:hint="eastAsia"/>
          <w:szCs w:val="24"/>
        </w:rPr>
        <w:t>的演唱到散发禁止对妇女儿童暴力的标语和宣传声明。</w:t>
      </w:r>
    </w:p>
    <w:p w:rsidR="00000000" w:rsidRDefault="00B83709">
      <w:pPr>
        <w:numPr>
          <w:ilvl w:val="1"/>
          <w:numId w:val="1118"/>
        </w:numPr>
        <w:tabs>
          <w:tab w:val="clear" w:pos="390"/>
          <w:tab w:val="num" w:pos="960"/>
        </w:tabs>
        <w:spacing w:after="240" w:line="360" w:lineRule="exact"/>
        <w:ind w:left="0" w:firstLine="480"/>
        <w:rPr>
          <w:szCs w:val="24"/>
        </w:rPr>
      </w:pPr>
      <w:r>
        <w:rPr>
          <w:rFonts w:hint="eastAsia"/>
          <w:szCs w:val="24"/>
        </w:rPr>
        <w:t>举办了有关暴力问题的学术会议和研讨会。</w:t>
      </w:r>
    </w:p>
    <w:p w:rsidR="00000000" w:rsidRDefault="00B83709">
      <w:pPr>
        <w:numPr>
          <w:ilvl w:val="1"/>
          <w:numId w:val="1118"/>
        </w:numPr>
        <w:tabs>
          <w:tab w:val="clear" w:pos="390"/>
          <w:tab w:val="num" w:pos="960"/>
        </w:tabs>
        <w:spacing w:after="240" w:line="360" w:lineRule="exact"/>
        <w:ind w:left="0" w:firstLine="480"/>
        <w:rPr>
          <w:szCs w:val="24"/>
        </w:rPr>
      </w:pPr>
      <w:r>
        <w:rPr>
          <w:rFonts w:hint="eastAsia"/>
          <w:szCs w:val="24"/>
        </w:rPr>
        <w:t>设立了青年志愿者网络，目的是结束对妇女儿童的暴力。它们在全国工作，担任改变性别陈规定型观念的领导者。</w:t>
      </w:r>
    </w:p>
    <w:p w:rsidR="00000000" w:rsidRDefault="00B83709">
      <w:pPr>
        <w:numPr>
          <w:ilvl w:val="1"/>
          <w:numId w:val="1118"/>
        </w:numPr>
        <w:tabs>
          <w:tab w:val="clear" w:pos="390"/>
          <w:tab w:val="num" w:pos="960"/>
        </w:tabs>
        <w:spacing w:after="240" w:line="360" w:lineRule="exact"/>
        <w:ind w:left="0" w:firstLine="480"/>
        <w:rPr>
          <w:szCs w:val="24"/>
        </w:rPr>
      </w:pPr>
      <w:r>
        <w:rPr>
          <w:rFonts w:hint="eastAsia"/>
          <w:szCs w:val="24"/>
        </w:rPr>
        <w:t>在曼谷和其他府举行了游行。</w:t>
      </w:r>
    </w:p>
    <w:p w:rsidR="00000000" w:rsidRDefault="00B83709">
      <w:pPr>
        <w:numPr>
          <w:ilvl w:val="1"/>
          <w:numId w:val="1118"/>
        </w:numPr>
        <w:tabs>
          <w:tab w:val="clear" w:pos="390"/>
          <w:tab w:val="num" w:pos="960"/>
        </w:tabs>
        <w:spacing w:after="240" w:line="360" w:lineRule="exact"/>
        <w:ind w:left="0" w:firstLine="480"/>
        <w:rPr>
          <w:szCs w:val="24"/>
        </w:rPr>
      </w:pPr>
      <w:r>
        <w:rPr>
          <w:rFonts w:hint="eastAsia"/>
          <w:szCs w:val="24"/>
        </w:rPr>
        <w:t>开展了男女共同制止对妇女儿童暴力的宣传活动。参与者身披白缎带以表示他们的承诺。</w:t>
      </w:r>
    </w:p>
    <w:p w:rsidR="00000000" w:rsidRDefault="00B83709">
      <w:pPr>
        <w:numPr>
          <w:ilvl w:val="1"/>
          <w:numId w:val="1118"/>
        </w:numPr>
        <w:tabs>
          <w:tab w:val="clear" w:pos="390"/>
          <w:tab w:val="num" w:pos="960"/>
        </w:tabs>
        <w:spacing w:after="240" w:line="360" w:lineRule="exact"/>
        <w:ind w:left="0" w:firstLine="480"/>
        <w:rPr>
          <w:szCs w:val="24"/>
        </w:rPr>
      </w:pPr>
      <w:r>
        <w:rPr>
          <w:rFonts w:hint="eastAsia"/>
          <w:szCs w:val="24"/>
        </w:rPr>
        <w:t>举行了一些竞赛，包括绘画、标语制作和作文等。</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从这些活动中获取的经验表明，泰国取得了长足进步，特别是在增进合作和加强各机构间的网络方面。此外，大众媒体在参与宣传活动方面更加合作。譬如，</w:t>
      </w:r>
      <w:r>
        <w:rPr>
          <w:rFonts w:hint="eastAsia"/>
          <w:szCs w:val="24"/>
        </w:rPr>
        <w:t>2001</w:t>
      </w:r>
      <w:r>
        <w:rPr>
          <w:rFonts w:hint="eastAsia"/>
          <w:szCs w:val="24"/>
        </w:rPr>
        <w:t>年，在全国广受欢迎的</w:t>
      </w:r>
      <w:r>
        <w:rPr>
          <w:rFonts w:hint="eastAsia"/>
          <w:szCs w:val="24"/>
        </w:rPr>
        <w:t>电视台协助举办音乐会和播出一些公共关系口号。</w:t>
      </w:r>
      <w:r>
        <w:rPr>
          <w:szCs w:val="24"/>
        </w:rPr>
        <w:t xml:space="preserve"> </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2</w:t>
      </w:r>
      <w:r>
        <w:rPr>
          <w:rFonts w:hint="eastAsia"/>
          <w:szCs w:val="24"/>
        </w:rPr>
        <w:t>）曼谷及其他府的组织致力于传播培训方案和研讨会方面的知识，并让公众了解这方面的知识。譬如，妇女事务全国委员会办公室在六个府为社区女领导举办了有关妇女问题的研讨会，目的是提高她们对针对妇女的暴力这一问题的认识和了解。这些会议帮助参与者认识到这个问题的严重性，她们志愿担任各自社区的监督员。</w:t>
      </w:r>
    </w:p>
    <w:p w:rsidR="00000000" w:rsidRDefault="00B83709" w:rsidP="00B83709">
      <w:pPr>
        <w:tabs>
          <w:tab w:val="left" w:pos="1080"/>
        </w:tabs>
        <w:spacing w:after="240" w:line="360" w:lineRule="exact"/>
        <w:ind w:firstLineChars="200" w:firstLine="31680"/>
        <w:rPr>
          <w:szCs w:val="24"/>
        </w:rPr>
      </w:pPr>
      <w:r>
        <w:rPr>
          <w:rFonts w:hint="eastAsia"/>
          <w:szCs w:val="24"/>
        </w:rPr>
        <w:t>（</w:t>
      </w:r>
      <w:r>
        <w:rPr>
          <w:rFonts w:hint="eastAsia"/>
          <w:szCs w:val="24"/>
        </w:rPr>
        <w:t>3</w:t>
      </w:r>
      <w:r>
        <w:rPr>
          <w:rFonts w:hint="eastAsia"/>
          <w:szCs w:val="24"/>
        </w:rPr>
        <w:t>）一些机构已经培训了执法官员，目的是提高他们对针对妇女的暴力、促进保护妇女儿童以及儿童权利、妇女权利和人权的法律修订本的认识。警官也参加了妇女儿童问题及相关问题的研讨会</w:t>
      </w:r>
      <w:r>
        <w:rPr>
          <w:rFonts w:hint="eastAsia"/>
          <w:szCs w:val="24"/>
        </w:rPr>
        <w:t>，以便加强合作机制，促进跨学科网络。</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第六条：贩卖和剥削妇女</w:t>
      </w:r>
    </w:p>
    <w:p w:rsidR="00000000" w:rsidRDefault="00B83709" w:rsidP="00B83709">
      <w:pPr>
        <w:pStyle w:val="BodyText3"/>
        <w:spacing w:after="240" w:line="360" w:lineRule="exact"/>
        <w:ind w:firstLineChars="200" w:firstLine="31680"/>
        <w:rPr>
          <w:rFonts w:eastAsia="KaiTi_GB2312"/>
          <w:iCs/>
          <w:color w:val="0000FF"/>
          <w:sz w:val="21"/>
          <w:szCs w:val="24"/>
          <w:lang w:eastAsia="zh-CN"/>
        </w:rPr>
      </w:pPr>
      <w:r>
        <w:rPr>
          <w:rFonts w:eastAsia="KaiTi_GB2312"/>
          <w:iCs/>
          <w:color w:val="0000FF"/>
          <w:sz w:val="21"/>
          <w:szCs w:val="24"/>
          <w:lang w:eastAsia="zh-CN"/>
        </w:rPr>
        <w:t>缔约各国应采取一切适当措施，包括制定法律，以禁止一切形式贩卖妇女和强迫妇女卖淫对她们进行剥削的行为。</w:t>
      </w:r>
      <w:r>
        <w:rPr>
          <w:rFonts w:eastAsia="KaiTi_GB2312"/>
          <w:iCs/>
          <w:color w:val="0000FF"/>
          <w:sz w:val="21"/>
          <w:szCs w:val="24"/>
          <w:lang w:eastAsia="zh-CN"/>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泰国有关贩卖和剥削妇女的法律定义和实用准则涵盖商业色情业、劳工剥削、强迫乞讨以及一切不道德的行为。这个定义的范围比公约范围广，因为公约主要侧重于贩卖妇女和对妇女的性剥削。</w:t>
      </w:r>
    </w:p>
    <w:p w:rsidR="00000000" w:rsidRDefault="00B83709">
      <w:pPr>
        <w:spacing w:after="240" w:line="360" w:lineRule="exact"/>
        <w:rPr>
          <w:rFonts w:eastAsia="SimHei" w:hint="eastAsia"/>
          <w:color w:val="FF0000"/>
        </w:rPr>
      </w:pPr>
      <w:r>
        <w:rPr>
          <w:rFonts w:eastAsia="SimHei" w:hint="eastAsia"/>
          <w:color w:val="FF0000"/>
        </w:rPr>
        <w:t>泰国贩卖和剥削妇女的状况</w:t>
      </w:r>
    </w:p>
    <w:p w:rsidR="00000000" w:rsidRDefault="00B83709">
      <w:pPr>
        <w:numPr>
          <w:ilvl w:val="0"/>
          <w:numId w:val="1049"/>
        </w:numPr>
        <w:tabs>
          <w:tab w:val="clear" w:pos="360"/>
          <w:tab w:val="num" w:pos="480"/>
        </w:tabs>
        <w:spacing w:after="240" w:line="360" w:lineRule="exact"/>
        <w:rPr>
          <w:szCs w:val="24"/>
        </w:rPr>
      </w:pPr>
      <w:r>
        <w:rPr>
          <w:rFonts w:hint="eastAsia"/>
          <w:szCs w:val="24"/>
        </w:rPr>
        <w:t>贩卖和剥削妇女是个极为复杂的问题。过去，贩卖人口主要在国内进行，让妇女儿童进入商业色情行业。当时，童妓的人数相当多。但现在的情况发生了变化。妓女的数</w:t>
      </w:r>
      <w:r>
        <w:rPr>
          <w:rFonts w:hint="eastAsia"/>
          <w:szCs w:val="24"/>
        </w:rPr>
        <w:t>量减少，原因是政府为杜绝相关的艾滋病问题实施了保护计划和战略。不过，更多的泰籍妇女前往国外从事性服务业工作，而在泰国卖淫的外国妓女人数增多。另外，自</w:t>
      </w:r>
      <w:r>
        <w:rPr>
          <w:rFonts w:hint="eastAsia"/>
          <w:szCs w:val="24"/>
        </w:rPr>
        <w:t>1990</w:t>
      </w:r>
      <w:r>
        <w:rPr>
          <w:rFonts w:hint="eastAsia"/>
          <w:szCs w:val="24"/>
        </w:rPr>
        <w:t>年以来，全球化的影响再度助长了移徙和贩卖人口，不仅仅是为了商业色情目的。国际犯罪组织也对促进贩卖人口发挥了作用。</w:t>
      </w:r>
    </w:p>
    <w:p w:rsidR="00000000" w:rsidRDefault="00B83709">
      <w:pPr>
        <w:numPr>
          <w:ilvl w:val="0"/>
          <w:numId w:val="1049"/>
        </w:numPr>
        <w:tabs>
          <w:tab w:val="clear" w:pos="360"/>
          <w:tab w:val="num" w:pos="480"/>
        </w:tabs>
        <w:spacing w:after="240" w:line="360" w:lineRule="exact"/>
        <w:rPr>
          <w:szCs w:val="24"/>
        </w:rPr>
      </w:pPr>
      <w:r>
        <w:rPr>
          <w:rFonts w:hint="eastAsia"/>
          <w:szCs w:val="24"/>
        </w:rPr>
        <w:t>自从国际犯罪组织将泰国用作买卖泰籍妇女和外籍妇女并意图达到各种目的而剥削她们的地点后，泰国蒙受了严重损失。这些组织还将泰国作为过境国，目的是将湄公河地区妇女儿童贩运到其他地区，让她们从事色情行业。</w:t>
      </w:r>
    </w:p>
    <w:p w:rsidR="00000000" w:rsidRDefault="00B83709">
      <w:pPr>
        <w:numPr>
          <w:ilvl w:val="0"/>
          <w:numId w:val="1049"/>
        </w:numPr>
        <w:tabs>
          <w:tab w:val="clear" w:pos="360"/>
          <w:tab w:val="num" w:pos="480"/>
        </w:tabs>
        <w:spacing w:after="240" w:line="360" w:lineRule="exact"/>
        <w:rPr>
          <w:szCs w:val="24"/>
        </w:rPr>
      </w:pPr>
      <w:r>
        <w:rPr>
          <w:rFonts w:hint="eastAsia"/>
          <w:szCs w:val="24"/>
        </w:rPr>
        <w:t>由于这种状况，泰国已经成为来源国，泰籍妇女被</w:t>
      </w:r>
      <w:r>
        <w:rPr>
          <w:rFonts w:hint="eastAsia"/>
          <w:szCs w:val="24"/>
        </w:rPr>
        <w:t>贩卖到国外从事性服务工作；泰国还成为目的国，外籍妇女儿童被贩卖到泰国从事商业色情工作并且因其他原因遭受剥削。泰国也是一个过境国，妇女和外籍儿童被带到该国的目的是将她们送往其他国家充当商业色情从业者，或者是为了其他形式的剥削。</w:t>
      </w:r>
    </w:p>
    <w:p w:rsidR="00000000" w:rsidRDefault="00B83709">
      <w:pPr>
        <w:numPr>
          <w:ilvl w:val="0"/>
          <w:numId w:val="1049"/>
        </w:numPr>
        <w:tabs>
          <w:tab w:val="clear" w:pos="360"/>
          <w:tab w:val="num" w:pos="480"/>
        </w:tabs>
        <w:spacing w:after="240" w:line="360" w:lineRule="exact"/>
        <w:rPr>
          <w:szCs w:val="24"/>
        </w:rPr>
      </w:pPr>
      <w:r>
        <w:rPr>
          <w:rFonts w:hint="eastAsia"/>
          <w:szCs w:val="24"/>
        </w:rPr>
        <w:t>对泰国人影响最为不利的贩卖妇女形式是意图进行性剥削、劳工剥削及利用外籍儿童作为乞丐的贩卖形式。</w:t>
      </w:r>
    </w:p>
    <w:p w:rsidR="00000000" w:rsidRDefault="00B83709">
      <w:pPr>
        <w:spacing w:after="240" w:line="360" w:lineRule="exact"/>
        <w:rPr>
          <w:rFonts w:eastAsia="SimHei" w:hint="eastAsia"/>
          <w:color w:val="FF0000"/>
        </w:rPr>
      </w:pPr>
      <w:r>
        <w:rPr>
          <w:rFonts w:eastAsia="SimHei" w:hint="eastAsia"/>
          <w:color w:val="FF0000"/>
        </w:rPr>
        <w:t>泰国的行动</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泰国政府已经认识到贩卖妇女儿童问题，并设法寻求同时解决国内和跨国界性买卖的办法。非政府组织会同政府发挥着关键作用，通过制订和执行政策以及颁布法律和实施联合项目禁止贩卖妇女儿童。此</w:t>
      </w:r>
      <w:r>
        <w:rPr>
          <w:rFonts w:hint="eastAsia"/>
          <w:szCs w:val="24"/>
        </w:rPr>
        <w:t>外，泰国政府也同外国政府、国际机构以及国家、地区和国际各级的非政府组织开展了合作。自</w:t>
      </w:r>
      <w:r>
        <w:rPr>
          <w:rFonts w:hint="eastAsia"/>
          <w:szCs w:val="24"/>
        </w:rPr>
        <w:t>2000</w:t>
      </w:r>
      <w:r>
        <w:rPr>
          <w:rFonts w:hint="eastAsia"/>
          <w:szCs w:val="24"/>
        </w:rPr>
        <w:t>年以来，为解决贩卖人口问题显然加强了合作。譬如，东南亚国家联盟和亚欧会议等区域组织通过增加讲习班和研讨会的数量以找到解决办法而表达了它们的意向，因为它们认识到，解决贩卖妇女儿童问题需要国家、地区和全球合作。没有哪个国家能够单独解决这个问题。各国均有本国的内在原因和促成因素，从而产生不同的问题，无论是来源国的经济、教育问题还是社会问题，还是与接收国的需求方有关的问题，包括全球化的影响。国际有组织犯罪通常是致使这一问题更</w:t>
      </w:r>
      <w:r>
        <w:rPr>
          <w:rFonts w:hint="eastAsia"/>
          <w:szCs w:val="24"/>
        </w:rPr>
        <w:t>加迅速且更加严重的催化剂。</w:t>
      </w:r>
    </w:p>
    <w:p w:rsidR="00000000" w:rsidRDefault="00B83709">
      <w:pPr>
        <w:numPr>
          <w:ilvl w:val="0"/>
          <w:numId w:val="1049"/>
        </w:numPr>
        <w:tabs>
          <w:tab w:val="clear" w:pos="360"/>
          <w:tab w:val="num" w:pos="480"/>
        </w:tabs>
        <w:spacing w:after="240" w:line="360" w:lineRule="exact"/>
        <w:rPr>
          <w:szCs w:val="24"/>
        </w:rPr>
      </w:pPr>
      <w:r>
        <w:rPr>
          <w:rFonts w:hint="eastAsia"/>
          <w:szCs w:val="24"/>
        </w:rPr>
        <w:t>自</w:t>
      </w:r>
      <w:r>
        <w:rPr>
          <w:rFonts w:hint="eastAsia"/>
          <w:szCs w:val="24"/>
        </w:rPr>
        <w:t>1996</w:t>
      </w:r>
      <w:r>
        <w:rPr>
          <w:rFonts w:hint="eastAsia"/>
          <w:szCs w:val="24"/>
        </w:rPr>
        <w:t>年以来，贩卖和剥削妇女的情形已经恶化。因此，泰国采取诸多措施来解决这一问题。部分措施见诸如下。</w:t>
      </w:r>
    </w:p>
    <w:p w:rsidR="00000000" w:rsidRDefault="00B83709">
      <w:pPr>
        <w:spacing w:after="240" w:line="360" w:lineRule="exact"/>
        <w:rPr>
          <w:rFonts w:eastAsia="SimHei" w:hint="eastAsia"/>
          <w:color w:val="FF0000"/>
        </w:rPr>
      </w:pPr>
      <w:r>
        <w:rPr>
          <w:rFonts w:eastAsia="SimHei" w:hint="eastAsia"/>
          <w:color w:val="FF0000"/>
        </w:rPr>
        <w:t>法律措施</w:t>
      </w:r>
    </w:p>
    <w:p w:rsidR="00000000" w:rsidRDefault="00B83709">
      <w:pPr>
        <w:numPr>
          <w:ilvl w:val="0"/>
          <w:numId w:val="1049"/>
        </w:numPr>
        <w:tabs>
          <w:tab w:val="clear" w:pos="360"/>
          <w:tab w:val="num" w:pos="480"/>
        </w:tabs>
        <w:spacing w:after="240" w:line="360" w:lineRule="exact"/>
        <w:rPr>
          <w:szCs w:val="24"/>
        </w:rPr>
      </w:pPr>
      <w:r>
        <w:rPr>
          <w:rFonts w:hint="eastAsia"/>
          <w:szCs w:val="24"/>
        </w:rPr>
        <w:t>泰国颁布了处理贩卖妇女和对妇女的性剥削的专门法律以及许多相关法律。这些法律大多是新颁布的法律，或者是修订的法律。法律的内容具有进步性，包含已经出现的新情况，并且旨在保护沦为贩卖人口的受害者的人权。同时，这些法律对涉嫌性行业、劳工剥削或强迫行乞以及其他任何不道德行为的罪犯处以重刑。这类法律将在下文介绍。</w:t>
      </w:r>
    </w:p>
    <w:p w:rsidR="00000000" w:rsidRDefault="00B83709">
      <w:pPr>
        <w:numPr>
          <w:ilvl w:val="0"/>
          <w:numId w:val="1049"/>
        </w:numPr>
        <w:tabs>
          <w:tab w:val="clear" w:pos="360"/>
          <w:tab w:val="num" w:pos="480"/>
        </w:tabs>
        <w:spacing w:after="240" w:line="360" w:lineRule="exact"/>
        <w:rPr>
          <w:szCs w:val="24"/>
        </w:rPr>
      </w:pPr>
      <w:r>
        <w:rPr>
          <w:rFonts w:hint="eastAsia"/>
          <w:szCs w:val="24"/>
        </w:rPr>
        <w:t>《禁止贩卖妇女和儿童法》系指</w:t>
      </w:r>
      <w:r>
        <w:rPr>
          <w:rFonts w:hint="eastAsia"/>
          <w:szCs w:val="24"/>
        </w:rPr>
        <w:t>1997</w:t>
      </w:r>
      <w:r>
        <w:rPr>
          <w:rFonts w:hint="eastAsia"/>
          <w:szCs w:val="24"/>
        </w:rPr>
        <w:t>年《关于防止并惩治贩卖妇女儿</w:t>
      </w:r>
      <w:r>
        <w:rPr>
          <w:rFonts w:hint="eastAsia"/>
          <w:szCs w:val="24"/>
        </w:rPr>
        <w:t>童的措施》。凡买卖、分配、接送、接收、占有、拘押或提供妇女儿童实施或接受为满足</w:t>
      </w:r>
      <w:r>
        <w:rPr>
          <w:rFonts w:hint="eastAsia"/>
          <w:szCs w:val="24"/>
        </w:rPr>
        <w:t>austlier</w:t>
      </w:r>
      <w:r>
        <w:rPr>
          <w:rFonts w:hint="eastAsia"/>
          <w:szCs w:val="24"/>
        </w:rPr>
        <w:t>的性欲以及为达到其他淫秽目的的行为，或者本人或其他人意图营利不公平地剥削妇女儿童的罪犯，无论妇女儿童同意与否，本法均适用。处罚是最高五年的监禁，最高</w:t>
      </w:r>
      <w:r>
        <w:rPr>
          <w:rFonts w:hint="eastAsia"/>
          <w:szCs w:val="24"/>
        </w:rPr>
        <w:t>10 000</w:t>
      </w:r>
      <w:r>
        <w:rPr>
          <w:rFonts w:hint="eastAsia"/>
          <w:szCs w:val="24"/>
        </w:rPr>
        <w:t>铢的罚款，或者两项并处。本法还事先对妇女和儿童进行证人问讯，不管能否逮捕罪犯。此举是为了保护证人不受威胁，同时为了给日后的起诉搜集证据。</w:t>
      </w:r>
    </w:p>
    <w:p w:rsidR="00000000" w:rsidRDefault="00B83709">
      <w:pPr>
        <w:numPr>
          <w:ilvl w:val="0"/>
          <w:numId w:val="1049"/>
        </w:numPr>
        <w:tabs>
          <w:tab w:val="clear" w:pos="360"/>
          <w:tab w:val="num" w:pos="480"/>
        </w:tabs>
        <w:spacing w:after="240" w:line="360" w:lineRule="exact"/>
        <w:rPr>
          <w:szCs w:val="24"/>
        </w:rPr>
      </w:pPr>
      <w:r>
        <w:rPr>
          <w:rFonts w:hint="eastAsia"/>
          <w:szCs w:val="24"/>
        </w:rPr>
        <w:t>涵盖对从事商业色情工作的妇女进行剥削的法律是</w:t>
      </w:r>
      <w:r>
        <w:rPr>
          <w:rFonts w:hint="eastAsia"/>
          <w:szCs w:val="24"/>
        </w:rPr>
        <w:t>1996</w:t>
      </w:r>
      <w:r>
        <w:rPr>
          <w:rFonts w:hint="eastAsia"/>
          <w:szCs w:val="24"/>
        </w:rPr>
        <w:t>年《防止和惩治卖淫法》。凡拉皮条者、商业性色情支助者、业主、管理人员</w:t>
      </w:r>
      <w:r>
        <w:rPr>
          <w:rFonts w:hint="eastAsia"/>
          <w:szCs w:val="24"/>
        </w:rPr>
        <w:t>、商业场所的主管、广告商、家长或监护人，故意让妇女或受其监管的儿童从事色情服务的，以及同</w:t>
      </w:r>
      <w:r>
        <w:rPr>
          <w:rFonts w:hint="eastAsia"/>
          <w:szCs w:val="24"/>
        </w:rPr>
        <w:t>18</w:t>
      </w:r>
      <w:r>
        <w:rPr>
          <w:rFonts w:hint="eastAsia"/>
          <w:szCs w:val="24"/>
        </w:rPr>
        <w:t>岁以下儿童发生性关系的嫖客，这项法令对他们做出了处罚规定。</w:t>
      </w:r>
    </w:p>
    <w:p w:rsidR="00000000" w:rsidRDefault="00B83709">
      <w:pPr>
        <w:numPr>
          <w:ilvl w:val="0"/>
          <w:numId w:val="1049"/>
        </w:numPr>
        <w:tabs>
          <w:tab w:val="clear" w:pos="360"/>
          <w:tab w:val="num" w:pos="480"/>
        </w:tabs>
        <w:spacing w:after="240" w:line="360" w:lineRule="exact"/>
        <w:rPr>
          <w:szCs w:val="24"/>
        </w:rPr>
      </w:pPr>
      <w:r>
        <w:rPr>
          <w:rFonts w:hint="eastAsia"/>
          <w:szCs w:val="24"/>
        </w:rPr>
        <w:t>有关贩卖妇女和意图营利使她们从事商业色情行业的其他法律如下。</w:t>
      </w:r>
    </w:p>
    <w:p w:rsidR="00000000" w:rsidRDefault="00B83709" w:rsidP="00B83709">
      <w:pPr>
        <w:tabs>
          <w:tab w:val="left" w:pos="1080"/>
        </w:tabs>
        <w:spacing w:after="240" w:line="360" w:lineRule="exact"/>
        <w:ind w:firstLineChars="200" w:firstLine="31680"/>
        <w:rPr>
          <w:snapToGrid w:val="0"/>
          <w:szCs w:val="24"/>
        </w:rPr>
      </w:pPr>
      <w:r>
        <w:rPr>
          <w:rFonts w:hint="eastAsia"/>
          <w:szCs w:val="24"/>
        </w:rPr>
        <w:t>（</w:t>
      </w:r>
      <w:r>
        <w:rPr>
          <w:rFonts w:hint="eastAsia"/>
          <w:szCs w:val="24"/>
        </w:rPr>
        <w:t>1</w:t>
      </w:r>
      <w:r>
        <w:rPr>
          <w:rFonts w:hint="eastAsia"/>
          <w:szCs w:val="24"/>
        </w:rPr>
        <w:t>）</w:t>
      </w:r>
      <w:r>
        <w:rPr>
          <w:rFonts w:hint="eastAsia"/>
          <w:szCs w:val="24"/>
        </w:rPr>
        <w:t>1997</w:t>
      </w:r>
      <w:r>
        <w:rPr>
          <w:rFonts w:hint="eastAsia"/>
          <w:szCs w:val="24"/>
        </w:rPr>
        <w:t>年《刑法修正案》（第</w:t>
      </w:r>
      <w:r>
        <w:rPr>
          <w:rFonts w:hint="eastAsia"/>
          <w:szCs w:val="24"/>
        </w:rPr>
        <w:t>14</w:t>
      </w:r>
      <w:r>
        <w:rPr>
          <w:rFonts w:hint="eastAsia"/>
          <w:szCs w:val="24"/>
        </w:rPr>
        <w:t>号），这项法案扩大了对以下人员的处罚：意图营利使妇女和儿童在残酷工作条件下工作</w:t>
      </w:r>
      <w:r>
        <w:rPr>
          <w:rFonts w:hint="eastAsia"/>
          <w:snapToGrid w:val="0"/>
          <w:szCs w:val="24"/>
        </w:rPr>
        <w:t>、强迫乞讨的罪犯；以及对男童犯下同等罪行的罪犯，包括在泰国境外犯罪的罪犯；并赋予泰国法院诉讼权。</w:t>
      </w:r>
    </w:p>
    <w:p w:rsidR="00000000" w:rsidRDefault="00B83709" w:rsidP="00B83709">
      <w:pPr>
        <w:tabs>
          <w:tab w:val="left" w:pos="1080"/>
        </w:tabs>
        <w:spacing w:after="240" w:line="360" w:lineRule="exact"/>
        <w:ind w:firstLineChars="200" w:firstLine="31680"/>
        <w:rPr>
          <w:snapToGrid w:val="0"/>
          <w:szCs w:val="24"/>
        </w:rPr>
      </w:pPr>
      <w:r>
        <w:rPr>
          <w:rFonts w:hint="eastAsia"/>
          <w:snapToGrid w:val="0"/>
          <w:szCs w:val="24"/>
        </w:rPr>
        <w:t>（</w:t>
      </w:r>
      <w:r>
        <w:rPr>
          <w:rFonts w:hint="eastAsia"/>
          <w:snapToGrid w:val="0"/>
          <w:szCs w:val="24"/>
        </w:rPr>
        <w:t>2</w:t>
      </w:r>
      <w:r>
        <w:rPr>
          <w:rFonts w:hint="eastAsia"/>
          <w:snapToGrid w:val="0"/>
          <w:szCs w:val="24"/>
        </w:rPr>
        <w:t>）</w:t>
      </w:r>
      <w:r>
        <w:rPr>
          <w:rFonts w:hint="eastAsia"/>
          <w:snapToGrid w:val="0"/>
          <w:szCs w:val="24"/>
        </w:rPr>
        <w:t>1999</w:t>
      </w:r>
      <w:r>
        <w:rPr>
          <w:rFonts w:hint="eastAsia"/>
          <w:snapToGrid w:val="0"/>
          <w:szCs w:val="24"/>
        </w:rPr>
        <w:t>年《刑法程序修正案》（第</w:t>
      </w:r>
      <w:r>
        <w:rPr>
          <w:rFonts w:hint="eastAsia"/>
          <w:snapToGrid w:val="0"/>
          <w:szCs w:val="24"/>
        </w:rPr>
        <w:t>20</w:t>
      </w:r>
      <w:r>
        <w:rPr>
          <w:rFonts w:hint="eastAsia"/>
          <w:snapToGrid w:val="0"/>
          <w:szCs w:val="24"/>
        </w:rPr>
        <w:t>号）对调查过程中的和法院中的儿童受害者或儿</w:t>
      </w:r>
      <w:r>
        <w:rPr>
          <w:rFonts w:hint="eastAsia"/>
          <w:snapToGrid w:val="0"/>
          <w:szCs w:val="24"/>
        </w:rPr>
        <w:t>童证人讯问程序做出了规定，规定应为他们提供适当的单独作证场所。儿童证人</w:t>
      </w:r>
      <w:r>
        <w:rPr>
          <w:rFonts w:hint="eastAsia"/>
          <w:snapToGrid w:val="0"/>
          <w:szCs w:val="24"/>
        </w:rPr>
        <w:t>/</w:t>
      </w:r>
      <w:r>
        <w:rPr>
          <w:rFonts w:hint="eastAsia"/>
          <w:snapToGrid w:val="0"/>
          <w:szCs w:val="24"/>
        </w:rPr>
        <w:t>受害者要求的心理学家、社会工作者或任何人以及检察长应参与调查程序。如果证人应离开所在国或者没有永久居所，应立即取证。法院作证程序可使用录像带或对讯问时的证词进行录音。</w:t>
      </w:r>
    </w:p>
    <w:p w:rsidR="00000000" w:rsidRDefault="00B83709" w:rsidP="00B83709">
      <w:pPr>
        <w:tabs>
          <w:tab w:val="left" w:pos="1080"/>
        </w:tabs>
        <w:spacing w:after="240" w:line="360" w:lineRule="exact"/>
        <w:ind w:firstLineChars="200" w:firstLine="31680"/>
        <w:rPr>
          <w:szCs w:val="24"/>
        </w:rPr>
      </w:pPr>
      <w:r>
        <w:rPr>
          <w:rFonts w:hint="eastAsia"/>
          <w:snapToGrid w:val="0"/>
          <w:szCs w:val="24"/>
        </w:rPr>
        <w:t>（</w:t>
      </w:r>
      <w:r>
        <w:rPr>
          <w:rFonts w:hint="eastAsia"/>
          <w:snapToGrid w:val="0"/>
          <w:szCs w:val="24"/>
        </w:rPr>
        <w:t>3</w:t>
      </w:r>
      <w:r>
        <w:rPr>
          <w:rFonts w:hint="eastAsia"/>
          <w:snapToGrid w:val="0"/>
          <w:szCs w:val="24"/>
        </w:rPr>
        <w:t>）</w:t>
      </w:r>
      <w:r>
        <w:rPr>
          <w:rFonts w:hint="eastAsia"/>
          <w:snapToGrid w:val="0"/>
          <w:szCs w:val="24"/>
        </w:rPr>
        <w:t>1999</w:t>
      </w:r>
      <w:r>
        <w:rPr>
          <w:rFonts w:hint="eastAsia"/>
          <w:snapToGrid w:val="0"/>
          <w:szCs w:val="24"/>
        </w:rPr>
        <w:t>年《防止</w:t>
      </w:r>
      <w:r>
        <w:rPr>
          <w:rFonts w:hint="eastAsia"/>
          <w:szCs w:val="24"/>
        </w:rPr>
        <w:t>和惩治洗钱法》规定依照《刑法》没收因实施或支持实施性犯罪而获取的钱款和财产。本法特别涉及介绍、引诱或让妇女和儿童从事色情行业者，或者根据《禁止和惩治卖淫法》，特别涉及与拥有、监管或经营商业色情场所有关的行为，包括商业色情场所的色情工作者。</w:t>
      </w:r>
    </w:p>
    <w:p w:rsidR="00000000" w:rsidRDefault="00B83709">
      <w:pPr>
        <w:numPr>
          <w:ilvl w:val="0"/>
          <w:numId w:val="1049"/>
        </w:numPr>
        <w:tabs>
          <w:tab w:val="clear" w:pos="360"/>
          <w:tab w:val="num" w:pos="480"/>
        </w:tabs>
        <w:spacing w:after="240" w:line="360" w:lineRule="exact"/>
        <w:rPr>
          <w:szCs w:val="24"/>
        </w:rPr>
      </w:pPr>
      <w:r>
        <w:rPr>
          <w:rFonts w:hint="eastAsia"/>
          <w:szCs w:val="24"/>
        </w:rPr>
        <w:t>泰国社会不</w:t>
      </w:r>
      <w:r>
        <w:rPr>
          <w:rFonts w:hint="eastAsia"/>
          <w:szCs w:val="24"/>
        </w:rPr>
        <w:t>认可卖淫，并将卖淫视为男女关系混乱的不道德职业。传统态度仍然认为妇女的地位低于男子，妇女在婚前应为处女。婚后，则期望妇女忠于丈夫，做贤妻良母。因此，妓女给整个家庭带来的是耻辱。但在最近，许多妓女发起运动，争取让社会认可商业色情行业是诚实的工作，并且认可这个行业对几乎没有上过学的妇女来说是一种可选择的职业。</w:t>
      </w:r>
    </w:p>
    <w:p w:rsidR="00000000" w:rsidRDefault="00B83709">
      <w:pPr>
        <w:numPr>
          <w:ilvl w:val="0"/>
          <w:numId w:val="1049"/>
        </w:numPr>
        <w:tabs>
          <w:tab w:val="clear" w:pos="360"/>
          <w:tab w:val="num" w:pos="480"/>
        </w:tabs>
        <w:spacing w:after="240" w:line="360" w:lineRule="exact"/>
        <w:rPr>
          <w:szCs w:val="24"/>
        </w:rPr>
      </w:pPr>
      <w:r>
        <w:rPr>
          <w:rFonts w:hint="eastAsia"/>
          <w:szCs w:val="24"/>
        </w:rPr>
        <w:t>尽管卖淫在泰国属于非法，但法律不惩治妓女，特别是作为暴力受害者的妓女。</w:t>
      </w:r>
      <w:r>
        <w:rPr>
          <w:rFonts w:hint="eastAsia"/>
          <w:szCs w:val="24"/>
        </w:rPr>
        <w:t>1996</w:t>
      </w:r>
      <w:r>
        <w:rPr>
          <w:rFonts w:hint="eastAsia"/>
          <w:szCs w:val="24"/>
        </w:rPr>
        <w:t>年《禁止和惩治卖淫法》仅对如下妇女做出了处罚规定，即当街或在公共场所通过劝说或坚持提供色情服务，厌烦或骚扰他人的妇女。应对这类</w:t>
      </w:r>
      <w:r>
        <w:rPr>
          <w:rFonts w:hint="eastAsia"/>
          <w:szCs w:val="24"/>
        </w:rPr>
        <w:t>妇女处以不超过</w:t>
      </w:r>
      <w:r>
        <w:rPr>
          <w:rFonts w:hint="eastAsia"/>
          <w:szCs w:val="24"/>
        </w:rPr>
        <w:t>1 000</w:t>
      </w:r>
      <w:r>
        <w:rPr>
          <w:rFonts w:hint="eastAsia"/>
          <w:szCs w:val="24"/>
        </w:rPr>
        <w:t>铢的罚款。如果在妓院提供色情服务，应处以一个月的监禁，不超过</w:t>
      </w:r>
      <w:r>
        <w:rPr>
          <w:rFonts w:hint="eastAsia"/>
          <w:szCs w:val="24"/>
        </w:rPr>
        <w:t>1 000</w:t>
      </w:r>
      <w:r>
        <w:rPr>
          <w:rFonts w:hint="eastAsia"/>
          <w:szCs w:val="24"/>
        </w:rPr>
        <w:t>铢的罚款，或者两项并处，但被迫提供色情服务的妇女除外。如果她们利用大众媒体或其他公共信息传播手段宣传、劝说或介绍本人，并且明确要求提供色情服务或签约提供色情服务，则处以六个月到两年的监禁以及</w:t>
      </w:r>
      <w:r>
        <w:rPr>
          <w:szCs w:val="24"/>
        </w:rPr>
        <w:t>20</w:t>
      </w:r>
      <w:r>
        <w:rPr>
          <w:rFonts w:hint="eastAsia"/>
          <w:szCs w:val="24"/>
        </w:rPr>
        <w:t xml:space="preserve"> </w:t>
      </w:r>
      <w:r>
        <w:rPr>
          <w:szCs w:val="24"/>
        </w:rPr>
        <w:t>000</w:t>
      </w:r>
      <w:r>
        <w:rPr>
          <w:rFonts w:hint="eastAsia"/>
          <w:szCs w:val="24"/>
        </w:rPr>
        <w:t>到</w:t>
      </w:r>
      <w:r>
        <w:rPr>
          <w:szCs w:val="24"/>
        </w:rPr>
        <w:t>60</w:t>
      </w:r>
      <w:r>
        <w:rPr>
          <w:rFonts w:hint="eastAsia"/>
          <w:szCs w:val="24"/>
        </w:rPr>
        <w:t xml:space="preserve"> </w:t>
      </w:r>
      <w:r>
        <w:rPr>
          <w:szCs w:val="24"/>
        </w:rPr>
        <w:t>000</w:t>
      </w:r>
      <w:r>
        <w:rPr>
          <w:rFonts w:hint="eastAsia"/>
          <w:szCs w:val="24"/>
        </w:rPr>
        <w:t>铢的罚款。另一方面，法律没有对独立提供色情服务的妓女做出处罚规定，但也不认可卖淫的合法性。</w:t>
      </w:r>
      <w:r>
        <w:rPr>
          <w:rFonts w:hint="eastAsia"/>
          <w:szCs w:val="24"/>
        </w:rPr>
        <w:t>18</w:t>
      </w:r>
      <w:r>
        <w:rPr>
          <w:rFonts w:hint="eastAsia"/>
          <w:szCs w:val="24"/>
        </w:rPr>
        <w:t>岁以下儿童被迫成为从事商业色情工作的，被视为受害者，并免费将她们送回家。自愿从事色情行业的儿童将被送到公共福</w:t>
      </w:r>
      <w:r>
        <w:rPr>
          <w:rFonts w:hint="eastAsia"/>
          <w:szCs w:val="24"/>
        </w:rPr>
        <w:t>利庇护所接受职业培训。</w:t>
      </w:r>
    </w:p>
    <w:p w:rsidR="00000000" w:rsidRDefault="00B83709">
      <w:pPr>
        <w:numPr>
          <w:ilvl w:val="0"/>
          <w:numId w:val="1049"/>
        </w:numPr>
        <w:tabs>
          <w:tab w:val="clear" w:pos="360"/>
          <w:tab w:val="num" w:pos="480"/>
        </w:tabs>
        <w:spacing w:after="240" w:line="360" w:lineRule="exact"/>
        <w:rPr>
          <w:szCs w:val="24"/>
        </w:rPr>
      </w:pPr>
      <w:r>
        <w:rPr>
          <w:rFonts w:hint="eastAsia"/>
          <w:spacing w:val="-2"/>
          <w:szCs w:val="24"/>
        </w:rPr>
        <w:t>1996</w:t>
      </w:r>
      <w:r>
        <w:rPr>
          <w:rFonts w:hint="eastAsia"/>
          <w:spacing w:val="-2"/>
          <w:szCs w:val="24"/>
        </w:rPr>
        <w:t>年《禁止和惩治卖淫法》规定，妓院老板或任何人，凡为满足另一人或第三方的性欲，未经</w:t>
      </w:r>
      <w:r>
        <w:rPr>
          <w:rFonts w:hint="eastAsia"/>
          <w:spacing w:val="-2"/>
          <w:szCs w:val="24"/>
        </w:rPr>
        <w:t>18</w:t>
      </w:r>
      <w:r>
        <w:rPr>
          <w:rFonts w:hint="eastAsia"/>
          <w:spacing w:val="-2"/>
          <w:szCs w:val="24"/>
        </w:rPr>
        <w:t>岁以下的人同意同其发生性关系或对其实施其他任何行为的，应予以处罚。处罚是一至三年的监禁及</w:t>
      </w:r>
      <w:r>
        <w:rPr>
          <w:spacing w:val="-2"/>
          <w:szCs w:val="24"/>
        </w:rPr>
        <w:t>20</w:t>
      </w:r>
      <w:r>
        <w:rPr>
          <w:rFonts w:hint="eastAsia"/>
          <w:spacing w:val="-2"/>
          <w:szCs w:val="24"/>
        </w:rPr>
        <w:t xml:space="preserve"> </w:t>
      </w:r>
      <w:r>
        <w:rPr>
          <w:spacing w:val="-2"/>
          <w:szCs w:val="24"/>
        </w:rPr>
        <w:t>000-60</w:t>
      </w:r>
      <w:r>
        <w:rPr>
          <w:rFonts w:hint="eastAsia"/>
          <w:spacing w:val="-2"/>
          <w:szCs w:val="24"/>
        </w:rPr>
        <w:t xml:space="preserve"> </w:t>
      </w:r>
      <w:r>
        <w:rPr>
          <w:spacing w:val="-2"/>
          <w:szCs w:val="24"/>
        </w:rPr>
        <w:t>000</w:t>
      </w:r>
      <w:r>
        <w:rPr>
          <w:rFonts w:hint="eastAsia"/>
          <w:szCs w:val="24"/>
        </w:rPr>
        <w:t>铢的罚款。如果该等罪行的实施对象是</w:t>
      </w:r>
      <w:r>
        <w:rPr>
          <w:rFonts w:hint="eastAsia"/>
          <w:szCs w:val="24"/>
        </w:rPr>
        <w:t>15</w:t>
      </w:r>
      <w:r>
        <w:rPr>
          <w:rFonts w:hint="eastAsia"/>
          <w:szCs w:val="24"/>
        </w:rPr>
        <w:t>岁以下儿童，罪犯应处以二至六年的监禁及</w:t>
      </w:r>
      <w:r>
        <w:rPr>
          <w:szCs w:val="24"/>
        </w:rPr>
        <w:t>40</w:t>
      </w:r>
      <w:r>
        <w:rPr>
          <w:rFonts w:hint="eastAsia"/>
          <w:szCs w:val="24"/>
        </w:rPr>
        <w:t xml:space="preserve"> </w:t>
      </w:r>
      <w:r>
        <w:rPr>
          <w:szCs w:val="24"/>
        </w:rPr>
        <w:t>000-100</w:t>
      </w:r>
      <w:r>
        <w:rPr>
          <w:rFonts w:hint="eastAsia"/>
          <w:szCs w:val="24"/>
        </w:rPr>
        <w:t xml:space="preserve"> </w:t>
      </w:r>
      <w:r>
        <w:rPr>
          <w:szCs w:val="24"/>
        </w:rPr>
        <w:t>000</w:t>
      </w:r>
      <w:r>
        <w:rPr>
          <w:rFonts w:hint="eastAsia"/>
          <w:szCs w:val="24"/>
        </w:rPr>
        <w:t>铢的罚款。不过，实际上仅报告了少数此等案件。色情企业、拉皮条者和色情中介被视为色情行业的参与者，对这些人的处罚较重，原因是他们侵犯了妇女的权利和自由，损害了她们的尊严。如果妇女年</w:t>
      </w:r>
      <w:r>
        <w:rPr>
          <w:rFonts w:hint="eastAsia"/>
          <w:szCs w:val="24"/>
        </w:rPr>
        <w:t>龄在</w:t>
      </w:r>
      <w:r>
        <w:rPr>
          <w:rFonts w:hint="eastAsia"/>
          <w:szCs w:val="24"/>
        </w:rPr>
        <w:t>15</w:t>
      </w:r>
      <w:r>
        <w:rPr>
          <w:rFonts w:hint="eastAsia"/>
          <w:szCs w:val="24"/>
        </w:rPr>
        <w:t>岁以下，罪犯将接受最重的处罚，即</w:t>
      </w:r>
      <w:r>
        <w:rPr>
          <w:szCs w:val="24"/>
        </w:rPr>
        <w:t>10-20</w:t>
      </w:r>
      <w:r>
        <w:rPr>
          <w:rFonts w:hint="eastAsia"/>
          <w:szCs w:val="24"/>
        </w:rPr>
        <w:t>年的监禁和</w:t>
      </w:r>
      <w:r>
        <w:rPr>
          <w:szCs w:val="24"/>
        </w:rPr>
        <w:t>200</w:t>
      </w:r>
      <w:r>
        <w:rPr>
          <w:rFonts w:hint="eastAsia"/>
          <w:szCs w:val="24"/>
        </w:rPr>
        <w:t xml:space="preserve"> </w:t>
      </w:r>
      <w:r>
        <w:rPr>
          <w:szCs w:val="24"/>
        </w:rPr>
        <w:t>000-400</w:t>
      </w:r>
      <w:r>
        <w:rPr>
          <w:rFonts w:hint="eastAsia"/>
          <w:szCs w:val="24"/>
        </w:rPr>
        <w:t xml:space="preserve"> </w:t>
      </w:r>
      <w:r>
        <w:rPr>
          <w:szCs w:val="24"/>
        </w:rPr>
        <w:t>000</w:t>
      </w:r>
      <w:r>
        <w:rPr>
          <w:rFonts w:hint="eastAsia"/>
          <w:szCs w:val="24"/>
        </w:rPr>
        <w:t>铢的罚款。如果妓女不是自愿出卖肉体的，而是被迫为之，关于性犯罪的《刑法》将这种行为列为强奸。但实际上没有报告这样的案件，也许是因为人们普遍的态度是，妓女不是强奸的受害者，而是自愿从事商业色情行业的。</w:t>
      </w:r>
    </w:p>
    <w:p w:rsidR="00000000" w:rsidRDefault="00B83709">
      <w:pPr>
        <w:numPr>
          <w:ilvl w:val="0"/>
          <w:numId w:val="1049"/>
        </w:numPr>
        <w:tabs>
          <w:tab w:val="clear" w:pos="360"/>
          <w:tab w:val="num" w:pos="480"/>
        </w:tabs>
        <w:spacing w:after="240" w:line="360" w:lineRule="exact"/>
        <w:rPr>
          <w:szCs w:val="24"/>
        </w:rPr>
      </w:pPr>
      <w:r>
        <w:rPr>
          <w:szCs w:val="24"/>
        </w:rPr>
        <w:t>1996</w:t>
      </w:r>
      <w:r>
        <w:rPr>
          <w:rFonts w:hint="eastAsia"/>
          <w:szCs w:val="24"/>
        </w:rPr>
        <w:t>年，泰国制订了“禁止和消除商业色情剥削的国家政策和行动计划”。此外，“禁止、取缔和消除对妇女和儿童商业色情剥削的国家政策和计划”自</w:t>
      </w:r>
      <w:r>
        <w:rPr>
          <w:rFonts w:hint="eastAsia"/>
          <w:szCs w:val="24"/>
        </w:rPr>
        <w:t>2000</w:t>
      </w:r>
      <w:r>
        <w:rPr>
          <w:rFonts w:hint="eastAsia"/>
          <w:szCs w:val="24"/>
        </w:rPr>
        <w:t>年起一直在草拟之中，预计到</w:t>
      </w:r>
      <w:r>
        <w:rPr>
          <w:rFonts w:hint="eastAsia"/>
          <w:szCs w:val="24"/>
        </w:rPr>
        <w:t>2002</w:t>
      </w:r>
      <w:r>
        <w:rPr>
          <w:rFonts w:hint="eastAsia"/>
          <w:szCs w:val="24"/>
        </w:rPr>
        <w:t>年底完成并生效。这项新政策和计划规定了解决</w:t>
      </w:r>
      <w:r>
        <w:rPr>
          <w:rFonts w:hint="eastAsia"/>
          <w:szCs w:val="24"/>
        </w:rPr>
        <w:t>国内和跨国界贩卖妇女和儿童整个周期的措施。该计划包括防止、援助和保护、法律程序和取缔、遣返和社会康复、信息系统的建立、监测和评估、行政和管理开发系统以及国际合作计划。计划还明确了具体执行的方向，并重视从国家到地方一级的各级合作，包括一个执行机制在内。</w:t>
      </w:r>
    </w:p>
    <w:p w:rsidR="00000000" w:rsidRDefault="00B83709">
      <w:pPr>
        <w:numPr>
          <w:ilvl w:val="0"/>
          <w:numId w:val="1049"/>
        </w:numPr>
        <w:tabs>
          <w:tab w:val="clear" w:pos="360"/>
          <w:tab w:val="num" w:pos="480"/>
        </w:tabs>
        <w:spacing w:after="240" w:line="360" w:lineRule="exact"/>
        <w:rPr>
          <w:szCs w:val="24"/>
        </w:rPr>
      </w:pPr>
      <w:r>
        <w:rPr>
          <w:rFonts w:hint="eastAsia"/>
          <w:szCs w:val="24"/>
        </w:rPr>
        <w:t>泰国不断执行禁止对妇女进行商业剥削的防范措施，特别是在教育方面以及不断提高妇女和儿童自力更生和取得就业潜力方面。实现这一目标的政策手段是扩大六至九年级的义务教育以及免费提供</w:t>
      </w:r>
      <w:r>
        <w:rPr>
          <w:rFonts w:hint="eastAsia"/>
          <w:szCs w:val="24"/>
        </w:rPr>
        <w:t>12</w:t>
      </w:r>
      <w:r>
        <w:rPr>
          <w:rFonts w:hint="eastAsia"/>
          <w:szCs w:val="24"/>
        </w:rPr>
        <w:t>年基础教育，这项政策于</w:t>
      </w:r>
      <w:r>
        <w:rPr>
          <w:rFonts w:hint="eastAsia"/>
          <w:szCs w:val="24"/>
        </w:rPr>
        <w:t>2002</w:t>
      </w:r>
      <w:r>
        <w:rPr>
          <w:rFonts w:hint="eastAsia"/>
          <w:szCs w:val="24"/>
        </w:rPr>
        <w:t>年生效。</w:t>
      </w:r>
      <w:r>
        <w:rPr>
          <w:rFonts w:hint="eastAsia"/>
          <w:szCs w:val="24"/>
        </w:rPr>
        <w:t>1999</w:t>
      </w:r>
      <w:r>
        <w:rPr>
          <w:rFonts w:hint="eastAsia"/>
          <w:szCs w:val="24"/>
        </w:rPr>
        <w:t>年，通过旨在提高以儿童为中心的学习潜力</w:t>
      </w:r>
      <w:r>
        <w:rPr>
          <w:rFonts w:hint="eastAsia"/>
          <w:szCs w:val="24"/>
        </w:rPr>
        <w:t>的《国家教育法》，开始实行教育改革。譬如，每年为来自贫困家庭的少女提供</w:t>
      </w:r>
      <w:r>
        <w:rPr>
          <w:szCs w:val="24"/>
        </w:rPr>
        <w:t>1</w:t>
      </w:r>
      <w:r>
        <w:rPr>
          <w:rFonts w:hint="eastAsia"/>
          <w:szCs w:val="24"/>
        </w:rPr>
        <w:t xml:space="preserve"> </w:t>
      </w:r>
      <w:r>
        <w:rPr>
          <w:szCs w:val="24"/>
        </w:rPr>
        <w:t>000</w:t>
      </w:r>
      <w:r>
        <w:rPr>
          <w:rFonts w:hint="eastAsia"/>
          <w:szCs w:val="24"/>
        </w:rPr>
        <w:t>笔奖学金，让她们继续其学业，同时提供</w:t>
      </w:r>
      <w:r>
        <w:rPr>
          <w:rFonts w:hint="eastAsia"/>
          <w:szCs w:val="24"/>
        </w:rPr>
        <w:t>100</w:t>
      </w:r>
      <w:r>
        <w:rPr>
          <w:rFonts w:hint="eastAsia"/>
          <w:szCs w:val="24"/>
        </w:rPr>
        <w:t>笔护理奖学金。</w:t>
      </w:r>
      <w:r>
        <w:rPr>
          <w:szCs w:val="24"/>
        </w:rPr>
        <w:t>1994</w:t>
      </w:r>
      <w:r>
        <w:rPr>
          <w:rFonts w:hint="eastAsia"/>
          <w:szCs w:val="24"/>
        </w:rPr>
        <w:t>-</w:t>
      </w:r>
      <w:r>
        <w:rPr>
          <w:szCs w:val="24"/>
        </w:rPr>
        <w:t>2001</w:t>
      </w:r>
      <w:r>
        <w:rPr>
          <w:rFonts w:hint="eastAsia"/>
          <w:szCs w:val="24"/>
        </w:rPr>
        <w:t>年，政府资助</w:t>
      </w:r>
      <w:r>
        <w:rPr>
          <w:szCs w:val="24"/>
        </w:rPr>
        <w:t>60</w:t>
      </w:r>
      <w:r>
        <w:rPr>
          <w:rFonts w:hint="eastAsia"/>
          <w:szCs w:val="24"/>
        </w:rPr>
        <w:t xml:space="preserve"> </w:t>
      </w:r>
      <w:r>
        <w:rPr>
          <w:szCs w:val="24"/>
        </w:rPr>
        <w:t>000</w:t>
      </w:r>
      <w:r>
        <w:rPr>
          <w:rFonts w:hint="eastAsia"/>
          <w:szCs w:val="24"/>
        </w:rPr>
        <w:t>名贫困少女继续其学业，</w:t>
      </w:r>
      <w:r>
        <w:rPr>
          <w:rFonts w:hint="eastAsia"/>
          <w:szCs w:val="24"/>
        </w:rPr>
        <w:t>2002</w:t>
      </w:r>
      <w:r>
        <w:rPr>
          <w:rFonts w:hint="eastAsia"/>
          <w:szCs w:val="24"/>
        </w:rPr>
        <w:t>年，为另外</w:t>
      </w:r>
      <w:r>
        <w:rPr>
          <w:rFonts w:hint="eastAsia"/>
          <w:szCs w:val="24"/>
        </w:rPr>
        <w:t>30 000</w:t>
      </w:r>
      <w:r>
        <w:rPr>
          <w:rFonts w:hint="eastAsia"/>
          <w:szCs w:val="24"/>
        </w:rPr>
        <w:t>笔奖学金拨付了一笔预算。此外，由于</w:t>
      </w:r>
      <w:r>
        <w:rPr>
          <w:rFonts w:hint="eastAsia"/>
          <w:szCs w:val="24"/>
        </w:rPr>
        <w:t>1997</w:t>
      </w:r>
      <w:r>
        <w:rPr>
          <w:rFonts w:hint="eastAsia"/>
          <w:szCs w:val="24"/>
        </w:rPr>
        <w:t>年的经济危机，公共福利厅每年为</w:t>
      </w:r>
      <w:r>
        <w:rPr>
          <w:rFonts w:hint="eastAsia"/>
          <w:szCs w:val="24"/>
        </w:rPr>
        <w:t>2 500</w:t>
      </w:r>
      <w:r>
        <w:rPr>
          <w:rFonts w:hint="eastAsia"/>
          <w:szCs w:val="24"/>
        </w:rPr>
        <w:t>名失业妇女提供职业培训；</w:t>
      </w:r>
      <w:r>
        <w:rPr>
          <w:rFonts w:hint="eastAsia"/>
          <w:szCs w:val="24"/>
        </w:rPr>
        <w:t>2002</w:t>
      </w:r>
      <w:r>
        <w:rPr>
          <w:rFonts w:hint="eastAsia"/>
          <w:szCs w:val="24"/>
        </w:rPr>
        <w:t>年，这一数字增至</w:t>
      </w:r>
      <w:r>
        <w:rPr>
          <w:rFonts w:hint="eastAsia"/>
          <w:szCs w:val="24"/>
        </w:rPr>
        <w:t>3 000</w:t>
      </w:r>
      <w:r>
        <w:rPr>
          <w:rFonts w:hint="eastAsia"/>
          <w:szCs w:val="24"/>
        </w:rPr>
        <w:t>名。公共福利厅在完成培训后，为妇女提供组建团体和从业的初期资本，并且还为创办独立企业的妇女每人提供</w:t>
      </w:r>
      <w:r>
        <w:rPr>
          <w:rFonts w:hint="eastAsia"/>
          <w:szCs w:val="24"/>
        </w:rPr>
        <w:t>15 000</w:t>
      </w:r>
      <w:r>
        <w:rPr>
          <w:rFonts w:hint="eastAsia"/>
          <w:szCs w:val="24"/>
        </w:rPr>
        <w:t>铢职业贷款。此外，教育部为贫困妇</w:t>
      </w:r>
      <w:r>
        <w:rPr>
          <w:rFonts w:hint="eastAsia"/>
          <w:szCs w:val="24"/>
        </w:rPr>
        <w:t>女提供了</w:t>
      </w:r>
      <w:r>
        <w:rPr>
          <w:szCs w:val="24"/>
        </w:rPr>
        <w:t>10</w:t>
      </w:r>
      <w:r>
        <w:rPr>
          <w:rFonts w:hint="eastAsia"/>
          <w:szCs w:val="24"/>
        </w:rPr>
        <w:t xml:space="preserve"> </w:t>
      </w:r>
      <w:r>
        <w:rPr>
          <w:szCs w:val="24"/>
        </w:rPr>
        <w:t xml:space="preserve">500 </w:t>
      </w:r>
      <w:r>
        <w:rPr>
          <w:rFonts w:hint="eastAsia"/>
          <w:szCs w:val="24"/>
        </w:rPr>
        <w:t>笔短期职业培训奖学金。</w:t>
      </w:r>
    </w:p>
    <w:p w:rsidR="00000000" w:rsidRDefault="00B83709">
      <w:pPr>
        <w:numPr>
          <w:ilvl w:val="0"/>
          <w:numId w:val="1049"/>
        </w:numPr>
        <w:tabs>
          <w:tab w:val="clear" w:pos="360"/>
          <w:tab w:val="num" w:pos="480"/>
        </w:tabs>
        <w:spacing w:after="240" w:line="360" w:lineRule="exact"/>
        <w:rPr>
          <w:szCs w:val="24"/>
        </w:rPr>
      </w:pPr>
      <w:r>
        <w:rPr>
          <w:rFonts w:hint="eastAsia"/>
          <w:szCs w:val="24"/>
        </w:rPr>
        <w:t>政府为保护有可能从事商业色情行业的妇女和少女，制订了家庭发展长期政策和计划（</w:t>
      </w:r>
      <w:r>
        <w:rPr>
          <w:rFonts w:hint="eastAsia"/>
          <w:szCs w:val="24"/>
        </w:rPr>
        <w:t>1995-2005</w:t>
      </w:r>
      <w:r>
        <w:rPr>
          <w:rFonts w:hint="eastAsia"/>
          <w:szCs w:val="24"/>
        </w:rPr>
        <w:t>年），一项五年行动计划（</w:t>
      </w:r>
      <w:r>
        <w:rPr>
          <w:rFonts w:hint="eastAsia"/>
          <w:szCs w:val="24"/>
        </w:rPr>
        <w:t>1997-2001</w:t>
      </w:r>
      <w:r>
        <w:rPr>
          <w:rFonts w:hint="eastAsia"/>
          <w:szCs w:val="24"/>
        </w:rPr>
        <w:t>年）的重点是基于社区的家庭幸福、家庭辅导服务以及消除家庭内的暴力。在社会上，泰国因曼谷和其他大城市拥有许多娱乐场所而负有盛名。这些场所在夜间成为青少年的聚会场所，为他们易于从事商业色情交易创造了条件。</w:t>
      </w:r>
      <w:r>
        <w:rPr>
          <w:rFonts w:hint="eastAsia"/>
          <w:szCs w:val="24"/>
        </w:rPr>
        <w:t>2001</w:t>
      </w:r>
      <w:r>
        <w:rPr>
          <w:rFonts w:hint="eastAsia"/>
          <w:szCs w:val="24"/>
        </w:rPr>
        <w:t>年，内政部推出了“维护社会秩序政策”，禁止</w:t>
      </w:r>
      <w:r>
        <w:rPr>
          <w:rFonts w:hint="eastAsia"/>
          <w:szCs w:val="24"/>
        </w:rPr>
        <w:t>18</w:t>
      </w:r>
      <w:r>
        <w:rPr>
          <w:rFonts w:hint="eastAsia"/>
          <w:szCs w:val="24"/>
        </w:rPr>
        <w:t>岁以下儿童光顾这类娱乐场所，规定了及早停业时间，并设立娱乐场所区。</w:t>
      </w:r>
    </w:p>
    <w:p w:rsidR="00000000" w:rsidRDefault="00B83709">
      <w:pPr>
        <w:numPr>
          <w:ilvl w:val="0"/>
          <w:numId w:val="1049"/>
        </w:numPr>
        <w:tabs>
          <w:tab w:val="clear" w:pos="360"/>
          <w:tab w:val="num" w:pos="480"/>
        </w:tabs>
        <w:spacing w:after="240" w:line="360" w:lineRule="exact"/>
        <w:rPr>
          <w:szCs w:val="24"/>
        </w:rPr>
      </w:pPr>
      <w:r>
        <w:rPr>
          <w:rFonts w:hint="eastAsia"/>
          <w:szCs w:val="24"/>
        </w:rPr>
        <w:t>由于社会</w:t>
      </w:r>
      <w:r>
        <w:rPr>
          <w:rFonts w:hint="eastAsia"/>
          <w:szCs w:val="24"/>
        </w:rPr>
        <w:t>缺乏对性别问题的认识，各部厅的预算拨款为男子带来的益惠通常多于妇女。因此，政府重视将性别因素纳入政府组织完成的一切方案和项目。两性平等问题主任这一职务相当于各组织的副总干事，其任务是不断执行和保证本机构内对性别问题有敏感认识的观念。因此，各部厅的官员在制订发展方案时将纳入性别观念。目标是让泰国人民不受歧视地平等发展；妇女和儿童将享有充分发挥潜力的机会，并且不会沦为贩卖人口的受害者。</w:t>
      </w:r>
    </w:p>
    <w:p w:rsidR="00000000" w:rsidRDefault="00B83709">
      <w:pPr>
        <w:spacing w:after="240" w:line="360" w:lineRule="exact"/>
        <w:rPr>
          <w:rFonts w:eastAsia="SimHei" w:hint="eastAsia"/>
          <w:color w:val="FF0000"/>
        </w:rPr>
      </w:pPr>
      <w:r>
        <w:rPr>
          <w:rFonts w:eastAsia="SimHei" w:hint="eastAsia"/>
          <w:color w:val="FF0000"/>
        </w:rPr>
        <w:t>解决贩卖妇女问题的合作</w:t>
      </w:r>
    </w:p>
    <w:p w:rsidR="00000000" w:rsidRDefault="00B83709">
      <w:pPr>
        <w:numPr>
          <w:ilvl w:val="0"/>
          <w:numId w:val="1049"/>
        </w:numPr>
        <w:tabs>
          <w:tab w:val="clear" w:pos="360"/>
          <w:tab w:val="num" w:pos="480"/>
        </w:tabs>
        <w:spacing w:after="240" w:line="360" w:lineRule="exact"/>
        <w:rPr>
          <w:szCs w:val="24"/>
        </w:rPr>
      </w:pPr>
      <w:r>
        <w:rPr>
          <w:rFonts w:hint="eastAsia"/>
          <w:szCs w:val="24"/>
        </w:rPr>
        <w:t>消除国际贩卖妇女和儿童现象合作委员会是</w:t>
      </w:r>
      <w:r>
        <w:rPr>
          <w:rFonts w:hint="eastAsia"/>
          <w:szCs w:val="24"/>
        </w:rPr>
        <w:t>1998</w:t>
      </w:r>
      <w:r>
        <w:rPr>
          <w:rFonts w:hint="eastAsia"/>
          <w:szCs w:val="24"/>
        </w:rPr>
        <w:t>年建立的国家机制，负责寻找禁止贩卖妇女和儿童的解决办法。</w:t>
      </w:r>
      <w:r>
        <w:rPr>
          <w:rFonts w:hint="eastAsia"/>
          <w:szCs w:val="24"/>
        </w:rPr>
        <w:t>委员会被视为设在泰国并参与制止在湄公河分区贩卖妇女和儿童的各有关政府和非政府组织的协调中心。</w:t>
      </w:r>
      <w:r>
        <w:rPr>
          <w:szCs w:val="24"/>
        </w:rPr>
        <w:t>2001</w:t>
      </w:r>
      <w:r>
        <w:rPr>
          <w:rFonts w:hint="eastAsia"/>
          <w:szCs w:val="24"/>
        </w:rPr>
        <w:t>年，泰国建立了另外一个国家机制，旨在保护、遣返和康复本分区内的妇女和儿童。</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政府出台了打击国内贩卖人口的强有力合作机制，包括解决对妇女性剥削的政策和计划、涉及犯罪的渐进法律以及促进发挥妇女潜力的机制。不过，泰国在执法方面仍然软弱无力，这是解决贩卖妇女问题的关键障碍。政府设法根据各机构对妇女和儿童成为人口贩卖受害者的案件所采用的共同准则，通过谅解备忘录修正和改进没有实效的执法问题。这份备忘录充当了有关各方按</w:t>
      </w:r>
      <w:r>
        <w:rPr>
          <w:rFonts w:hint="eastAsia"/>
          <w:szCs w:val="24"/>
        </w:rPr>
        <w:t>照同样方针执行其行动的筹备准则。备忘录于</w:t>
      </w:r>
      <w:r>
        <w:rPr>
          <w:rFonts w:hint="eastAsia"/>
          <w:szCs w:val="24"/>
        </w:rPr>
        <w:t>1999</w:t>
      </w:r>
      <w:r>
        <w:rPr>
          <w:rFonts w:hint="eastAsia"/>
          <w:szCs w:val="24"/>
        </w:rPr>
        <w:t>年由主管机构的负责人签署，即总理府常务秘书、公务福利厅厅长、泰国皇家警察厅主任专员以及从事妇女和儿童工作的非政府组织代表。备忘录的主要内容综合了有关打击贩卖妇女和儿童活动的法律精髓，旨在成为行动框架并避免现行法律的冲突。备忘录涉及营救被贩卖（泰籍和外籍）妇女和儿童的程序，从最初的讯问和证人证言到取证、补救和康复援助、遣返原籍国以及为恢复正常社会生活提供的援助。备忘录还分派了各有关机构在各个阶段的义务，特别是泰国皇家警察厅、移民署、公共福利厅、外交部、卫生部、检</w:t>
      </w:r>
      <w:r>
        <w:rPr>
          <w:rFonts w:hint="eastAsia"/>
          <w:szCs w:val="24"/>
        </w:rPr>
        <w:t>察院和法院。</w:t>
      </w:r>
    </w:p>
    <w:p w:rsidR="00000000" w:rsidRDefault="00B83709">
      <w:pPr>
        <w:numPr>
          <w:ilvl w:val="0"/>
          <w:numId w:val="1049"/>
        </w:numPr>
        <w:tabs>
          <w:tab w:val="clear" w:pos="360"/>
          <w:tab w:val="num" w:pos="480"/>
        </w:tabs>
        <w:spacing w:after="240" w:line="360" w:lineRule="exact"/>
        <w:rPr>
          <w:szCs w:val="24"/>
        </w:rPr>
      </w:pPr>
      <w:r>
        <w:rPr>
          <w:rFonts w:hint="eastAsia"/>
          <w:szCs w:val="24"/>
        </w:rPr>
        <w:t>消除国际贩卖妇女和儿童现象合作委员会在全国举行研讨会，向</w:t>
      </w:r>
      <w:r>
        <w:rPr>
          <w:rFonts w:hint="eastAsia"/>
          <w:szCs w:val="24"/>
        </w:rPr>
        <w:t>1 500</w:t>
      </w:r>
      <w:r>
        <w:rPr>
          <w:rFonts w:hint="eastAsia"/>
          <w:szCs w:val="24"/>
        </w:rPr>
        <w:t>名警察及其他有关官员解释谅解备忘录。因此，即使执法尚未有效地实现其目标，一些警务人员也理解关于打击贩卖妇女和儿童活动的新法律、备忘录和援助准则以及人权原则，这些应与处理妇女和儿童问题的法律一同使用。泰国皇家警察厅也举行会议，散发关于国际贩卖人口的资料，包括贩卖妇女和儿童的资料。</w:t>
      </w:r>
      <w:r>
        <w:rPr>
          <w:szCs w:val="24"/>
        </w:rPr>
        <w:t>2002</w:t>
      </w:r>
      <w:r>
        <w:rPr>
          <w:rFonts w:hint="eastAsia"/>
          <w:szCs w:val="24"/>
        </w:rPr>
        <w:t>年</w:t>
      </w:r>
      <w:r>
        <w:rPr>
          <w:rFonts w:hint="eastAsia"/>
          <w:szCs w:val="24"/>
        </w:rPr>
        <w:t>6</w:t>
      </w:r>
      <w:r>
        <w:rPr>
          <w:rFonts w:hint="eastAsia"/>
          <w:szCs w:val="24"/>
        </w:rPr>
        <w:t>月，该厅制订了干预东盟地区贩卖妇女和儿童问题的国际方案。此外，谅解备忘录也让有关方面更多地认识到各自在援助被贩卖妇女和儿童以及有系统地与其他组</w:t>
      </w:r>
      <w:r>
        <w:rPr>
          <w:rFonts w:hint="eastAsia"/>
          <w:szCs w:val="24"/>
        </w:rPr>
        <w:t>织协调方面的角色和责任。</w:t>
      </w:r>
    </w:p>
    <w:p w:rsidR="00000000" w:rsidRDefault="00B83709">
      <w:pPr>
        <w:spacing w:after="240" w:line="360" w:lineRule="exact"/>
        <w:rPr>
          <w:rFonts w:eastAsia="SimHei" w:hint="eastAsia"/>
          <w:color w:val="FF0000"/>
        </w:rPr>
      </w:pPr>
      <w:r>
        <w:rPr>
          <w:rFonts w:eastAsia="SimHei" w:hint="eastAsia"/>
          <w:color w:val="FF0000"/>
        </w:rPr>
        <w:t>解决贩卖妇女和儿童问题以及使受害妇女和儿童得以康复和遣返的方案</w:t>
      </w:r>
    </w:p>
    <w:p w:rsidR="00000000" w:rsidRDefault="00B83709">
      <w:pPr>
        <w:numPr>
          <w:ilvl w:val="0"/>
          <w:numId w:val="1049"/>
        </w:numPr>
        <w:tabs>
          <w:tab w:val="clear" w:pos="360"/>
          <w:tab w:val="num" w:pos="480"/>
        </w:tabs>
        <w:spacing w:after="240" w:line="360" w:lineRule="exact"/>
        <w:rPr>
          <w:szCs w:val="24"/>
        </w:rPr>
      </w:pPr>
      <w:r>
        <w:rPr>
          <w:rFonts w:hint="eastAsia"/>
          <w:szCs w:val="24"/>
        </w:rPr>
        <w:t>处理妇女和儿童问题的非政府组织同公共福利厅合作有效实施了这个方案。方案的目标是补救</w:t>
      </w:r>
      <w:r>
        <w:rPr>
          <w:rFonts w:hint="eastAsia"/>
          <w:szCs w:val="24"/>
        </w:rPr>
        <w:t>/</w:t>
      </w:r>
      <w:r>
        <w:rPr>
          <w:rFonts w:hint="eastAsia"/>
          <w:szCs w:val="24"/>
        </w:rPr>
        <w:t>解决贩卖人口问题，同时保护妇女和受害儿童并使她们得以康复。作为方案的组成部分，公共福利厅下属的一个处开办了一家特别收容所，作为营救、康复和遣返过程的一个临时庇护所。</w:t>
      </w:r>
    </w:p>
    <w:p w:rsidR="00000000" w:rsidRDefault="00B83709">
      <w:pPr>
        <w:numPr>
          <w:ilvl w:val="0"/>
          <w:numId w:val="1049"/>
        </w:numPr>
        <w:tabs>
          <w:tab w:val="clear" w:pos="360"/>
          <w:tab w:val="num" w:pos="480"/>
        </w:tabs>
        <w:spacing w:after="240" w:line="360" w:lineRule="exact"/>
        <w:rPr>
          <w:szCs w:val="24"/>
        </w:rPr>
      </w:pPr>
      <w:r>
        <w:rPr>
          <w:rFonts w:hint="eastAsia"/>
          <w:szCs w:val="24"/>
        </w:rPr>
        <w:t>泰国已出台了解决非法移民问题的政策。</w:t>
      </w:r>
      <w:r>
        <w:rPr>
          <w:rFonts w:hint="eastAsia"/>
          <w:szCs w:val="24"/>
        </w:rPr>
        <w:t>2001</w:t>
      </w:r>
      <w:r>
        <w:rPr>
          <w:rFonts w:hint="eastAsia"/>
          <w:szCs w:val="24"/>
        </w:rPr>
        <w:t>年</w:t>
      </w:r>
      <w:r>
        <w:rPr>
          <w:rFonts w:hint="eastAsia"/>
          <w:szCs w:val="24"/>
        </w:rPr>
        <w:t>8</w:t>
      </w:r>
      <w:r>
        <w:rPr>
          <w:rFonts w:hint="eastAsia"/>
          <w:szCs w:val="24"/>
        </w:rPr>
        <w:t>月，内阁决议准许来自三个国家——老挝、柬埔寨和缅甸——的非法移民登记为外籍劳工，目的是让他们有权受到《泰国劳动法》的保护并享</w:t>
      </w:r>
      <w:r>
        <w:rPr>
          <w:rFonts w:hint="eastAsia"/>
          <w:szCs w:val="24"/>
        </w:rPr>
        <w:t>有健康保险。统计数字表明，在登记的</w:t>
      </w:r>
      <w:r>
        <w:rPr>
          <w:szCs w:val="24"/>
        </w:rPr>
        <w:t>586</w:t>
      </w:r>
      <w:r>
        <w:rPr>
          <w:rFonts w:hint="eastAsia"/>
          <w:szCs w:val="24"/>
        </w:rPr>
        <w:t xml:space="preserve"> </w:t>
      </w:r>
      <w:r>
        <w:rPr>
          <w:szCs w:val="24"/>
        </w:rPr>
        <w:t>246</w:t>
      </w:r>
      <w:r>
        <w:rPr>
          <w:rFonts w:hint="eastAsia"/>
          <w:szCs w:val="24"/>
        </w:rPr>
        <w:t>人中，</w:t>
      </w:r>
      <w:r>
        <w:rPr>
          <w:rFonts w:hint="eastAsia"/>
          <w:szCs w:val="24"/>
        </w:rPr>
        <w:t>80%</w:t>
      </w:r>
      <w:r>
        <w:rPr>
          <w:rFonts w:hint="eastAsia"/>
          <w:szCs w:val="24"/>
        </w:rPr>
        <w:t>是缅甸人，</w:t>
      </w:r>
      <w:r>
        <w:rPr>
          <w:rFonts w:hint="eastAsia"/>
          <w:szCs w:val="24"/>
        </w:rPr>
        <w:t>10%</w:t>
      </w:r>
      <w:r>
        <w:rPr>
          <w:rFonts w:hint="eastAsia"/>
          <w:szCs w:val="24"/>
        </w:rPr>
        <w:t>是老挝人和柬埔寨人。</w:t>
      </w:r>
      <w:r>
        <w:rPr>
          <w:rFonts w:hint="eastAsia"/>
          <w:szCs w:val="24"/>
        </w:rPr>
        <w:t>57%</w:t>
      </w:r>
      <w:r>
        <w:rPr>
          <w:rFonts w:hint="eastAsia"/>
          <w:szCs w:val="24"/>
        </w:rPr>
        <w:t>是男子，</w:t>
      </w:r>
      <w:r>
        <w:rPr>
          <w:rFonts w:hint="eastAsia"/>
          <w:szCs w:val="24"/>
        </w:rPr>
        <w:t>43%</w:t>
      </w:r>
      <w:r>
        <w:rPr>
          <w:rFonts w:hint="eastAsia"/>
          <w:szCs w:val="24"/>
        </w:rPr>
        <w:t>是妇女。预计这项政策将减少对妇女和儿童人权的侵犯、劳工剥削以及贩卖妇女和儿童其他可能的形式。</w:t>
      </w:r>
    </w:p>
    <w:p w:rsidR="00000000" w:rsidRDefault="00B83709">
      <w:pPr>
        <w:numPr>
          <w:ilvl w:val="0"/>
          <w:numId w:val="1049"/>
        </w:numPr>
        <w:tabs>
          <w:tab w:val="clear" w:pos="360"/>
          <w:tab w:val="num" w:pos="480"/>
        </w:tabs>
        <w:spacing w:after="240" w:line="360" w:lineRule="exact"/>
        <w:rPr>
          <w:szCs w:val="24"/>
        </w:rPr>
      </w:pPr>
      <w:r>
        <w:rPr>
          <w:rFonts w:hint="eastAsia"/>
          <w:szCs w:val="24"/>
        </w:rPr>
        <w:t>此外，泰国制定了政策和法律，以惩治贩卖人口的就业机构，将贩卖人口视为犯罪行为。这些政策和法律保护包括妇女和儿童在内的所有人。劳动和社会福利部就业厅负责监督就业机构以确保它们遵行法律。它也为找工作但遭到不公平待遇的所有人（男女）提供帮助。</w:t>
      </w:r>
      <w:r>
        <w:rPr>
          <w:rFonts w:hint="eastAsia"/>
          <w:szCs w:val="24"/>
        </w:rPr>
        <w:t>1985</w:t>
      </w:r>
      <w:r>
        <w:rPr>
          <w:rFonts w:hint="eastAsia"/>
          <w:szCs w:val="24"/>
        </w:rPr>
        <w:t>年《就业服务法》也规定，对涉嫌参与贩卖人口的就业机构，处罚</w:t>
      </w:r>
      <w:r>
        <w:rPr>
          <w:rFonts w:hint="eastAsia"/>
          <w:szCs w:val="24"/>
        </w:rPr>
        <w:t>手段是吊销或撤销它们的营业执照，并对其提起刑事诉讼。</w:t>
      </w:r>
    </w:p>
    <w:p w:rsidR="00000000" w:rsidRDefault="00B83709">
      <w:pPr>
        <w:spacing w:after="240" w:line="360" w:lineRule="exact"/>
        <w:rPr>
          <w:rFonts w:eastAsia="SimHei" w:hint="eastAsia"/>
          <w:color w:val="FF0000"/>
        </w:rPr>
      </w:pPr>
      <w:r>
        <w:rPr>
          <w:rFonts w:eastAsia="SimHei" w:hint="eastAsia"/>
          <w:color w:val="FF0000"/>
        </w:rPr>
        <w:t>解决对妇女进行商业色情剥削方面的合作</w:t>
      </w:r>
    </w:p>
    <w:p w:rsidR="00000000" w:rsidRDefault="00B83709">
      <w:pPr>
        <w:numPr>
          <w:ilvl w:val="0"/>
          <w:numId w:val="1049"/>
        </w:numPr>
        <w:tabs>
          <w:tab w:val="clear" w:pos="360"/>
          <w:tab w:val="num" w:pos="480"/>
        </w:tabs>
        <w:spacing w:after="240" w:line="360" w:lineRule="exact"/>
        <w:rPr>
          <w:szCs w:val="24"/>
        </w:rPr>
      </w:pPr>
      <w:r>
        <w:rPr>
          <w:rFonts w:hint="eastAsia"/>
          <w:szCs w:val="24"/>
        </w:rPr>
        <w:t>从</w:t>
      </w:r>
      <w:r>
        <w:rPr>
          <w:szCs w:val="24"/>
        </w:rPr>
        <w:t>1998</w:t>
      </w:r>
      <w:r>
        <w:rPr>
          <w:rFonts w:hint="eastAsia"/>
          <w:szCs w:val="24"/>
        </w:rPr>
        <w:t>-</w:t>
      </w:r>
      <w:r>
        <w:rPr>
          <w:szCs w:val="24"/>
        </w:rPr>
        <w:t>2002</w:t>
      </w:r>
      <w:r>
        <w:rPr>
          <w:rFonts w:hint="eastAsia"/>
          <w:szCs w:val="24"/>
        </w:rPr>
        <w:t>年，泰国的外国游客数量年年增长，从</w:t>
      </w:r>
      <w:r>
        <w:rPr>
          <w:rFonts w:hint="eastAsia"/>
          <w:szCs w:val="24"/>
        </w:rPr>
        <w:t>1998</w:t>
      </w:r>
      <w:r>
        <w:rPr>
          <w:rFonts w:hint="eastAsia"/>
          <w:szCs w:val="24"/>
        </w:rPr>
        <w:t>年的</w:t>
      </w:r>
      <w:r>
        <w:rPr>
          <w:rFonts w:hint="eastAsia"/>
          <w:szCs w:val="24"/>
        </w:rPr>
        <w:t>770</w:t>
      </w:r>
      <w:r>
        <w:rPr>
          <w:rFonts w:hint="eastAsia"/>
          <w:szCs w:val="24"/>
        </w:rPr>
        <w:t>万增至</w:t>
      </w:r>
      <w:r>
        <w:rPr>
          <w:rFonts w:hint="eastAsia"/>
          <w:szCs w:val="24"/>
        </w:rPr>
        <w:t>1999</w:t>
      </w:r>
      <w:r>
        <w:rPr>
          <w:rFonts w:hint="eastAsia"/>
          <w:szCs w:val="24"/>
        </w:rPr>
        <w:t>年的</w:t>
      </w:r>
      <w:r>
        <w:rPr>
          <w:rFonts w:hint="eastAsia"/>
          <w:szCs w:val="24"/>
        </w:rPr>
        <w:t>850</w:t>
      </w:r>
      <w:r>
        <w:rPr>
          <w:rFonts w:hint="eastAsia"/>
          <w:szCs w:val="24"/>
        </w:rPr>
        <w:t>万、</w:t>
      </w:r>
      <w:r>
        <w:rPr>
          <w:rFonts w:hint="eastAsia"/>
          <w:szCs w:val="24"/>
        </w:rPr>
        <w:t>2000</w:t>
      </w:r>
      <w:r>
        <w:rPr>
          <w:rFonts w:hint="eastAsia"/>
          <w:szCs w:val="24"/>
        </w:rPr>
        <w:t>年的</w:t>
      </w:r>
      <w:r>
        <w:rPr>
          <w:rFonts w:hint="eastAsia"/>
          <w:szCs w:val="24"/>
        </w:rPr>
        <w:t>970</w:t>
      </w:r>
      <w:r>
        <w:rPr>
          <w:rFonts w:hint="eastAsia"/>
          <w:szCs w:val="24"/>
        </w:rPr>
        <w:t>万以及</w:t>
      </w:r>
      <w:r>
        <w:rPr>
          <w:rFonts w:hint="eastAsia"/>
          <w:szCs w:val="24"/>
        </w:rPr>
        <w:t>2001</w:t>
      </w:r>
      <w:r>
        <w:rPr>
          <w:rFonts w:hint="eastAsia"/>
          <w:szCs w:val="24"/>
        </w:rPr>
        <w:t>年</w:t>
      </w:r>
      <w:r>
        <w:rPr>
          <w:rFonts w:hint="eastAsia"/>
          <w:szCs w:val="24"/>
        </w:rPr>
        <w:t>1 000</w:t>
      </w:r>
      <w:r>
        <w:rPr>
          <w:rFonts w:hint="eastAsia"/>
          <w:szCs w:val="24"/>
        </w:rPr>
        <w:t>万。按年度计算，男性游客的人数比女性游客多</w:t>
      </w:r>
      <w:r>
        <w:rPr>
          <w:rFonts w:hint="eastAsia"/>
          <w:szCs w:val="24"/>
        </w:rPr>
        <w:t>20%</w:t>
      </w:r>
      <w:r>
        <w:rPr>
          <w:rFonts w:hint="eastAsia"/>
          <w:szCs w:val="24"/>
        </w:rPr>
        <w:t>，尽管不能够确定性旅游者的数量。</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泰国政府优先重视旅游业中的剥削儿童现象。政府自</w:t>
      </w:r>
      <w:r>
        <w:rPr>
          <w:szCs w:val="24"/>
        </w:rPr>
        <w:t>1998</w:t>
      </w:r>
      <w:r>
        <w:rPr>
          <w:rFonts w:hint="eastAsia"/>
          <w:szCs w:val="24"/>
        </w:rPr>
        <w:t>后出台了明确政策，鼓励文化和家庭旅游，如各府的古迹游。</w:t>
      </w:r>
      <w:r>
        <w:rPr>
          <w:szCs w:val="24"/>
        </w:rPr>
        <w:t>2001</w:t>
      </w:r>
      <w:r>
        <w:rPr>
          <w:rFonts w:hint="eastAsia"/>
          <w:szCs w:val="24"/>
        </w:rPr>
        <w:t>年，泰国与世界旅游组织合作举办了关于“保护儿童在旅游业不受剥削”的区域研讨会。</w:t>
      </w:r>
      <w:r>
        <w:rPr>
          <w:rFonts w:hint="eastAsia"/>
          <w:szCs w:val="24"/>
        </w:rPr>
        <w:t>研讨会关注的重点是：提高来源国和目的国的认识，制订社会制裁措施，将参与贩卖活动的人和公司列入黑名单，制订行为守则，以及散发有关法律和被捕游客案例的资料。</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政府不断采取措施，以消除在商业色情行业内对妇女和少女的剥削。如果罪犯是外国人，并且在保释后逃回其本国，泰国政府将同外国政府进行协调，将罪犯引渡到泰国对他提起诉讼。如果外国政府拥有惩治该罪犯的法律，则不必引渡。此外，根据《移民法》，在惩治和遣返罪犯后，禁止他重返泰国。泰籍人士在另一国对妇女或儿童实施性犯罪后返回泰国的，泰国法院将依照</w:t>
      </w:r>
      <w:r>
        <w:rPr>
          <w:rFonts w:hint="eastAsia"/>
          <w:szCs w:val="24"/>
        </w:rPr>
        <w:t>1997</w:t>
      </w:r>
      <w:r>
        <w:rPr>
          <w:rFonts w:hint="eastAsia"/>
          <w:szCs w:val="24"/>
        </w:rPr>
        <w:t>年《刑法修正法</w:t>
      </w:r>
      <w:r>
        <w:rPr>
          <w:rFonts w:hint="eastAsia"/>
          <w:szCs w:val="24"/>
        </w:rPr>
        <w:t>案》（第</w:t>
      </w:r>
      <w:r>
        <w:rPr>
          <w:rFonts w:hint="eastAsia"/>
          <w:szCs w:val="24"/>
        </w:rPr>
        <w:t>14</w:t>
      </w:r>
      <w:r>
        <w:rPr>
          <w:rFonts w:hint="eastAsia"/>
          <w:szCs w:val="24"/>
        </w:rPr>
        <w:t>号）对罪犯提起诉讼。</w:t>
      </w:r>
    </w:p>
    <w:p w:rsidR="00000000" w:rsidRDefault="00B83709">
      <w:pPr>
        <w:numPr>
          <w:ilvl w:val="0"/>
          <w:numId w:val="1049"/>
        </w:numPr>
        <w:tabs>
          <w:tab w:val="clear" w:pos="360"/>
          <w:tab w:val="num" w:pos="480"/>
        </w:tabs>
        <w:spacing w:after="240" w:line="360" w:lineRule="exact"/>
        <w:rPr>
          <w:szCs w:val="24"/>
        </w:rPr>
      </w:pPr>
      <w:r>
        <w:rPr>
          <w:rFonts w:hint="eastAsia"/>
          <w:szCs w:val="24"/>
        </w:rPr>
        <w:t>关于同外国人结婚的政策和法律，男女结婚不受政府的干预。不过，有些泰籍妇女面临的危险是被配偶骗到另一国从事商业色情活动，这种行业通常由国际有组织犯罪辛迪加控制。</w:t>
      </w:r>
    </w:p>
    <w:p w:rsidR="00000000" w:rsidRDefault="00B83709">
      <w:pPr>
        <w:numPr>
          <w:ilvl w:val="0"/>
          <w:numId w:val="1049"/>
        </w:numPr>
        <w:tabs>
          <w:tab w:val="clear" w:pos="360"/>
          <w:tab w:val="num" w:pos="480"/>
        </w:tabs>
        <w:spacing w:after="240" w:line="360" w:lineRule="exact"/>
        <w:rPr>
          <w:szCs w:val="24"/>
        </w:rPr>
      </w:pPr>
      <w:r>
        <w:rPr>
          <w:rFonts w:hint="eastAsia"/>
          <w:szCs w:val="24"/>
        </w:rPr>
        <w:t>在儿童权利方面，</w:t>
      </w:r>
      <w:r>
        <w:rPr>
          <w:rFonts w:hint="eastAsia"/>
          <w:szCs w:val="24"/>
        </w:rPr>
        <w:t>1997</w:t>
      </w:r>
      <w:r>
        <w:rPr>
          <w:rFonts w:hint="eastAsia"/>
          <w:szCs w:val="24"/>
        </w:rPr>
        <w:t>年报告中的相同情形依然存在。泰国已撤销对儿童国籍权的保留意见。过去，泰籍母亲和非泰籍父亲所生的子女不能取得泰国国籍。</w:t>
      </w:r>
      <w:r>
        <w:rPr>
          <w:rFonts w:hint="eastAsia"/>
          <w:szCs w:val="24"/>
        </w:rPr>
        <w:t>1992</w:t>
      </w:r>
      <w:r>
        <w:rPr>
          <w:rFonts w:hint="eastAsia"/>
          <w:szCs w:val="24"/>
        </w:rPr>
        <w:t>年《国籍法》修订了这一规定，规定凡母亲是泰籍或父亲生于泰国境内的子女，可取得泰国国籍。这部法律采用追溯方式执行，如果证人能证实某个子女生于泰国境内，本法准许推迟申请出生证</w:t>
      </w:r>
      <w:r>
        <w:rPr>
          <w:rFonts w:hint="eastAsia"/>
          <w:szCs w:val="24"/>
        </w:rPr>
        <w:t>明，因而有助于减少证明国籍方面的麻烦。各府的检察院负责为此提供法律援助。</w:t>
      </w:r>
    </w:p>
    <w:p w:rsidR="00000000" w:rsidRDefault="00B83709">
      <w:pPr>
        <w:spacing w:after="240" w:line="360" w:lineRule="exact"/>
        <w:rPr>
          <w:rFonts w:eastAsia="SimHei" w:hint="eastAsia"/>
          <w:color w:val="FF0000"/>
        </w:rPr>
      </w:pPr>
      <w:r>
        <w:rPr>
          <w:rFonts w:eastAsia="SimHei" w:hint="eastAsia"/>
          <w:color w:val="FF0000"/>
        </w:rPr>
        <w:t>泰国妇女在国外从事商业色情职业的问题</w:t>
      </w:r>
    </w:p>
    <w:p w:rsidR="00000000" w:rsidRDefault="00B83709">
      <w:pPr>
        <w:numPr>
          <w:ilvl w:val="0"/>
          <w:numId w:val="1049"/>
        </w:numPr>
        <w:tabs>
          <w:tab w:val="clear" w:pos="360"/>
          <w:tab w:val="num" w:pos="480"/>
        </w:tabs>
        <w:spacing w:after="240" w:line="360" w:lineRule="exact"/>
        <w:rPr>
          <w:szCs w:val="24"/>
        </w:rPr>
      </w:pPr>
      <w:r>
        <w:rPr>
          <w:rFonts w:hint="eastAsia"/>
          <w:szCs w:val="24"/>
        </w:rPr>
        <w:t>泰国的各类组织和泰国驻外使馆致力于解决海外商业色情问题。譬如在</w:t>
      </w:r>
      <w:r>
        <w:rPr>
          <w:rFonts w:hint="eastAsia"/>
          <w:szCs w:val="24"/>
        </w:rPr>
        <w:t>1999</w:t>
      </w:r>
      <w:r>
        <w:rPr>
          <w:rFonts w:hint="eastAsia"/>
          <w:szCs w:val="24"/>
        </w:rPr>
        <w:t>年，泰国驻东京大使馆举办了一次研讨会，以推动援助日本境内的泰籍妇女方面的合作。在德国，泰国驻柏林大使馆与非政府组织合作，为身陷色情行业的泰籍妇女提供帮助。</w:t>
      </w:r>
      <w:r>
        <w:rPr>
          <w:szCs w:val="24"/>
        </w:rPr>
        <w:t>2001</w:t>
      </w:r>
      <w:r>
        <w:rPr>
          <w:rFonts w:hint="eastAsia"/>
          <w:szCs w:val="24"/>
        </w:rPr>
        <w:t>年，内阁通过一项准则以帮助在外国遇到麻烦的泰国人；主管机构是劳动和社会福利部、外交部以及卫生部。</w:t>
      </w:r>
      <w:r>
        <w:rPr>
          <w:szCs w:val="24"/>
        </w:rPr>
        <w:t>2002</w:t>
      </w:r>
      <w:r>
        <w:rPr>
          <w:rFonts w:hint="eastAsia"/>
          <w:szCs w:val="24"/>
        </w:rPr>
        <w:t>年，泰国给外交部划拨了</w:t>
      </w:r>
      <w:r>
        <w:rPr>
          <w:rFonts w:hint="eastAsia"/>
          <w:szCs w:val="24"/>
        </w:rPr>
        <w:t>2 200</w:t>
      </w:r>
      <w:r>
        <w:rPr>
          <w:rFonts w:hint="eastAsia"/>
          <w:szCs w:val="24"/>
        </w:rPr>
        <w:t>万铢的预算，用来帮助在外国面临困</w:t>
      </w:r>
      <w:r>
        <w:rPr>
          <w:rFonts w:hint="eastAsia"/>
          <w:szCs w:val="24"/>
        </w:rPr>
        <w:t>境的泰籍人士，特别是泰籍妇女，尤其是促进遣返以及雇用外国志愿人员帮助泰籍妇女方面。</w:t>
      </w:r>
    </w:p>
    <w:p w:rsidR="00000000" w:rsidRDefault="00B83709">
      <w:pPr>
        <w:numPr>
          <w:ilvl w:val="0"/>
          <w:numId w:val="1049"/>
        </w:numPr>
        <w:tabs>
          <w:tab w:val="clear" w:pos="360"/>
          <w:tab w:val="num" w:pos="480"/>
        </w:tabs>
        <w:spacing w:after="240" w:line="360" w:lineRule="exact"/>
        <w:rPr>
          <w:szCs w:val="24"/>
        </w:rPr>
      </w:pPr>
      <w:r>
        <w:rPr>
          <w:rFonts w:hint="eastAsia"/>
          <w:szCs w:val="24"/>
        </w:rPr>
        <w:t>政府还为</w:t>
      </w:r>
      <w:r>
        <w:rPr>
          <w:rFonts w:hint="eastAsia"/>
          <w:szCs w:val="24"/>
        </w:rPr>
        <w:t>2002-2006</w:t>
      </w:r>
      <w:r>
        <w:rPr>
          <w:rFonts w:hint="eastAsia"/>
          <w:szCs w:val="24"/>
        </w:rPr>
        <w:t>年出台了一项国内政策，并且需要五个方案来防止并援助可能在国外遇到麻烦的泰籍妇女。第一个方案于</w:t>
      </w:r>
      <w:r>
        <w:rPr>
          <w:rFonts w:hint="eastAsia"/>
          <w:szCs w:val="24"/>
        </w:rPr>
        <w:t>2002</w:t>
      </w:r>
      <w:r>
        <w:rPr>
          <w:rFonts w:hint="eastAsia"/>
          <w:szCs w:val="24"/>
        </w:rPr>
        <w:t>年</w:t>
      </w:r>
      <w:r>
        <w:rPr>
          <w:rFonts w:hint="eastAsia"/>
          <w:szCs w:val="24"/>
        </w:rPr>
        <w:t>7</w:t>
      </w:r>
      <w:r>
        <w:rPr>
          <w:rFonts w:hint="eastAsia"/>
          <w:szCs w:val="24"/>
        </w:rPr>
        <w:t>月在泰国北部的四个府实施，并且将在以后各年扩大到覆盖全国。这个方案为泰籍妇女提供资料和知识，在她们决定出国前为她们介绍外国生活方式、商业色情行业的工作条件</w:t>
      </w:r>
      <w:r>
        <w:rPr>
          <w:rFonts w:hint="eastAsia"/>
          <w:szCs w:val="24"/>
        </w:rPr>
        <w:t>/</w:t>
      </w:r>
      <w:r>
        <w:rPr>
          <w:rFonts w:hint="eastAsia"/>
          <w:szCs w:val="24"/>
        </w:rPr>
        <w:t>收入以及有组织犯罪的伎俩。政府也促进和支持网络建设，以协助和监督存在中介机构劝说本地人到国外工作这一现象的高风险地区。</w:t>
      </w:r>
    </w:p>
    <w:p w:rsidR="00000000" w:rsidRDefault="00B83709">
      <w:pPr>
        <w:numPr>
          <w:ilvl w:val="0"/>
          <w:numId w:val="1049"/>
        </w:numPr>
        <w:tabs>
          <w:tab w:val="clear" w:pos="360"/>
          <w:tab w:val="num" w:pos="480"/>
        </w:tabs>
        <w:spacing w:after="240" w:line="360" w:lineRule="exact"/>
        <w:rPr>
          <w:szCs w:val="24"/>
        </w:rPr>
      </w:pPr>
      <w:r>
        <w:rPr>
          <w:rFonts w:hint="eastAsia"/>
          <w:szCs w:val="24"/>
        </w:rPr>
        <w:t>如果女性色情业者在国外</w:t>
      </w:r>
      <w:r>
        <w:rPr>
          <w:rFonts w:hint="eastAsia"/>
          <w:szCs w:val="24"/>
        </w:rPr>
        <w:t>被捕，她们将被遣返回泰国，外交部将把她们的名字存档，供日后签发护照时参考。对于受骗后进入商业色情行业的妇女，她们在援助下回国后，政府将要求她们给予合作，提供其“征聘者”的详细资料，并按证人对待和保护她们。</w:t>
      </w:r>
    </w:p>
    <w:p w:rsidR="00000000" w:rsidRDefault="00B83709">
      <w:pPr>
        <w:spacing w:after="240" w:line="360" w:lineRule="exact"/>
        <w:jc w:val="center"/>
        <w:rPr>
          <w:rFonts w:eastAsia="SimHei" w:hint="eastAsia"/>
          <w:color w:val="FF0000"/>
          <w:sz w:val="24"/>
        </w:rPr>
      </w:pPr>
      <w:r>
        <w:rPr>
          <w:rFonts w:eastAsia="SimHei" w:hint="eastAsia"/>
          <w:color w:val="FF0000"/>
          <w:sz w:val="24"/>
        </w:rPr>
        <w:t>第七条：政治和公共事务</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缔约各国应采取一切适当措施，消除在本国政治和公众事务中对妇女的歧视。特别应保证妇女在与男子平等的条件下：</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a</w:t>
      </w:r>
      <w:r>
        <w:rPr>
          <w:rFonts w:eastAsia="KaiTi_GB2312"/>
          <w:color w:val="0000FF"/>
          <w:szCs w:val="24"/>
        </w:rPr>
        <w:t>）在一切选举和公民投票中有选举权，并在一切选民机构有被选举权；</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b</w:t>
      </w:r>
      <w:r>
        <w:rPr>
          <w:rFonts w:eastAsia="KaiTi_GB2312"/>
          <w:color w:val="0000FF"/>
          <w:szCs w:val="24"/>
        </w:rPr>
        <w:t>）参加政府政策的制订及其执行，并担任各级政府公职，执行一切公务；</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c</w:t>
      </w:r>
      <w:r>
        <w:rPr>
          <w:rFonts w:eastAsia="KaiTi_GB2312"/>
          <w:color w:val="0000FF"/>
          <w:szCs w:val="24"/>
        </w:rPr>
        <w:t>）参加有关本国公众和政治事务</w:t>
      </w:r>
      <w:r>
        <w:rPr>
          <w:rFonts w:eastAsia="KaiTi_GB2312"/>
          <w:color w:val="0000FF"/>
          <w:szCs w:val="24"/>
        </w:rPr>
        <w:t>的非政府组织和协会。</w:t>
      </w:r>
      <w:r>
        <w:rPr>
          <w:rFonts w:eastAsia="KaiTi_GB2312"/>
          <w:color w:val="0000FF"/>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在本报告所涉时期，与</w:t>
      </w:r>
      <w:r>
        <w:rPr>
          <w:rFonts w:hint="eastAsia"/>
          <w:szCs w:val="24"/>
        </w:rPr>
        <w:t>1998</w:t>
      </w:r>
      <w:r>
        <w:rPr>
          <w:rFonts w:hint="eastAsia"/>
          <w:szCs w:val="24"/>
        </w:rPr>
        <w:t>年报告相比，取得了长足的进展。过去三年是第八个国民经济与社会发展计划（</w:t>
      </w:r>
      <w:r>
        <w:rPr>
          <w:rFonts w:hint="eastAsia"/>
          <w:szCs w:val="24"/>
        </w:rPr>
        <w:t>NESDP</w:t>
      </w:r>
      <w:r>
        <w:rPr>
          <w:rFonts w:hint="eastAsia"/>
          <w:szCs w:val="24"/>
        </w:rPr>
        <w:t>；</w:t>
      </w:r>
      <w:r>
        <w:rPr>
          <w:rFonts w:hint="eastAsia"/>
          <w:szCs w:val="24"/>
        </w:rPr>
        <w:t>1997-2001</w:t>
      </w:r>
      <w:r>
        <w:rPr>
          <w:rFonts w:hint="eastAsia"/>
          <w:szCs w:val="24"/>
        </w:rPr>
        <w:t>年）内的妇女发展计划期限。《</w:t>
      </w:r>
      <w:r>
        <w:rPr>
          <w:rFonts w:hint="eastAsia"/>
          <w:szCs w:val="24"/>
        </w:rPr>
        <w:t>1997</w:t>
      </w:r>
      <w:r>
        <w:rPr>
          <w:rFonts w:hint="eastAsia"/>
          <w:szCs w:val="24"/>
        </w:rPr>
        <w:t>年宪法》第三十条也规定男女享有同等权利。因此，政府做出了一些努力，以便在妇女发展计划和《宪法》（详细内容见下文）的框架内，促进提高妇女在政治和公共生活中的地位。</w:t>
      </w:r>
    </w:p>
    <w:p w:rsidR="00000000" w:rsidRDefault="00B83709">
      <w:pPr>
        <w:numPr>
          <w:ilvl w:val="0"/>
          <w:numId w:val="1049"/>
        </w:numPr>
        <w:tabs>
          <w:tab w:val="clear" w:pos="360"/>
          <w:tab w:val="num" w:pos="480"/>
        </w:tabs>
        <w:spacing w:after="240" w:line="360" w:lineRule="exact"/>
        <w:rPr>
          <w:szCs w:val="24"/>
        </w:rPr>
      </w:pPr>
      <w:r>
        <w:rPr>
          <w:rFonts w:hint="eastAsia"/>
          <w:szCs w:val="24"/>
        </w:rPr>
        <w:t>不过，进步具有渐进性，因为泰国社会固有的陈规定型观念和价值观是，妇女的传统角色是家庭主妇，男子则是权力中心，要改变这样的观念和价值观需要时间。虽然如此，泰国已经采</w:t>
      </w:r>
      <w:r>
        <w:rPr>
          <w:rFonts w:hint="eastAsia"/>
          <w:szCs w:val="24"/>
        </w:rPr>
        <w:t>取积极姿态，特别是提高妇女的政治潜力，作为第九个国民经济与社会发展计划期间妇女发展计划的关键战略。第九个国民经济与社会发展计划特别注重消除对妇女的歧视，以及不断将妇女担任决策职位的比例提高到与男子同等的水平（</w:t>
      </w:r>
      <w:r>
        <w:rPr>
          <w:rFonts w:hint="eastAsia"/>
          <w:szCs w:val="24"/>
        </w:rPr>
        <w:t>50</w:t>
      </w:r>
      <w:r>
        <w:rPr>
          <w:szCs w:val="24"/>
        </w:rPr>
        <w:t>:</w:t>
      </w:r>
      <w:r>
        <w:rPr>
          <w:rFonts w:hint="eastAsia"/>
          <w:szCs w:val="24"/>
        </w:rPr>
        <w:t>50</w:t>
      </w:r>
      <w:r>
        <w:rPr>
          <w:rFonts w:hint="eastAsia"/>
          <w:szCs w:val="24"/>
        </w:rPr>
        <w:t>）。</w:t>
      </w:r>
    </w:p>
    <w:p w:rsidR="00000000" w:rsidRDefault="00B83709">
      <w:pPr>
        <w:spacing w:after="240" w:line="360" w:lineRule="exact"/>
        <w:rPr>
          <w:rFonts w:eastAsia="SimHei" w:hint="eastAsia"/>
          <w:color w:val="FF0000"/>
        </w:rPr>
      </w:pPr>
      <w:r>
        <w:rPr>
          <w:rFonts w:eastAsia="SimHei" w:hint="eastAsia"/>
          <w:color w:val="FF0000"/>
        </w:rPr>
        <w:t>民选职位</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rFonts w:hint="eastAsia"/>
          <w:szCs w:val="24"/>
        </w:rPr>
        <w:t>1997</w:t>
      </w:r>
      <w:r>
        <w:rPr>
          <w:rFonts w:hint="eastAsia"/>
          <w:szCs w:val="24"/>
        </w:rPr>
        <w:t>年宪法》第六十八条规定，人人负有选举的责任，这意味着男女在选举期间应平等地行使其权利。在这方面，为上议院</w:t>
      </w:r>
      <w:r>
        <w:rPr>
          <w:rFonts w:hint="eastAsia"/>
          <w:szCs w:val="24"/>
        </w:rPr>
        <w:t>2000</w:t>
      </w:r>
      <w:r>
        <w:rPr>
          <w:rFonts w:hint="eastAsia"/>
          <w:szCs w:val="24"/>
        </w:rPr>
        <w:t>年的选举和下议院</w:t>
      </w:r>
      <w:r>
        <w:rPr>
          <w:rFonts w:hint="eastAsia"/>
          <w:szCs w:val="24"/>
        </w:rPr>
        <w:t>2001</w:t>
      </w:r>
      <w:r>
        <w:rPr>
          <w:rFonts w:hint="eastAsia"/>
          <w:szCs w:val="24"/>
        </w:rPr>
        <w:t>年的选举提供了按性别开列的数据。遗憾的是，由于收集此类资料的义务不再由地方行政管理厅（以前收集此类数据）承担，而是改由国家选举委员会</w:t>
      </w:r>
      <w:r>
        <w:rPr>
          <w:rFonts w:hint="eastAsia"/>
          <w:szCs w:val="24"/>
        </w:rPr>
        <w:t>办公室承担，所以不再收集这类资料。不过，地方选举仍然由地方行政管理厅负责，地方选举的数据表明，妇女不断行使其选举权，行使此等权利的人数甚至多于男子。譬如，在</w:t>
      </w:r>
      <w:r>
        <w:rPr>
          <w:rFonts w:hint="eastAsia"/>
          <w:szCs w:val="24"/>
        </w:rPr>
        <w:t>2001</w:t>
      </w:r>
      <w:r>
        <w:rPr>
          <w:rFonts w:hint="eastAsia"/>
          <w:szCs w:val="24"/>
        </w:rPr>
        <w:t>年的地方行政管理委员会选举中，妇女选票占选票总数的</w:t>
      </w:r>
      <w:r>
        <w:rPr>
          <w:szCs w:val="24"/>
        </w:rPr>
        <w:t>51.75%</w:t>
      </w:r>
      <w:r>
        <w:rPr>
          <w:rFonts w:hint="eastAsia"/>
          <w:szCs w:val="24"/>
        </w:rPr>
        <w:t>。在</w:t>
      </w:r>
      <w:r>
        <w:rPr>
          <w:rFonts w:hint="eastAsia"/>
          <w:szCs w:val="24"/>
        </w:rPr>
        <w:t>2000</w:t>
      </w:r>
      <w:r>
        <w:rPr>
          <w:rFonts w:hint="eastAsia"/>
          <w:szCs w:val="24"/>
        </w:rPr>
        <w:t>年的市委员会选举和府委员会选举中，妇女的投票率分别为</w:t>
      </w:r>
      <w:r>
        <w:rPr>
          <w:szCs w:val="24"/>
        </w:rPr>
        <w:t>53.9%</w:t>
      </w:r>
      <w:r>
        <w:rPr>
          <w:rFonts w:hint="eastAsia"/>
          <w:szCs w:val="24"/>
        </w:rPr>
        <w:t>和</w:t>
      </w:r>
      <w:r>
        <w:rPr>
          <w:szCs w:val="24"/>
        </w:rPr>
        <w:t>52.2%</w:t>
      </w:r>
      <w:r>
        <w:rPr>
          <w:rFonts w:hint="eastAsia"/>
          <w:szCs w:val="24"/>
        </w:rPr>
        <w:t>。此外，从</w:t>
      </w:r>
      <w:r>
        <w:rPr>
          <w:rFonts w:hint="eastAsia"/>
          <w:szCs w:val="24"/>
        </w:rPr>
        <w:t>1995</w:t>
      </w:r>
      <w:r>
        <w:rPr>
          <w:rFonts w:hint="eastAsia"/>
          <w:szCs w:val="24"/>
        </w:rPr>
        <w:t>年至今收集的数据表明，各级妇女有</w:t>
      </w:r>
      <w:r>
        <w:rPr>
          <w:szCs w:val="24"/>
        </w:rPr>
        <w:t>52.32%</w:t>
      </w:r>
      <w:r>
        <w:rPr>
          <w:rFonts w:hint="eastAsia"/>
          <w:szCs w:val="24"/>
        </w:rPr>
        <w:t>行使了她们的选举权。</w:t>
      </w:r>
    </w:p>
    <w:p w:rsidR="00000000" w:rsidRDefault="00B83709">
      <w:pPr>
        <w:numPr>
          <w:ilvl w:val="0"/>
          <w:numId w:val="1049"/>
        </w:numPr>
        <w:tabs>
          <w:tab w:val="clear" w:pos="360"/>
          <w:tab w:val="num" w:pos="480"/>
        </w:tabs>
        <w:spacing w:after="240" w:line="360" w:lineRule="exact"/>
        <w:rPr>
          <w:szCs w:val="24"/>
        </w:rPr>
      </w:pPr>
      <w:r>
        <w:rPr>
          <w:rFonts w:hint="eastAsia"/>
          <w:szCs w:val="24"/>
        </w:rPr>
        <w:t>泰国上议院</w:t>
      </w:r>
      <w:r>
        <w:rPr>
          <w:rFonts w:hint="eastAsia"/>
          <w:szCs w:val="24"/>
        </w:rPr>
        <w:t>2000</w:t>
      </w:r>
      <w:r>
        <w:rPr>
          <w:rFonts w:hint="eastAsia"/>
          <w:szCs w:val="24"/>
        </w:rPr>
        <w:t>年举行了首次选举；以前，上议院议员通过任命产生。</w:t>
      </w:r>
      <w:r>
        <w:rPr>
          <w:rFonts w:hint="eastAsia"/>
          <w:szCs w:val="24"/>
        </w:rPr>
        <w:t>1 532</w:t>
      </w:r>
      <w:r>
        <w:rPr>
          <w:rFonts w:hint="eastAsia"/>
          <w:szCs w:val="24"/>
        </w:rPr>
        <w:t>名候选人（</w:t>
      </w:r>
      <w:r>
        <w:rPr>
          <w:rFonts w:hint="eastAsia"/>
          <w:szCs w:val="24"/>
        </w:rPr>
        <w:t>1 418</w:t>
      </w:r>
      <w:r>
        <w:rPr>
          <w:rFonts w:hint="eastAsia"/>
          <w:szCs w:val="24"/>
        </w:rPr>
        <w:t>名男子；</w:t>
      </w:r>
      <w:r>
        <w:rPr>
          <w:rFonts w:hint="eastAsia"/>
          <w:szCs w:val="24"/>
        </w:rPr>
        <w:t>114</w:t>
      </w:r>
      <w:r>
        <w:rPr>
          <w:rFonts w:hint="eastAsia"/>
          <w:szCs w:val="24"/>
        </w:rPr>
        <w:t>名妇女</w:t>
      </w:r>
      <w:r>
        <w:rPr>
          <w:rFonts w:hint="eastAsia"/>
          <w:szCs w:val="24"/>
        </w:rPr>
        <w:t>，或占</w:t>
      </w:r>
      <w:r>
        <w:rPr>
          <w:rFonts w:hint="eastAsia"/>
          <w:szCs w:val="24"/>
        </w:rPr>
        <w:t>7.4%</w:t>
      </w:r>
      <w:r>
        <w:rPr>
          <w:rFonts w:hint="eastAsia"/>
          <w:szCs w:val="24"/>
        </w:rPr>
        <w:t>）竞选上议院的</w:t>
      </w:r>
      <w:r>
        <w:rPr>
          <w:rFonts w:hint="eastAsia"/>
          <w:szCs w:val="24"/>
        </w:rPr>
        <w:t>200</w:t>
      </w:r>
      <w:r>
        <w:rPr>
          <w:rFonts w:hint="eastAsia"/>
          <w:szCs w:val="24"/>
        </w:rPr>
        <w:t>个席位（任期六年）。妇女占当选议员的</w:t>
      </w:r>
      <w:r>
        <w:rPr>
          <w:szCs w:val="24"/>
        </w:rPr>
        <w:t>9.5%</w:t>
      </w:r>
      <w:r>
        <w:rPr>
          <w:rFonts w:hint="eastAsia"/>
          <w:szCs w:val="24"/>
        </w:rPr>
        <w:t>。由于选举中发生违规行为，增加两次选举，其中，妇女当选人数增至</w:t>
      </w:r>
      <w:r>
        <w:rPr>
          <w:szCs w:val="24"/>
        </w:rPr>
        <w:t xml:space="preserve">10.5% </w:t>
      </w:r>
      <w:r>
        <w:rPr>
          <w:rFonts w:hint="eastAsia"/>
          <w:szCs w:val="24"/>
        </w:rPr>
        <w:t>（与</w:t>
      </w:r>
      <w:r>
        <w:rPr>
          <w:rFonts w:hint="eastAsia"/>
          <w:szCs w:val="24"/>
        </w:rPr>
        <w:t>1996</w:t>
      </w:r>
      <w:r>
        <w:rPr>
          <w:rFonts w:hint="eastAsia"/>
          <w:szCs w:val="24"/>
        </w:rPr>
        <w:t>年的</w:t>
      </w:r>
      <w:r>
        <w:rPr>
          <w:szCs w:val="24"/>
        </w:rPr>
        <w:t>8.5%</w:t>
      </w:r>
      <w:r>
        <w:rPr>
          <w:rFonts w:hint="eastAsia"/>
          <w:szCs w:val="24"/>
        </w:rPr>
        <w:t>相比，当时，妇女议员通过任命产生）。目前，妇女占上议院席位的</w:t>
      </w:r>
      <w:r>
        <w:rPr>
          <w:szCs w:val="24"/>
        </w:rPr>
        <w:t>10%</w:t>
      </w:r>
      <w:r>
        <w:rPr>
          <w:rFonts w:hint="eastAsia"/>
          <w:szCs w:val="24"/>
        </w:rPr>
        <w:t>。</w:t>
      </w:r>
      <w:r>
        <w:rPr>
          <w:rFonts w:hint="eastAsia"/>
          <w:szCs w:val="24"/>
        </w:rPr>
        <w:t>2001</w:t>
      </w:r>
      <w:r>
        <w:rPr>
          <w:rFonts w:hint="eastAsia"/>
          <w:szCs w:val="24"/>
        </w:rPr>
        <w:t>年下议院（任期四年）选举采用新的选举制度，候选人来自政党代表（</w:t>
      </w:r>
      <w:r>
        <w:rPr>
          <w:rFonts w:hint="eastAsia"/>
          <w:szCs w:val="24"/>
        </w:rPr>
        <w:t>100</w:t>
      </w:r>
      <w:r>
        <w:rPr>
          <w:rFonts w:hint="eastAsia"/>
          <w:szCs w:val="24"/>
        </w:rPr>
        <w:t>人）和各选区（</w:t>
      </w:r>
      <w:r>
        <w:rPr>
          <w:rFonts w:hint="eastAsia"/>
          <w:szCs w:val="24"/>
        </w:rPr>
        <w:t>400</w:t>
      </w:r>
      <w:r>
        <w:rPr>
          <w:rFonts w:hint="eastAsia"/>
          <w:szCs w:val="24"/>
        </w:rPr>
        <w:t>人）。男性候选人为</w:t>
      </w:r>
      <w:r>
        <w:rPr>
          <w:szCs w:val="24"/>
        </w:rPr>
        <w:t>3</w:t>
      </w:r>
      <w:r>
        <w:rPr>
          <w:rFonts w:hint="eastAsia"/>
          <w:szCs w:val="24"/>
        </w:rPr>
        <w:t xml:space="preserve"> </w:t>
      </w:r>
      <w:r>
        <w:rPr>
          <w:szCs w:val="24"/>
        </w:rPr>
        <w:t>163</w:t>
      </w:r>
      <w:r>
        <w:rPr>
          <w:rFonts w:hint="eastAsia"/>
          <w:szCs w:val="24"/>
        </w:rPr>
        <w:t>人（占</w:t>
      </w:r>
      <w:r>
        <w:rPr>
          <w:szCs w:val="24"/>
        </w:rPr>
        <w:t>86.8%</w:t>
      </w:r>
      <w:r>
        <w:rPr>
          <w:rFonts w:hint="eastAsia"/>
          <w:szCs w:val="24"/>
        </w:rPr>
        <w:t>），女性候选人</w:t>
      </w:r>
      <w:r>
        <w:rPr>
          <w:szCs w:val="24"/>
        </w:rPr>
        <w:t>483</w:t>
      </w:r>
      <w:r>
        <w:rPr>
          <w:rFonts w:hint="eastAsia"/>
          <w:szCs w:val="24"/>
        </w:rPr>
        <w:t>人（占</w:t>
      </w:r>
      <w:r>
        <w:rPr>
          <w:szCs w:val="24"/>
        </w:rPr>
        <w:t>13.2%</w:t>
      </w:r>
      <w:r>
        <w:rPr>
          <w:rFonts w:hint="eastAsia"/>
          <w:szCs w:val="24"/>
        </w:rPr>
        <w:t>）。</w:t>
      </w:r>
      <w:r>
        <w:rPr>
          <w:rFonts w:hint="eastAsia"/>
          <w:szCs w:val="24"/>
        </w:rPr>
        <w:t>46</w:t>
      </w:r>
      <w:r>
        <w:rPr>
          <w:rFonts w:hint="eastAsia"/>
          <w:szCs w:val="24"/>
        </w:rPr>
        <w:t>名妇女当选，占当选总人数的</w:t>
      </w:r>
      <w:r>
        <w:rPr>
          <w:szCs w:val="24"/>
        </w:rPr>
        <w:t>9.2%</w:t>
      </w:r>
      <w:r>
        <w:rPr>
          <w:rFonts w:hint="eastAsia"/>
          <w:szCs w:val="24"/>
        </w:rPr>
        <w:t>。与</w:t>
      </w:r>
      <w:r>
        <w:rPr>
          <w:rFonts w:hint="eastAsia"/>
          <w:szCs w:val="24"/>
        </w:rPr>
        <w:t>1996</w:t>
      </w:r>
      <w:r>
        <w:rPr>
          <w:rFonts w:hint="eastAsia"/>
          <w:szCs w:val="24"/>
        </w:rPr>
        <w:t>年的</w:t>
      </w:r>
      <w:r>
        <w:rPr>
          <w:szCs w:val="24"/>
        </w:rPr>
        <w:t>5.6%</w:t>
      </w:r>
      <w:r>
        <w:rPr>
          <w:rFonts w:hint="eastAsia"/>
          <w:szCs w:val="24"/>
        </w:rPr>
        <w:t>相比，在提高下议院的女议员</w:t>
      </w:r>
      <w:r>
        <w:rPr>
          <w:rFonts w:hint="eastAsia"/>
          <w:szCs w:val="24"/>
        </w:rPr>
        <w:t>比例方面取得了长足进步，尽管女议员的比例与男议员相比仍然居低。</w:t>
      </w:r>
      <w:r>
        <w:rPr>
          <w:szCs w:val="24"/>
        </w:rPr>
        <w:t>2002</w:t>
      </w:r>
      <w:r>
        <w:rPr>
          <w:rFonts w:hint="eastAsia"/>
          <w:szCs w:val="24"/>
        </w:rPr>
        <w:t>年</w:t>
      </w:r>
      <w:r>
        <w:rPr>
          <w:rFonts w:hint="eastAsia"/>
          <w:szCs w:val="24"/>
        </w:rPr>
        <w:t>3</w:t>
      </w:r>
      <w:r>
        <w:rPr>
          <w:rFonts w:hint="eastAsia"/>
          <w:szCs w:val="24"/>
        </w:rPr>
        <w:t>月，在一次补充选举中，另外两名妇女当选，同先前当选但须参加连任竞选的四名妇女相比，有所下降。</w:t>
      </w:r>
    </w:p>
    <w:p w:rsidR="00000000" w:rsidRDefault="00B83709">
      <w:pPr>
        <w:numPr>
          <w:ilvl w:val="0"/>
          <w:numId w:val="1049"/>
        </w:numPr>
        <w:tabs>
          <w:tab w:val="clear" w:pos="360"/>
          <w:tab w:val="num" w:pos="480"/>
        </w:tabs>
        <w:spacing w:after="240" w:line="360" w:lineRule="exact"/>
        <w:rPr>
          <w:szCs w:val="24"/>
        </w:rPr>
      </w:pPr>
      <w:r>
        <w:rPr>
          <w:rFonts w:hint="eastAsia"/>
          <w:szCs w:val="24"/>
        </w:rPr>
        <w:t>地方行政管理厅</w:t>
      </w:r>
      <w:r>
        <w:rPr>
          <w:rFonts w:hint="eastAsia"/>
          <w:szCs w:val="24"/>
        </w:rPr>
        <w:t>2002</w:t>
      </w:r>
      <w:r>
        <w:rPr>
          <w:rFonts w:hint="eastAsia"/>
          <w:szCs w:val="24"/>
        </w:rPr>
        <w:t>年</w:t>
      </w:r>
      <w:r>
        <w:rPr>
          <w:rFonts w:hint="eastAsia"/>
          <w:szCs w:val="24"/>
        </w:rPr>
        <w:t>3</w:t>
      </w:r>
      <w:r>
        <w:rPr>
          <w:rFonts w:hint="eastAsia"/>
          <w:szCs w:val="24"/>
        </w:rPr>
        <w:t>月提供的数据显示，地方政府行政区划分为</w:t>
      </w:r>
      <w:r>
        <w:rPr>
          <w:rFonts w:hint="eastAsia"/>
          <w:szCs w:val="24"/>
        </w:rPr>
        <w:t>75</w:t>
      </w:r>
      <w:r>
        <w:rPr>
          <w:rFonts w:hint="eastAsia"/>
          <w:szCs w:val="24"/>
        </w:rPr>
        <w:t>个府，</w:t>
      </w:r>
      <w:r>
        <w:rPr>
          <w:rFonts w:hint="eastAsia"/>
          <w:szCs w:val="24"/>
        </w:rPr>
        <w:t>795</w:t>
      </w:r>
      <w:r>
        <w:rPr>
          <w:rFonts w:hint="eastAsia"/>
          <w:szCs w:val="24"/>
        </w:rPr>
        <w:t>个县，</w:t>
      </w:r>
      <w:r>
        <w:rPr>
          <w:rFonts w:hint="eastAsia"/>
          <w:szCs w:val="24"/>
        </w:rPr>
        <w:t>81</w:t>
      </w:r>
      <w:r>
        <w:rPr>
          <w:rFonts w:hint="eastAsia"/>
          <w:szCs w:val="24"/>
        </w:rPr>
        <w:t>个支县，</w:t>
      </w:r>
      <w:r>
        <w:rPr>
          <w:rFonts w:hint="eastAsia"/>
          <w:szCs w:val="24"/>
        </w:rPr>
        <w:t>7 255</w:t>
      </w:r>
      <w:r>
        <w:rPr>
          <w:rFonts w:hint="eastAsia"/>
          <w:szCs w:val="24"/>
        </w:rPr>
        <w:t>个区和</w:t>
      </w:r>
      <w:r>
        <w:rPr>
          <w:rFonts w:hint="eastAsia"/>
          <w:szCs w:val="24"/>
        </w:rPr>
        <w:t>71 864</w:t>
      </w:r>
      <w:r>
        <w:rPr>
          <w:rFonts w:hint="eastAsia"/>
          <w:szCs w:val="24"/>
        </w:rPr>
        <w:t>个村。</w:t>
      </w:r>
      <w:r>
        <w:rPr>
          <w:rFonts w:hint="eastAsia"/>
          <w:szCs w:val="24"/>
        </w:rPr>
        <w:t>2000</w:t>
      </w:r>
      <w:r>
        <w:rPr>
          <w:rFonts w:hint="eastAsia"/>
          <w:szCs w:val="24"/>
        </w:rPr>
        <w:t>年，泰国人口数为</w:t>
      </w:r>
      <w:r>
        <w:rPr>
          <w:szCs w:val="24"/>
        </w:rPr>
        <w:t>61</w:t>
      </w:r>
      <w:r>
        <w:rPr>
          <w:rFonts w:hint="eastAsia"/>
          <w:szCs w:val="24"/>
        </w:rPr>
        <w:t xml:space="preserve"> </w:t>
      </w:r>
      <w:r>
        <w:rPr>
          <w:szCs w:val="24"/>
        </w:rPr>
        <w:t>878</w:t>
      </w:r>
      <w:r>
        <w:rPr>
          <w:rFonts w:hint="eastAsia"/>
          <w:szCs w:val="24"/>
        </w:rPr>
        <w:t xml:space="preserve"> </w:t>
      </w:r>
      <w:r>
        <w:rPr>
          <w:szCs w:val="24"/>
        </w:rPr>
        <w:t xml:space="preserve">746 </w:t>
      </w:r>
      <w:r>
        <w:rPr>
          <w:rFonts w:hint="eastAsia"/>
          <w:szCs w:val="24"/>
        </w:rPr>
        <w:t>人（男子</w:t>
      </w:r>
      <w:r>
        <w:rPr>
          <w:szCs w:val="24"/>
        </w:rPr>
        <w:t>30</w:t>
      </w:r>
      <w:r>
        <w:rPr>
          <w:rFonts w:hint="eastAsia"/>
          <w:szCs w:val="24"/>
        </w:rPr>
        <w:t xml:space="preserve"> </w:t>
      </w:r>
      <w:r>
        <w:rPr>
          <w:szCs w:val="24"/>
        </w:rPr>
        <w:t>725</w:t>
      </w:r>
      <w:r>
        <w:rPr>
          <w:rFonts w:hint="eastAsia"/>
          <w:szCs w:val="24"/>
        </w:rPr>
        <w:t xml:space="preserve"> </w:t>
      </w:r>
      <w:r>
        <w:rPr>
          <w:szCs w:val="24"/>
        </w:rPr>
        <w:t>016</w:t>
      </w:r>
      <w:r>
        <w:rPr>
          <w:rFonts w:hint="eastAsia"/>
          <w:szCs w:val="24"/>
        </w:rPr>
        <w:t>人；妇女</w:t>
      </w:r>
      <w:r>
        <w:rPr>
          <w:szCs w:val="24"/>
        </w:rPr>
        <w:t>31</w:t>
      </w:r>
      <w:r>
        <w:rPr>
          <w:rFonts w:hint="eastAsia"/>
          <w:szCs w:val="24"/>
        </w:rPr>
        <w:t xml:space="preserve"> </w:t>
      </w:r>
      <w:r>
        <w:rPr>
          <w:szCs w:val="24"/>
        </w:rPr>
        <w:t>153</w:t>
      </w:r>
      <w:r>
        <w:rPr>
          <w:rFonts w:hint="eastAsia"/>
          <w:szCs w:val="24"/>
        </w:rPr>
        <w:t xml:space="preserve"> </w:t>
      </w:r>
      <w:r>
        <w:rPr>
          <w:szCs w:val="24"/>
        </w:rPr>
        <w:t>730</w:t>
      </w:r>
      <w:r>
        <w:rPr>
          <w:rFonts w:hint="eastAsia"/>
          <w:szCs w:val="24"/>
        </w:rPr>
        <w:t>人）。有</w:t>
      </w:r>
      <w:r>
        <w:rPr>
          <w:szCs w:val="24"/>
        </w:rPr>
        <w:t>1</w:t>
      </w:r>
      <w:r>
        <w:rPr>
          <w:rFonts w:hint="eastAsia"/>
          <w:szCs w:val="24"/>
        </w:rPr>
        <w:t xml:space="preserve"> </w:t>
      </w:r>
      <w:r>
        <w:rPr>
          <w:szCs w:val="24"/>
        </w:rPr>
        <w:t>129</w:t>
      </w:r>
      <w:r>
        <w:rPr>
          <w:rFonts w:hint="eastAsia"/>
          <w:szCs w:val="24"/>
        </w:rPr>
        <w:t>个市政当局（</w:t>
      </w:r>
      <w:r>
        <w:rPr>
          <w:szCs w:val="24"/>
        </w:rPr>
        <w:t xml:space="preserve">20 </w:t>
      </w:r>
      <w:r>
        <w:rPr>
          <w:rFonts w:hint="eastAsia"/>
          <w:szCs w:val="24"/>
        </w:rPr>
        <w:t>个</w:t>
      </w:r>
      <w:r>
        <w:rPr>
          <w:szCs w:val="24"/>
        </w:rPr>
        <w:t>city municipalities; 80 urban munici</w:t>
      </w:r>
      <w:r>
        <w:rPr>
          <w:szCs w:val="24"/>
        </w:rPr>
        <w:t>palities; 1</w:t>
      </w:r>
      <w:r>
        <w:rPr>
          <w:rFonts w:hint="eastAsia"/>
          <w:szCs w:val="24"/>
        </w:rPr>
        <w:t xml:space="preserve"> </w:t>
      </w:r>
      <w:r>
        <w:rPr>
          <w:szCs w:val="24"/>
        </w:rPr>
        <w:t>029 rural municipalities</w:t>
      </w:r>
      <w:r>
        <w:rPr>
          <w:rFonts w:hint="eastAsia"/>
          <w:szCs w:val="24"/>
        </w:rPr>
        <w:t>），</w:t>
      </w:r>
      <w:r>
        <w:rPr>
          <w:szCs w:val="24"/>
        </w:rPr>
        <w:t>75</w:t>
      </w:r>
      <w:r>
        <w:rPr>
          <w:rFonts w:hint="eastAsia"/>
          <w:szCs w:val="24"/>
        </w:rPr>
        <w:t>个府行政理事会；</w:t>
      </w:r>
      <w:r>
        <w:rPr>
          <w:rFonts w:hint="eastAsia"/>
          <w:szCs w:val="24"/>
        </w:rPr>
        <w:t>2</w:t>
      </w:r>
      <w:r>
        <w:rPr>
          <w:rFonts w:hint="eastAsia"/>
          <w:szCs w:val="24"/>
        </w:rPr>
        <w:t>个特别地方行政区（曼谷和帕塔亚）；</w:t>
      </w:r>
      <w:r>
        <w:rPr>
          <w:szCs w:val="24"/>
        </w:rPr>
        <w:t>6</w:t>
      </w:r>
      <w:r>
        <w:rPr>
          <w:rFonts w:hint="eastAsia"/>
          <w:szCs w:val="24"/>
        </w:rPr>
        <w:t xml:space="preserve"> </w:t>
      </w:r>
      <w:r>
        <w:rPr>
          <w:szCs w:val="24"/>
        </w:rPr>
        <w:t>744</w:t>
      </w:r>
      <w:r>
        <w:rPr>
          <w:rFonts w:hint="eastAsia"/>
          <w:szCs w:val="24"/>
        </w:rPr>
        <w:t>个地方行政理事会以及</w:t>
      </w:r>
      <w:r>
        <w:rPr>
          <w:rFonts w:hint="eastAsia"/>
          <w:szCs w:val="24"/>
        </w:rPr>
        <w:t>214</w:t>
      </w:r>
      <w:r>
        <w:rPr>
          <w:rFonts w:hint="eastAsia"/>
          <w:szCs w:val="24"/>
        </w:rPr>
        <w:t>个区议会。</w:t>
      </w:r>
    </w:p>
    <w:p w:rsidR="00000000" w:rsidRDefault="00B83709">
      <w:pPr>
        <w:numPr>
          <w:ilvl w:val="0"/>
          <w:numId w:val="1049"/>
        </w:numPr>
        <w:tabs>
          <w:tab w:val="clear" w:pos="360"/>
          <w:tab w:val="num" w:pos="480"/>
        </w:tabs>
        <w:spacing w:after="240" w:line="360" w:lineRule="exact"/>
        <w:rPr>
          <w:szCs w:val="24"/>
        </w:rPr>
      </w:pPr>
      <w:r>
        <w:rPr>
          <w:rFonts w:hint="eastAsia"/>
          <w:szCs w:val="24"/>
        </w:rPr>
        <w:t>在地方选举方面，在扩大女性代表的比例方面逐渐取得进步，大多数妇女代表的任期为四年（表</w:t>
      </w:r>
      <w:r>
        <w:rPr>
          <w:rFonts w:hint="eastAsia"/>
          <w:szCs w:val="24"/>
        </w:rPr>
        <w:t>3</w:t>
      </w:r>
      <w:r>
        <w:rPr>
          <w:rFonts w:hint="eastAsia"/>
          <w:szCs w:val="24"/>
        </w:rPr>
        <w:t>）。</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目前，关于各级地方政府议会以及村长和区长的数据显示，妇女参与地方政治事务的比率低于男子。妇女的比例也随着职位的升高而下降。但是，妇女通过选举担任地方政府职务的人在增多。譬如，</w:t>
      </w:r>
      <w:r>
        <w:rPr>
          <w:rFonts w:hint="eastAsia"/>
          <w:szCs w:val="24"/>
        </w:rPr>
        <w:t>2000</w:t>
      </w:r>
      <w:r>
        <w:rPr>
          <w:rFonts w:hint="eastAsia"/>
          <w:szCs w:val="24"/>
        </w:rPr>
        <w:t>年，妇女占地方行政理事会成员的</w:t>
      </w:r>
      <w:r>
        <w:rPr>
          <w:rFonts w:hint="eastAsia"/>
          <w:szCs w:val="24"/>
        </w:rPr>
        <w:t>6.9%</w:t>
      </w:r>
      <w:r>
        <w:rPr>
          <w:rFonts w:hint="eastAsia"/>
          <w:szCs w:val="24"/>
        </w:rPr>
        <w:t>，而在</w:t>
      </w:r>
      <w:r>
        <w:rPr>
          <w:rFonts w:hint="eastAsia"/>
          <w:szCs w:val="24"/>
        </w:rPr>
        <w:t>2002</w:t>
      </w:r>
      <w:r>
        <w:rPr>
          <w:rFonts w:hint="eastAsia"/>
          <w:szCs w:val="24"/>
        </w:rPr>
        <w:t>年，这</w:t>
      </w:r>
      <w:r>
        <w:rPr>
          <w:rFonts w:hint="eastAsia"/>
          <w:szCs w:val="24"/>
        </w:rPr>
        <w:t>一比例增至</w:t>
      </w:r>
      <w:r>
        <w:rPr>
          <w:szCs w:val="24"/>
        </w:rPr>
        <w:t xml:space="preserve">8.9% </w:t>
      </w:r>
      <w:r>
        <w:rPr>
          <w:rFonts w:hint="eastAsia"/>
          <w:szCs w:val="24"/>
        </w:rPr>
        <w:t>（表</w:t>
      </w:r>
      <w:r>
        <w:rPr>
          <w:rFonts w:hint="eastAsia"/>
          <w:szCs w:val="24"/>
        </w:rPr>
        <w:t>4</w:t>
      </w:r>
      <w:r>
        <w:rPr>
          <w:rFonts w:hint="eastAsia"/>
          <w:szCs w:val="24"/>
        </w:rPr>
        <w:t>）。</w:t>
      </w:r>
    </w:p>
    <w:p w:rsidR="00000000" w:rsidRDefault="00B83709">
      <w:pPr>
        <w:spacing w:after="240" w:line="360" w:lineRule="exact"/>
        <w:rPr>
          <w:rFonts w:hint="eastAsia"/>
          <w:bCs/>
          <w:szCs w:val="24"/>
        </w:rPr>
      </w:pPr>
      <w:r>
        <w:rPr>
          <w:rFonts w:ascii="SimHei" w:eastAsia="SimHei" w:hint="eastAsia"/>
          <w:bCs/>
          <w:color w:val="FF0000"/>
          <w:szCs w:val="24"/>
        </w:rPr>
        <w:t>表</w:t>
      </w:r>
      <w:r>
        <w:rPr>
          <w:rFonts w:ascii="SimHei" w:eastAsia="SimHei" w:hint="eastAsia"/>
          <w:bCs/>
          <w:color w:val="FF0000"/>
          <w:szCs w:val="24"/>
        </w:rPr>
        <w:t>3</w:t>
      </w:r>
      <w:r>
        <w:rPr>
          <w:rFonts w:ascii="SimHei" w:eastAsia="SimHei"/>
          <w:bCs/>
          <w:color w:val="FF0000"/>
          <w:szCs w:val="24"/>
        </w:rPr>
        <w:t xml:space="preserve">. </w:t>
      </w:r>
      <w:r>
        <w:rPr>
          <w:rFonts w:hint="eastAsia"/>
          <w:bCs/>
          <w:szCs w:val="24"/>
        </w:rPr>
        <w:t>1997</w:t>
      </w:r>
      <w:r>
        <w:rPr>
          <w:rFonts w:hint="eastAsia"/>
          <w:bCs/>
          <w:szCs w:val="24"/>
        </w:rPr>
        <w:t>至</w:t>
      </w:r>
      <w:r>
        <w:rPr>
          <w:rFonts w:hint="eastAsia"/>
          <w:bCs/>
          <w:szCs w:val="24"/>
        </w:rPr>
        <w:t>2001</w:t>
      </w:r>
      <w:r>
        <w:rPr>
          <w:rFonts w:hint="eastAsia"/>
          <w:bCs/>
          <w:szCs w:val="24"/>
        </w:rPr>
        <w:t>年妇女和男子参加地方选举的人数</w:t>
      </w:r>
    </w:p>
    <w:tbl>
      <w:tblPr>
        <w:tblW w:w="5000" w:type="pct"/>
        <w:tblLook w:val="0000" w:firstRow="0" w:lastRow="0" w:firstColumn="0" w:lastColumn="0" w:noHBand="0" w:noVBand="0"/>
      </w:tblPr>
      <w:tblGrid>
        <w:gridCol w:w="1548"/>
        <w:gridCol w:w="908"/>
        <w:gridCol w:w="1234"/>
        <w:gridCol w:w="1234"/>
        <w:gridCol w:w="1349"/>
        <w:gridCol w:w="1226"/>
        <w:gridCol w:w="1226"/>
        <w:gridCol w:w="1341"/>
      </w:tblGrid>
      <w:tr w:rsidR="00000000">
        <w:tblPrEx>
          <w:tblCellMar>
            <w:top w:w="0" w:type="dxa"/>
            <w:bottom w:w="0" w:type="dxa"/>
          </w:tblCellMar>
        </w:tblPrEx>
        <w:trPr>
          <w:cantSplit/>
        </w:trPr>
        <w:tc>
          <w:tcPr>
            <w:tcW w:w="769" w:type="pct"/>
            <w:vMerge w:val="restart"/>
            <w:tcBorders>
              <w:top w:val="single" w:sz="4" w:space="0" w:color="auto"/>
              <w:bottom w:val="nil"/>
            </w:tcBorders>
            <w:vAlign w:val="center"/>
          </w:tcPr>
          <w:p w:rsidR="00000000" w:rsidRDefault="00B83709">
            <w:pPr>
              <w:pStyle w:val="BodyText2"/>
              <w:framePr w:w="0" w:hRule="auto" w:hSpace="0" w:wrap="auto" w:vAnchor="margin" w:hAnchor="text" w:xAlign="left" w:yAlign="inline"/>
              <w:spacing w:line="280" w:lineRule="exact"/>
              <w:jc w:val="both"/>
              <w:rPr>
                <w:rFonts w:hint="eastAsia"/>
                <w:bCs/>
                <w:color w:val="FF0000"/>
                <w:sz w:val="18"/>
                <w:szCs w:val="24"/>
              </w:rPr>
            </w:pPr>
            <w:r>
              <w:rPr>
                <w:rFonts w:hint="eastAsia"/>
                <w:bCs/>
                <w:color w:val="FF0000"/>
                <w:sz w:val="18"/>
                <w:szCs w:val="24"/>
              </w:rPr>
              <w:t>选举</w:t>
            </w:r>
          </w:p>
        </w:tc>
        <w:tc>
          <w:tcPr>
            <w:tcW w:w="451" w:type="pct"/>
            <w:vMerge w:val="restart"/>
            <w:tcBorders>
              <w:top w:val="single" w:sz="4" w:space="0" w:color="auto"/>
              <w:bottom w:val="nil"/>
            </w:tcBorders>
            <w:vAlign w:val="center"/>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年份</w:t>
            </w:r>
          </w:p>
        </w:tc>
        <w:tc>
          <w:tcPr>
            <w:tcW w:w="1896" w:type="pct"/>
            <w:gridSpan w:val="3"/>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候选人人数</w:t>
            </w:r>
          </w:p>
        </w:tc>
        <w:tc>
          <w:tcPr>
            <w:tcW w:w="1884" w:type="pct"/>
            <w:gridSpan w:val="3"/>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候选人当选人数</w:t>
            </w:r>
          </w:p>
        </w:tc>
      </w:tr>
      <w:tr w:rsidR="00000000">
        <w:tblPrEx>
          <w:tblCellMar>
            <w:top w:w="0" w:type="dxa"/>
            <w:bottom w:w="0" w:type="dxa"/>
          </w:tblCellMar>
        </w:tblPrEx>
        <w:trPr>
          <w:cantSplit/>
        </w:trPr>
        <w:tc>
          <w:tcPr>
            <w:tcW w:w="769" w:type="pct"/>
            <w:vMerge/>
            <w:tcBorders>
              <w:top w:val="nil"/>
              <w:bottom w:val="single" w:sz="4" w:space="0" w:color="auto"/>
            </w:tcBorders>
          </w:tcPr>
          <w:p w:rsidR="00000000" w:rsidRDefault="00B83709">
            <w:pPr>
              <w:pStyle w:val="BodyText2"/>
              <w:framePr w:w="0" w:hRule="auto" w:hSpace="0" w:wrap="auto" w:vAnchor="margin" w:hAnchor="text" w:xAlign="left" w:yAlign="inline"/>
              <w:spacing w:line="280" w:lineRule="exact"/>
              <w:jc w:val="both"/>
              <w:rPr>
                <w:bCs/>
                <w:color w:val="FF0000"/>
                <w:sz w:val="18"/>
                <w:szCs w:val="24"/>
              </w:rPr>
            </w:pPr>
          </w:p>
        </w:tc>
        <w:tc>
          <w:tcPr>
            <w:tcW w:w="451" w:type="pct"/>
            <w:vMerge/>
            <w:tcBorders>
              <w:top w:val="nil"/>
              <w:bottom w:val="single" w:sz="4" w:space="0" w:color="auto"/>
            </w:tcBorders>
          </w:tcPr>
          <w:p w:rsidR="00000000" w:rsidRDefault="00B83709">
            <w:pPr>
              <w:pStyle w:val="BodyText2"/>
              <w:framePr w:w="0" w:hRule="auto" w:hSpace="0" w:wrap="auto" w:vAnchor="margin" w:hAnchor="text" w:xAlign="left" w:yAlign="inline"/>
              <w:spacing w:line="280" w:lineRule="exact"/>
              <w:jc w:val="center"/>
              <w:rPr>
                <w:bCs/>
                <w:color w:val="FF0000"/>
                <w:sz w:val="18"/>
                <w:szCs w:val="24"/>
              </w:rPr>
            </w:pPr>
          </w:p>
        </w:tc>
        <w:tc>
          <w:tcPr>
            <w:tcW w:w="61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女</w:t>
            </w:r>
          </w:p>
        </w:tc>
        <w:tc>
          <w:tcPr>
            <w:tcW w:w="61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男</w:t>
            </w:r>
          </w:p>
        </w:tc>
        <w:tc>
          <w:tcPr>
            <w:tcW w:w="670"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妇女的比例</w:t>
            </w:r>
          </w:p>
        </w:tc>
        <w:tc>
          <w:tcPr>
            <w:tcW w:w="609"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女</w:t>
            </w:r>
          </w:p>
        </w:tc>
        <w:tc>
          <w:tcPr>
            <w:tcW w:w="609"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男</w:t>
            </w:r>
          </w:p>
        </w:tc>
        <w:tc>
          <w:tcPr>
            <w:tcW w:w="666"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bCs/>
                <w:color w:val="FF0000"/>
                <w:sz w:val="18"/>
                <w:szCs w:val="24"/>
              </w:rPr>
            </w:pPr>
            <w:r>
              <w:rPr>
                <w:rFonts w:hint="eastAsia"/>
                <w:bCs/>
                <w:color w:val="FF0000"/>
                <w:sz w:val="18"/>
                <w:szCs w:val="24"/>
              </w:rPr>
              <w:t>妇女的比例</w:t>
            </w:r>
          </w:p>
        </w:tc>
      </w:tr>
      <w:tr w:rsidR="00000000">
        <w:tblPrEx>
          <w:tblCellMar>
            <w:top w:w="0" w:type="dxa"/>
            <w:bottom w:w="0" w:type="dxa"/>
          </w:tblCellMar>
        </w:tblPrEx>
        <w:tc>
          <w:tcPr>
            <w:tcW w:w="769" w:type="pct"/>
          </w:tcPr>
          <w:p w:rsidR="00000000" w:rsidRDefault="00B83709">
            <w:pPr>
              <w:pStyle w:val="BodyText2"/>
              <w:framePr w:w="0" w:hRule="auto" w:hSpace="0" w:wrap="auto" w:vAnchor="margin" w:hAnchor="text" w:xAlign="left" w:yAlign="inline"/>
              <w:spacing w:line="280" w:lineRule="exact"/>
              <w:jc w:val="both"/>
              <w:rPr>
                <w:rFonts w:hint="eastAsia"/>
                <w:color w:val="FF0000"/>
                <w:sz w:val="18"/>
                <w:szCs w:val="24"/>
              </w:rPr>
            </w:pPr>
            <w:r>
              <w:rPr>
                <w:rFonts w:hint="eastAsia"/>
                <w:color w:val="FF0000"/>
                <w:sz w:val="18"/>
                <w:szCs w:val="24"/>
              </w:rPr>
              <w:t>地方行政理事会</w:t>
            </w:r>
          </w:p>
        </w:tc>
        <w:tc>
          <w:tcPr>
            <w:tcW w:w="451" w:type="pct"/>
          </w:tcPr>
          <w:p w:rsidR="00000000" w:rsidRDefault="00B83709">
            <w:pPr>
              <w:pStyle w:val="BodyText2"/>
              <w:framePr w:w="0" w:hRule="auto" w:hSpace="0" w:wrap="auto" w:vAnchor="margin" w:hAnchor="text" w:xAlign="left" w:yAlign="inline"/>
              <w:spacing w:line="280" w:lineRule="exact"/>
              <w:jc w:val="center"/>
              <w:rPr>
                <w:rFonts w:hint="eastAsia"/>
                <w:sz w:val="18"/>
                <w:szCs w:val="24"/>
              </w:rPr>
            </w:pPr>
            <w:r>
              <w:rPr>
                <w:sz w:val="18"/>
                <w:szCs w:val="24"/>
              </w:rPr>
              <w:t>2000</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11 594</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100 107</w:t>
            </w:r>
          </w:p>
        </w:tc>
        <w:tc>
          <w:tcPr>
            <w:tcW w:w="670"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10.4</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3 855</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42 290</w:t>
            </w:r>
          </w:p>
        </w:tc>
        <w:tc>
          <w:tcPr>
            <w:tcW w:w="666"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8.4</w:t>
            </w:r>
          </w:p>
        </w:tc>
      </w:tr>
      <w:tr w:rsidR="00000000">
        <w:tblPrEx>
          <w:tblCellMar>
            <w:top w:w="0" w:type="dxa"/>
            <w:bottom w:w="0" w:type="dxa"/>
          </w:tblCellMar>
        </w:tblPrEx>
        <w:tc>
          <w:tcPr>
            <w:tcW w:w="769" w:type="pct"/>
          </w:tcPr>
          <w:p w:rsidR="00000000" w:rsidRDefault="00B83709">
            <w:pPr>
              <w:pStyle w:val="BodyText2"/>
              <w:framePr w:w="0" w:hRule="auto" w:hSpace="0" w:wrap="auto" w:vAnchor="margin" w:hAnchor="text" w:xAlign="left" w:yAlign="inline"/>
              <w:spacing w:line="280" w:lineRule="exact"/>
              <w:jc w:val="both"/>
              <w:rPr>
                <w:color w:val="FF0000"/>
                <w:sz w:val="18"/>
                <w:szCs w:val="24"/>
              </w:rPr>
            </w:pPr>
          </w:p>
        </w:tc>
        <w:tc>
          <w:tcPr>
            <w:tcW w:w="451" w:type="pct"/>
          </w:tcPr>
          <w:p w:rsidR="00000000" w:rsidRDefault="00B83709">
            <w:pPr>
              <w:pStyle w:val="BodyText2"/>
              <w:framePr w:w="0" w:hRule="auto" w:hSpace="0" w:wrap="auto" w:vAnchor="margin" w:hAnchor="text" w:xAlign="left" w:yAlign="inline"/>
              <w:spacing w:line="280" w:lineRule="exact"/>
              <w:jc w:val="center"/>
              <w:rPr>
                <w:rFonts w:hint="eastAsia"/>
                <w:sz w:val="18"/>
                <w:szCs w:val="24"/>
              </w:rPr>
            </w:pPr>
            <w:r>
              <w:rPr>
                <w:sz w:val="18"/>
                <w:szCs w:val="24"/>
              </w:rPr>
              <w:t>2001</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17 082</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136 368</w:t>
            </w:r>
          </w:p>
        </w:tc>
        <w:tc>
          <w:tcPr>
            <w:tcW w:w="670"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11.1</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6 288</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61 644</w:t>
            </w:r>
          </w:p>
        </w:tc>
        <w:tc>
          <w:tcPr>
            <w:tcW w:w="666"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9.3</w:t>
            </w:r>
          </w:p>
        </w:tc>
      </w:tr>
      <w:tr w:rsidR="00000000">
        <w:tblPrEx>
          <w:tblCellMar>
            <w:top w:w="0" w:type="dxa"/>
            <w:bottom w:w="0" w:type="dxa"/>
          </w:tblCellMar>
        </w:tblPrEx>
        <w:tc>
          <w:tcPr>
            <w:tcW w:w="769" w:type="pct"/>
          </w:tcPr>
          <w:p w:rsidR="00000000" w:rsidRDefault="00B83709">
            <w:pPr>
              <w:pStyle w:val="BodyText2"/>
              <w:framePr w:w="0" w:hRule="auto" w:hSpace="0" w:wrap="auto" w:vAnchor="margin" w:hAnchor="text" w:xAlign="left" w:yAlign="inline"/>
              <w:spacing w:line="280" w:lineRule="exact"/>
              <w:jc w:val="both"/>
              <w:rPr>
                <w:rFonts w:hint="eastAsia"/>
                <w:color w:val="FF0000"/>
                <w:sz w:val="18"/>
                <w:szCs w:val="24"/>
              </w:rPr>
            </w:pPr>
            <w:r>
              <w:rPr>
                <w:rFonts w:hint="eastAsia"/>
                <w:color w:val="FF0000"/>
                <w:sz w:val="18"/>
                <w:szCs w:val="24"/>
              </w:rPr>
              <w:t>市政当局</w:t>
            </w:r>
          </w:p>
        </w:tc>
        <w:tc>
          <w:tcPr>
            <w:tcW w:w="451" w:type="pct"/>
          </w:tcPr>
          <w:p w:rsidR="00000000" w:rsidRDefault="00B83709">
            <w:pPr>
              <w:pStyle w:val="BodyText2"/>
              <w:framePr w:w="0" w:hRule="auto" w:hSpace="0" w:wrap="auto" w:vAnchor="margin" w:hAnchor="text" w:xAlign="left" w:yAlign="inline"/>
              <w:spacing w:line="280" w:lineRule="exact"/>
              <w:jc w:val="center"/>
              <w:rPr>
                <w:rFonts w:hint="eastAsia"/>
                <w:sz w:val="18"/>
                <w:szCs w:val="24"/>
              </w:rPr>
            </w:pPr>
            <w:r>
              <w:rPr>
                <w:sz w:val="18"/>
                <w:szCs w:val="24"/>
              </w:rPr>
              <w:t>1999</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408</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3 046</w:t>
            </w:r>
          </w:p>
        </w:tc>
        <w:tc>
          <w:tcPr>
            <w:tcW w:w="670"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11.8</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142</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1 304</w:t>
            </w:r>
          </w:p>
        </w:tc>
        <w:tc>
          <w:tcPr>
            <w:tcW w:w="666"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9.8</w:t>
            </w:r>
          </w:p>
        </w:tc>
      </w:tr>
      <w:tr w:rsidR="00000000">
        <w:tblPrEx>
          <w:tblCellMar>
            <w:top w:w="0" w:type="dxa"/>
            <w:bottom w:w="0" w:type="dxa"/>
          </w:tblCellMar>
        </w:tblPrEx>
        <w:trPr>
          <w:cantSplit/>
        </w:trPr>
        <w:tc>
          <w:tcPr>
            <w:tcW w:w="769" w:type="pct"/>
          </w:tcPr>
          <w:p w:rsidR="00000000" w:rsidRDefault="00B83709">
            <w:pPr>
              <w:pStyle w:val="BodyText2"/>
              <w:framePr w:w="0" w:hRule="auto" w:hSpace="0" w:wrap="auto" w:vAnchor="margin" w:hAnchor="text" w:xAlign="left" w:yAlign="inline"/>
              <w:spacing w:line="280" w:lineRule="exact"/>
              <w:jc w:val="both"/>
              <w:rPr>
                <w:color w:val="FF0000"/>
                <w:sz w:val="18"/>
                <w:szCs w:val="24"/>
              </w:rPr>
            </w:pPr>
          </w:p>
        </w:tc>
        <w:tc>
          <w:tcPr>
            <w:tcW w:w="451" w:type="pct"/>
          </w:tcPr>
          <w:p w:rsidR="00000000" w:rsidRDefault="00B83709">
            <w:pPr>
              <w:pStyle w:val="BodyText2"/>
              <w:framePr w:w="0" w:hRule="auto" w:hSpace="0" w:wrap="auto" w:vAnchor="margin" w:hAnchor="text" w:xAlign="left" w:yAlign="inline"/>
              <w:spacing w:line="280" w:lineRule="exact"/>
              <w:jc w:val="center"/>
              <w:rPr>
                <w:rFonts w:eastAsia="SimSun" w:hint="eastAsia"/>
                <w:sz w:val="18"/>
                <w:szCs w:val="24"/>
              </w:rPr>
            </w:pPr>
            <w:r>
              <w:rPr>
                <w:rFonts w:eastAsia="SimSun"/>
                <w:sz w:val="18"/>
                <w:szCs w:val="24"/>
              </w:rPr>
              <w:t>2000</w:t>
            </w:r>
          </w:p>
        </w:tc>
        <w:tc>
          <w:tcPr>
            <w:tcW w:w="1226" w:type="pct"/>
            <w:gridSpan w:val="2"/>
          </w:tcPr>
          <w:p w:rsidR="00000000" w:rsidRDefault="00B83709" w:rsidP="00B83709">
            <w:pPr>
              <w:pStyle w:val="BodyText2"/>
              <w:framePr w:w="0" w:hRule="auto" w:hSpace="0" w:wrap="auto" w:vAnchor="margin" w:hAnchor="text" w:xAlign="left" w:yAlign="inline"/>
              <w:spacing w:line="280" w:lineRule="exact"/>
              <w:ind w:rightChars="94" w:right="31680"/>
              <w:jc w:val="right"/>
              <w:rPr>
                <w:rFonts w:eastAsia="SimSun"/>
                <w:sz w:val="18"/>
                <w:szCs w:val="24"/>
              </w:rPr>
            </w:pPr>
            <w:r>
              <w:rPr>
                <w:rFonts w:eastAsia="SimSun" w:hint="eastAsia"/>
                <w:sz w:val="18"/>
                <w:szCs w:val="24"/>
              </w:rPr>
              <w:t>未提供按性别开列的数据</w:t>
            </w:r>
          </w:p>
        </w:tc>
        <w:tc>
          <w:tcPr>
            <w:tcW w:w="670"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42</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408</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9.3</w:t>
            </w:r>
          </w:p>
        </w:tc>
        <w:tc>
          <w:tcPr>
            <w:tcW w:w="666"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p>
        </w:tc>
      </w:tr>
      <w:tr w:rsidR="00000000">
        <w:tblPrEx>
          <w:tblCellMar>
            <w:top w:w="0" w:type="dxa"/>
            <w:bottom w:w="0" w:type="dxa"/>
          </w:tblCellMar>
        </w:tblPrEx>
        <w:tc>
          <w:tcPr>
            <w:tcW w:w="769" w:type="pct"/>
          </w:tcPr>
          <w:p w:rsidR="00000000" w:rsidRDefault="00B83709">
            <w:pPr>
              <w:pStyle w:val="BodyText2"/>
              <w:framePr w:w="0" w:hRule="auto" w:hSpace="0" w:wrap="auto" w:vAnchor="margin" w:hAnchor="text" w:xAlign="left" w:yAlign="inline"/>
              <w:spacing w:line="280" w:lineRule="exact"/>
              <w:jc w:val="both"/>
              <w:rPr>
                <w:rFonts w:hint="eastAsia"/>
                <w:color w:val="FF0000"/>
                <w:sz w:val="18"/>
                <w:szCs w:val="24"/>
              </w:rPr>
            </w:pPr>
            <w:r>
              <w:rPr>
                <w:rFonts w:hint="eastAsia"/>
                <w:color w:val="FF0000"/>
                <w:sz w:val="18"/>
                <w:szCs w:val="24"/>
              </w:rPr>
              <w:t>府</w:t>
            </w:r>
          </w:p>
        </w:tc>
        <w:tc>
          <w:tcPr>
            <w:tcW w:w="451" w:type="pct"/>
          </w:tcPr>
          <w:p w:rsidR="00000000" w:rsidRDefault="00B83709">
            <w:pPr>
              <w:pStyle w:val="BodyText2"/>
              <w:framePr w:w="0" w:hRule="auto" w:hSpace="0" w:wrap="auto" w:vAnchor="margin" w:hAnchor="text" w:xAlign="left" w:yAlign="inline"/>
              <w:spacing w:line="280" w:lineRule="exact"/>
              <w:jc w:val="center"/>
              <w:rPr>
                <w:rFonts w:hint="eastAsia"/>
                <w:sz w:val="18"/>
                <w:szCs w:val="24"/>
              </w:rPr>
            </w:pPr>
            <w:r>
              <w:rPr>
                <w:sz w:val="18"/>
                <w:szCs w:val="24"/>
              </w:rPr>
              <w:t>2001</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862</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6 278</w:t>
            </w:r>
          </w:p>
        </w:tc>
        <w:tc>
          <w:tcPr>
            <w:tcW w:w="670"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12.1</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168</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2 020</w:t>
            </w:r>
          </w:p>
        </w:tc>
        <w:tc>
          <w:tcPr>
            <w:tcW w:w="666"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7.8</w:t>
            </w:r>
          </w:p>
        </w:tc>
      </w:tr>
      <w:tr w:rsidR="00000000">
        <w:tblPrEx>
          <w:tblCellMar>
            <w:top w:w="0" w:type="dxa"/>
            <w:bottom w:w="0" w:type="dxa"/>
          </w:tblCellMar>
        </w:tblPrEx>
        <w:tc>
          <w:tcPr>
            <w:tcW w:w="769" w:type="pct"/>
          </w:tcPr>
          <w:p w:rsidR="00000000" w:rsidRDefault="00B83709">
            <w:pPr>
              <w:pStyle w:val="BodyText2"/>
              <w:framePr w:w="0" w:hRule="auto" w:hSpace="0" w:wrap="auto" w:vAnchor="margin" w:hAnchor="text" w:xAlign="left" w:yAlign="inline"/>
              <w:spacing w:line="280" w:lineRule="exact"/>
              <w:jc w:val="both"/>
              <w:rPr>
                <w:rFonts w:hint="eastAsia"/>
                <w:color w:val="FF0000"/>
                <w:sz w:val="18"/>
                <w:szCs w:val="24"/>
              </w:rPr>
            </w:pPr>
            <w:r>
              <w:rPr>
                <w:rFonts w:hint="eastAsia"/>
                <w:color w:val="FF0000"/>
                <w:sz w:val="18"/>
                <w:szCs w:val="24"/>
              </w:rPr>
              <w:t>曼谷市</w:t>
            </w:r>
          </w:p>
        </w:tc>
        <w:tc>
          <w:tcPr>
            <w:tcW w:w="451" w:type="pct"/>
          </w:tcPr>
          <w:p w:rsidR="00000000" w:rsidRDefault="00B83709">
            <w:pPr>
              <w:pStyle w:val="BodyText2"/>
              <w:framePr w:w="0" w:hRule="auto" w:hSpace="0" w:wrap="auto" w:vAnchor="margin" w:hAnchor="text" w:xAlign="left" w:yAlign="inline"/>
              <w:spacing w:line="280" w:lineRule="exact"/>
              <w:jc w:val="center"/>
              <w:rPr>
                <w:rFonts w:hint="eastAsia"/>
                <w:sz w:val="18"/>
                <w:szCs w:val="24"/>
              </w:rPr>
            </w:pPr>
            <w:r>
              <w:rPr>
                <w:sz w:val="18"/>
                <w:szCs w:val="24"/>
              </w:rPr>
              <w:t>1998</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42</w:t>
            </w:r>
          </w:p>
        </w:tc>
        <w:tc>
          <w:tcPr>
            <w:tcW w:w="613" w:type="pct"/>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277</w:t>
            </w:r>
          </w:p>
        </w:tc>
        <w:tc>
          <w:tcPr>
            <w:tcW w:w="670"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15.6</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10</w:t>
            </w:r>
          </w:p>
        </w:tc>
        <w:tc>
          <w:tcPr>
            <w:tcW w:w="609" w:type="pct"/>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50</w:t>
            </w:r>
          </w:p>
        </w:tc>
        <w:tc>
          <w:tcPr>
            <w:tcW w:w="666" w:type="pct"/>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16.7</w:t>
            </w:r>
          </w:p>
        </w:tc>
      </w:tr>
      <w:tr w:rsidR="00000000">
        <w:tblPrEx>
          <w:tblCellMar>
            <w:top w:w="0" w:type="dxa"/>
            <w:bottom w:w="0" w:type="dxa"/>
          </w:tblCellMar>
        </w:tblPrEx>
        <w:tc>
          <w:tcPr>
            <w:tcW w:w="769" w:type="pct"/>
            <w:tcBorders>
              <w:bottom w:val="single" w:sz="4" w:space="0" w:color="auto"/>
            </w:tcBorders>
          </w:tcPr>
          <w:p w:rsidR="00000000" w:rsidRDefault="00B83709">
            <w:pPr>
              <w:pStyle w:val="BodyText2"/>
              <w:framePr w:w="0" w:hRule="auto" w:hSpace="0" w:wrap="auto" w:vAnchor="margin" w:hAnchor="text" w:xAlign="left" w:yAlign="inline"/>
              <w:spacing w:line="280" w:lineRule="exact"/>
              <w:jc w:val="both"/>
              <w:rPr>
                <w:rFonts w:hint="eastAsia"/>
                <w:color w:val="FF0000"/>
                <w:sz w:val="18"/>
                <w:szCs w:val="24"/>
              </w:rPr>
            </w:pPr>
            <w:r>
              <w:rPr>
                <w:rFonts w:hint="eastAsia"/>
                <w:color w:val="FF0000"/>
                <w:sz w:val="18"/>
                <w:szCs w:val="24"/>
              </w:rPr>
              <w:t>县</w:t>
            </w:r>
          </w:p>
        </w:tc>
        <w:tc>
          <w:tcPr>
            <w:tcW w:w="451" w:type="pct"/>
            <w:tcBorders>
              <w:bottom w:val="single" w:sz="4" w:space="0" w:color="auto"/>
            </w:tcBorders>
          </w:tcPr>
          <w:p w:rsidR="00000000" w:rsidRDefault="00B83709">
            <w:pPr>
              <w:pStyle w:val="BodyText2"/>
              <w:framePr w:w="0" w:hRule="auto" w:hSpace="0" w:wrap="auto" w:vAnchor="margin" w:hAnchor="text" w:xAlign="left" w:yAlign="inline"/>
              <w:spacing w:line="280" w:lineRule="exact"/>
              <w:jc w:val="center"/>
              <w:rPr>
                <w:rFonts w:hint="eastAsia"/>
                <w:sz w:val="18"/>
                <w:szCs w:val="24"/>
              </w:rPr>
            </w:pPr>
            <w:r>
              <w:rPr>
                <w:sz w:val="18"/>
                <w:szCs w:val="24"/>
              </w:rPr>
              <w:t>1998</w:t>
            </w:r>
          </w:p>
        </w:tc>
        <w:tc>
          <w:tcPr>
            <w:tcW w:w="613" w:type="pct"/>
            <w:tcBorders>
              <w:bottom w:val="single" w:sz="4" w:space="0" w:color="auto"/>
            </w:tcBorders>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135</w:t>
            </w:r>
          </w:p>
        </w:tc>
        <w:tc>
          <w:tcPr>
            <w:tcW w:w="613" w:type="pct"/>
            <w:tcBorders>
              <w:bottom w:val="single" w:sz="4" w:space="0" w:color="auto"/>
            </w:tcBorders>
          </w:tcPr>
          <w:p w:rsidR="00000000" w:rsidRDefault="00B83709" w:rsidP="00B83709">
            <w:pPr>
              <w:pStyle w:val="BodyText2"/>
              <w:framePr w:w="0" w:hRule="auto" w:hSpace="0" w:wrap="auto" w:vAnchor="margin" w:hAnchor="text" w:xAlign="left" w:yAlign="inline"/>
              <w:spacing w:line="280" w:lineRule="exact"/>
              <w:ind w:rightChars="94" w:right="31680"/>
              <w:jc w:val="right"/>
              <w:rPr>
                <w:sz w:val="18"/>
                <w:szCs w:val="24"/>
              </w:rPr>
            </w:pPr>
            <w:r>
              <w:rPr>
                <w:sz w:val="18"/>
                <w:szCs w:val="24"/>
              </w:rPr>
              <w:t>792</w:t>
            </w:r>
          </w:p>
        </w:tc>
        <w:tc>
          <w:tcPr>
            <w:tcW w:w="670" w:type="pct"/>
            <w:tcBorders>
              <w:bottom w:val="single" w:sz="4" w:space="0" w:color="auto"/>
            </w:tcBorders>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14.6</w:t>
            </w:r>
          </w:p>
        </w:tc>
        <w:tc>
          <w:tcPr>
            <w:tcW w:w="609" w:type="pct"/>
            <w:tcBorders>
              <w:bottom w:val="single" w:sz="4" w:space="0" w:color="auto"/>
            </w:tcBorders>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31</w:t>
            </w:r>
          </w:p>
        </w:tc>
        <w:tc>
          <w:tcPr>
            <w:tcW w:w="609" w:type="pct"/>
            <w:tcBorders>
              <w:bottom w:val="single" w:sz="4" w:space="0" w:color="auto"/>
            </w:tcBorders>
          </w:tcPr>
          <w:p w:rsidR="00000000" w:rsidRDefault="00B83709" w:rsidP="00B83709">
            <w:pPr>
              <w:pStyle w:val="BodyText2"/>
              <w:framePr w:w="0" w:hRule="auto" w:hSpace="0" w:wrap="auto" w:vAnchor="margin" w:hAnchor="text" w:xAlign="left" w:yAlign="inline"/>
              <w:spacing w:line="280" w:lineRule="exact"/>
              <w:ind w:rightChars="90" w:right="31680"/>
              <w:jc w:val="right"/>
              <w:rPr>
                <w:sz w:val="18"/>
                <w:szCs w:val="24"/>
              </w:rPr>
            </w:pPr>
            <w:r>
              <w:rPr>
                <w:sz w:val="18"/>
                <w:szCs w:val="24"/>
              </w:rPr>
              <w:t>229</w:t>
            </w:r>
          </w:p>
        </w:tc>
        <w:tc>
          <w:tcPr>
            <w:tcW w:w="666" w:type="pct"/>
            <w:tcBorders>
              <w:bottom w:val="single" w:sz="4" w:space="0" w:color="auto"/>
            </w:tcBorders>
          </w:tcPr>
          <w:p w:rsidR="00000000" w:rsidRDefault="00B83709">
            <w:pPr>
              <w:pStyle w:val="BodyText2"/>
              <w:framePr w:w="0" w:hRule="auto" w:hSpace="0" w:wrap="auto" w:vAnchor="margin" w:hAnchor="text" w:xAlign="left" w:yAlign="inline"/>
              <w:tabs>
                <w:tab w:val="decimal" w:pos="596"/>
              </w:tabs>
              <w:spacing w:line="280" w:lineRule="exact"/>
              <w:jc w:val="both"/>
              <w:rPr>
                <w:sz w:val="18"/>
                <w:szCs w:val="24"/>
              </w:rPr>
            </w:pPr>
            <w:r>
              <w:rPr>
                <w:sz w:val="18"/>
                <w:szCs w:val="24"/>
              </w:rPr>
              <w:t>12</w:t>
            </w:r>
          </w:p>
        </w:tc>
      </w:tr>
    </w:tbl>
    <w:p w:rsidR="00000000" w:rsidRDefault="00B83709">
      <w:pPr>
        <w:pStyle w:val="Date"/>
        <w:spacing w:before="120" w:after="240" w:line="360" w:lineRule="exact"/>
        <w:rPr>
          <w:rFonts w:hint="eastAsia"/>
          <w:bCs/>
          <w:iCs/>
          <w:szCs w:val="24"/>
        </w:rPr>
      </w:pPr>
      <w:r>
        <w:rPr>
          <w:rFonts w:eastAsia="KaiTi_GB2312" w:hint="eastAsia"/>
          <w:b/>
          <w:color w:val="0000FF"/>
          <w:szCs w:val="24"/>
        </w:rPr>
        <w:t>说明：</w:t>
      </w:r>
      <w:r>
        <w:rPr>
          <w:rFonts w:eastAsia="KaiTi_GB2312" w:hint="eastAsia"/>
          <w:bCs/>
          <w:color w:val="0000FF"/>
          <w:szCs w:val="24"/>
        </w:rPr>
        <w:t>上表开列的选举仅为不同的选举期内的大选。</w:t>
      </w:r>
    </w:p>
    <w:p w:rsidR="00000000" w:rsidRDefault="00B83709">
      <w:pPr>
        <w:spacing w:after="120" w:line="360" w:lineRule="exact"/>
        <w:rPr>
          <w:rFonts w:hint="eastAsia"/>
          <w:szCs w:val="24"/>
        </w:rPr>
      </w:pPr>
      <w:r>
        <w:rPr>
          <w:rFonts w:ascii="SimHei" w:eastAsia="SimHei" w:hint="eastAsia"/>
          <w:bCs/>
          <w:color w:val="FF0000"/>
          <w:szCs w:val="24"/>
        </w:rPr>
        <w:t>表</w:t>
      </w:r>
      <w:r>
        <w:rPr>
          <w:rFonts w:ascii="SimHei" w:eastAsia="SimHei" w:hint="eastAsia"/>
          <w:bCs/>
          <w:color w:val="FF0000"/>
          <w:szCs w:val="24"/>
        </w:rPr>
        <w:t>4</w:t>
      </w:r>
      <w:r>
        <w:rPr>
          <w:rFonts w:ascii="SimHei" w:eastAsia="SimHei"/>
          <w:bCs/>
          <w:color w:val="FF0000"/>
          <w:szCs w:val="24"/>
        </w:rPr>
        <w:t xml:space="preserve">. </w:t>
      </w:r>
      <w:r>
        <w:rPr>
          <w:rFonts w:hint="eastAsia"/>
          <w:szCs w:val="24"/>
        </w:rPr>
        <w:t>地方议会和地方行政机构一级的男女人数</w:t>
      </w:r>
    </w:p>
    <w:tbl>
      <w:tblPr>
        <w:tblW w:w="0" w:type="auto"/>
        <w:tblLook w:val="0000" w:firstRow="0" w:lastRow="0" w:firstColumn="0" w:lastColumn="0" w:noHBand="0" w:noVBand="0"/>
      </w:tblPr>
      <w:tblGrid>
        <w:gridCol w:w="4908"/>
        <w:gridCol w:w="1719"/>
        <w:gridCol w:w="1719"/>
        <w:gridCol w:w="1720"/>
      </w:tblGrid>
      <w:tr w:rsidR="00000000">
        <w:tblPrEx>
          <w:tblCellMar>
            <w:top w:w="0" w:type="dxa"/>
            <w:bottom w:w="0" w:type="dxa"/>
          </w:tblCellMar>
        </w:tblPrEx>
        <w:tc>
          <w:tcPr>
            <w:tcW w:w="4908" w:type="dxa"/>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ascii="SimHei" w:hint="eastAsia"/>
                <w:bCs/>
                <w:color w:val="FF0000"/>
                <w:sz w:val="21"/>
                <w:szCs w:val="24"/>
              </w:rPr>
            </w:pPr>
            <w:r>
              <w:rPr>
                <w:rFonts w:ascii="SimHei" w:hint="eastAsia"/>
                <w:bCs/>
                <w:color w:val="FF0000"/>
                <w:sz w:val="21"/>
                <w:szCs w:val="24"/>
              </w:rPr>
              <w:t>地方议会议员（包括区长和村长，</w:t>
            </w:r>
            <w:r>
              <w:rPr>
                <w:rFonts w:ascii="SimHei" w:hint="eastAsia"/>
                <w:bCs/>
                <w:color w:val="FF0000"/>
                <w:sz w:val="21"/>
                <w:szCs w:val="24"/>
              </w:rPr>
              <w:t>2001</w:t>
            </w:r>
            <w:r>
              <w:rPr>
                <w:rFonts w:ascii="SimHei" w:hint="eastAsia"/>
                <w:bCs/>
                <w:color w:val="FF0000"/>
                <w:sz w:val="21"/>
                <w:szCs w:val="24"/>
              </w:rPr>
              <w:t>年）</w:t>
            </w:r>
          </w:p>
        </w:tc>
        <w:tc>
          <w:tcPr>
            <w:tcW w:w="1719" w:type="dxa"/>
            <w:tcBorders>
              <w:top w:val="single" w:sz="4" w:space="0" w:color="auto"/>
              <w:bottom w:val="single" w:sz="4" w:space="0" w:color="auto"/>
            </w:tcBorders>
            <w:vAlign w:val="center"/>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21"/>
                <w:szCs w:val="24"/>
              </w:rPr>
            </w:pPr>
            <w:r>
              <w:rPr>
                <w:rFonts w:ascii="SimHei" w:hint="eastAsia"/>
                <w:bCs/>
                <w:color w:val="FF0000"/>
                <w:sz w:val="21"/>
                <w:szCs w:val="24"/>
              </w:rPr>
              <w:t>女</w:t>
            </w:r>
          </w:p>
        </w:tc>
        <w:tc>
          <w:tcPr>
            <w:tcW w:w="1719" w:type="dxa"/>
            <w:tcBorders>
              <w:top w:val="single" w:sz="4" w:space="0" w:color="auto"/>
              <w:bottom w:val="single" w:sz="4" w:space="0" w:color="auto"/>
            </w:tcBorders>
            <w:vAlign w:val="center"/>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21"/>
                <w:szCs w:val="24"/>
              </w:rPr>
            </w:pPr>
            <w:r>
              <w:rPr>
                <w:rFonts w:ascii="SimHei" w:hint="eastAsia"/>
                <w:bCs/>
                <w:color w:val="FF0000"/>
                <w:sz w:val="21"/>
                <w:szCs w:val="24"/>
              </w:rPr>
              <w:t>男</w:t>
            </w:r>
          </w:p>
        </w:tc>
        <w:tc>
          <w:tcPr>
            <w:tcW w:w="1720" w:type="dxa"/>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21"/>
                <w:szCs w:val="24"/>
              </w:rPr>
            </w:pPr>
            <w:r>
              <w:rPr>
                <w:rFonts w:ascii="SimHei" w:hint="eastAsia"/>
                <w:bCs/>
                <w:color w:val="FF0000"/>
                <w:sz w:val="21"/>
                <w:szCs w:val="24"/>
              </w:rPr>
              <w:t>女性的比例</w:t>
            </w:r>
          </w:p>
        </w:tc>
      </w:tr>
      <w:tr w:rsidR="00000000">
        <w:tblPrEx>
          <w:tblCellMar>
            <w:top w:w="0" w:type="dxa"/>
            <w:bottom w:w="0" w:type="dxa"/>
          </w:tblCellMar>
        </w:tblPrEx>
        <w:tc>
          <w:tcPr>
            <w:tcW w:w="4908"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村长</w:t>
            </w:r>
          </w:p>
        </w:tc>
        <w:tc>
          <w:tcPr>
            <w:tcW w:w="1719" w:type="dxa"/>
            <w:tcBorders>
              <w:top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1 240</w:t>
            </w:r>
          </w:p>
        </w:tc>
        <w:tc>
          <w:tcPr>
            <w:tcW w:w="1719" w:type="dxa"/>
            <w:tcBorders>
              <w:top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60 328</w:t>
            </w:r>
          </w:p>
        </w:tc>
        <w:tc>
          <w:tcPr>
            <w:tcW w:w="1720" w:type="dxa"/>
            <w:tcBorders>
              <w:top w:val="single" w:sz="4" w:space="0" w:color="auto"/>
            </w:tcBorders>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2</w:t>
            </w:r>
          </w:p>
        </w:tc>
      </w:tr>
      <w:tr w:rsidR="00000000">
        <w:tblPrEx>
          <w:tblCellMar>
            <w:top w:w="0" w:type="dxa"/>
            <w:bottom w:w="0" w:type="dxa"/>
          </w:tblCellMar>
        </w:tblPrEx>
        <w:tc>
          <w:tcPr>
            <w:tcW w:w="4908" w:type="dxa"/>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区长</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163</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2 928</w:t>
            </w:r>
          </w:p>
        </w:tc>
        <w:tc>
          <w:tcPr>
            <w:tcW w:w="1720" w:type="dxa"/>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2</w:t>
            </w:r>
          </w:p>
        </w:tc>
      </w:tr>
      <w:tr w:rsidR="00000000">
        <w:tblPrEx>
          <w:tblCellMar>
            <w:top w:w="0" w:type="dxa"/>
            <w:bottom w:w="0" w:type="dxa"/>
          </w:tblCellMar>
        </w:tblPrEx>
        <w:tc>
          <w:tcPr>
            <w:tcW w:w="4908" w:type="dxa"/>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区议会议长</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3</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216</w:t>
            </w:r>
          </w:p>
        </w:tc>
        <w:tc>
          <w:tcPr>
            <w:tcW w:w="1720" w:type="dxa"/>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1</w:t>
            </w:r>
          </w:p>
        </w:tc>
      </w:tr>
      <w:tr w:rsidR="00000000">
        <w:tblPrEx>
          <w:tblCellMar>
            <w:top w:w="0" w:type="dxa"/>
            <w:bottom w:w="0" w:type="dxa"/>
          </w:tblCellMar>
        </w:tblPrEx>
        <w:tc>
          <w:tcPr>
            <w:tcW w:w="4908" w:type="dxa"/>
          </w:tcPr>
          <w:p w:rsidR="00000000" w:rsidRDefault="00B83709">
            <w:pPr>
              <w:pStyle w:val="BodyText2"/>
              <w:framePr w:w="0" w:hRule="auto" w:hSpace="0" w:wrap="auto" w:vAnchor="margin" w:hAnchor="text" w:xAlign="left" w:yAlign="inline"/>
              <w:spacing w:line="360" w:lineRule="exact"/>
              <w:jc w:val="both"/>
              <w:rPr>
                <w:sz w:val="21"/>
                <w:szCs w:val="24"/>
              </w:rPr>
            </w:pPr>
            <w:r>
              <w:rPr>
                <w:rFonts w:hint="eastAsia"/>
                <w:sz w:val="21"/>
                <w:szCs w:val="24"/>
              </w:rPr>
              <w:t>地方行政理事会的成员</w:t>
            </w:r>
            <w:r>
              <w:rPr>
                <w:sz w:val="21"/>
                <w:szCs w:val="24"/>
              </w:rPr>
              <w:t xml:space="preserve">** </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11 306</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116 2</w:t>
            </w:r>
            <w:r>
              <w:rPr>
                <w:sz w:val="21"/>
                <w:szCs w:val="24"/>
              </w:rPr>
              <w:t>88</w:t>
            </w:r>
          </w:p>
        </w:tc>
        <w:tc>
          <w:tcPr>
            <w:tcW w:w="1720" w:type="dxa"/>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8.9</w:t>
            </w:r>
          </w:p>
        </w:tc>
      </w:tr>
      <w:tr w:rsidR="00000000">
        <w:tblPrEx>
          <w:tblCellMar>
            <w:top w:w="0" w:type="dxa"/>
            <w:bottom w:w="0" w:type="dxa"/>
          </w:tblCellMar>
        </w:tblPrEx>
        <w:tc>
          <w:tcPr>
            <w:tcW w:w="4908" w:type="dxa"/>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地方行政理事会主席</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197</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6 550</w:t>
            </w:r>
          </w:p>
        </w:tc>
        <w:tc>
          <w:tcPr>
            <w:tcW w:w="1720" w:type="dxa"/>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3</w:t>
            </w:r>
          </w:p>
        </w:tc>
      </w:tr>
      <w:tr w:rsidR="00000000">
        <w:tblPrEx>
          <w:tblCellMar>
            <w:top w:w="0" w:type="dxa"/>
            <w:bottom w:w="0" w:type="dxa"/>
          </w:tblCellMar>
        </w:tblPrEx>
        <w:tc>
          <w:tcPr>
            <w:tcW w:w="4908" w:type="dxa"/>
          </w:tcPr>
          <w:p w:rsidR="00000000" w:rsidRDefault="00B83709">
            <w:pPr>
              <w:pStyle w:val="BodyText2"/>
              <w:framePr w:w="0" w:hRule="auto" w:hSpace="0" w:wrap="auto" w:vAnchor="margin" w:hAnchor="text" w:xAlign="left" w:yAlign="inline"/>
              <w:spacing w:line="360" w:lineRule="exact"/>
              <w:jc w:val="both"/>
              <w:rPr>
                <w:sz w:val="21"/>
                <w:szCs w:val="24"/>
              </w:rPr>
            </w:pPr>
            <w:r>
              <w:rPr>
                <w:rFonts w:hint="eastAsia"/>
                <w:sz w:val="21"/>
                <w:szCs w:val="24"/>
              </w:rPr>
              <w:t>地方行政理事会理事</w:t>
            </w:r>
            <w:r>
              <w:rPr>
                <w:sz w:val="21"/>
                <w:szCs w:val="24"/>
              </w:rPr>
              <w:t>**</w:t>
            </w:r>
          </w:p>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市政成员</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2 053</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31 440</w:t>
            </w:r>
          </w:p>
        </w:tc>
        <w:tc>
          <w:tcPr>
            <w:tcW w:w="1720" w:type="dxa"/>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6.1</w:t>
            </w:r>
          </w:p>
        </w:tc>
      </w:tr>
      <w:tr w:rsidR="00000000">
        <w:tblPrEx>
          <w:tblCellMar>
            <w:top w:w="0" w:type="dxa"/>
            <w:bottom w:w="0" w:type="dxa"/>
          </w:tblCellMar>
        </w:tblPrEx>
        <w:tc>
          <w:tcPr>
            <w:tcW w:w="4908" w:type="dxa"/>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市政负责人</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16</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1 053</w:t>
            </w:r>
          </w:p>
        </w:tc>
        <w:tc>
          <w:tcPr>
            <w:tcW w:w="1720" w:type="dxa"/>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5.3</w:t>
            </w:r>
          </w:p>
        </w:tc>
      </w:tr>
      <w:tr w:rsidR="00000000">
        <w:tblPrEx>
          <w:tblCellMar>
            <w:top w:w="0" w:type="dxa"/>
            <w:bottom w:w="0" w:type="dxa"/>
          </w:tblCellMar>
        </w:tblPrEx>
        <w:tc>
          <w:tcPr>
            <w:tcW w:w="4908" w:type="dxa"/>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府行政理事会成员</w:t>
            </w: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p>
        </w:tc>
        <w:tc>
          <w:tcPr>
            <w:tcW w:w="1719" w:type="dxa"/>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p>
        </w:tc>
        <w:tc>
          <w:tcPr>
            <w:tcW w:w="1720" w:type="dxa"/>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p>
        </w:tc>
      </w:tr>
      <w:tr w:rsidR="00000000">
        <w:tblPrEx>
          <w:tblCellMar>
            <w:top w:w="0" w:type="dxa"/>
            <w:bottom w:w="0" w:type="dxa"/>
          </w:tblCellMar>
        </w:tblPrEx>
        <w:tc>
          <w:tcPr>
            <w:tcW w:w="4908"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rFonts w:hint="eastAsia"/>
                <w:sz w:val="21"/>
                <w:szCs w:val="24"/>
              </w:rPr>
              <w:t>府行政理事会负责人</w:t>
            </w:r>
          </w:p>
        </w:tc>
        <w:tc>
          <w:tcPr>
            <w:tcW w:w="1719" w:type="dxa"/>
            <w:tcBorders>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2</w:t>
            </w:r>
          </w:p>
        </w:tc>
        <w:tc>
          <w:tcPr>
            <w:tcW w:w="1719" w:type="dxa"/>
            <w:tcBorders>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52" w:right="31680"/>
              <w:jc w:val="right"/>
              <w:rPr>
                <w:sz w:val="21"/>
                <w:szCs w:val="24"/>
              </w:rPr>
            </w:pPr>
            <w:r>
              <w:rPr>
                <w:sz w:val="21"/>
                <w:szCs w:val="24"/>
              </w:rPr>
              <w:t>73</w:t>
            </w:r>
          </w:p>
        </w:tc>
        <w:tc>
          <w:tcPr>
            <w:tcW w:w="1720" w:type="dxa"/>
            <w:tcBorders>
              <w:bottom w:val="single" w:sz="4" w:space="0" w:color="auto"/>
            </w:tcBorders>
          </w:tcPr>
          <w:p w:rsidR="00000000" w:rsidRDefault="00B83709">
            <w:pPr>
              <w:pStyle w:val="BodyText2"/>
              <w:framePr w:w="0" w:hRule="auto" w:hSpace="0" w:wrap="auto" w:vAnchor="margin" w:hAnchor="text" w:xAlign="left" w:yAlign="inline"/>
              <w:tabs>
                <w:tab w:val="decimal" w:pos="894"/>
              </w:tabs>
              <w:spacing w:line="360" w:lineRule="exact"/>
              <w:jc w:val="both"/>
              <w:rPr>
                <w:sz w:val="21"/>
                <w:szCs w:val="24"/>
              </w:rPr>
            </w:pPr>
            <w:r>
              <w:rPr>
                <w:sz w:val="21"/>
                <w:szCs w:val="24"/>
              </w:rPr>
              <w:t>3</w:t>
            </w:r>
          </w:p>
        </w:tc>
      </w:tr>
    </w:tbl>
    <w:p w:rsidR="00000000" w:rsidRDefault="00B83709">
      <w:pPr>
        <w:spacing w:before="120" w:after="120" w:line="360" w:lineRule="exact"/>
        <w:rPr>
          <w:rFonts w:eastAsia="KaiTi_GB2312" w:hint="eastAsia"/>
          <w:bCs/>
          <w:color w:val="0000FF"/>
          <w:szCs w:val="24"/>
        </w:rPr>
      </w:pPr>
      <w:r>
        <w:rPr>
          <w:rFonts w:eastAsia="KaiTi_GB2312" w:hint="eastAsia"/>
          <w:b/>
          <w:color w:val="0000FF"/>
          <w:szCs w:val="24"/>
        </w:rPr>
        <w:t>说明：</w:t>
      </w:r>
      <w:r>
        <w:rPr>
          <w:rFonts w:eastAsia="KaiTi_GB2312" w:hint="eastAsia"/>
          <w:bCs/>
          <w:color w:val="0000FF"/>
          <w:szCs w:val="24"/>
        </w:rPr>
        <w:t>地方行政管理厅</w:t>
      </w:r>
      <w:r>
        <w:rPr>
          <w:rFonts w:eastAsia="KaiTi_GB2312" w:hint="eastAsia"/>
          <w:bCs/>
          <w:color w:val="0000FF"/>
          <w:szCs w:val="24"/>
        </w:rPr>
        <w:t>2001</w:t>
      </w:r>
      <w:r>
        <w:rPr>
          <w:rFonts w:eastAsia="KaiTi_GB2312" w:hint="eastAsia"/>
          <w:bCs/>
          <w:color w:val="0000FF"/>
          <w:szCs w:val="24"/>
        </w:rPr>
        <w:t>年</w:t>
      </w:r>
      <w:r>
        <w:rPr>
          <w:rFonts w:eastAsia="KaiTi_GB2312" w:hint="eastAsia"/>
          <w:bCs/>
          <w:color w:val="0000FF"/>
          <w:szCs w:val="24"/>
        </w:rPr>
        <w:t>5</w:t>
      </w:r>
      <w:r>
        <w:rPr>
          <w:rFonts w:eastAsia="KaiTi_GB2312" w:hint="eastAsia"/>
          <w:bCs/>
          <w:color w:val="0000FF"/>
          <w:szCs w:val="24"/>
        </w:rPr>
        <w:t>月提供的数据。</w:t>
      </w:r>
    </w:p>
    <w:p w:rsidR="00000000" w:rsidRDefault="00B83709">
      <w:pPr>
        <w:spacing w:after="120" w:line="360" w:lineRule="exact"/>
        <w:rPr>
          <w:rFonts w:hint="eastAsia"/>
          <w:szCs w:val="24"/>
        </w:rPr>
      </w:pPr>
      <w:r>
        <w:rPr>
          <w:rFonts w:eastAsia="KaiTi_GB2312"/>
          <w:color w:val="0000FF"/>
          <w:szCs w:val="24"/>
        </w:rPr>
        <w:t xml:space="preserve">** </w:t>
      </w:r>
      <w:r>
        <w:rPr>
          <w:rFonts w:eastAsia="KaiTi_GB2312" w:hint="eastAsia"/>
          <w:color w:val="0000FF"/>
          <w:szCs w:val="24"/>
        </w:rPr>
        <w:t>地方行政管理厅</w:t>
      </w:r>
      <w:r>
        <w:rPr>
          <w:rFonts w:eastAsia="KaiTi_GB2312" w:hint="eastAsia"/>
          <w:color w:val="0000FF"/>
          <w:szCs w:val="24"/>
        </w:rPr>
        <w:t>2002</w:t>
      </w:r>
      <w:r>
        <w:rPr>
          <w:rFonts w:eastAsia="KaiTi_GB2312" w:hint="eastAsia"/>
          <w:color w:val="0000FF"/>
          <w:szCs w:val="24"/>
        </w:rPr>
        <w:t>年</w:t>
      </w:r>
      <w:r>
        <w:rPr>
          <w:rFonts w:eastAsia="KaiTi_GB2312" w:hint="eastAsia"/>
          <w:color w:val="0000FF"/>
          <w:szCs w:val="24"/>
        </w:rPr>
        <w:t>3</w:t>
      </w:r>
      <w:r>
        <w:rPr>
          <w:rFonts w:eastAsia="KaiTi_GB2312" w:hint="eastAsia"/>
          <w:color w:val="0000FF"/>
          <w:szCs w:val="24"/>
        </w:rPr>
        <w:t>月提供的数据。</w:t>
      </w:r>
    </w:p>
    <w:p w:rsidR="00000000" w:rsidRDefault="00B83709">
      <w:pPr>
        <w:numPr>
          <w:ilvl w:val="0"/>
          <w:numId w:val="1049"/>
        </w:numPr>
        <w:tabs>
          <w:tab w:val="clear" w:pos="360"/>
          <w:tab w:val="num" w:pos="480"/>
        </w:tabs>
        <w:spacing w:beforeLines="50" w:before="120" w:after="240" w:line="360" w:lineRule="exact"/>
        <w:rPr>
          <w:szCs w:val="24"/>
        </w:rPr>
      </w:pPr>
      <w:r>
        <w:rPr>
          <w:rFonts w:hint="eastAsia"/>
          <w:szCs w:val="24"/>
        </w:rPr>
        <w:t>2001</w:t>
      </w:r>
      <w:r>
        <w:rPr>
          <w:rFonts w:hint="eastAsia"/>
          <w:szCs w:val="24"/>
        </w:rPr>
        <w:t>举行的最近一次选举的数字显示，</w:t>
      </w:r>
      <w:r>
        <w:rPr>
          <w:rFonts w:hint="eastAsia"/>
          <w:szCs w:val="24"/>
        </w:rPr>
        <w:t>35</w:t>
      </w:r>
      <w:r>
        <w:rPr>
          <w:rFonts w:hint="eastAsia"/>
          <w:szCs w:val="24"/>
        </w:rPr>
        <w:t>名成员中有三名妇女进入部长理事会（或占</w:t>
      </w:r>
      <w:r>
        <w:rPr>
          <w:szCs w:val="24"/>
        </w:rPr>
        <w:t>8.6%</w:t>
      </w:r>
      <w:r>
        <w:rPr>
          <w:rFonts w:hint="eastAsia"/>
          <w:szCs w:val="24"/>
        </w:rPr>
        <w:t>），分别被任命为卫生部长、劳动和社会福利部副部长以及教育部副部长。所有这些职位都与妇女的传统角</w:t>
      </w:r>
      <w:r>
        <w:rPr>
          <w:rFonts w:hint="eastAsia"/>
          <w:szCs w:val="24"/>
        </w:rPr>
        <w:t>色有关。</w:t>
      </w:r>
    </w:p>
    <w:p w:rsidR="00000000" w:rsidRDefault="00B83709">
      <w:pPr>
        <w:numPr>
          <w:ilvl w:val="0"/>
          <w:numId w:val="1049"/>
        </w:numPr>
        <w:tabs>
          <w:tab w:val="clear" w:pos="360"/>
          <w:tab w:val="num" w:pos="480"/>
        </w:tabs>
        <w:spacing w:after="240" w:line="360" w:lineRule="exact"/>
        <w:rPr>
          <w:szCs w:val="24"/>
        </w:rPr>
      </w:pPr>
      <w:r>
        <w:rPr>
          <w:rFonts w:hint="eastAsia"/>
          <w:szCs w:val="24"/>
        </w:rPr>
        <w:t>对五大政党（泰爱泰党、民主党、新希望党、泰国党、国家发展党）关于增加妇女候选人和行政管理人员的政策分析显示如下。</w:t>
      </w:r>
    </w:p>
    <w:p w:rsidR="00000000" w:rsidRDefault="00B83709" w:rsidP="00B83709">
      <w:pPr>
        <w:spacing w:after="240" w:line="360" w:lineRule="exact"/>
        <w:ind w:firstLineChars="200" w:firstLine="31680"/>
        <w:rPr>
          <w:szCs w:val="24"/>
        </w:rPr>
      </w:pPr>
      <w:r>
        <w:rPr>
          <w:rFonts w:hint="eastAsia"/>
          <w:szCs w:val="24"/>
        </w:rPr>
        <w:t>（</w:t>
      </w:r>
      <w:r>
        <w:rPr>
          <w:rFonts w:hint="eastAsia"/>
          <w:szCs w:val="24"/>
        </w:rPr>
        <w:t>1</w:t>
      </w:r>
      <w:r>
        <w:rPr>
          <w:rFonts w:hint="eastAsia"/>
          <w:szCs w:val="24"/>
        </w:rPr>
        <w:t>）各党关于促进决策一级参与的政策是一项普遍政策，不侧重于任何性别。</w:t>
      </w:r>
    </w:p>
    <w:p w:rsidR="00000000" w:rsidRDefault="00B83709" w:rsidP="00B83709">
      <w:pPr>
        <w:spacing w:after="240" w:line="360" w:lineRule="exact"/>
        <w:ind w:firstLineChars="200" w:firstLine="31680"/>
        <w:rPr>
          <w:szCs w:val="24"/>
        </w:rPr>
      </w:pPr>
      <w:r>
        <w:rPr>
          <w:rFonts w:hint="eastAsia"/>
          <w:szCs w:val="24"/>
        </w:rPr>
        <w:t>（</w:t>
      </w:r>
      <w:r>
        <w:rPr>
          <w:rFonts w:hint="eastAsia"/>
          <w:szCs w:val="24"/>
        </w:rPr>
        <w:t>2</w:t>
      </w:r>
      <w:r>
        <w:rPr>
          <w:rFonts w:hint="eastAsia"/>
          <w:szCs w:val="24"/>
        </w:rPr>
        <w:t>）各党的社会发展政策包含妇女和处境不利者的权利保护和福利问题，但详细内容各不相同。譬如，泰爱泰党促进社会福利和权利保护。民主党着重平等权利以及取得资源和福利的机会。泰国党的政策包括权利保护、福利、康复、妇女劳工，并主张制订法律保护妇女权利。国家发展党的政策中心是权利保护、福利和消除暴力以及防止和惩治卖淫。</w:t>
      </w:r>
    </w:p>
    <w:p w:rsidR="00000000" w:rsidRDefault="00B83709" w:rsidP="00B83709">
      <w:pPr>
        <w:spacing w:after="240" w:line="360" w:lineRule="exact"/>
        <w:ind w:firstLineChars="200" w:firstLine="31680"/>
        <w:rPr>
          <w:szCs w:val="24"/>
        </w:rPr>
      </w:pPr>
      <w:r>
        <w:rPr>
          <w:rFonts w:hint="eastAsia"/>
          <w:szCs w:val="24"/>
        </w:rPr>
        <w:t>（</w:t>
      </w:r>
      <w:r>
        <w:rPr>
          <w:rFonts w:hint="eastAsia"/>
          <w:szCs w:val="24"/>
        </w:rPr>
        <w:t>3</w:t>
      </w:r>
      <w:r>
        <w:rPr>
          <w:rFonts w:hint="eastAsia"/>
          <w:szCs w:val="24"/>
        </w:rPr>
        <w:t>）各党解决妇女关心的问题是妇女要求的援助、保护、发展以及从发展中获得益惠，不是建设提高她们的潜力的能力或知识。</w:t>
      </w:r>
    </w:p>
    <w:p w:rsidR="00000000" w:rsidRDefault="00B83709">
      <w:pPr>
        <w:numPr>
          <w:ilvl w:val="0"/>
          <w:numId w:val="1049"/>
        </w:numPr>
        <w:tabs>
          <w:tab w:val="clear" w:pos="360"/>
          <w:tab w:val="num" w:pos="480"/>
        </w:tabs>
        <w:spacing w:after="240" w:line="360" w:lineRule="exact"/>
        <w:rPr>
          <w:szCs w:val="24"/>
        </w:rPr>
      </w:pPr>
      <w:r>
        <w:rPr>
          <w:rFonts w:hint="eastAsia"/>
          <w:szCs w:val="24"/>
        </w:rPr>
        <w:t>不过，各政党确实为其党员提供三类培训：方针培训、提高党员潜力的政治领导能力培训以及党务人员任职培训。</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关于政党成员的研究发现，仅有少数政党按性别开列了数据。妇女担任执行管理人员（即政党顾问或政党顾问负责人）的人数少于男子，有的政党中没有担任此类职务的妇女成员。此外，关于促进妇女担任行政管理职位的措施，没有明确的资料。（表</w:t>
      </w:r>
      <w:r>
        <w:rPr>
          <w:rFonts w:hint="eastAsia"/>
          <w:szCs w:val="24"/>
        </w:rPr>
        <w:t>5</w:t>
      </w:r>
      <w:r>
        <w:rPr>
          <w:rFonts w:hint="eastAsia"/>
          <w:szCs w:val="24"/>
        </w:rPr>
        <w:t>）。</w:t>
      </w:r>
    </w:p>
    <w:p w:rsidR="00000000" w:rsidRDefault="00B83709">
      <w:pPr>
        <w:spacing w:after="240" w:line="360" w:lineRule="exact"/>
        <w:rPr>
          <w:rFonts w:hint="eastAsia"/>
          <w:szCs w:val="24"/>
        </w:rPr>
      </w:pPr>
      <w:r>
        <w:rPr>
          <w:rFonts w:ascii="SimHei" w:eastAsia="SimHei" w:hint="eastAsia"/>
          <w:bCs/>
          <w:color w:val="FF0000"/>
          <w:szCs w:val="24"/>
        </w:rPr>
        <w:t>表</w:t>
      </w:r>
      <w:r>
        <w:rPr>
          <w:rFonts w:ascii="SimHei" w:eastAsia="SimHei" w:hint="eastAsia"/>
          <w:bCs/>
          <w:color w:val="FF0000"/>
          <w:szCs w:val="24"/>
        </w:rPr>
        <w:t>5</w:t>
      </w:r>
      <w:r>
        <w:rPr>
          <w:rFonts w:ascii="SimHei" w:eastAsia="SimHei"/>
          <w:bCs/>
          <w:color w:val="FF0000"/>
          <w:szCs w:val="24"/>
        </w:rPr>
        <w:t>.</w:t>
      </w:r>
      <w:r>
        <w:rPr>
          <w:rFonts w:ascii="SimHei" w:eastAsia="SimHei" w:hint="eastAsia"/>
          <w:bCs/>
          <w:color w:val="FF0000"/>
          <w:szCs w:val="24"/>
        </w:rPr>
        <w:t xml:space="preserve"> </w:t>
      </w:r>
      <w:r>
        <w:rPr>
          <w:rFonts w:hint="eastAsia"/>
          <w:b/>
          <w:szCs w:val="24"/>
        </w:rPr>
        <w:t xml:space="preserve"> </w:t>
      </w:r>
      <w:r>
        <w:rPr>
          <w:rFonts w:hint="eastAsia"/>
          <w:szCs w:val="24"/>
        </w:rPr>
        <w:t>政党中男女管理人员的人数</w:t>
      </w:r>
    </w:p>
    <w:tbl>
      <w:tblPr>
        <w:tblW w:w="0" w:type="auto"/>
        <w:tblLook w:val="0000" w:firstRow="0" w:lastRow="0" w:firstColumn="0" w:lastColumn="0" w:noHBand="0" w:noVBand="0"/>
      </w:tblPr>
      <w:tblGrid>
        <w:gridCol w:w="2013"/>
        <w:gridCol w:w="671"/>
        <w:gridCol w:w="671"/>
        <w:gridCol w:w="671"/>
        <w:gridCol w:w="671"/>
        <w:gridCol w:w="671"/>
        <w:gridCol w:w="671"/>
        <w:gridCol w:w="671"/>
        <w:gridCol w:w="671"/>
        <w:gridCol w:w="671"/>
        <w:gridCol w:w="2014"/>
      </w:tblGrid>
      <w:tr w:rsidR="00000000">
        <w:tblPrEx>
          <w:tblCellMar>
            <w:top w:w="0" w:type="dxa"/>
            <w:bottom w:w="0" w:type="dxa"/>
          </w:tblCellMar>
        </w:tblPrEx>
        <w:trPr>
          <w:cantSplit/>
        </w:trPr>
        <w:tc>
          <w:tcPr>
            <w:tcW w:w="2013" w:type="dxa"/>
            <w:vMerge w:val="restart"/>
            <w:tcBorders>
              <w:top w:val="single" w:sz="4" w:space="0" w:color="auto"/>
            </w:tcBorders>
          </w:tcPr>
          <w:p w:rsidR="00000000" w:rsidRDefault="00B83709">
            <w:pPr>
              <w:spacing w:line="360" w:lineRule="exact"/>
              <w:rPr>
                <w:rFonts w:eastAsia="SimHei"/>
                <w:bCs/>
                <w:color w:val="FF0000"/>
                <w:szCs w:val="24"/>
              </w:rPr>
            </w:pPr>
            <w:r>
              <w:rPr>
                <w:rFonts w:eastAsia="SimHei" w:hint="eastAsia"/>
                <w:bCs/>
                <w:color w:val="FF0000"/>
                <w:szCs w:val="24"/>
              </w:rPr>
              <w:t>政党</w:t>
            </w:r>
          </w:p>
        </w:tc>
        <w:tc>
          <w:tcPr>
            <w:tcW w:w="2013" w:type="dxa"/>
            <w:gridSpan w:val="3"/>
            <w:tcBorders>
              <w:top w:val="single" w:sz="4" w:space="0" w:color="auto"/>
            </w:tcBorders>
          </w:tcPr>
          <w:p w:rsidR="00000000" w:rsidRDefault="00B83709">
            <w:pPr>
              <w:spacing w:line="360" w:lineRule="exact"/>
              <w:jc w:val="center"/>
              <w:rPr>
                <w:rFonts w:eastAsia="SimHei"/>
                <w:bCs/>
                <w:color w:val="FF0000"/>
                <w:szCs w:val="24"/>
              </w:rPr>
            </w:pPr>
            <w:r>
              <w:rPr>
                <w:rFonts w:eastAsia="SimHei" w:hint="eastAsia"/>
                <w:bCs/>
                <w:color w:val="FF0000"/>
                <w:szCs w:val="24"/>
              </w:rPr>
              <w:t>政党管理成员</w:t>
            </w:r>
          </w:p>
        </w:tc>
        <w:tc>
          <w:tcPr>
            <w:tcW w:w="2013" w:type="dxa"/>
            <w:gridSpan w:val="3"/>
            <w:tcBorders>
              <w:top w:val="single" w:sz="4" w:space="0" w:color="auto"/>
            </w:tcBorders>
          </w:tcPr>
          <w:p w:rsidR="00000000" w:rsidRDefault="00B83709">
            <w:pPr>
              <w:spacing w:line="360" w:lineRule="exact"/>
              <w:jc w:val="center"/>
              <w:rPr>
                <w:rFonts w:eastAsia="SimHei"/>
                <w:bCs/>
                <w:color w:val="FF0000"/>
                <w:szCs w:val="24"/>
              </w:rPr>
            </w:pPr>
            <w:r>
              <w:rPr>
                <w:rFonts w:eastAsia="SimHei" w:hint="eastAsia"/>
                <w:bCs/>
                <w:color w:val="FF0000"/>
                <w:szCs w:val="24"/>
              </w:rPr>
              <w:t>政党顾问</w:t>
            </w:r>
          </w:p>
        </w:tc>
        <w:tc>
          <w:tcPr>
            <w:tcW w:w="2013" w:type="dxa"/>
            <w:gridSpan w:val="3"/>
            <w:tcBorders>
              <w:top w:val="single" w:sz="4" w:space="0" w:color="auto"/>
            </w:tcBorders>
          </w:tcPr>
          <w:p w:rsidR="00000000" w:rsidRDefault="00B83709">
            <w:pPr>
              <w:spacing w:line="360" w:lineRule="exact"/>
              <w:jc w:val="center"/>
              <w:rPr>
                <w:rFonts w:eastAsia="SimHei"/>
                <w:bCs/>
                <w:color w:val="FF0000"/>
                <w:szCs w:val="24"/>
              </w:rPr>
            </w:pPr>
            <w:r>
              <w:rPr>
                <w:rFonts w:eastAsia="SimHei" w:hint="eastAsia"/>
                <w:bCs/>
                <w:color w:val="FF0000"/>
                <w:szCs w:val="24"/>
              </w:rPr>
              <w:t>政党</w:t>
            </w:r>
            <w:r>
              <w:rPr>
                <w:rFonts w:eastAsia="SimHei" w:hint="eastAsia"/>
                <w:bCs/>
                <w:color w:val="FF0000"/>
                <w:szCs w:val="24"/>
              </w:rPr>
              <w:t>顾问负责人</w:t>
            </w:r>
          </w:p>
        </w:tc>
        <w:tc>
          <w:tcPr>
            <w:tcW w:w="2014" w:type="dxa"/>
            <w:vMerge w:val="restart"/>
            <w:tcBorders>
              <w:top w:val="single" w:sz="4" w:space="0" w:color="auto"/>
            </w:tcBorders>
          </w:tcPr>
          <w:p w:rsidR="00000000" w:rsidRDefault="00B83709">
            <w:pPr>
              <w:spacing w:line="360" w:lineRule="exact"/>
              <w:jc w:val="center"/>
              <w:rPr>
                <w:rFonts w:eastAsia="SimHei"/>
                <w:bCs/>
                <w:color w:val="FF0000"/>
                <w:szCs w:val="24"/>
              </w:rPr>
            </w:pPr>
            <w:r>
              <w:rPr>
                <w:rFonts w:eastAsia="SimHei" w:hint="eastAsia"/>
                <w:bCs/>
                <w:color w:val="FF0000"/>
                <w:szCs w:val="24"/>
              </w:rPr>
              <w:t>妇女的比例</w:t>
            </w:r>
          </w:p>
        </w:tc>
      </w:tr>
      <w:tr w:rsidR="00000000">
        <w:tblPrEx>
          <w:tblCellMar>
            <w:top w:w="0" w:type="dxa"/>
            <w:bottom w:w="0" w:type="dxa"/>
          </w:tblCellMar>
        </w:tblPrEx>
        <w:trPr>
          <w:cantSplit/>
        </w:trPr>
        <w:tc>
          <w:tcPr>
            <w:tcW w:w="2013" w:type="dxa"/>
            <w:vMerge/>
            <w:tcBorders>
              <w:bottom w:val="single" w:sz="4" w:space="0" w:color="auto"/>
            </w:tcBorders>
          </w:tcPr>
          <w:p w:rsidR="00000000" w:rsidRDefault="00B83709">
            <w:pPr>
              <w:pStyle w:val="Date"/>
              <w:spacing w:line="360" w:lineRule="exact"/>
              <w:rPr>
                <w:rFonts w:eastAsia="SimHei"/>
                <w:bCs/>
                <w:color w:val="FF0000"/>
                <w:szCs w:val="24"/>
              </w:rPr>
            </w:pP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合计</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合计</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合计</w:t>
            </w:r>
          </w:p>
        </w:tc>
        <w:tc>
          <w:tcPr>
            <w:tcW w:w="2014" w:type="dxa"/>
            <w:vMerge/>
            <w:tcBorders>
              <w:bottom w:val="single" w:sz="4" w:space="0" w:color="auto"/>
            </w:tcBorders>
          </w:tcPr>
          <w:p w:rsidR="00000000" w:rsidRDefault="00B83709">
            <w:pPr>
              <w:spacing w:line="360" w:lineRule="exact"/>
              <w:jc w:val="center"/>
              <w:rPr>
                <w:rFonts w:eastAsia="SimHei"/>
                <w:bCs/>
                <w:color w:val="FF0000"/>
                <w:szCs w:val="24"/>
              </w:rPr>
            </w:pPr>
          </w:p>
        </w:tc>
      </w:tr>
      <w:tr w:rsidR="00000000">
        <w:tblPrEx>
          <w:tblCellMar>
            <w:top w:w="0" w:type="dxa"/>
            <w:bottom w:w="0" w:type="dxa"/>
          </w:tblCellMar>
        </w:tblPrEx>
        <w:trPr>
          <w:cantSplit/>
        </w:trPr>
        <w:tc>
          <w:tcPr>
            <w:tcW w:w="2013"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泰爱泰党</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29</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31</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27</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28</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w:t>
            </w:r>
          </w:p>
        </w:tc>
        <w:tc>
          <w:tcPr>
            <w:tcW w:w="671"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34</w:t>
            </w:r>
          </w:p>
        </w:tc>
        <w:tc>
          <w:tcPr>
            <w:tcW w:w="2014" w:type="dxa"/>
            <w:tcBorders>
              <w:top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5.4</w:t>
            </w:r>
          </w:p>
        </w:tc>
      </w:tr>
      <w:tr w:rsidR="00000000">
        <w:tblPrEx>
          <w:tblCellMar>
            <w:top w:w="0" w:type="dxa"/>
            <w:bottom w:w="0" w:type="dxa"/>
          </w:tblCellMar>
        </w:tblPrEx>
        <w:trPr>
          <w:cantSplit/>
        </w:trPr>
        <w:tc>
          <w:tcPr>
            <w:tcW w:w="2013" w:type="dxa"/>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民主党</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2014"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7.5</w:t>
            </w:r>
          </w:p>
        </w:tc>
      </w:tr>
      <w:tr w:rsidR="00000000">
        <w:tblPrEx>
          <w:tblCellMar>
            <w:top w:w="0" w:type="dxa"/>
            <w:bottom w:w="0" w:type="dxa"/>
          </w:tblCellMar>
        </w:tblPrEx>
        <w:trPr>
          <w:cantSplit/>
        </w:trPr>
        <w:tc>
          <w:tcPr>
            <w:tcW w:w="2013" w:type="dxa"/>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泰国党</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52</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59</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w:t>
            </w:r>
          </w:p>
        </w:tc>
        <w:tc>
          <w:tcPr>
            <w:tcW w:w="2014"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8.6</w:t>
            </w:r>
          </w:p>
        </w:tc>
      </w:tr>
      <w:tr w:rsidR="00000000">
        <w:tblPrEx>
          <w:tblCellMar>
            <w:top w:w="0" w:type="dxa"/>
            <w:bottom w:w="0" w:type="dxa"/>
          </w:tblCellMar>
        </w:tblPrEx>
        <w:trPr>
          <w:cantSplit/>
        </w:trPr>
        <w:tc>
          <w:tcPr>
            <w:tcW w:w="2013" w:type="dxa"/>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国家发展党</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30</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35</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24</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671"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2014" w:type="dxa"/>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10.2</w:t>
            </w:r>
          </w:p>
        </w:tc>
      </w:tr>
      <w:tr w:rsidR="00000000">
        <w:tblPrEx>
          <w:tblCellMar>
            <w:top w:w="0" w:type="dxa"/>
            <w:bottom w:w="0" w:type="dxa"/>
          </w:tblCellMar>
        </w:tblPrEx>
        <w:trPr>
          <w:cantSplit/>
        </w:trPr>
        <w:tc>
          <w:tcPr>
            <w:tcW w:w="2013"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女党员的比例</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10.5</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2.8</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w:t>
            </w:r>
          </w:p>
        </w:tc>
        <w:tc>
          <w:tcPr>
            <w:tcW w:w="671"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2014" w:type="dxa"/>
            <w:tcBorders>
              <w:bottom w:val="single" w:sz="4" w:space="0" w:color="auto"/>
            </w:tcBorders>
          </w:tcPr>
          <w:p w:rsidR="00000000" w:rsidRDefault="00B83709">
            <w:pPr>
              <w:pStyle w:val="BodyText2"/>
              <w:framePr w:w="0" w:hRule="auto" w:hSpace="0" w:wrap="auto" w:vAnchor="margin" w:hAnchor="text" w:xAlign="left" w:yAlign="inline"/>
              <w:spacing w:line="360" w:lineRule="exact"/>
              <w:jc w:val="center"/>
              <w:rPr>
                <w:sz w:val="21"/>
                <w:szCs w:val="24"/>
              </w:rPr>
            </w:pPr>
          </w:p>
        </w:tc>
      </w:tr>
    </w:tbl>
    <w:p w:rsidR="00000000" w:rsidRDefault="00B83709">
      <w:pPr>
        <w:numPr>
          <w:ilvl w:val="0"/>
          <w:numId w:val="1049"/>
        </w:numPr>
        <w:tabs>
          <w:tab w:val="clear" w:pos="360"/>
          <w:tab w:val="num" w:pos="480"/>
        </w:tabs>
        <w:spacing w:before="120" w:after="240" w:line="360" w:lineRule="exact"/>
        <w:rPr>
          <w:szCs w:val="24"/>
        </w:rPr>
      </w:pPr>
      <w:r>
        <w:rPr>
          <w:rFonts w:hint="eastAsia"/>
          <w:szCs w:val="24"/>
        </w:rPr>
        <w:t>妇女在成为选举候选人方面不受歧视。许多政党实际上声称在物色合格妇女候选人方面遇到困难，并建议妇女网络应在这个问题上为妇女提供援</w:t>
      </w:r>
      <w:r>
        <w:rPr>
          <w:rFonts w:hint="eastAsia"/>
          <w:szCs w:val="24"/>
        </w:rPr>
        <w:t>助。但实际上，各政党没有物色可成为候选人的妇女的手段和措施，很多妇女在各级竞选中面临着困难。妇女人数占候选人总数的比例不到</w:t>
      </w:r>
      <w:r>
        <w:rPr>
          <w:rFonts w:hint="eastAsia"/>
          <w:szCs w:val="24"/>
        </w:rPr>
        <w:t>20%</w:t>
      </w:r>
      <w:r>
        <w:rPr>
          <w:rFonts w:hint="eastAsia"/>
          <w:szCs w:val="24"/>
        </w:rPr>
        <w:t>，在一些级别上，这一比例不到</w:t>
      </w:r>
      <w:r>
        <w:rPr>
          <w:rFonts w:hint="eastAsia"/>
          <w:szCs w:val="24"/>
        </w:rPr>
        <w:t>10%</w:t>
      </w:r>
      <w:r>
        <w:rPr>
          <w:rFonts w:hint="eastAsia"/>
          <w:szCs w:val="24"/>
        </w:rPr>
        <w:t>。因此，妇女当选的人数较少。</w:t>
      </w:r>
    </w:p>
    <w:p w:rsidR="00000000" w:rsidRDefault="00B83709">
      <w:pPr>
        <w:numPr>
          <w:ilvl w:val="0"/>
          <w:numId w:val="1049"/>
        </w:numPr>
        <w:tabs>
          <w:tab w:val="clear" w:pos="360"/>
          <w:tab w:val="num" w:pos="480"/>
        </w:tabs>
        <w:spacing w:after="240" w:line="360" w:lineRule="exact"/>
        <w:rPr>
          <w:szCs w:val="24"/>
        </w:rPr>
      </w:pPr>
      <w:r>
        <w:rPr>
          <w:rFonts w:hint="eastAsia"/>
          <w:szCs w:val="24"/>
        </w:rPr>
        <w:t>关于分配给妇女的政党代表名额，每个政党不超过</w:t>
      </w:r>
      <w:r>
        <w:rPr>
          <w:rFonts w:hint="eastAsia"/>
          <w:szCs w:val="24"/>
        </w:rPr>
        <w:t>100</w:t>
      </w:r>
      <w:r>
        <w:rPr>
          <w:rFonts w:hint="eastAsia"/>
          <w:szCs w:val="24"/>
        </w:rPr>
        <w:t>人，有的政党有</w:t>
      </w:r>
      <w:r>
        <w:rPr>
          <w:rFonts w:hint="eastAsia"/>
          <w:szCs w:val="24"/>
        </w:rPr>
        <w:t>25%</w:t>
      </w:r>
      <w:r>
        <w:rPr>
          <w:rFonts w:hint="eastAsia"/>
          <w:szCs w:val="24"/>
        </w:rPr>
        <w:t>的代表是妇女，而其他政党的这一比例要低得多，压低了妇女担任政党代表的人数。</w:t>
      </w:r>
    </w:p>
    <w:p w:rsidR="00000000" w:rsidRDefault="00B83709">
      <w:pPr>
        <w:spacing w:after="240" w:line="360" w:lineRule="exact"/>
        <w:rPr>
          <w:rFonts w:eastAsia="SimHei" w:hint="eastAsia"/>
          <w:color w:val="FF0000"/>
        </w:rPr>
      </w:pPr>
      <w:r>
        <w:rPr>
          <w:rFonts w:eastAsia="SimHei" w:hint="eastAsia"/>
          <w:color w:val="FF0000"/>
        </w:rPr>
        <w:t>政府行政管理职位</w:t>
      </w:r>
    </w:p>
    <w:p w:rsidR="00000000" w:rsidRDefault="00B83709">
      <w:pPr>
        <w:numPr>
          <w:ilvl w:val="0"/>
          <w:numId w:val="1049"/>
        </w:numPr>
        <w:tabs>
          <w:tab w:val="clear" w:pos="360"/>
          <w:tab w:val="num" w:pos="480"/>
        </w:tabs>
        <w:spacing w:after="240" w:line="360" w:lineRule="exact"/>
        <w:rPr>
          <w:szCs w:val="24"/>
        </w:rPr>
      </w:pPr>
      <w:r>
        <w:rPr>
          <w:rFonts w:hint="eastAsia"/>
          <w:szCs w:val="24"/>
        </w:rPr>
        <w:t>2001</w:t>
      </w:r>
      <w:r>
        <w:rPr>
          <w:rFonts w:hint="eastAsia"/>
          <w:szCs w:val="24"/>
        </w:rPr>
        <w:t>年任命的女性行政管理人员包括一名女府尹（</w:t>
      </w:r>
      <w:r>
        <w:rPr>
          <w:rFonts w:hint="eastAsia"/>
          <w:szCs w:val="24"/>
        </w:rPr>
        <w:t>2002</w:t>
      </w:r>
      <w:r>
        <w:rPr>
          <w:rFonts w:hint="eastAsia"/>
          <w:szCs w:val="24"/>
        </w:rPr>
        <w:t>年没有女府尹）和一名副府尹。此外，</w:t>
      </w:r>
      <w:r>
        <w:rPr>
          <w:szCs w:val="24"/>
        </w:rPr>
        <w:t>6</w:t>
      </w:r>
      <w:r>
        <w:rPr>
          <w:rFonts w:hint="eastAsia"/>
          <w:szCs w:val="24"/>
        </w:rPr>
        <w:t xml:space="preserve"> </w:t>
      </w:r>
      <w:r>
        <w:rPr>
          <w:szCs w:val="24"/>
        </w:rPr>
        <w:t>283</w:t>
      </w:r>
      <w:r>
        <w:rPr>
          <w:rFonts w:hint="eastAsia"/>
          <w:szCs w:val="24"/>
        </w:rPr>
        <w:t>名县官员中有</w:t>
      </w:r>
      <w:r>
        <w:rPr>
          <w:szCs w:val="24"/>
        </w:rPr>
        <w:t>714</w:t>
      </w:r>
      <w:r>
        <w:rPr>
          <w:rFonts w:hint="eastAsia"/>
          <w:szCs w:val="24"/>
        </w:rPr>
        <w:t>名（或占</w:t>
      </w:r>
      <w:r>
        <w:rPr>
          <w:szCs w:val="24"/>
        </w:rPr>
        <w:t>11%</w:t>
      </w:r>
      <w:r>
        <w:rPr>
          <w:rFonts w:hint="eastAsia"/>
          <w:szCs w:val="24"/>
        </w:rPr>
        <w:t>）妇女。这一数字同</w:t>
      </w:r>
      <w:r>
        <w:rPr>
          <w:rFonts w:hint="eastAsia"/>
          <w:szCs w:val="24"/>
        </w:rPr>
        <w:t>199</w:t>
      </w:r>
      <w:r>
        <w:rPr>
          <w:rFonts w:hint="eastAsia"/>
          <w:szCs w:val="24"/>
        </w:rPr>
        <w:t>3</w:t>
      </w:r>
      <w:r>
        <w:rPr>
          <w:rFonts w:hint="eastAsia"/>
          <w:szCs w:val="24"/>
        </w:rPr>
        <w:t>年相比有所增加，当时，女性县级官员仅占</w:t>
      </w:r>
      <w:r>
        <w:rPr>
          <w:rFonts w:hint="eastAsia"/>
          <w:szCs w:val="24"/>
        </w:rPr>
        <w:t>7 890</w:t>
      </w:r>
      <w:r>
        <w:rPr>
          <w:rFonts w:hint="eastAsia"/>
          <w:szCs w:val="24"/>
        </w:rPr>
        <w:t>个职位的</w:t>
      </w:r>
      <w:r>
        <w:rPr>
          <w:szCs w:val="24"/>
        </w:rPr>
        <w:t>0.2%</w:t>
      </w:r>
      <w:r>
        <w:rPr>
          <w:rFonts w:hint="eastAsia"/>
          <w:szCs w:val="24"/>
        </w:rPr>
        <w:t>。目前没有女府尹常务秘书以及女县长，尽管已经消除了政府职位方面的歧视。</w:t>
      </w:r>
    </w:p>
    <w:p w:rsidR="00000000" w:rsidRDefault="00B83709">
      <w:pPr>
        <w:numPr>
          <w:ilvl w:val="0"/>
          <w:numId w:val="1049"/>
        </w:numPr>
        <w:tabs>
          <w:tab w:val="clear" w:pos="360"/>
          <w:tab w:val="num" w:pos="480"/>
        </w:tabs>
        <w:spacing w:after="240" w:line="360" w:lineRule="exact"/>
        <w:rPr>
          <w:szCs w:val="24"/>
        </w:rPr>
      </w:pPr>
      <w:r>
        <w:rPr>
          <w:rFonts w:hint="eastAsia"/>
          <w:szCs w:val="24"/>
        </w:rPr>
        <w:t>关于</w:t>
      </w:r>
      <w:r>
        <w:rPr>
          <w:rFonts w:hint="eastAsia"/>
          <w:szCs w:val="24"/>
        </w:rPr>
        <w:t>2000</w:t>
      </w:r>
      <w:r>
        <w:rPr>
          <w:rFonts w:hint="eastAsia"/>
          <w:szCs w:val="24"/>
        </w:rPr>
        <w:t>年行政管理人员的人数，从公务员制度委员会办公室获得的数据显示，担任监察主人职位的有</w:t>
      </w:r>
      <w:r>
        <w:rPr>
          <w:rFonts w:hint="eastAsia"/>
          <w:szCs w:val="24"/>
        </w:rPr>
        <w:t>87</w:t>
      </w:r>
      <w:r>
        <w:rPr>
          <w:rFonts w:hint="eastAsia"/>
          <w:szCs w:val="24"/>
        </w:rPr>
        <w:t>名男子和</w:t>
      </w:r>
      <w:r>
        <w:rPr>
          <w:rFonts w:hint="eastAsia"/>
          <w:szCs w:val="24"/>
        </w:rPr>
        <w:t>12</w:t>
      </w:r>
      <w:r>
        <w:rPr>
          <w:rFonts w:hint="eastAsia"/>
          <w:szCs w:val="24"/>
        </w:rPr>
        <w:t>名妇女（</w:t>
      </w:r>
      <w:r>
        <w:rPr>
          <w:rFonts w:hint="eastAsia"/>
          <w:szCs w:val="24"/>
        </w:rPr>
        <w:t>12.1%</w:t>
      </w:r>
      <w:r>
        <w:rPr>
          <w:rFonts w:hint="eastAsia"/>
          <w:szCs w:val="24"/>
        </w:rPr>
        <w:t>）。在警察部队，下述职位没有妇女担任：警察司令、副司令、司令助理以及专员。</w:t>
      </w:r>
      <w:r>
        <w:rPr>
          <w:rFonts w:hint="eastAsia"/>
          <w:szCs w:val="24"/>
        </w:rPr>
        <w:t>2000</w:t>
      </w:r>
      <w:r>
        <w:rPr>
          <w:rFonts w:hint="eastAsia"/>
          <w:szCs w:val="24"/>
        </w:rPr>
        <w:t>年，妇女（仅一名妇女）在警察部队中担任的最高职位是警察少将。在司法机构，下述职位没有妇女担任：检察总长、副检察总长和总监。</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表</w:t>
      </w:r>
      <w:r>
        <w:rPr>
          <w:rFonts w:hint="eastAsia"/>
          <w:szCs w:val="24"/>
        </w:rPr>
        <w:t>6</w:t>
      </w:r>
      <w:r>
        <w:rPr>
          <w:rFonts w:hint="eastAsia"/>
          <w:szCs w:val="24"/>
        </w:rPr>
        <w:t>列示了</w:t>
      </w:r>
      <w:r>
        <w:rPr>
          <w:rFonts w:hint="eastAsia"/>
          <w:szCs w:val="24"/>
        </w:rPr>
        <w:t>1998</w:t>
      </w:r>
      <w:r>
        <w:rPr>
          <w:rFonts w:hint="eastAsia"/>
          <w:szCs w:val="24"/>
        </w:rPr>
        <w:t>至</w:t>
      </w:r>
      <w:r>
        <w:rPr>
          <w:rFonts w:hint="eastAsia"/>
          <w:szCs w:val="24"/>
        </w:rPr>
        <w:t>2001</w:t>
      </w:r>
      <w:r>
        <w:rPr>
          <w:rFonts w:hint="eastAsia"/>
          <w:szCs w:val="24"/>
        </w:rPr>
        <w:t>年间司法机构</w:t>
      </w:r>
      <w:r>
        <w:rPr>
          <w:rFonts w:hint="eastAsia"/>
          <w:szCs w:val="24"/>
        </w:rPr>
        <w:t>的男女人数。</w:t>
      </w:r>
    </w:p>
    <w:p w:rsidR="00000000" w:rsidRDefault="00B83709">
      <w:pPr>
        <w:spacing w:after="240" w:line="360" w:lineRule="exact"/>
        <w:rPr>
          <w:rFonts w:hint="eastAsia"/>
          <w:szCs w:val="24"/>
        </w:rPr>
      </w:pPr>
      <w:r>
        <w:rPr>
          <w:rFonts w:ascii="SimHei" w:eastAsia="SimHei"/>
          <w:bCs/>
          <w:color w:val="FF0000"/>
          <w:szCs w:val="24"/>
        </w:rPr>
        <w:br w:type="page"/>
      </w:r>
      <w:r>
        <w:rPr>
          <w:rFonts w:ascii="SimHei" w:eastAsia="SimHei" w:hint="eastAsia"/>
          <w:bCs/>
          <w:color w:val="FF0000"/>
          <w:szCs w:val="24"/>
        </w:rPr>
        <w:t>表</w:t>
      </w:r>
      <w:r>
        <w:rPr>
          <w:rFonts w:ascii="SimHei" w:eastAsia="SimHei" w:hint="eastAsia"/>
          <w:bCs/>
          <w:color w:val="FF0000"/>
          <w:szCs w:val="24"/>
        </w:rPr>
        <w:t>6</w:t>
      </w:r>
      <w:r>
        <w:rPr>
          <w:rFonts w:ascii="SimHei" w:eastAsia="SimHei"/>
          <w:bCs/>
          <w:color w:val="FF0000"/>
          <w:szCs w:val="24"/>
        </w:rPr>
        <w:t>.</w:t>
      </w:r>
      <w:r>
        <w:rPr>
          <w:szCs w:val="24"/>
        </w:rPr>
        <w:t xml:space="preserve"> </w:t>
      </w:r>
      <w:r>
        <w:rPr>
          <w:rFonts w:hint="eastAsia"/>
          <w:szCs w:val="24"/>
        </w:rPr>
        <w:t>1996</w:t>
      </w:r>
      <w:r>
        <w:rPr>
          <w:rFonts w:hint="eastAsia"/>
          <w:szCs w:val="24"/>
        </w:rPr>
        <w:t>至</w:t>
      </w:r>
      <w:r>
        <w:rPr>
          <w:rFonts w:hint="eastAsia"/>
          <w:szCs w:val="24"/>
        </w:rPr>
        <w:t>2000</w:t>
      </w:r>
      <w:r>
        <w:rPr>
          <w:rFonts w:hint="eastAsia"/>
          <w:szCs w:val="24"/>
        </w:rPr>
        <w:t>年司法领域的男女人数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838"/>
        <w:gridCol w:w="839"/>
        <w:gridCol w:w="839"/>
        <w:gridCol w:w="839"/>
        <w:gridCol w:w="839"/>
        <w:gridCol w:w="839"/>
        <w:gridCol w:w="839"/>
        <w:gridCol w:w="839"/>
        <w:gridCol w:w="839"/>
      </w:tblGrid>
      <w:tr w:rsidR="00000000">
        <w:tblPrEx>
          <w:tblCellMar>
            <w:top w:w="0" w:type="dxa"/>
            <w:bottom w:w="0" w:type="dxa"/>
          </w:tblCellMar>
        </w:tblPrEx>
        <w:trPr>
          <w:cantSplit/>
        </w:trPr>
        <w:tc>
          <w:tcPr>
            <w:tcW w:w="2516" w:type="dxa"/>
            <w:vMerge w:val="restart"/>
            <w:tcBorders>
              <w:top w:val="single" w:sz="4" w:space="0" w:color="auto"/>
              <w:left w:val="nil"/>
              <w:bottom w:val="nil"/>
              <w:right w:val="nil"/>
            </w:tcBorders>
            <w:vAlign w:val="center"/>
          </w:tcPr>
          <w:p w:rsidR="00000000" w:rsidRDefault="00B83709">
            <w:pPr>
              <w:spacing w:line="360" w:lineRule="exact"/>
              <w:rPr>
                <w:rFonts w:ascii="SimHei" w:eastAsia="SimHei" w:hint="eastAsia"/>
                <w:color w:val="FF0000"/>
                <w:sz w:val="18"/>
                <w:szCs w:val="24"/>
              </w:rPr>
            </w:pPr>
            <w:r>
              <w:rPr>
                <w:rFonts w:ascii="SimHei" w:eastAsia="SimHei" w:hint="eastAsia"/>
                <w:color w:val="FF0000"/>
                <w:sz w:val="18"/>
                <w:szCs w:val="24"/>
              </w:rPr>
              <w:t>职位</w:t>
            </w:r>
          </w:p>
        </w:tc>
        <w:tc>
          <w:tcPr>
            <w:tcW w:w="2516" w:type="dxa"/>
            <w:gridSpan w:val="3"/>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bCs/>
                <w:color w:val="FF0000"/>
                <w:sz w:val="18"/>
                <w:szCs w:val="24"/>
              </w:rPr>
              <w:t>1996</w:t>
            </w:r>
            <w:r>
              <w:rPr>
                <w:rFonts w:ascii="SimHei" w:hint="eastAsia"/>
                <w:bCs/>
                <w:color w:val="FF0000"/>
                <w:sz w:val="18"/>
                <w:szCs w:val="24"/>
              </w:rPr>
              <w:t>年</w:t>
            </w:r>
          </w:p>
        </w:tc>
        <w:tc>
          <w:tcPr>
            <w:tcW w:w="2517" w:type="dxa"/>
            <w:gridSpan w:val="3"/>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bCs/>
                <w:color w:val="FF0000"/>
                <w:sz w:val="18"/>
                <w:szCs w:val="24"/>
              </w:rPr>
              <w:t>1999</w:t>
            </w:r>
            <w:r>
              <w:rPr>
                <w:rFonts w:ascii="SimHei" w:hint="eastAsia"/>
                <w:bCs/>
                <w:color w:val="FF0000"/>
                <w:sz w:val="18"/>
                <w:szCs w:val="24"/>
              </w:rPr>
              <w:t>年</w:t>
            </w:r>
          </w:p>
        </w:tc>
        <w:tc>
          <w:tcPr>
            <w:tcW w:w="2517" w:type="dxa"/>
            <w:gridSpan w:val="3"/>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bCs/>
                <w:color w:val="FF0000"/>
                <w:sz w:val="18"/>
                <w:szCs w:val="24"/>
              </w:rPr>
              <w:t>2000</w:t>
            </w:r>
            <w:r>
              <w:rPr>
                <w:rFonts w:ascii="SimHei" w:hint="eastAsia"/>
                <w:bCs/>
                <w:color w:val="FF0000"/>
                <w:sz w:val="18"/>
                <w:szCs w:val="24"/>
              </w:rPr>
              <w:t>年</w:t>
            </w:r>
          </w:p>
        </w:tc>
      </w:tr>
      <w:tr w:rsidR="00000000">
        <w:tblPrEx>
          <w:tblCellMar>
            <w:top w:w="0" w:type="dxa"/>
            <w:bottom w:w="0" w:type="dxa"/>
          </w:tblCellMar>
        </w:tblPrEx>
        <w:trPr>
          <w:cantSplit/>
        </w:trPr>
        <w:tc>
          <w:tcPr>
            <w:tcW w:w="2516" w:type="dxa"/>
            <w:vMerge/>
            <w:tcBorders>
              <w:top w:val="nil"/>
              <w:left w:val="nil"/>
              <w:bottom w:val="single" w:sz="4" w:space="0" w:color="auto"/>
              <w:right w:val="nil"/>
            </w:tcBorders>
          </w:tcPr>
          <w:p w:rsidR="00000000" w:rsidRDefault="00B83709">
            <w:pPr>
              <w:spacing w:line="360" w:lineRule="exact"/>
              <w:rPr>
                <w:rFonts w:ascii="SimHei" w:eastAsia="SimHei" w:hint="eastAsia"/>
                <w:color w:val="FF0000"/>
                <w:sz w:val="18"/>
                <w:szCs w:val="24"/>
              </w:rPr>
            </w:pPr>
          </w:p>
        </w:tc>
        <w:tc>
          <w:tcPr>
            <w:tcW w:w="838"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女</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男</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女性的比例</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女</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男</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女性的比例</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女</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男</w:t>
            </w:r>
          </w:p>
        </w:tc>
        <w:tc>
          <w:tcPr>
            <w:tcW w:w="83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ascii="SimHei" w:hint="eastAsia"/>
                <w:bCs/>
                <w:color w:val="FF0000"/>
                <w:sz w:val="18"/>
                <w:szCs w:val="24"/>
              </w:rPr>
            </w:pPr>
            <w:r>
              <w:rPr>
                <w:rFonts w:ascii="SimHei" w:hint="eastAsia"/>
                <w:bCs/>
                <w:color w:val="FF0000"/>
                <w:sz w:val="18"/>
                <w:szCs w:val="24"/>
              </w:rPr>
              <w:t>女性的比例</w:t>
            </w:r>
          </w:p>
        </w:tc>
      </w:tr>
      <w:tr w:rsidR="00000000">
        <w:tblPrEx>
          <w:tblCellMar>
            <w:top w:w="0" w:type="dxa"/>
            <w:bottom w:w="0" w:type="dxa"/>
          </w:tblCellMar>
        </w:tblPrEx>
        <w:trPr>
          <w:cantSplit/>
        </w:trPr>
        <w:tc>
          <w:tcPr>
            <w:tcW w:w="2516"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最高法院院长</w:t>
            </w:r>
          </w:p>
        </w:tc>
        <w:tc>
          <w:tcPr>
            <w:tcW w:w="838"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p>
        </w:tc>
        <w:tc>
          <w:tcPr>
            <w:tcW w:w="83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副院长</w:t>
            </w:r>
          </w:p>
        </w:tc>
        <w:tc>
          <w:tcPr>
            <w:tcW w:w="83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5</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5</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5</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初级法院法官</w:t>
            </w:r>
          </w:p>
        </w:tc>
        <w:tc>
          <w:tcPr>
            <w:tcW w:w="83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25</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24</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4</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24</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4</w:t>
            </w: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18"/>
                <w:szCs w:val="24"/>
              </w:rPr>
            </w:pPr>
            <w:r>
              <w:rPr>
                <w:rFonts w:eastAsia="SimSun" w:hint="eastAsia"/>
                <w:sz w:val="18"/>
                <w:szCs w:val="24"/>
              </w:rPr>
              <w:t>上诉法院法官</w:t>
            </w:r>
          </w:p>
        </w:tc>
        <w:tc>
          <w:tcPr>
            <w:tcW w:w="83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4</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18"/>
                <w:szCs w:val="24"/>
              </w:rPr>
            </w:pPr>
            <w:r>
              <w:rPr>
                <w:rFonts w:eastAsia="SimSun" w:hint="eastAsia"/>
                <w:sz w:val="18"/>
                <w:szCs w:val="24"/>
              </w:rPr>
              <w:t>最高法院法官</w:t>
            </w:r>
          </w:p>
        </w:tc>
        <w:tc>
          <w:tcPr>
            <w:tcW w:w="83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9</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10</w:t>
            </w:r>
          </w:p>
        </w:tc>
        <w:tc>
          <w:tcPr>
            <w:tcW w:w="83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9.1</w:t>
            </w:r>
          </w:p>
        </w:tc>
      </w:tr>
      <w:tr w:rsidR="00000000">
        <w:tblPrEx>
          <w:tblCellMar>
            <w:top w:w="0" w:type="dxa"/>
            <w:bottom w:w="0" w:type="dxa"/>
          </w:tblCellMar>
        </w:tblPrEx>
        <w:trPr>
          <w:cantSplit/>
        </w:trPr>
        <w:tc>
          <w:tcPr>
            <w:tcW w:w="2516"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官员</w:t>
            </w:r>
          </w:p>
        </w:tc>
        <w:tc>
          <w:tcPr>
            <w:tcW w:w="838"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178</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r>
              <w:rPr>
                <w:rFonts w:hint="eastAsia"/>
                <w:sz w:val="18"/>
                <w:szCs w:val="24"/>
              </w:rPr>
              <w:t xml:space="preserve"> </w:t>
            </w:r>
            <w:r>
              <w:rPr>
                <w:sz w:val="18"/>
                <w:szCs w:val="24"/>
              </w:rPr>
              <w:t>449</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10.9</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200</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r>
              <w:rPr>
                <w:rFonts w:hint="eastAsia"/>
                <w:sz w:val="18"/>
                <w:szCs w:val="24"/>
              </w:rPr>
              <w:t xml:space="preserve"> </w:t>
            </w:r>
            <w:r>
              <w:rPr>
                <w:sz w:val="18"/>
                <w:szCs w:val="24"/>
              </w:rPr>
              <w:t>477</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11.9</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2</w:t>
            </w:r>
            <w:r>
              <w:rPr>
                <w:sz w:val="18"/>
                <w:szCs w:val="24"/>
              </w:rPr>
              <w:t>10</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w:t>
            </w:r>
            <w:r>
              <w:rPr>
                <w:rFonts w:hint="eastAsia"/>
                <w:sz w:val="18"/>
                <w:szCs w:val="24"/>
              </w:rPr>
              <w:t xml:space="preserve"> </w:t>
            </w:r>
            <w:r>
              <w:rPr>
                <w:sz w:val="18"/>
                <w:szCs w:val="24"/>
              </w:rPr>
              <w:t>526</w:t>
            </w:r>
          </w:p>
        </w:tc>
        <w:tc>
          <w:tcPr>
            <w:tcW w:w="83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18"/>
                <w:szCs w:val="24"/>
              </w:rPr>
            </w:pPr>
            <w:r>
              <w:rPr>
                <w:sz w:val="18"/>
                <w:szCs w:val="24"/>
              </w:rPr>
              <w:t>12.1</w:t>
            </w:r>
          </w:p>
        </w:tc>
      </w:tr>
    </w:tbl>
    <w:p w:rsidR="00000000" w:rsidRDefault="00B83709">
      <w:pPr>
        <w:numPr>
          <w:ilvl w:val="0"/>
          <w:numId w:val="1049"/>
        </w:numPr>
        <w:tabs>
          <w:tab w:val="clear" w:pos="360"/>
          <w:tab w:val="num" w:pos="480"/>
        </w:tabs>
        <w:spacing w:before="120" w:after="240" w:line="360" w:lineRule="exact"/>
        <w:rPr>
          <w:szCs w:val="24"/>
        </w:rPr>
      </w:pPr>
      <w:r>
        <w:rPr>
          <w:szCs w:val="24"/>
        </w:rPr>
        <w:t>1997</w:t>
      </w:r>
      <w:r>
        <w:rPr>
          <w:rFonts w:hint="eastAsia"/>
          <w:szCs w:val="24"/>
        </w:rPr>
        <w:t>至</w:t>
      </w:r>
      <w:r>
        <w:rPr>
          <w:szCs w:val="24"/>
        </w:rPr>
        <w:t>2001</w:t>
      </w:r>
      <w:r>
        <w:rPr>
          <w:rFonts w:hint="eastAsia"/>
          <w:szCs w:val="24"/>
        </w:rPr>
        <w:t>年，初级法院、上诉法院和最高法院的女法官人数与</w:t>
      </w:r>
      <w:r>
        <w:rPr>
          <w:rFonts w:hint="eastAsia"/>
          <w:szCs w:val="24"/>
        </w:rPr>
        <w:t>1996</w:t>
      </w:r>
      <w:r>
        <w:rPr>
          <w:rFonts w:hint="eastAsia"/>
          <w:szCs w:val="24"/>
        </w:rPr>
        <w:t>年报告的数字相比有所增加。尽管初级法院增加的数字很小，但上诉法院和最高法院的增加幅度很大。</w:t>
      </w:r>
      <w:r>
        <w:rPr>
          <w:rFonts w:hint="eastAsia"/>
          <w:szCs w:val="24"/>
        </w:rPr>
        <w:t>1995</w:t>
      </w:r>
      <w:r>
        <w:rPr>
          <w:rFonts w:hint="eastAsia"/>
          <w:szCs w:val="24"/>
        </w:rPr>
        <w:t>年，妇女仅占上诉法院和最高法院成员的</w:t>
      </w:r>
      <w:r>
        <w:rPr>
          <w:szCs w:val="24"/>
        </w:rPr>
        <w:t xml:space="preserve"> 9%</w:t>
      </w:r>
      <w:r>
        <w:rPr>
          <w:rFonts w:hint="eastAsia"/>
          <w:szCs w:val="24"/>
        </w:rPr>
        <w:t>和</w:t>
      </w:r>
      <w:r>
        <w:rPr>
          <w:szCs w:val="24"/>
        </w:rPr>
        <w:t>0.8%</w:t>
      </w:r>
      <w:r>
        <w:rPr>
          <w:rFonts w:hint="eastAsia"/>
          <w:szCs w:val="24"/>
        </w:rPr>
        <w:t>。五年后，即在</w:t>
      </w:r>
      <w:r>
        <w:rPr>
          <w:rFonts w:hint="eastAsia"/>
          <w:szCs w:val="24"/>
        </w:rPr>
        <w:t>2000</w:t>
      </w:r>
      <w:r>
        <w:rPr>
          <w:rFonts w:hint="eastAsia"/>
          <w:szCs w:val="24"/>
        </w:rPr>
        <w:t>年，这些比例分别增至</w:t>
      </w:r>
      <w:r>
        <w:rPr>
          <w:szCs w:val="24"/>
        </w:rPr>
        <w:t>18.8%</w:t>
      </w:r>
      <w:r>
        <w:rPr>
          <w:rFonts w:hint="eastAsia"/>
          <w:szCs w:val="24"/>
        </w:rPr>
        <w:t>和</w:t>
      </w:r>
      <w:r>
        <w:rPr>
          <w:szCs w:val="24"/>
        </w:rPr>
        <w:t>5.8%</w:t>
      </w:r>
      <w:r>
        <w:rPr>
          <w:rFonts w:hint="eastAsia"/>
          <w:szCs w:val="24"/>
        </w:rPr>
        <w:t xml:space="preserve">，或者说，上诉法院的妇女比例翻了一番，最高法院的妇女比例增加了六倍。　</w:t>
      </w:r>
    </w:p>
    <w:p w:rsidR="00000000" w:rsidRDefault="00B83709">
      <w:pPr>
        <w:numPr>
          <w:ilvl w:val="0"/>
          <w:numId w:val="1049"/>
        </w:numPr>
        <w:tabs>
          <w:tab w:val="clear" w:pos="360"/>
          <w:tab w:val="num" w:pos="480"/>
        </w:tabs>
        <w:spacing w:after="240" w:line="360" w:lineRule="exact"/>
        <w:rPr>
          <w:szCs w:val="24"/>
        </w:rPr>
      </w:pPr>
      <w:r>
        <w:rPr>
          <w:rFonts w:hint="eastAsia"/>
          <w:szCs w:val="24"/>
        </w:rPr>
        <w:t>特别是在</w:t>
      </w:r>
      <w:r>
        <w:rPr>
          <w:szCs w:val="24"/>
        </w:rPr>
        <w:t>2001</w:t>
      </w:r>
      <w:r>
        <w:rPr>
          <w:rFonts w:hint="eastAsia"/>
          <w:szCs w:val="24"/>
        </w:rPr>
        <w:t>至</w:t>
      </w:r>
      <w:r>
        <w:rPr>
          <w:szCs w:val="24"/>
        </w:rPr>
        <w:t>2002</w:t>
      </w:r>
      <w:r>
        <w:rPr>
          <w:rFonts w:hint="eastAsia"/>
          <w:szCs w:val="24"/>
        </w:rPr>
        <w:t>年，表</w:t>
      </w:r>
      <w:r>
        <w:rPr>
          <w:rFonts w:hint="eastAsia"/>
          <w:szCs w:val="24"/>
        </w:rPr>
        <w:t>7</w:t>
      </w:r>
      <w:r>
        <w:rPr>
          <w:rFonts w:hint="eastAsia"/>
          <w:szCs w:val="24"/>
        </w:rPr>
        <w:t>列示的资料未按法院的级别分类。不过，三级法院提供的总数字显示，</w:t>
      </w:r>
      <w:r>
        <w:rPr>
          <w:rFonts w:hint="eastAsia"/>
          <w:szCs w:val="24"/>
        </w:rPr>
        <w:t>2001</w:t>
      </w:r>
      <w:r>
        <w:rPr>
          <w:rFonts w:hint="eastAsia"/>
          <w:szCs w:val="24"/>
        </w:rPr>
        <w:t>年的男法官人数为</w:t>
      </w:r>
      <w:r>
        <w:rPr>
          <w:szCs w:val="24"/>
        </w:rPr>
        <w:t>2</w:t>
      </w:r>
      <w:r>
        <w:rPr>
          <w:rFonts w:hint="eastAsia"/>
          <w:szCs w:val="24"/>
        </w:rPr>
        <w:t xml:space="preserve"> </w:t>
      </w:r>
      <w:r>
        <w:rPr>
          <w:szCs w:val="24"/>
        </w:rPr>
        <w:t>2</w:t>
      </w:r>
      <w:r>
        <w:rPr>
          <w:szCs w:val="24"/>
        </w:rPr>
        <w:t>56</w:t>
      </w:r>
      <w:r>
        <w:rPr>
          <w:rFonts w:hint="eastAsia"/>
          <w:szCs w:val="24"/>
        </w:rPr>
        <w:t>人，女法官为</w:t>
      </w:r>
      <w:r>
        <w:rPr>
          <w:rFonts w:hint="eastAsia"/>
          <w:szCs w:val="24"/>
        </w:rPr>
        <w:t>500</w:t>
      </w:r>
      <w:r>
        <w:rPr>
          <w:rFonts w:hint="eastAsia"/>
          <w:szCs w:val="24"/>
        </w:rPr>
        <w:t>人，或占总数的</w:t>
      </w:r>
      <w:r>
        <w:rPr>
          <w:szCs w:val="24"/>
        </w:rPr>
        <w:t>18.4%</w:t>
      </w:r>
      <w:r>
        <w:rPr>
          <w:rFonts w:hint="eastAsia"/>
          <w:szCs w:val="24"/>
        </w:rPr>
        <w:t>。</w:t>
      </w:r>
      <w:r>
        <w:rPr>
          <w:rFonts w:hint="eastAsia"/>
          <w:szCs w:val="24"/>
        </w:rPr>
        <w:t>2002</w:t>
      </w:r>
      <w:r>
        <w:rPr>
          <w:rFonts w:hint="eastAsia"/>
          <w:szCs w:val="24"/>
        </w:rPr>
        <w:t>年，男法官为</w:t>
      </w:r>
      <w:r>
        <w:rPr>
          <w:szCs w:val="24"/>
        </w:rPr>
        <w:t>2</w:t>
      </w:r>
      <w:r>
        <w:rPr>
          <w:rFonts w:hint="eastAsia"/>
          <w:szCs w:val="24"/>
        </w:rPr>
        <w:t xml:space="preserve"> </w:t>
      </w:r>
      <w:r>
        <w:rPr>
          <w:szCs w:val="24"/>
        </w:rPr>
        <w:t>118</w:t>
      </w:r>
      <w:r>
        <w:rPr>
          <w:rFonts w:hint="eastAsia"/>
          <w:szCs w:val="24"/>
        </w:rPr>
        <w:t>名，女法官</w:t>
      </w:r>
      <w:r>
        <w:rPr>
          <w:szCs w:val="24"/>
        </w:rPr>
        <w:t>518</w:t>
      </w:r>
      <w:r>
        <w:rPr>
          <w:rFonts w:hint="eastAsia"/>
          <w:szCs w:val="24"/>
        </w:rPr>
        <w:t>名，或占总数的</w:t>
      </w:r>
      <w:r>
        <w:rPr>
          <w:szCs w:val="24"/>
        </w:rPr>
        <w:t>19.65%</w:t>
      </w:r>
      <w:r>
        <w:rPr>
          <w:rFonts w:hint="eastAsia"/>
          <w:szCs w:val="24"/>
        </w:rPr>
        <w:t>。</w:t>
      </w:r>
    </w:p>
    <w:p w:rsidR="00000000" w:rsidRDefault="00B83709">
      <w:pPr>
        <w:spacing w:after="240" w:line="360" w:lineRule="exact"/>
        <w:rPr>
          <w:rFonts w:hint="eastAsia"/>
          <w:szCs w:val="24"/>
        </w:rPr>
      </w:pPr>
      <w:r>
        <w:rPr>
          <w:rFonts w:ascii="SimHei" w:eastAsia="SimHei" w:hint="eastAsia"/>
          <w:bCs/>
          <w:color w:val="FF0000"/>
          <w:szCs w:val="24"/>
        </w:rPr>
        <w:t>表</w:t>
      </w:r>
      <w:r>
        <w:rPr>
          <w:rFonts w:ascii="SimHei" w:eastAsia="SimHei" w:hint="eastAsia"/>
          <w:bCs/>
          <w:color w:val="FF0000"/>
          <w:szCs w:val="24"/>
        </w:rPr>
        <w:t>7</w:t>
      </w:r>
      <w:r>
        <w:rPr>
          <w:rFonts w:ascii="SimHei" w:eastAsia="SimHei"/>
          <w:bCs/>
          <w:color w:val="FF0000"/>
          <w:szCs w:val="24"/>
        </w:rPr>
        <w:t xml:space="preserve">. </w:t>
      </w:r>
      <w:r>
        <w:rPr>
          <w:rFonts w:hint="eastAsia"/>
          <w:szCs w:val="24"/>
        </w:rPr>
        <w:t>1998</w:t>
      </w:r>
      <w:r>
        <w:rPr>
          <w:rFonts w:hint="eastAsia"/>
          <w:szCs w:val="24"/>
        </w:rPr>
        <w:t>至</w:t>
      </w:r>
      <w:r>
        <w:rPr>
          <w:rFonts w:hint="eastAsia"/>
          <w:szCs w:val="24"/>
        </w:rPr>
        <w:t>2001</w:t>
      </w:r>
      <w:r>
        <w:rPr>
          <w:rFonts w:hint="eastAsia"/>
          <w:szCs w:val="24"/>
        </w:rPr>
        <w:t>年男女法官的人数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1258"/>
        <w:gridCol w:w="1258"/>
        <w:gridCol w:w="1259"/>
        <w:gridCol w:w="1258"/>
        <w:gridCol w:w="1258"/>
        <w:gridCol w:w="1259"/>
      </w:tblGrid>
      <w:tr w:rsidR="00000000">
        <w:tblPrEx>
          <w:tblCellMar>
            <w:top w:w="0" w:type="dxa"/>
            <w:bottom w:w="0" w:type="dxa"/>
          </w:tblCellMar>
        </w:tblPrEx>
        <w:trPr>
          <w:cantSplit/>
        </w:trPr>
        <w:tc>
          <w:tcPr>
            <w:tcW w:w="2516" w:type="dxa"/>
            <w:vMerge w:val="restart"/>
            <w:tcBorders>
              <w:top w:val="single" w:sz="4" w:space="0" w:color="auto"/>
              <w:left w:val="nil"/>
              <w:right w:val="nil"/>
            </w:tcBorders>
            <w:vAlign w:val="center"/>
          </w:tcPr>
          <w:p w:rsidR="00000000" w:rsidRDefault="00B83709">
            <w:pPr>
              <w:spacing w:line="360" w:lineRule="exact"/>
              <w:rPr>
                <w:rFonts w:eastAsia="SimHei" w:hint="eastAsia"/>
                <w:bCs/>
                <w:color w:val="FF0000"/>
                <w:szCs w:val="24"/>
              </w:rPr>
            </w:pPr>
            <w:r>
              <w:rPr>
                <w:rFonts w:eastAsia="SimHei" w:hint="eastAsia"/>
                <w:bCs/>
                <w:color w:val="FF0000"/>
                <w:szCs w:val="24"/>
              </w:rPr>
              <w:t>法院的法官人数</w:t>
            </w:r>
          </w:p>
        </w:tc>
        <w:tc>
          <w:tcPr>
            <w:tcW w:w="2516" w:type="dxa"/>
            <w:gridSpan w:val="2"/>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bCs/>
                <w:color w:val="FF0000"/>
                <w:sz w:val="21"/>
                <w:szCs w:val="24"/>
              </w:rPr>
              <w:t>1998</w:t>
            </w:r>
            <w:r>
              <w:rPr>
                <w:rFonts w:hint="eastAsia"/>
                <w:bCs/>
                <w:color w:val="FF0000"/>
                <w:sz w:val="21"/>
                <w:szCs w:val="24"/>
              </w:rPr>
              <w:t>年</w:t>
            </w:r>
          </w:p>
        </w:tc>
        <w:tc>
          <w:tcPr>
            <w:tcW w:w="2517" w:type="dxa"/>
            <w:gridSpan w:val="2"/>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bCs/>
                <w:color w:val="FF0000"/>
                <w:sz w:val="21"/>
                <w:szCs w:val="24"/>
              </w:rPr>
              <w:t>1999</w:t>
            </w:r>
            <w:r>
              <w:rPr>
                <w:rFonts w:hint="eastAsia"/>
                <w:bCs/>
                <w:color w:val="FF0000"/>
                <w:sz w:val="21"/>
                <w:szCs w:val="24"/>
              </w:rPr>
              <w:t>年</w:t>
            </w:r>
          </w:p>
        </w:tc>
        <w:tc>
          <w:tcPr>
            <w:tcW w:w="2517" w:type="dxa"/>
            <w:gridSpan w:val="2"/>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bCs/>
                <w:color w:val="FF0000"/>
                <w:sz w:val="21"/>
                <w:szCs w:val="24"/>
              </w:rPr>
              <w:t>2000</w:t>
            </w:r>
            <w:r>
              <w:rPr>
                <w:rFonts w:hint="eastAsia"/>
                <w:bCs/>
                <w:color w:val="FF0000"/>
                <w:sz w:val="21"/>
                <w:szCs w:val="24"/>
              </w:rPr>
              <w:t>年</w:t>
            </w:r>
          </w:p>
        </w:tc>
      </w:tr>
      <w:tr w:rsidR="00000000">
        <w:tblPrEx>
          <w:tblCellMar>
            <w:top w:w="0" w:type="dxa"/>
            <w:bottom w:w="0" w:type="dxa"/>
          </w:tblCellMar>
        </w:tblPrEx>
        <w:trPr>
          <w:cantSplit/>
        </w:trPr>
        <w:tc>
          <w:tcPr>
            <w:tcW w:w="2516" w:type="dxa"/>
            <w:vMerge/>
            <w:tcBorders>
              <w:left w:val="nil"/>
              <w:bottom w:val="single" w:sz="4" w:space="0" w:color="auto"/>
              <w:right w:val="nil"/>
            </w:tcBorders>
          </w:tcPr>
          <w:p w:rsidR="00000000" w:rsidRDefault="00B83709">
            <w:pPr>
              <w:spacing w:line="360" w:lineRule="exact"/>
              <w:rPr>
                <w:rFonts w:hint="eastAsia"/>
                <w:bCs/>
                <w:color w:val="FF0000"/>
                <w:szCs w:val="24"/>
              </w:rPr>
            </w:pPr>
          </w:p>
        </w:tc>
        <w:tc>
          <w:tcPr>
            <w:tcW w:w="1258"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rFonts w:hint="eastAsia"/>
                <w:bCs/>
                <w:color w:val="FF0000"/>
                <w:sz w:val="21"/>
                <w:szCs w:val="24"/>
              </w:rPr>
              <w:t>女</w:t>
            </w:r>
          </w:p>
        </w:tc>
        <w:tc>
          <w:tcPr>
            <w:tcW w:w="1258"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125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rFonts w:hint="eastAsia"/>
                <w:bCs/>
                <w:color w:val="FF0000"/>
                <w:sz w:val="21"/>
                <w:szCs w:val="24"/>
              </w:rPr>
              <w:t>女</w:t>
            </w:r>
          </w:p>
        </w:tc>
        <w:tc>
          <w:tcPr>
            <w:tcW w:w="1258"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1258"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rFonts w:hint="eastAsia"/>
                <w:bCs/>
                <w:color w:val="FF0000"/>
                <w:sz w:val="21"/>
                <w:szCs w:val="24"/>
              </w:rPr>
              <w:t>女</w:t>
            </w:r>
          </w:p>
        </w:tc>
        <w:tc>
          <w:tcPr>
            <w:tcW w:w="1259" w:type="dxa"/>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r>
      <w:tr w:rsidR="00000000">
        <w:tblPrEx>
          <w:tblCellMar>
            <w:top w:w="0" w:type="dxa"/>
            <w:bottom w:w="0" w:type="dxa"/>
          </w:tblCellMar>
        </w:tblPrEx>
        <w:trPr>
          <w:cantSplit/>
        </w:trPr>
        <w:tc>
          <w:tcPr>
            <w:tcW w:w="2516"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初级法院</w:t>
            </w:r>
          </w:p>
        </w:tc>
        <w:tc>
          <w:tcPr>
            <w:tcW w:w="1258"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328</w:t>
            </w:r>
          </w:p>
        </w:tc>
        <w:tc>
          <w:tcPr>
            <w:tcW w:w="1258"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r>
              <w:rPr>
                <w:rFonts w:hint="eastAsia"/>
                <w:sz w:val="21"/>
                <w:szCs w:val="24"/>
              </w:rPr>
              <w:t xml:space="preserve"> </w:t>
            </w:r>
            <w:r>
              <w:rPr>
                <w:sz w:val="21"/>
                <w:szCs w:val="24"/>
              </w:rPr>
              <w:t>411</w:t>
            </w:r>
          </w:p>
        </w:tc>
        <w:tc>
          <w:tcPr>
            <w:tcW w:w="125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385</w:t>
            </w:r>
          </w:p>
        </w:tc>
        <w:tc>
          <w:tcPr>
            <w:tcW w:w="1258"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r>
              <w:rPr>
                <w:rFonts w:hint="eastAsia"/>
                <w:sz w:val="21"/>
                <w:szCs w:val="24"/>
              </w:rPr>
              <w:t xml:space="preserve"> </w:t>
            </w:r>
            <w:r>
              <w:rPr>
                <w:sz w:val="21"/>
                <w:szCs w:val="24"/>
              </w:rPr>
              <w:t>545</w:t>
            </w:r>
          </w:p>
        </w:tc>
        <w:tc>
          <w:tcPr>
            <w:tcW w:w="1258"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366</w:t>
            </w:r>
          </w:p>
        </w:tc>
        <w:tc>
          <w:tcPr>
            <w:tcW w:w="1259" w:type="dxa"/>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r>
              <w:rPr>
                <w:rFonts w:hint="eastAsia"/>
                <w:sz w:val="21"/>
                <w:szCs w:val="24"/>
              </w:rPr>
              <w:t xml:space="preserve"> </w:t>
            </w:r>
            <w:r>
              <w:rPr>
                <w:sz w:val="21"/>
                <w:szCs w:val="24"/>
              </w:rPr>
              <w:t>503</w:t>
            </w: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女法官的比例</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18.9</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19.9</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19.6</w:t>
            </w: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上诉法院</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295</w:t>
            </w: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57</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297</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72</w:t>
            </w: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312</w:t>
            </w: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女法官的比例</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12.2</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16.1</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18.8</w:t>
            </w: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r>
      <w:tr w:rsidR="00000000">
        <w:tblPrEx>
          <w:tblCellMar>
            <w:top w:w="0" w:type="dxa"/>
            <w:bottom w:w="0" w:type="dxa"/>
          </w:tblCellMar>
        </w:tblPrEx>
        <w:trPr>
          <w:cantSplit/>
        </w:trPr>
        <w:tc>
          <w:tcPr>
            <w:tcW w:w="2516"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最高法院</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125</w:t>
            </w: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122</w:t>
            </w:r>
          </w:p>
        </w:tc>
        <w:tc>
          <w:tcPr>
            <w:tcW w:w="1258"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w:t>
            </w:r>
          </w:p>
        </w:tc>
        <w:tc>
          <w:tcPr>
            <w:tcW w:w="1259" w:type="dxa"/>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146</w:t>
            </w:r>
          </w:p>
        </w:tc>
      </w:tr>
      <w:tr w:rsidR="00000000">
        <w:tblPrEx>
          <w:tblCellMar>
            <w:top w:w="0" w:type="dxa"/>
            <w:bottom w:w="0" w:type="dxa"/>
          </w:tblCellMar>
        </w:tblPrEx>
        <w:trPr>
          <w:cantSplit/>
        </w:trPr>
        <w:tc>
          <w:tcPr>
            <w:tcW w:w="2516"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女法官的比例</w:t>
            </w:r>
          </w:p>
        </w:tc>
        <w:tc>
          <w:tcPr>
            <w:tcW w:w="1258"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p>
        </w:tc>
        <w:tc>
          <w:tcPr>
            <w:tcW w:w="1258"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125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w:t>
            </w:r>
          </w:p>
        </w:tc>
        <w:tc>
          <w:tcPr>
            <w:tcW w:w="1258"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c>
          <w:tcPr>
            <w:tcW w:w="1258"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5.8</w:t>
            </w:r>
          </w:p>
        </w:tc>
        <w:tc>
          <w:tcPr>
            <w:tcW w:w="1259" w:type="dxa"/>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r>
    </w:tbl>
    <w:p w:rsidR="00000000" w:rsidRDefault="00B83709">
      <w:pPr>
        <w:spacing w:before="120" w:after="240" w:line="360" w:lineRule="exact"/>
        <w:rPr>
          <w:rFonts w:ascii="SimHei" w:eastAsia="SimHei"/>
          <w:bCs/>
          <w:color w:val="FF0000"/>
          <w:szCs w:val="24"/>
        </w:rPr>
      </w:pPr>
    </w:p>
    <w:p w:rsidR="00000000" w:rsidRDefault="00B83709">
      <w:pPr>
        <w:spacing w:before="120" w:after="240" w:line="360" w:lineRule="exact"/>
        <w:rPr>
          <w:rFonts w:hint="eastAsia"/>
        </w:rPr>
      </w:pPr>
      <w:r>
        <w:rPr>
          <w:rFonts w:ascii="SimHei" w:eastAsia="SimHei"/>
          <w:bCs/>
          <w:color w:val="FF0000"/>
          <w:szCs w:val="24"/>
        </w:rPr>
        <w:br w:type="page"/>
      </w:r>
      <w:r>
        <w:rPr>
          <w:rFonts w:ascii="SimHei" w:eastAsia="SimHei" w:hint="eastAsia"/>
          <w:bCs/>
          <w:color w:val="FF0000"/>
          <w:szCs w:val="24"/>
        </w:rPr>
        <w:t>表</w:t>
      </w:r>
      <w:r>
        <w:rPr>
          <w:rFonts w:ascii="SimHei" w:eastAsia="SimHei" w:hint="eastAsia"/>
          <w:bCs/>
          <w:color w:val="FF0000"/>
          <w:szCs w:val="24"/>
        </w:rPr>
        <w:t>8</w:t>
      </w:r>
      <w:r>
        <w:rPr>
          <w:rFonts w:ascii="SimHei" w:eastAsia="SimHei"/>
          <w:bCs/>
          <w:color w:val="FF0000"/>
          <w:szCs w:val="24"/>
        </w:rPr>
        <w:t xml:space="preserve">. </w:t>
      </w:r>
      <w:r>
        <w:rPr>
          <w:rFonts w:hint="eastAsia"/>
          <w:szCs w:val="24"/>
        </w:rPr>
        <w:t>1998</w:t>
      </w:r>
      <w:r>
        <w:rPr>
          <w:rFonts w:hint="eastAsia"/>
          <w:szCs w:val="24"/>
        </w:rPr>
        <w:t>至</w:t>
      </w:r>
      <w:r>
        <w:rPr>
          <w:rFonts w:hint="eastAsia"/>
          <w:szCs w:val="24"/>
        </w:rPr>
        <w:t>2000</w:t>
      </w:r>
      <w:r>
        <w:rPr>
          <w:rFonts w:hint="eastAsia"/>
          <w:szCs w:val="24"/>
        </w:rPr>
        <w:t>年间</w:t>
      </w:r>
      <w:r>
        <w:rPr>
          <w:rFonts w:hint="eastAsia"/>
          <w:szCs w:val="24"/>
        </w:rPr>
        <w:t>9-11</w:t>
      </w:r>
      <w:r>
        <w:rPr>
          <w:rFonts w:hint="eastAsia"/>
          <w:szCs w:val="24"/>
        </w:rPr>
        <w:t>级行政管理人员的人数</w:t>
      </w:r>
    </w:p>
    <w:tbl>
      <w:tblPr>
        <w:tblW w:w="0" w:type="auto"/>
        <w:tblLook w:val="0000" w:firstRow="0" w:lastRow="0" w:firstColumn="0" w:lastColumn="0" w:noHBand="0" w:noVBand="0"/>
      </w:tblPr>
      <w:tblGrid>
        <w:gridCol w:w="2013"/>
        <w:gridCol w:w="2013"/>
        <w:gridCol w:w="2013"/>
        <w:gridCol w:w="2013"/>
        <w:gridCol w:w="2014"/>
      </w:tblGrid>
      <w:tr w:rsidR="00000000">
        <w:tblPrEx>
          <w:tblCellMar>
            <w:top w:w="0" w:type="dxa"/>
            <w:bottom w:w="0" w:type="dxa"/>
          </w:tblCellMar>
        </w:tblPrEx>
        <w:tc>
          <w:tcPr>
            <w:tcW w:w="2013" w:type="dxa"/>
            <w:tcBorders>
              <w:top w:val="single" w:sz="4" w:space="0" w:color="auto"/>
              <w:bottom w:val="single" w:sz="4" w:space="0" w:color="auto"/>
            </w:tcBorders>
          </w:tcPr>
          <w:p w:rsidR="00000000" w:rsidRDefault="00B83709">
            <w:pPr>
              <w:spacing w:line="360" w:lineRule="exact"/>
              <w:rPr>
                <w:rFonts w:eastAsia="SimHei" w:hint="eastAsia"/>
                <w:color w:val="FF0000"/>
                <w:szCs w:val="24"/>
              </w:rPr>
            </w:pPr>
            <w:r>
              <w:rPr>
                <w:rFonts w:eastAsia="SimHei" w:hint="eastAsia"/>
                <w:color w:val="FF0000"/>
                <w:szCs w:val="24"/>
              </w:rPr>
              <w:t>年份</w:t>
            </w:r>
          </w:p>
        </w:tc>
        <w:tc>
          <w:tcPr>
            <w:tcW w:w="2013" w:type="dxa"/>
            <w:tcBorders>
              <w:top w:val="single" w:sz="4" w:space="0" w:color="auto"/>
              <w:bottom w:val="single" w:sz="4" w:space="0" w:color="auto"/>
            </w:tcBorders>
          </w:tcPr>
          <w:p w:rsidR="00000000" w:rsidRDefault="00B83709">
            <w:pPr>
              <w:spacing w:line="360" w:lineRule="exact"/>
              <w:jc w:val="center"/>
              <w:rPr>
                <w:rFonts w:eastAsia="SimHei" w:hint="eastAsia"/>
                <w:color w:val="FF0000"/>
                <w:szCs w:val="24"/>
              </w:rPr>
            </w:pPr>
            <w:r>
              <w:rPr>
                <w:rFonts w:eastAsia="SimHei" w:hint="eastAsia"/>
                <w:color w:val="FF0000"/>
                <w:szCs w:val="24"/>
              </w:rPr>
              <w:t>男</w:t>
            </w:r>
          </w:p>
        </w:tc>
        <w:tc>
          <w:tcPr>
            <w:tcW w:w="2013" w:type="dxa"/>
            <w:tcBorders>
              <w:top w:val="single" w:sz="4" w:space="0" w:color="auto"/>
              <w:bottom w:val="single" w:sz="4" w:space="0" w:color="auto"/>
            </w:tcBorders>
          </w:tcPr>
          <w:p w:rsidR="00000000" w:rsidRDefault="00B83709">
            <w:pPr>
              <w:spacing w:line="360" w:lineRule="exact"/>
              <w:jc w:val="center"/>
              <w:rPr>
                <w:rFonts w:eastAsia="SimHei" w:hint="eastAsia"/>
                <w:color w:val="FF0000"/>
                <w:szCs w:val="24"/>
              </w:rPr>
            </w:pPr>
            <w:r>
              <w:rPr>
                <w:rFonts w:eastAsia="SimHei" w:hint="eastAsia"/>
                <w:color w:val="FF0000"/>
                <w:szCs w:val="24"/>
              </w:rPr>
              <w:t>女</w:t>
            </w:r>
          </w:p>
        </w:tc>
        <w:tc>
          <w:tcPr>
            <w:tcW w:w="2013" w:type="dxa"/>
            <w:tcBorders>
              <w:top w:val="single" w:sz="4" w:space="0" w:color="auto"/>
              <w:bottom w:val="single" w:sz="4" w:space="0" w:color="auto"/>
            </w:tcBorders>
          </w:tcPr>
          <w:p w:rsidR="00000000" w:rsidRDefault="00B83709">
            <w:pPr>
              <w:spacing w:line="360" w:lineRule="exact"/>
              <w:jc w:val="center"/>
              <w:rPr>
                <w:rFonts w:eastAsia="SimHei" w:hint="eastAsia"/>
                <w:color w:val="FF0000"/>
                <w:szCs w:val="24"/>
              </w:rPr>
            </w:pPr>
            <w:r>
              <w:rPr>
                <w:rFonts w:eastAsia="SimHei" w:hint="eastAsia"/>
                <w:color w:val="FF0000"/>
                <w:szCs w:val="24"/>
              </w:rPr>
              <w:t>合计</w:t>
            </w:r>
          </w:p>
        </w:tc>
        <w:tc>
          <w:tcPr>
            <w:tcW w:w="2014" w:type="dxa"/>
            <w:tcBorders>
              <w:top w:val="single" w:sz="4" w:space="0" w:color="auto"/>
              <w:bottom w:val="single" w:sz="4" w:space="0" w:color="auto"/>
            </w:tcBorders>
          </w:tcPr>
          <w:p w:rsidR="00000000" w:rsidRDefault="00B83709">
            <w:pPr>
              <w:spacing w:line="360" w:lineRule="exact"/>
              <w:jc w:val="center"/>
              <w:rPr>
                <w:rFonts w:eastAsia="SimHei" w:hint="eastAsia"/>
                <w:color w:val="FF0000"/>
                <w:szCs w:val="24"/>
              </w:rPr>
            </w:pPr>
            <w:r>
              <w:rPr>
                <w:rFonts w:eastAsia="SimHei" w:hint="eastAsia"/>
                <w:color w:val="FF0000"/>
                <w:szCs w:val="24"/>
              </w:rPr>
              <w:t>女性的比例</w:t>
            </w:r>
          </w:p>
        </w:tc>
      </w:tr>
      <w:tr w:rsidR="00000000">
        <w:tblPrEx>
          <w:tblCellMar>
            <w:top w:w="0" w:type="dxa"/>
            <w:bottom w:w="0" w:type="dxa"/>
          </w:tblCellMar>
        </w:tblPrEx>
        <w:tc>
          <w:tcPr>
            <w:tcW w:w="2013" w:type="dxa"/>
            <w:tcBorders>
              <w:top w:val="single" w:sz="4" w:space="0" w:color="auto"/>
            </w:tcBorders>
          </w:tcPr>
          <w:p w:rsidR="00000000" w:rsidRDefault="00B83709">
            <w:pPr>
              <w:spacing w:line="360" w:lineRule="exact"/>
              <w:rPr>
                <w:rFonts w:hint="eastAsia"/>
                <w:szCs w:val="24"/>
              </w:rPr>
            </w:pPr>
            <w:r>
              <w:rPr>
                <w:rFonts w:hint="eastAsia"/>
                <w:szCs w:val="24"/>
              </w:rPr>
              <w:t>1998</w:t>
            </w:r>
          </w:p>
        </w:tc>
        <w:tc>
          <w:tcPr>
            <w:tcW w:w="2013" w:type="dxa"/>
            <w:tcBorders>
              <w:top w:val="single" w:sz="4" w:space="0" w:color="auto"/>
            </w:tcBorders>
          </w:tcPr>
          <w:p w:rsidR="00000000" w:rsidRDefault="00B83709">
            <w:pPr>
              <w:spacing w:line="360" w:lineRule="exact"/>
              <w:jc w:val="center"/>
              <w:rPr>
                <w:rFonts w:hint="eastAsia"/>
                <w:szCs w:val="24"/>
              </w:rPr>
            </w:pPr>
            <w:r>
              <w:rPr>
                <w:rFonts w:hint="eastAsia"/>
                <w:szCs w:val="24"/>
              </w:rPr>
              <w:t>405</w:t>
            </w:r>
          </w:p>
        </w:tc>
        <w:tc>
          <w:tcPr>
            <w:tcW w:w="2013" w:type="dxa"/>
            <w:tcBorders>
              <w:top w:val="single" w:sz="4" w:space="0" w:color="auto"/>
            </w:tcBorders>
          </w:tcPr>
          <w:p w:rsidR="00000000" w:rsidRDefault="00B83709">
            <w:pPr>
              <w:spacing w:line="360" w:lineRule="exact"/>
              <w:jc w:val="center"/>
              <w:rPr>
                <w:rFonts w:hint="eastAsia"/>
                <w:szCs w:val="24"/>
              </w:rPr>
            </w:pPr>
            <w:r>
              <w:rPr>
                <w:rFonts w:hint="eastAsia"/>
                <w:szCs w:val="24"/>
              </w:rPr>
              <w:t>63</w:t>
            </w:r>
          </w:p>
        </w:tc>
        <w:tc>
          <w:tcPr>
            <w:tcW w:w="2013" w:type="dxa"/>
            <w:tcBorders>
              <w:top w:val="single" w:sz="4" w:space="0" w:color="auto"/>
            </w:tcBorders>
          </w:tcPr>
          <w:p w:rsidR="00000000" w:rsidRDefault="00B83709">
            <w:pPr>
              <w:spacing w:line="360" w:lineRule="exact"/>
              <w:jc w:val="center"/>
              <w:rPr>
                <w:rFonts w:hint="eastAsia"/>
                <w:szCs w:val="24"/>
              </w:rPr>
            </w:pPr>
            <w:r>
              <w:rPr>
                <w:rFonts w:hint="eastAsia"/>
                <w:szCs w:val="24"/>
              </w:rPr>
              <w:t>468</w:t>
            </w:r>
          </w:p>
        </w:tc>
        <w:tc>
          <w:tcPr>
            <w:tcW w:w="2014" w:type="dxa"/>
            <w:tcBorders>
              <w:top w:val="single" w:sz="4" w:space="0" w:color="auto"/>
            </w:tcBorders>
          </w:tcPr>
          <w:p w:rsidR="00000000" w:rsidRDefault="00B83709">
            <w:pPr>
              <w:spacing w:line="360" w:lineRule="exact"/>
              <w:jc w:val="center"/>
              <w:rPr>
                <w:szCs w:val="24"/>
              </w:rPr>
            </w:pPr>
            <w:r>
              <w:rPr>
                <w:rFonts w:hint="eastAsia"/>
                <w:szCs w:val="24"/>
              </w:rPr>
              <w:t>13</w:t>
            </w:r>
            <w:r>
              <w:rPr>
                <w:szCs w:val="24"/>
              </w:rPr>
              <w:t>.5</w:t>
            </w:r>
          </w:p>
        </w:tc>
      </w:tr>
      <w:tr w:rsidR="00000000">
        <w:tblPrEx>
          <w:tblCellMar>
            <w:top w:w="0" w:type="dxa"/>
            <w:bottom w:w="0" w:type="dxa"/>
          </w:tblCellMar>
        </w:tblPrEx>
        <w:tc>
          <w:tcPr>
            <w:tcW w:w="2013" w:type="dxa"/>
          </w:tcPr>
          <w:p w:rsidR="00000000" w:rsidRDefault="00B83709">
            <w:pPr>
              <w:spacing w:line="360" w:lineRule="exact"/>
              <w:rPr>
                <w:szCs w:val="24"/>
              </w:rPr>
            </w:pPr>
            <w:r>
              <w:rPr>
                <w:szCs w:val="24"/>
              </w:rPr>
              <w:t>1999</w:t>
            </w:r>
          </w:p>
        </w:tc>
        <w:tc>
          <w:tcPr>
            <w:tcW w:w="2013" w:type="dxa"/>
          </w:tcPr>
          <w:p w:rsidR="00000000" w:rsidRDefault="00B83709">
            <w:pPr>
              <w:spacing w:line="360" w:lineRule="exact"/>
              <w:jc w:val="center"/>
              <w:rPr>
                <w:szCs w:val="24"/>
              </w:rPr>
            </w:pPr>
            <w:r>
              <w:rPr>
                <w:szCs w:val="24"/>
              </w:rPr>
              <w:t>411</w:t>
            </w:r>
          </w:p>
        </w:tc>
        <w:tc>
          <w:tcPr>
            <w:tcW w:w="2013" w:type="dxa"/>
          </w:tcPr>
          <w:p w:rsidR="00000000" w:rsidRDefault="00B83709">
            <w:pPr>
              <w:spacing w:line="360" w:lineRule="exact"/>
              <w:jc w:val="center"/>
              <w:rPr>
                <w:szCs w:val="24"/>
              </w:rPr>
            </w:pPr>
            <w:r>
              <w:rPr>
                <w:szCs w:val="24"/>
              </w:rPr>
              <w:t>59</w:t>
            </w:r>
          </w:p>
        </w:tc>
        <w:tc>
          <w:tcPr>
            <w:tcW w:w="2013" w:type="dxa"/>
          </w:tcPr>
          <w:p w:rsidR="00000000" w:rsidRDefault="00B83709">
            <w:pPr>
              <w:spacing w:line="360" w:lineRule="exact"/>
              <w:jc w:val="center"/>
              <w:rPr>
                <w:szCs w:val="24"/>
              </w:rPr>
            </w:pPr>
            <w:r>
              <w:rPr>
                <w:szCs w:val="24"/>
              </w:rPr>
              <w:t>470</w:t>
            </w:r>
          </w:p>
        </w:tc>
        <w:tc>
          <w:tcPr>
            <w:tcW w:w="2014" w:type="dxa"/>
          </w:tcPr>
          <w:p w:rsidR="00000000" w:rsidRDefault="00B83709">
            <w:pPr>
              <w:spacing w:line="360" w:lineRule="exact"/>
              <w:jc w:val="center"/>
              <w:rPr>
                <w:szCs w:val="24"/>
              </w:rPr>
            </w:pPr>
            <w:r>
              <w:rPr>
                <w:szCs w:val="24"/>
              </w:rPr>
              <w:t>12.5</w:t>
            </w:r>
          </w:p>
        </w:tc>
      </w:tr>
      <w:tr w:rsidR="00000000">
        <w:tblPrEx>
          <w:tblCellMar>
            <w:top w:w="0" w:type="dxa"/>
            <w:bottom w:w="0" w:type="dxa"/>
          </w:tblCellMar>
        </w:tblPrEx>
        <w:tc>
          <w:tcPr>
            <w:tcW w:w="2013" w:type="dxa"/>
            <w:tcBorders>
              <w:bottom w:val="single" w:sz="4" w:space="0" w:color="auto"/>
            </w:tcBorders>
          </w:tcPr>
          <w:p w:rsidR="00000000" w:rsidRDefault="00B83709">
            <w:pPr>
              <w:spacing w:line="360" w:lineRule="exact"/>
              <w:rPr>
                <w:szCs w:val="24"/>
              </w:rPr>
            </w:pPr>
            <w:r>
              <w:rPr>
                <w:szCs w:val="24"/>
              </w:rPr>
              <w:t>2000</w:t>
            </w:r>
          </w:p>
        </w:tc>
        <w:tc>
          <w:tcPr>
            <w:tcW w:w="2013" w:type="dxa"/>
            <w:tcBorders>
              <w:bottom w:val="single" w:sz="4" w:space="0" w:color="auto"/>
            </w:tcBorders>
          </w:tcPr>
          <w:p w:rsidR="00000000" w:rsidRDefault="00B83709">
            <w:pPr>
              <w:spacing w:line="360" w:lineRule="exact"/>
              <w:jc w:val="center"/>
              <w:rPr>
                <w:szCs w:val="24"/>
              </w:rPr>
            </w:pPr>
            <w:r>
              <w:rPr>
                <w:szCs w:val="24"/>
              </w:rPr>
              <w:t>411</w:t>
            </w:r>
          </w:p>
        </w:tc>
        <w:tc>
          <w:tcPr>
            <w:tcW w:w="2013" w:type="dxa"/>
            <w:tcBorders>
              <w:bottom w:val="single" w:sz="4" w:space="0" w:color="auto"/>
            </w:tcBorders>
          </w:tcPr>
          <w:p w:rsidR="00000000" w:rsidRDefault="00B83709">
            <w:pPr>
              <w:spacing w:line="360" w:lineRule="exact"/>
              <w:jc w:val="center"/>
              <w:rPr>
                <w:szCs w:val="24"/>
              </w:rPr>
            </w:pPr>
            <w:r>
              <w:rPr>
                <w:szCs w:val="24"/>
              </w:rPr>
              <w:t>66</w:t>
            </w:r>
          </w:p>
        </w:tc>
        <w:tc>
          <w:tcPr>
            <w:tcW w:w="2013" w:type="dxa"/>
            <w:tcBorders>
              <w:bottom w:val="single" w:sz="4" w:space="0" w:color="auto"/>
            </w:tcBorders>
          </w:tcPr>
          <w:p w:rsidR="00000000" w:rsidRDefault="00B83709">
            <w:pPr>
              <w:spacing w:line="360" w:lineRule="exact"/>
              <w:jc w:val="center"/>
              <w:rPr>
                <w:szCs w:val="24"/>
              </w:rPr>
            </w:pPr>
            <w:r>
              <w:rPr>
                <w:szCs w:val="24"/>
              </w:rPr>
              <w:t>477</w:t>
            </w:r>
          </w:p>
        </w:tc>
        <w:tc>
          <w:tcPr>
            <w:tcW w:w="2014" w:type="dxa"/>
            <w:tcBorders>
              <w:bottom w:val="single" w:sz="4" w:space="0" w:color="auto"/>
            </w:tcBorders>
          </w:tcPr>
          <w:p w:rsidR="00000000" w:rsidRDefault="00B83709">
            <w:pPr>
              <w:spacing w:line="360" w:lineRule="exact"/>
              <w:jc w:val="center"/>
              <w:rPr>
                <w:szCs w:val="24"/>
              </w:rPr>
            </w:pPr>
            <w:r>
              <w:rPr>
                <w:szCs w:val="24"/>
              </w:rPr>
              <w:t>13.8</w:t>
            </w:r>
          </w:p>
        </w:tc>
      </w:tr>
    </w:tbl>
    <w:p w:rsidR="00000000" w:rsidRDefault="00B83709">
      <w:pPr>
        <w:spacing w:after="240" w:line="360" w:lineRule="exact"/>
        <w:rPr>
          <w:rFonts w:hint="eastAsia"/>
          <w:szCs w:val="24"/>
        </w:rPr>
      </w:pPr>
      <w:r>
        <w:rPr>
          <w:rFonts w:eastAsia="KaiTi_GB2312" w:hint="eastAsia"/>
          <w:b/>
          <w:color w:val="0000FF"/>
          <w:szCs w:val="24"/>
        </w:rPr>
        <w:t>说明：</w:t>
      </w:r>
      <w:r>
        <w:rPr>
          <w:rFonts w:eastAsia="KaiTi_GB2312" w:hint="eastAsia"/>
          <w:bCs/>
          <w:color w:val="0000FF"/>
          <w:szCs w:val="24"/>
        </w:rPr>
        <w:t>行政管理人员是指部厅一级政府组织的主席和副主席。</w:t>
      </w:r>
    </w:p>
    <w:p w:rsidR="00000000" w:rsidRDefault="00B83709">
      <w:pPr>
        <w:numPr>
          <w:ilvl w:val="0"/>
          <w:numId w:val="1049"/>
        </w:numPr>
        <w:tabs>
          <w:tab w:val="clear" w:pos="360"/>
          <w:tab w:val="num" w:pos="480"/>
        </w:tabs>
        <w:spacing w:after="240" w:line="360" w:lineRule="exact"/>
        <w:rPr>
          <w:szCs w:val="24"/>
        </w:rPr>
      </w:pPr>
      <w:r>
        <w:rPr>
          <w:rFonts w:hint="eastAsia"/>
          <w:szCs w:val="24"/>
        </w:rPr>
        <w:t>公务员制度委员会办公室收集了高级管理一级（</w:t>
      </w:r>
      <w:r>
        <w:rPr>
          <w:rFonts w:hint="eastAsia"/>
          <w:szCs w:val="24"/>
        </w:rPr>
        <w:t>C9-10</w:t>
      </w:r>
      <w:r>
        <w:rPr>
          <w:rFonts w:hint="eastAsia"/>
          <w:szCs w:val="24"/>
        </w:rPr>
        <w:t>）的官员数据。</w:t>
      </w:r>
      <w:r>
        <w:rPr>
          <w:rFonts w:hint="eastAsia"/>
          <w:szCs w:val="24"/>
        </w:rPr>
        <w:t>1997</w:t>
      </w:r>
      <w:r>
        <w:rPr>
          <w:rFonts w:hint="eastAsia"/>
          <w:szCs w:val="24"/>
        </w:rPr>
        <w:t>至</w:t>
      </w:r>
      <w:r>
        <w:rPr>
          <w:rFonts w:hint="eastAsia"/>
          <w:szCs w:val="24"/>
        </w:rPr>
        <w:t>2000</w:t>
      </w:r>
      <w:r>
        <w:rPr>
          <w:rFonts w:hint="eastAsia"/>
          <w:szCs w:val="24"/>
        </w:rPr>
        <w:t>年的数字列示于上文表</w:t>
      </w:r>
      <w:r>
        <w:rPr>
          <w:rFonts w:hint="eastAsia"/>
          <w:szCs w:val="24"/>
        </w:rPr>
        <w:t>8</w:t>
      </w:r>
      <w:r>
        <w:rPr>
          <w:rFonts w:hint="eastAsia"/>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妇女事务全国委员会办公室着力编制一个数据库，内容有关依</w:t>
      </w:r>
      <w:r>
        <w:rPr>
          <w:rFonts w:hint="eastAsia"/>
          <w:szCs w:val="24"/>
        </w:rPr>
        <w:t>照法律建立的全国委员会、总理府颁布的规章制度以及</w:t>
      </w:r>
      <w:r>
        <w:rPr>
          <w:rFonts w:hint="eastAsia"/>
          <w:szCs w:val="24"/>
        </w:rPr>
        <w:t>2001</w:t>
      </w:r>
      <w:r>
        <w:rPr>
          <w:rFonts w:hint="eastAsia"/>
          <w:szCs w:val="24"/>
        </w:rPr>
        <w:t>年</w:t>
      </w:r>
      <w:r>
        <w:rPr>
          <w:rFonts w:hint="eastAsia"/>
          <w:szCs w:val="24"/>
        </w:rPr>
        <w:t>9-10</w:t>
      </w:r>
      <w:r>
        <w:rPr>
          <w:rFonts w:hint="eastAsia"/>
          <w:szCs w:val="24"/>
        </w:rPr>
        <w:t>月的内阁决议。它们争取了</w:t>
      </w:r>
      <w:r>
        <w:rPr>
          <w:rFonts w:hint="eastAsia"/>
          <w:szCs w:val="24"/>
        </w:rPr>
        <w:t>172</w:t>
      </w:r>
      <w:r>
        <w:rPr>
          <w:rFonts w:hint="eastAsia"/>
          <w:szCs w:val="24"/>
        </w:rPr>
        <w:t>个政府机构、国有企业和独立组织的合作，其中</w:t>
      </w:r>
      <w:r>
        <w:rPr>
          <w:rFonts w:hint="eastAsia"/>
          <w:szCs w:val="24"/>
        </w:rPr>
        <w:t>140</w:t>
      </w:r>
      <w:r>
        <w:rPr>
          <w:rFonts w:hint="eastAsia"/>
          <w:szCs w:val="24"/>
        </w:rPr>
        <w:t>个组织做出响应，提供了涉及</w:t>
      </w:r>
      <w:r>
        <w:rPr>
          <w:rFonts w:hint="eastAsia"/>
          <w:szCs w:val="24"/>
        </w:rPr>
        <w:t>322</w:t>
      </w:r>
      <w:r>
        <w:rPr>
          <w:rFonts w:hint="eastAsia"/>
          <w:szCs w:val="24"/>
        </w:rPr>
        <w:t>个委员会的资料。结果显示，委员会男性成员为</w:t>
      </w:r>
      <w:r>
        <w:rPr>
          <w:szCs w:val="24"/>
        </w:rPr>
        <w:t>5</w:t>
      </w:r>
      <w:r>
        <w:rPr>
          <w:rFonts w:hint="eastAsia"/>
          <w:szCs w:val="24"/>
        </w:rPr>
        <w:t xml:space="preserve"> </w:t>
      </w:r>
      <w:r>
        <w:rPr>
          <w:szCs w:val="24"/>
        </w:rPr>
        <w:t>328</w:t>
      </w:r>
      <w:r>
        <w:rPr>
          <w:rFonts w:hint="eastAsia"/>
          <w:szCs w:val="24"/>
        </w:rPr>
        <w:t>人（</w:t>
      </w:r>
      <w:r>
        <w:rPr>
          <w:szCs w:val="24"/>
        </w:rPr>
        <w:t>84.06%</w:t>
      </w:r>
      <w:r>
        <w:rPr>
          <w:rFonts w:hint="eastAsia"/>
          <w:szCs w:val="24"/>
        </w:rPr>
        <w:t>），女性</w:t>
      </w:r>
      <w:r>
        <w:rPr>
          <w:szCs w:val="24"/>
        </w:rPr>
        <w:t>1</w:t>
      </w:r>
      <w:r>
        <w:rPr>
          <w:rFonts w:hint="eastAsia"/>
          <w:szCs w:val="24"/>
        </w:rPr>
        <w:t xml:space="preserve"> </w:t>
      </w:r>
      <w:r>
        <w:rPr>
          <w:szCs w:val="24"/>
        </w:rPr>
        <w:t>010</w:t>
      </w:r>
      <w:r>
        <w:rPr>
          <w:rFonts w:hint="eastAsia"/>
          <w:szCs w:val="24"/>
        </w:rPr>
        <w:t>人（</w:t>
      </w:r>
      <w:r>
        <w:rPr>
          <w:szCs w:val="24"/>
        </w:rPr>
        <w:t>15.94%</w:t>
      </w:r>
      <w:r>
        <w:rPr>
          <w:rFonts w:hint="eastAsia"/>
          <w:szCs w:val="24"/>
        </w:rPr>
        <w:t>）。</w:t>
      </w:r>
      <w:r>
        <w:rPr>
          <w:rFonts w:hint="eastAsia"/>
          <w:szCs w:val="24"/>
        </w:rPr>
        <w:t>63</w:t>
      </w:r>
      <w:r>
        <w:rPr>
          <w:rFonts w:hint="eastAsia"/>
          <w:szCs w:val="24"/>
        </w:rPr>
        <w:t>个委员会（或</w:t>
      </w:r>
      <w:r>
        <w:rPr>
          <w:szCs w:val="24"/>
        </w:rPr>
        <w:t>19.57%</w:t>
      </w:r>
      <w:r>
        <w:rPr>
          <w:rFonts w:hint="eastAsia"/>
          <w:szCs w:val="24"/>
        </w:rPr>
        <w:t>）没有女性成员，尽管妇女经常被派去参加委员会会议。在处理法律规章的委员会中，妇女人数很少以至没有妇女的委员会包括：检察总长委员会、国务委员会办公室、泰国皇家警察厅以及经济和社会发展委员会。</w:t>
      </w:r>
    </w:p>
    <w:p w:rsidR="00000000" w:rsidRDefault="00B83709">
      <w:pPr>
        <w:spacing w:after="240" w:line="360" w:lineRule="exact"/>
        <w:rPr>
          <w:rFonts w:eastAsia="SimHei" w:hint="eastAsia"/>
          <w:color w:val="FF0000"/>
        </w:rPr>
      </w:pPr>
      <w:r>
        <w:rPr>
          <w:rFonts w:eastAsia="SimHei" w:hint="eastAsia"/>
          <w:color w:val="FF0000"/>
        </w:rPr>
        <w:t>妇女参与政治</w:t>
      </w:r>
      <w:r>
        <w:rPr>
          <w:rFonts w:eastAsia="SimHei" w:hint="eastAsia"/>
          <w:color w:val="FF0000"/>
        </w:rPr>
        <w:t>和公共事务的障碍</w:t>
      </w:r>
    </w:p>
    <w:p w:rsidR="00000000" w:rsidRDefault="00B83709">
      <w:pPr>
        <w:numPr>
          <w:ilvl w:val="0"/>
          <w:numId w:val="1049"/>
        </w:numPr>
        <w:tabs>
          <w:tab w:val="clear" w:pos="360"/>
          <w:tab w:val="num" w:pos="480"/>
        </w:tabs>
        <w:spacing w:after="240" w:line="360" w:lineRule="exact"/>
        <w:rPr>
          <w:szCs w:val="24"/>
        </w:rPr>
      </w:pPr>
      <w:r>
        <w:rPr>
          <w:rFonts w:hint="eastAsia"/>
          <w:szCs w:val="24"/>
        </w:rPr>
        <w:t>上述数据显示，妇女参与国家一级委员会的比例仅占少数，但这一比例仍高于政治部门的比例。导致妇女参与率低的因素有对妇女的能力缺乏信心以及性别分工方面的制约因素。大多数委员会由依据职位委任的成员组成。由于担任此类职位的男子多于妇女，妇女获得任命的机会较少。此外，在向委员会任命专家时，有人认为男子在有些情况下比妇女更加适合充任专家。有关基础设施、法律规章领域的政策委员会由男子占主导地位，而妇女则集中于有关社会问题的委员会。</w:t>
      </w:r>
    </w:p>
    <w:p w:rsidR="00000000" w:rsidRDefault="00B83709">
      <w:pPr>
        <w:numPr>
          <w:ilvl w:val="0"/>
          <w:numId w:val="1049"/>
        </w:numPr>
        <w:tabs>
          <w:tab w:val="clear" w:pos="360"/>
          <w:tab w:val="num" w:pos="480"/>
        </w:tabs>
        <w:spacing w:after="240" w:line="360" w:lineRule="exact"/>
        <w:rPr>
          <w:szCs w:val="24"/>
        </w:rPr>
      </w:pPr>
      <w:r>
        <w:rPr>
          <w:rFonts w:hint="eastAsia"/>
          <w:szCs w:val="24"/>
        </w:rPr>
        <w:t>虽然妇女参与政治和公共事务的比例提高，但情况尚不能令人满意。仍然存在的障碍</w:t>
      </w:r>
      <w:r>
        <w:rPr>
          <w:rFonts w:hint="eastAsia"/>
          <w:szCs w:val="24"/>
        </w:rPr>
        <w:t>妨碍了妇女积极参与各级政治事务，最为明显的是歧视妇女的传统陈规定型观念和态度。譬如，男子在权力机构，包括家庭在内占据很高的地位。可是，虽然妇女现在参与公共事务的人数增加，但社会化惯例牢牢地将她们束缚于家庭。尽管政府提供的基本社区服务部分上减轻了妇女的家务负担，使她们能够参与公共活动，但这类活动（如通过社区发展厅开办的儿童发展中心）仍然不足，没有覆盖全国各地。因此，许多妇女仍然负责照料子女并承担其他家庭责任，几乎没有时间参加公共活动。</w:t>
      </w:r>
    </w:p>
    <w:p w:rsidR="00000000" w:rsidRDefault="00B83709">
      <w:pPr>
        <w:numPr>
          <w:ilvl w:val="0"/>
          <w:numId w:val="1049"/>
        </w:numPr>
        <w:tabs>
          <w:tab w:val="clear" w:pos="360"/>
          <w:tab w:val="num" w:pos="480"/>
        </w:tabs>
        <w:spacing w:after="240" w:line="360" w:lineRule="exact"/>
        <w:rPr>
          <w:szCs w:val="24"/>
        </w:rPr>
      </w:pPr>
      <w:r>
        <w:rPr>
          <w:rFonts w:hint="eastAsia"/>
          <w:szCs w:val="24"/>
        </w:rPr>
        <w:t>传统的陈规定型观念和态度妨碍妇女参与政治和制度化权力领域，人们认为男子更适</w:t>
      </w:r>
      <w:r>
        <w:rPr>
          <w:rFonts w:hint="eastAsia"/>
          <w:szCs w:val="24"/>
        </w:rPr>
        <w:t>合涉足这些领域。家庭成员通常不鼓励妇女参政，原因是社会对男子的领导能力信心更大。在有些情况下，妇女的角色和能力得不到认可，甚至得不到其他妇女的认可。不打算参政的妇女通常缺乏领导品质和信心，不愿参加男子通常占主导地位的公共论坛。她们缺乏了解政治的热情，认为政治是男人的事情。同时，有些妇女想参政，但得不到参政必需的充分的知识和资料，并且没有适当的经验。所有这些因素对有效的地方行政管理至关重要。可以促进政治生活但通常不为妇女所具备的因素包括影响力大的社会网络、地方势力以及参加竞选所需的资金。另外，有些地方组织对拨</w:t>
      </w:r>
      <w:r>
        <w:rPr>
          <w:rFonts w:hint="eastAsia"/>
          <w:szCs w:val="24"/>
        </w:rPr>
        <w:t>付资金用于发展妇女潜力不感兴趣，主要原因是它们的着眼点是一般能力发展（男子和妇女），而不是专门着眼于建设妇女的能力。</w:t>
      </w:r>
    </w:p>
    <w:p w:rsidR="00000000" w:rsidRDefault="00B83709">
      <w:pPr>
        <w:numPr>
          <w:ilvl w:val="0"/>
          <w:numId w:val="1049"/>
        </w:numPr>
        <w:tabs>
          <w:tab w:val="clear" w:pos="360"/>
          <w:tab w:val="num" w:pos="480"/>
        </w:tabs>
        <w:spacing w:after="240" w:line="360" w:lineRule="exact"/>
        <w:rPr>
          <w:szCs w:val="24"/>
        </w:rPr>
      </w:pPr>
      <w:r>
        <w:rPr>
          <w:rFonts w:hint="eastAsia"/>
          <w:szCs w:val="24"/>
        </w:rPr>
        <w:t>除上述制约因素以外，妇女如果积极参政，充当候选人或地方行政机构的成员，在有些领域将遭到歧视或遭受暴力。有些女候选人面对的竞争对手很强，对手为了玷污她们的声誉，用性丑闻来谴责她们。有些女候选人则遭到竞争对手的攻击或胁迫。此外，地方行政管理组织中的妇女成为女同事嫉妒的对象，因此，其能力得不到信任，甚至可能遭到性骚扰。为了解决这些问题、消除冲突或保护自身的利益，地方行政管理机构的男性政治候选人或成</w:t>
      </w:r>
      <w:r>
        <w:rPr>
          <w:rFonts w:hint="eastAsia"/>
          <w:szCs w:val="24"/>
        </w:rPr>
        <w:t>员通常诉诸暴力对付政敌，从而导致财产损失甚或致人以死命。在选举期间，这类事件经常见诸于大众媒体。</w:t>
      </w:r>
    </w:p>
    <w:p w:rsidR="00000000" w:rsidRDefault="00B83709">
      <w:pPr>
        <w:spacing w:after="240" w:line="360" w:lineRule="exact"/>
        <w:rPr>
          <w:rFonts w:eastAsia="SimHei" w:hint="eastAsia"/>
          <w:color w:val="FF0000"/>
        </w:rPr>
      </w:pPr>
      <w:r>
        <w:rPr>
          <w:rFonts w:eastAsia="SimHei" w:hint="eastAsia"/>
          <w:color w:val="FF0000"/>
        </w:rPr>
        <w:t>促进妇女参政和担任政府高级职位的措施</w:t>
      </w:r>
    </w:p>
    <w:p w:rsidR="00000000" w:rsidRDefault="00B83709">
      <w:pPr>
        <w:numPr>
          <w:ilvl w:val="0"/>
          <w:numId w:val="1049"/>
        </w:numPr>
        <w:tabs>
          <w:tab w:val="clear" w:pos="360"/>
          <w:tab w:val="num" w:pos="480"/>
        </w:tabs>
        <w:spacing w:after="240" w:line="360" w:lineRule="exact"/>
        <w:rPr>
          <w:szCs w:val="24"/>
        </w:rPr>
      </w:pPr>
      <w:r>
        <w:rPr>
          <w:rFonts w:hint="eastAsia"/>
          <w:szCs w:val="24"/>
        </w:rPr>
        <w:t>在过去几年，泰国政府通过国家政策网、政府执行机构、非政府组织和妇女团体的合作，采取措施促进妇女参政。工作中心是不断增长知识、提高女领导人有关《宪法》和公民参与的技能、政治</w:t>
      </w:r>
      <w:r>
        <w:rPr>
          <w:rFonts w:hint="eastAsia"/>
          <w:szCs w:val="24"/>
        </w:rPr>
        <w:t>/</w:t>
      </w:r>
      <w:r>
        <w:rPr>
          <w:rFonts w:hint="eastAsia"/>
          <w:szCs w:val="24"/>
        </w:rPr>
        <w:t>地方行政管理机构为准备担任候选人的妇女提供培训、以及为地方行政管理机构内外的妇女（作为目标群体）培训本地培训人员。这类培训方案的部分资金由国际组织提供。另外，政府为妇女团体（妇女发展委员会）举办了集思广益</w:t>
      </w:r>
      <w:r>
        <w:rPr>
          <w:rFonts w:hint="eastAsia"/>
          <w:szCs w:val="24"/>
        </w:rPr>
        <w:t>论坛，鼓励组建网络，并提供财政补贴以提高本地妇女的潜力。散发了必要资料并在大众媒体发起宣传活动，以鼓励妇女担任候选人，支持并选举女领导人。此外，政府还同妇女网合作开展各类活动，比如同政党领导人举行会议，以鼓励他们认可妇女，请求他们支持不断增加女性候选人。公务员制度委员会办公室也为担任行政职位的妇女举行年度培训方案，并支持她们联网。</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泰国政府努力将性别观点纳入国家一级委员会的政策、方案和项目的主流中。妇女事务全国委员会办公室向内阁提交了一个提案，内容是公正地任命妇女担任国家委员会的职位。预计内阁核准这个提案的</w:t>
      </w:r>
      <w:r>
        <w:rPr>
          <w:rFonts w:hint="eastAsia"/>
          <w:szCs w:val="24"/>
        </w:rPr>
        <w:t>结果将带来响应妇女需要的对性别问题有敏感认识的国家方案和项目。在保护妇女权利方面，根据《宪法》设立了人权委员会。委员会成员从专家学者中甄选，男女比例（五名妇女、六名男子）几乎相等。在地方一级，依据村庄数量设立的村基金委员会男女成员的比例均等。这是妇女组织的有效活动的结果，最终使泰国政府认识到妇女对社区发展发挥的重要作用。</w:t>
      </w:r>
    </w:p>
    <w:p w:rsidR="00000000" w:rsidRDefault="00B83709">
      <w:pPr>
        <w:numPr>
          <w:ilvl w:val="0"/>
          <w:numId w:val="1049"/>
        </w:numPr>
        <w:tabs>
          <w:tab w:val="clear" w:pos="360"/>
          <w:tab w:val="num" w:pos="480"/>
        </w:tabs>
        <w:spacing w:after="240" w:line="360" w:lineRule="exact"/>
        <w:rPr>
          <w:szCs w:val="24"/>
        </w:rPr>
      </w:pPr>
      <w:r>
        <w:rPr>
          <w:rFonts w:hint="eastAsia"/>
          <w:szCs w:val="24"/>
        </w:rPr>
        <w:t>保证妇女参与决策层事务的一个因素是将两性平等纳入主流，这将在中央政府内执行，并且将逐步扩大到各府和各地区。为了促进两性平等，公务员制度委员会办公室制订了一项促进政府人事行政管理领域两性平等</w:t>
      </w:r>
      <w:r>
        <w:rPr>
          <w:rFonts w:hint="eastAsia"/>
          <w:szCs w:val="24"/>
        </w:rPr>
        <w:t>的准则，鼓励所有机构采用这项准则。</w:t>
      </w:r>
    </w:p>
    <w:p w:rsidR="00000000" w:rsidRDefault="00B83709">
      <w:pPr>
        <w:numPr>
          <w:ilvl w:val="0"/>
          <w:numId w:val="1049"/>
        </w:numPr>
        <w:tabs>
          <w:tab w:val="clear" w:pos="360"/>
          <w:tab w:val="num" w:pos="480"/>
        </w:tabs>
        <w:spacing w:after="240" w:line="360" w:lineRule="exact"/>
        <w:rPr>
          <w:szCs w:val="24"/>
        </w:rPr>
      </w:pPr>
      <w:r>
        <w:rPr>
          <w:rFonts w:hint="eastAsia"/>
          <w:szCs w:val="24"/>
        </w:rPr>
        <w:t>在不久的将来，促进两性平等不单由中央政府直接负责。相反，它将是所有政府部门义不容辞的任务，整个政府系统将因此拟订对性别问题有敏感认识的方案和项目。妇女将因此增加担任行政管理职位的机会。如前所述，内阁为实现这个目标于</w:t>
      </w:r>
      <w:r>
        <w:rPr>
          <w:rFonts w:hint="eastAsia"/>
          <w:szCs w:val="24"/>
        </w:rPr>
        <w:t>2001</w:t>
      </w:r>
      <w:r>
        <w:rPr>
          <w:rFonts w:hint="eastAsia"/>
          <w:szCs w:val="24"/>
        </w:rPr>
        <w:t>年</w:t>
      </w:r>
      <w:r>
        <w:rPr>
          <w:rFonts w:hint="eastAsia"/>
          <w:szCs w:val="24"/>
        </w:rPr>
        <w:t>7</w:t>
      </w:r>
      <w:r>
        <w:rPr>
          <w:rFonts w:hint="eastAsia"/>
          <w:szCs w:val="24"/>
        </w:rPr>
        <w:t>月做出决议，规定各部厅起码应在副常务秘书或总干事一级任命一名行政管理人员担任两性平等问题主任。各部厅还应设立一个两性平等问题协调中心，并制订将性别纳入方案和项目主流的总计划，同时协调并向各部厅内外的机构报告执行情况，包括公务员制度委员会办公室和妇女事</w:t>
      </w:r>
      <w:r>
        <w:rPr>
          <w:rFonts w:hint="eastAsia"/>
          <w:szCs w:val="24"/>
        </w:rPr>
        <w:t>务全国委员会办公室。为促进这一进程，与各政府机构的高级官员举行了会议，以说明两性平等的重要性。此外，九个政府机构举行了将性别纳入主流培训班，世界银行为会议提供了资金支助。</w:t>
      </w:r>
    </w:p>
    <w:p w:rsidR="00000000" w:rsidRDefault="00B83709">
      <w:pPr>
        <w:spacing w:after="240" w:line="360" w:lineRule="exact"/>
        <w:rPr>
          <w:rFonts w:eastAsia="SimHei" w:hint="eastAsia"/>
          <w:color w:val="FF0000"/>
        </w:rPr>
      </w:pPr>
      <w:r>
        <w:rPr>
          <w:rFonts w:eastAsia="SimHei" w:hint="eastAsia"/>
          <w:color w:val="FF0000"/>
        </w:rPr>
        <w:t>妇女参与私营部门</w:t>
      </w:r>
    </w:p>
    <w:p w:rsidR="00000000" w:rsidRDefault="00B83709">
      <w:pPr>
        <w:numPr>
          <w:ilvl w:val="0"/>
          <w:numId w:val="1049"/>
        </w:numPr>
        <w:tabs>
          <w:tab w:val="clear" w:pos="360"/>
          <w:tab w:val="num" w:pos="480"/>
        </w:tabs>
        <w:spacing w:after="240" w:line="360" w:lineRule="exact"/>
        <w:rPr>
          <w:szCs w:val="24"/>
        </w:rPr>
      </w:pPr>
      <w:r>
        <w:rPr>
          <w:rFonts w:hint="eastAsia"/>
          <w:szCs w:val="24"/>
        </w:rPr>
        <w:t>福利和劳动保护厅的数据显示，工会成员的人数为</w:t>
      </w:r>
      <w:r>
        <w:rPr>
          <w:szCs w:val="24"/>
        </w:rPr>
        <w:t>285</w:t>
      </w:r>
      <w:r>
        <w:rPr>
          <w:rFonts w:hint="eastAsia"/>
          <w:szCs w:val="24"/>
        </w:rPr>
        <w:t xml:space="preserve"> </w:t>
      </w:r>
      <w:r>
        <w:rPr>
          <w:szCs w:val="24"/>
        </w:rPr>
        <w:t>000</w:t>
      </w:r>
      <w:r>
        <w:rPr>
          <w:rFonts w:hint="eastAsia"/>
          <w:szCs w:val="24"/>
        </w:rPr>
        <w:t>人（这一总数字未按性别开列的数据提供）。其中，</w:t>
      </w:r>
      <w:r>
        <w:rPr>
          <w:szCs w:val="24"/>
        </w:rPr>
        <w:t>12</w:t>
      </w:r>
      <w:r>
        <w:rPr>
          <w:rFonts w:hint="eastAsia"/>
          <w:szCs w:val="24"/>
        </w:rPr>
        <w:t xml:space="preserve"> </w:t>
      </w:r>
      <w:r>
        <w:rPr>
          <w:szCs w:val="24"/>
        </w:rPr>
        <w:t>215</w:t>
      </w:r>
      <w:r>
        <w:rPr>
          <w:rFonts w:hint="eastAsia"/>
          <w:szCs w:val="24"/>
        </w:rPr>
        <w:t>人在行政管理一级，包括</w:t>
      </w:r>
      <w:r>
        <w:rPr>
          <w:szCs w:val="24"/>
        </w:rPr>
        <w:t>8</w:t>
      </w:r>
      <w:r>
        <w:rPr>
          <w:rFonts w:hint="eastAsia"/>
          <w:szCs w:val="24"/>
        </w:rPr>
        <w:t xml:space="preserve"> </w:t>
      </w:r>
      <w:r>
        <w:rPr>
          <w:szCs w:val="24"/>
        </w:rPr>
        <w:t>072</w:t>
      </w:r>
      <w:r>
        <w:rPr>
          <w:rFonts w:hint="eastAsia"/>
          <w:szCs w:val="24"/>
        </w:rPr>
        <w:t>名男子和</w:t>
      </w:r>
      <w:r>
        <w:rPr>
          <w:szCs w:val="24"/>
        </w:rPr>
        <w:t>4</w:t>
      </w:r>
      <w:r>
        <w:rPr>
          <w:rFonts w:hint="eastAsia"/>
          <w:szCs w:val="24"/>
        </w:rPr>
        <w:t xml:space="preserve"> </w:t>
      </w:r>
      <w:r>
        <w:rPr>
          <w:szCs w:val="24"/>
        </w:rPr>
        <w:t>143</w:t>
      </w:r>
      <w:r>
        <w:rPr>
          <w:rFonts w:hint="eastAsia"/>
          <w:szCs w:val="24"/>
        </w:rPr>
        <w:t>名妇女（</w:t>
      </w:r>
      <w:r>
        <w:rPr>
          <w:szCs w:val="24"/>
        </w:rPr>
        <w:t>33.9%</w:t>
      </w:r>
      <w:r>
        <w:rPr>
          <w:rFonts w:hint="eastAsia"/>
          <w:szCs w:val="24"/>
        </w:rPr>
        <w:t>）。国有企业工会的行政管理人员为</w:t>
      </w:r>
      <w:r>
        <w:rPr>
          <w:szCs w:val="24"/>
        </w:rPr>
        <w:t>1</w:t>
      </w:r>
      <w:r>
        <w:rPr>
          <w:rFonts w:hint="eastAsia"/>
          <w:szCs w:val="24"/>
        </w:rPr>
        <w:t xml:space="preserve"> </w:t>
      </w:r>
      <w:r>
        <w:rPr>
          <w:szCs w:val="24"/>
        </w:rPr>
        <w:t>066</w:t>
      </w:r>
      <w:r>
        <w:rPr>
          <w:rFonts w:hint="eastAsia"/>
          <w:szCs w:val="24"/>
        </w:rPr>
        <w:t>名，男性成员</w:t>
      </w:r>
      <w:r>
        <w:rPr>
          <w:rFonts w:hint="eastAsia"/>
          <w:szCs w:val="24"/>
        </w:rPr>
        <w:t>928</w:t>
      </w:r>
      <w:r>
        <w:rPr>
          <w:rFonts w:hint="eastAsia"/>
          <w:szCs w:val="24"/>
        </w:rPr>
        <w:t>名，女性成员</w:t>
      </w:r>
      <w:r>
        <w:rPr>
          <w:szCs w:val="24"/>
        </w:rPr>
        <w:t>138</w:t>
      </w:r>
      <w:r>
        <w:rPr>
          <w:rFonts w:hint="eastAsia"/>
          <w:szCs w:val="24"/>
        </w:rPr>
        <w:t>名（</w:t>
      </w:r>
      <w:r>
        <w:rPr>
          <w:szCs w:val="24"/>
        </w:rPr>
        <w:t>12.9%</w:t>
      </w:r>
      <w:r>
        <w:rPr>
          <w:rFonts w:hint="eastAsia"/>
          <w:szCs w:val="24"/>
        </w:rPr>
        <w:t>）。此外，《劳动保护法》规定各机构应设立福利委</w:t>
      </w:r>
      <w:r>
        <w:rPr>
          <w:rFonts w:hint="eastAsia"/>
          <w:szCs w:val="24"/>
        </w:rPr>
        <w:t>员会。这类委员会有</w:t>
      </w:r>
      <w:r>
        <w:rPr>
          <w:szCs w:val="24"/>
        </w:rPr>
        <w:t>11</w:t>
      </w:r>
      <w:r>
        <w:rPr>
          <w:rFonts w:hint="eastAsia"/>
          <w:szCs w:val="24"/>
        </w:rPr>
        <w:t xml:space="preserve"> </w:t>
      </w:r>
      <w:r>
        <w:rPr>
          <w:szCs w:val="24"/>
        </w:rPr>
        <w:t>206</w:t>
      </w:r>
      <w:r>
        <w:rPr>
          <w:rFonts w:hint="eastAsia"/>
          <w:szCs w:val="24"/>
        </w:rPr>
        <w:t>个（未提供按性别开列的数据）。</w:t>
      </w:r>
    </w:p>
    <w:p w:rsidR="00000000" w:rsidRDefault="00B83709">
      <w:pPr>
        <w:numPr>
          <w:ilvl w:val="0"/>
          <w:numId w:val="1049"/>
        </w:numPr>
        <w:tabs>
          <w:tab w:val="clear" w:pos="360"/>
          <w:tab w:val="num" w:pos="480"/>
        </w:tabs>
        <w:spacing w:after="240" w:line="360" w:lineRule="exact"/>
        <w:rPr>
          <w:szCs w:val="24"/>
        </w:rPr>
      </w:pPr>
      <w:r>
        <w:rPr>
          <w:rFonts w:hint="eastAsia"/>
          <w:szCs w:val="24"/>
        </w:rPr>
        <w:t>《宪法》是保障有关非政府组织和妇女团体参与国家政策制订的主要机制。《宪法》第三十条保障妇女和男子享有同等权利，重点是保障男女平等地参与公共活动。第一百七十条赋予不少于</w:t>
      </w:r>
      <w:r>
        <w:rPr>
          <w:rFonts w:hint="eastAsia"/>
          <w:szCs w:val="24"/>
        </w:rPr>
        <w:t>50 000</w:t>
      </w:r>
      <w:r>
        <w:rPr>
          <w:rFonts w:hint="eastAsia"/>
          <w:szCs w:val="24"/>
        </w:rPr>
        <w:t>名合格选民向议会提出法律草案的权利，因而使妇女网络能够提出新法律，以促进妇女的平等。第一百九十条承认私营部门在起草对儿童、妇女、老人及残疾人产生影响的新法方面具有重要作用。在这些情况下，任命了一个特别议会委员会，其成员起码有</w:t>
      </w:r>
      <w:r>
        <w:rPr>
          <w:rFonts w:hint="eastAsia"/>
          <w:szCs w:val="24"/>
        </w:rPr>
        <w:t>30%</w:t>
      </w:r>
      <w:r>
        <w:rPr>
          <w:rFonts w:hint="eastAsia"/>
          <w:szCs w:val="24"/>
        </w:rPr>
        <w:t>是有关非政府组织的代表。</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第八条：妇女在国</w:t>
      </w:r>
      <w:r>
        <w:rPr>
          <w:rFonts w:eastAsia="SimHei" w:hint="eastAsia"/>
          <w:color w:val="FF0000"/>
          <w:sz w:val="24"/>
        </w:rPr>
        <w:t>际上代表本国和参加国际工作</w:t>
      </w:r>
    </w:p>
    <w:p w:rsidR="00000000" w:rsidRDefault="00B83709" w:rsidP="00B83709">
      <w:pPr>
        <w:pStyle w:val="BodyText3"/>
        <w:spacing w:after="240" w:line="360" w:lineRule="exact"/>
        <w:ind w:firstLineChars="200" w:firstLine="31680"/>
        <w:rPr>
          <w:rFonts w:eastAsia="KaiTi_GB2312" w:hint="eastAsia"/>
          <w:iCs/>
          <w:color w:val="0000FF"/>
          <w:sz w:val="21"/>
          <w:szCs w:val="24"/>
          <w:lang w:eastAsia="zh-CN"/>
        </w:rPr>
      </w:pPr>
      <w:r>
        <w:rPr>
          <w:rFonts w:eastAsia="KaiTi_GB2312"/>
          <w:iCs/>
          <w:color w:val="0000FF"/>
          <w:sz w:val="21"/>
          <w:szCs w:val="24"/>
          <w:lang w:eastAsia="zh-CN"/>
        </w:rPr>
        <w:t>缔约各国应采取一切适当措施，保证妇女在与男子平等不受任何歧视的条件下，有机会在国际上代表本国政府参加各国际组织的工作。</w:t>
      </w:r>
    </w:p>
    <w:p w:rsidR="00000000" w:rsidRDefault="00B83709">
      <w:pPr>
        <w:numPr>
          <w:ilvl w:val="0"/>
          <w:numId w:val="1049"/>
        </w:numPr>
        <w:tabs>
          <w:tab w:val="clear" w:pos="360"/>
          <w:tab w:val="num" w:pos="480"/>
        </w:tabs>
        <w:spacing w:after="240" w:line="360" w:lineRule="exact"/>
        <w:rPr>
          <w:szCs w:val="24"/>
        </w:rPr>
      </w:pPr>
      <w:r>
        <w:rPr>
          <w:rFonts w:hint="eastAsia"/>
          <w:szCs w:val="24"/>
        </w:rPr>
        <w:t>截至</w:t>
      </w:r>
      <w:r>
        <w:rPr>
          <w:rFonts w:hint="eastAsia"/>
          <w:szCs w:val="24"/>
        </w:rPr>
        <w:t>2001</w:t>
      </w:r>
      <w:r>
        <w:rPr>
          <w:rFonts w:hint="eastAsia"/>
          <w:szCs w:val="24"/>
        </w:rPr>
        <w:t>年</w:t>
      </w:r>
      <w:r>
        <w:rPr>
          <w:rFonts w:hint="eastAsia"/>
          <w:szCs w:val="24"/>
        </w:rPr>
        <w:t>6</w:t>
      </w:r>
      <w:r>
        <w:rPr>
          <w:rFonts w:hint="eastAsia"/>
          <w:szCs w:val="24"/>
        </w:rPr>
        <w:t>月，在联合国各机构工作的泰籍人士为</w:t>
      </w:r>
      <w:r>
        <w:rPr>
          <w:szCs w:val="24"/>
        </w:rPr>
        <w:t>27</w:t>
      </w:r>
      <w:r>
        <w:rPr>
          <w:rFonts w:hint="eastAsia"/>
          <w:szCs w:val="24"/>
        </w:rPr>
        <w:t>名，其中有</w:t>
      </w:r>
      <w:r>
        <w:rPr>
          <w:rFonts w:hint="eastAsia"/>
          <w:szCs w:val="24"/>
        </w:rPr>
        <w:t>14</w:t>
      </w:r>
      <w:r>
        <w:rPr>
          <w:rFonts w:hint="eastAsia"/>
          <w:szCs w:val="24"/>
        </w:rPr>
        <w:t>名（或</w:t>
      </w:r>
      <w:r>
        <w:rPr>
          <w:rFonts w:hint="eastAsia"/>
          <w:szCs w:val="24"/>
        </w:rPr>
        <w:t>50.85%</w:t>
      </w:r>
      <w:r>
        <w:rPr>
          <w:rFonts w:hint="eastAsia"/>
          <w:szCs w:val="24"/>
        </w:rPr>
        <w:t>）为妇女。大多数是专业人员（</w:t>
      </w:r>
      <w:r>
        <w:rPr>
          <w:rFonts w:hint="eastAsia"/>
          <w:szCs w:val="24"/>
        </w:rPr>
        <w:t>1-5</w:t>
      </w:r>
      <w:r>
        <w:rPr>
          <w:rFonts w:hint="eastAsia"/>
          <w:szCs w:val="24"/>
        </w:rPr>
        <w:t>级），在</w:t>
      </w:r>
      <w:r>
        <w:rPr>
          <w:rFonts w:hint="eastAsia"/>
          <w:szCs w:val="24"/>
        </w:rPr>
        <w:t>13</w:t>
      </w:r>
      <w:r>
        <w:rPr>
          <w:rFonts w:hint="eastAsia"/>
          <w:szCs w:val="24"/>
        </w:rPr>
        <w:t>名男子当中，一人担任助理秘书长职务。</w:t>
      </w:r>
    </w:p>
    <w:p w:rsidR="00000000" w:rsidRDefault="00B83709">
      <w:pPr>
        <w:numPr>
          <w:ilvl w:val="0"/>
          <w:numId w:val="1049"/>
        </w:numPr>
        <w:tabs>
          <w:tab w:val="clear" w:pos="360"/>
          <w:tab w:val="num" w:pos="480"/>
        </w:tabs>
        <w:spacing w:after="240" w:line="360" w:lineRule="exact"/>
        <w:rPr>
          <w:szCs w:val="24"/>
        </w:rPr>
      </w:pPr>
      <w:r>
        <w:rPr>
          <w:rFonts w:hint="eastAsia"/>
          <w:szCs w:val="24"/>
        </w:rPr>
        <w:t>在外交部高级管理一级的妇女比例低。过去五年（</w:t>
      </w:r>
      <w:r>
        <w:rPr>
          <w:rFonts w:hint="eastAsia"/>
          <w:szCs w:val="24"/>
        </w:rPr>
        <w:t>1998-2002</w:t>
      </w:r>
      <w:r>
        <w:rPr>
          <w:rFonts w:hint="eastAsia"/>
          <w:szCs w:val="24"/>
        </w:rPr>
        <w:t>年）的数据显示，</w:t>
      </w:r>
      <w:r>
        <w:rPr>
          <w:rFonts w:hint="eastAsia"/>
          <w:szCs w:val="24"/>
        </w:rPr>
        <w:t>2-5</w:t>
      </w:r>
      <w:r>
        <w:rPr>
          <w:rFonts w:hint="eastAsia"/>
          <w:szCs w:val="24"/>
        </w:rPr>
        <w:t>级的女性政府官员的人数多于男子。不过，从</w:t>
      </w:r>
      <w:r>
        <w:rPr>
          <w:rFonts w:hint="eastAsia"/>
          <w:szCs w:val="24"/>
        </w:rPr>
        <w:t>6</w:t>
      </w:r>
      <w:r>
        <w:rPr>
          <w:rFonts w:hint="eastAsia"/>
          <w:szCs w:val="24"/>
        </w:rPr>
        <w:t>级即厅级往上，男子较多。</w:t>
      </w:r>
      <w:r>
        <w:rPr>
          <w:rFonts w:hint="eastAsia"/>
          <w:szCs w:val="24"/>
        </w:rPr>
        <w:t>1998</w:t>
      </w:r>
      <w:r>
        <w:rPr>
          <w:rFonts w:hint="eastAsia"/>
          <w:szCs w:val="24"/>
        </w:rPr>
        <w:t>年，外交领域</w:t>
      </w:r>
      <w:r>
        <w:rPr>
          <w:rFonts w:hint="eastAsia"/>
          <w:szCs w:val="24"/>
        </w:rPr>
        <w:t>8-11</w:t>
      </w:r>
      <w:r>
        <w:rPr>
          <w:rFonts w:hint="eastAsia"/>
          <w:szCs w:val="24"/>
        </w:rPr>
        <w:t>级政府官员中有</w:t>
      </w:r>
      <w:r>
        <w:rPr>
          <w:szCs w:val="24"/>
        </w:rPr>
        <w:t>2</w:t>
      </w:r>
      <w:r>
        <w:rPr>
          <w:szCs w:val="24"/>
        </w:rPr>
        <w:t>4.75%</w:t>
      </w:r>
      <w:r>
        <w:rPr>
          <w:rFonts w:hint="eastAsia"/>
          <w:szCs w:val="24"/>
        </w:rPr>
        <w:t>是妇女，而在</w:t>
      </w:r>
      <w:r>
        <w:rPr>
          <w:rFonts w:hint="eastAsia"/>
          <w:szCs w:val="24"/>
        </w:rPr>
        <w:t>2002</w:t>
      </w:r>
      <w:r>
        <w:rPr>
          <w:rFonts w:hint="eastAsia"/>
          <w:szCs w:val="24"/>
        </w:rPr>
        <w:t>年，这一比例略增至</w:t>
      </w:r>
      <w:r>
        <w:rPr>
          <w:szCs w:val="24"/>
        </w:rPr>
        <w:t>29.63%</w:t>
      </w:r>
      <w:r>
        <w:rPr>
          <w:rFonts w:hint="eastAsia"/>
          <w:szCs w:val="24"/>
        </w:rPr>
        <w:t>。但显而易见的是，官职级别越高，妇女的比例越低。</w:t>
      </w:r>
    </w:p>
    <w:p w:rsidR="00000000" w:rsidRDefault="00B83709">
      <w:pPr>
        <w:numPr>
          <w:ilvl w:val="0"/>
          <w:numId w:val="1049"/>
        </w:numPr>
        <w:tabs>
          <w:tab w:val="clear" w:pos="360"/>
          <w:tab w:val="num" w:pos="480"/>
        </w:tabs>
        <w:spacing w:after="240" w:line="360" w:lineRule="exact"/>
        <w:rPr>
          <w:szCs w:val="24"/>
        </w:rPr>
      </w:pPr>
      <w:r>
        <w:rPr>
          <w:rFonts w:hint="eastAsia"/>
          <w:szCs w:val="24"/>
        </w:rPr>
        <w:t>在各个级别上，外交领域及驻外</w:t>
      </w:r>
      <w:r>
        <w:rPr>
          <w:rFonts w:hint="eastAsia"/>
          <w:szCs w:val="24"/>
        </w:rPr>
        <w:t>4</w:t>
      </w:r>
      <w:r>
        <w:rPr>
          <w:rFonts w:hint="eastAsia"/>
          <w:szCs w:val="24"/>
        </w:rPr>
        <w:t>级和</w:t>
      </w:r>
      <w:r>
        <w:rPr>
          <w:rFonts w:hint="eastAsia"/>
          <w:szCs w:val="24"/>
        </w:rPr>
        <w:t>4</w:t>
      </w:r>
      <w:r>
        <w:rPr>
          <w:rFonts w:hint="eastAsia"/>
          <w:szCs w:val="24"/>
        </w:rPr>
        <w:t>级以上女官员的人数低于男子。部分原因是选择驻外职务的妇女较少。</w:t>
      </w:r>
      <w:r>
        <w:rPr>
          <w:szCs w:val="24"/>
        </w:rPr>
        <w:t>1998</w:t>
      </w:r>
      <w:r>
        <w:rPr>
          <w:rFonts w:hint="eastAsia"/>
          <w:szCs w:val="24"/>
        </w:rPr>
        <w:t>年，</w:t>
      </w:r>
      <w:r>
        <w:rPr>
          <w:rFonts w:hint="eastAsia"/>
          <w:szCs w:val="24"/>
        </w:rPr>
        <w:t>8-10</w:t>
      </w:r>
      <w:r>
        <w:rPr>
          <w:rFonts w:hint="eastAsia"/>
          <w:szCs w:val="24"/>
        </w:rPr>
        <w:t>级妇女官员占</w:t>
      </w:r>
      <w:r>
        <w:rPr>
          <w:szCs w:val="24"/>
        </w:rPr>
        <w:t>14.05%</w:t>
      </w:r>
      <w:r>
        <w:rPr>
          <w:rFonts w:hint="eastAsia"/>
          <w:szCs w:val="24"/>
        </w:rPr>
        <w:t>，而</w:t>
      </w:r>
      <w:r>
        <w:rPr>
          <w:rFonts w:hint="eastAsia"/>
          <w:szCs w:val="24"/>
        </w:rPr>
        <w:t>2002</w:t>
      </w:r>
      <w:r>
        <w:rPr>
          <w:rFonts w:hint="eastAsia"/>
          <w:szCs w:val="24"/>
        </w:rPr>
        <w:t>年为</w:t>
      </w:r>
      <w:r>
        <w:rPr>
          <w:szCs w:val="24"/>
        </w:rPr>
        <w:t>18.01%</w:t>
      </w:r>
      <w:r>
        <w:rPr>
          <w:rFonts w:hint="eastAsia"/>
          <w:szCs w:val="24"/>
        </w:rPr>
        <w:t>。驻外妇女的比例仅约相当于留任国内及在外交部工作的妇女的一半。至于大使职位，</w:t>
      </w:r>
      <w:r>
        <w:rPr>
          <w:rFonts w:hint="eastAsia"/>
          <w:szCs w:val="24"/>
        </w:rPr>
        <w:t>2001</w:t>
      </w:r>
      <w:r>
        <w:rPr>
          <w:rFonts w:hint="eastAsia"/>
          <w:szCs w:val="24"/>
        </w:rPr>
        <w:t>年，</w:t>
      </w:r>
      <w:r>
        <w:rPr>
          <w:rFonts w:hint="eastAsia"/>
          <w:szCs w:val="24"/>
        </w:rPr>
        <w:t>59</w:t>
      </w:r>
      <w:r>
        <w:rPr>
          <w:rFonts w:hint="eastAsia"/>
          <w:szCs w:val="24"/>
        </w:rPr>
        <w:t>个大使职位中有女大使</w:t>
      </w:r>
      <w:r>
        <w:rPr>
          <w:rFonts w:hint="eastAsia"/>
          <w:szCs w:val="24"/>
        </w:rPr>
        <w:t>3</w:t>
      </w:r>
      <w:r>
        <w:rPr>
          <w:rFonts w:hint="eastAsia"/>
          <w:szCs w:val="24"/>
        </w:rPr>
        <w:t>人，占</w:t>
      </w:r>
      <w:r>
        <w:rPr>
          <w:rFonts w:hint="eastAsia"/>
          <w:szCs w:val="24"/>
        </w:rPr>
        <w:t>5.4%</w:t>
      </w:r>
      <w:r>
        <w:rPr>
          <w:rFonts w:hint="eastAsia"/>
          <w:szCs w:val="24"/>
        </w:rPr>
        <w:t>，这一数字低于</w:t>
      </w:r>
      <w:r>
        <w:rPr>
          <w:rFonts w:hint="eastAsia"/>
          <w:szCs w:val="24"/>
        </w:rPr>
        <w:t>1998-1999</w:t>
      </w:r>
      <w:r>
        <w:rPr>
          <w:rFonts w:hint="eastAsia"/>
          <w:szCs w:val="24"/>
        </w:rPr>
        <w:t>年的数字（</w:t>
      </w:r>
      <w:r>
        <w:rPr>
          <w:rFonts w:hint="eastAsia"/>
          <w:szCs w:val="24"/>
        </w:rPr>
        <w:t>4</w:t>
      </w:r>
      <w:r>
        <w:rPr>
          <w:rFonts w:hint="eastAsia"/>
          <w:szCs w:val="24"/>
        </w:rPr>
        <w:t>名女大使，或占</w:t>
      </w:r>
      <w:r>
        <w:rPr>
          <w:rFonts w:hint="eastAsia"/>
          <w:szCs w:val="24"/>
        </w:rPr>
        <w:t>7%</w:t>
      </w:r>
      <w:r>
        <w:rPr>
          <w:rFonts w:hint="eastAsia"/>
          <w:szCs w:val="24"/>
        </w:rPr>
        <w:t>），并且也低于</w:t>
      </w:r>
      <w:r>
        <w:rPr>
          <w:rFonts w:hint="eastAsia"/>
          <w:szCs w:val="24"/>
        </w:rPr>
        <w:t>2000</w:t>
      </w:r>
      <w:r>
        <w:rPr>
          <w:rFonts w:hint="eastAsia"/>
          <w:szCs w:val="24"/>
        </w:rPr>
        <w:t>年的数字（</w:t>
      </w:r>
      <w:r>
        <w:rPr>
          <w:rFonts w:hint="eastAsia"/>
          <w:szCs w:val="24"/>
        </w:rPr>
        <w:t>7%</w:t>
      </w:r>
      <w:r>
        <w:rPr>
          <w:rFonts w:hint="eastAsia"/>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妇女在作为泰国代表团成员出席国际论坛方面不受歧视。任命的依据是任务和职位，但政府部门的大多数高级官员是男子。</w:t>
      </w:r>
    </w:p>
    <w:p w:rsidR="00000000" w:rsidRDefault="00B83709">
      <w:pPr>
        <w:numPr>
          <w:ilvl w:val="0"/>
          <w:numId w:val="1049"/>
        </w:numPr>
        <w:tabs>
          <w:tab w:val="clear" w:pos="360"/>
          <w:tab w:val="num" w:pos="480"/>
        </w:tabs>
        <w:spacing w:after="240" w:line="360" w:lineRule="exact"/>
        <w:rPr>
          <w:szCs w:val="24"/>
        </w:rPr>
      </w:pPr>
      <w:r>
        <w:rPr>
          <w:rFonts w:hint="eastAsia"/>
          <w:szCs w:val="24"/>
        </w:rPr>
        <w:t>公务员制度委员会办公室不断收集关于设有驻外办事处的各机构男女官员人数的数据。数据提供的一些例子有：</w:t>
      </w:r>
      <w:r>
        <w:rPr>
          <w:rFonts w:hint="eastAsia"/>
          <w:szCs w:val="24"/>
        </w:rPr>
        <w:t>2002</w:t>
      </w:r>
      <w:r>
        <w:rPr>
          <w:rFonts w:hint="eastAsia"/>
          <w:szCs w:val="24"/>
        </w:rPr>
        <w:t>年，</w:t>
      </w:r>
      <w:r>
        <w:rPr>
          <w:rFonts w:hint="eastAsia"/>
          <w:szCs w:val="24"/>
        </w:rPr>
        <w:t>31</w:t>
      </w:r>
      <w:r>
        <w:rPr>
          <w:rFonts w:hint="eastAsia"/>
          <w:szCs w:val="24"/>
        </w:rPr>
        <w:t>名旅游促进官员中有</w:t>
      </w:r>
      <w:r>
        <w:rPr>
          <w:szCs w:val="24"/>
        </w:rPr>
        <w:t xml:space="preserve"> 13</w:t>
      </w:r>
      <w:r>
        <w:rPr>
          <w:rFonts w:hint="eastAsia"/>
          <w:szCs w:val="24"/>
        </w:rPr>
        <w:t>名（</w:t>
      </w:r>
      <w:r>
        <w:rPr>
          <w:szCs w:val="24"/>
        </w:rPr>
        <w:t>41.9%</w:t>
      </w:r>
      <w:r>
        <w:rPr>
          <w:rFonts w:hint="eastAsia"/>
          <w:szCs w:val="24"/>
        </w:rPr>
        <w:t>）是妇女；投资委员会办公室的</w:t>
      </w:r>
      <w:r>
        <w:rPr>
          <w:rFonts w:hint="eastAsia"/>
          <w:szCs w:val="24"/>
        </w:rPr>
        <w:t>8</w:t>
      </w:r>
      <w:r>
        <w:rPr>
          <w:rFonts w:hint="eastAsia"/>
          <w:szCs w:val="24"/>
        </w:rPr>
        <w:t>名驻外工作人员中有</w:t>
      </w:r>
      <w:r>
        <w:rPr>
          <w:rFonts w:hint="eastAsia"/>
          <w:szCs w:val="24"/>
        </w:rPr>
        <w:t>4</w:t>
      </w:r>
      <w:r>
        <w:rPr>
          <w:rFonts w:hint="eastAsia"/>
          <w:szCs w:val="24"/>
        </w:rPr>
        <w:t>名是妇女。</w:t>
      </w:r>
    </w:p>
    <w:p w:rsidR="00000000" w:rsidRDefault="00B83709">
      <w:pPr>
        <w:numPr>
          <w:ilvl w:val="0"/>
          <w:numId w:val="1049"/>
        </w:numPr>
        <w:tabs>
          <w:tab w:val="clear" w:pos="360"/>
          <w:tab w:val="num" w:pos="480"/>
        </w:tabs>
        <w:spacing w:after="240" w:line="360" w:lineRule="exact"/>
        <w:rPr>
          <w:szCs w:val="24"/>
        </w:rPr>
      </w:pPr>
      <w:r>
        <w:rPr>
          <w:rFonts w:hint="eastAsia"/>
          <w:szCs w:val="24"/>
        </w:rPr>
        <w:t>不过，就业厅的数据显示，</w:t>
      </w:r>
      <w:r>
        <w:rPr>
          <w:rFonts w:hint="eastAsia"/>
          <w:szCs w:val="24"/>
        </w:rPr>
        <w:t>2001</w:t>
      </w:r>
      <w:r>
        <w:rPr>
          <w:rFonts w:hint="eastAsia"/>
          <w:szCs w:val="24"/>
        </w:rPr>
        <w:t>年泰国人在国外充当私人雇员的有</w:t>
      </w:r>
      <w:r>
        <w:rPr>
          <w:szCs w:val="24"/>
        </w:rPr>
        <w:t>140</w:t>
      </w:r>
      <w:r>
        <w:rPr>
          <w:rFonts w:hint="eastAsia"/>
          <w:szCs w:val="24"/>
        </w:rPr>
        <w:t xml:space="preserve"> </w:t>
      </w:r>
      <w:r>
        <w:rPr>
          <w:szCs w:val="24"/>
        </w:rPr>
        <w:t>014</w:t>
      </w:r>
      <w:r>
        <w:rPr>
          <w:rFonts w:hint="eastAsia"/>
          <w:szCs w:val="24"/>
        </w:rPr>
        <w:t>人，其中妇女有</w:t>
      </w:r>
      <w:r>
        <w:rPr>
          <w:szCs w:val="24"/>
        </w:rPr>
        <w:t>24</w:t>
      </w:r>
      <w:r>
        <w:rPr>
          <w:rFonts w:hint="eastAsia"/>
          <w:szCs w:val="24"/>
        </w:rPr>
        <w:t xml:space="preserve"> </w:t>
      </w:r>
      <w:r>
        <w:rPr>
          <w:szCs w:val="24"/>
        </w:rPr>
        <w:t>943</w:t>
      </w:r>
      <w:r>
        <w:rPr>
          <w:rFonts w:hint="eastAsia"/>
          <w:szCs w:val="24"/>
        </w:rPr>
        <w:t>人（</w:t>
      </w:r>
      <w:r>
        <w:rPr>
          <w:szCs w:val="24"/>
        </w:rPr>
        <w:t>15.1%</w:t>
      </w:r>
      <w:r>
        <w:rPr>
          <w:rFonts w:hint="eastAsia"/>
          <w:szCs w:val="24"/>
        </w:rPr>
        <w:t>）。在所有职业当中，妇女的任职人数少于男子，商业和服务部门除外，这两个部</w:t>
      </w:r>
      <w:r>
        <w:rPr>
          <w:rFonts w:hint="eastAsia"/>
          <w:szCs w:val="24"/>
        </w:rPr>
        <w:t>门的女工作人员占</w:t>
      </w:r>
      <w:r>
        <w:rPr>
          <w:szCs w:val="24"/>
        </w:rPr>
        <w:t>63.9%</w:t>
      </w:r>
      <w:r>
        <w:rPr>
          <w:rFonts w:hint="eastAsia"/>
          <w:szCs w:val="24"/>
        </w:rPr>
        <w:t>。</w:t>
      </w:r>
    </w:p>
    <w:p w:rsidR="00000000" w:rsidRDefault="00B83709">
      <w:pPr>
        <w:spacing w:after="240" w:line="360" w:lineRule="exact"/>
        <w:jc w:val="center"/>
        <w:rPr>
          <w:rFonts w:eastAsia="SimHei" w:hint="eastAsia"/>
          <w:color w:val="FF0000"/>
          <w:sz w:val="24"/>
        </w:rPr>
      </w:pPr>
      <w:r>
        <w:rPr>
          <w:rFonts w:eastAsia="SimHei" w:hint="eastAsia"/>
          <w:color w:val="FF0000"/>
          <w:sz w:val="24"/>
        </w:rPr>
        <w:t>第九条：国籍问题</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缔约各国应给予妇女与男子有取得、改变或保留国籍的同等权利。它们应特别保证，与外国人结婚或于婚姻存续期间丈夫改变国籍均不当然改变妻子的国籍、使她成为无国籍人，或把丈夫的国籍强加于她。</w:t>
      </w:r>
      <w:r>
        <w:rPr>
          <w:rFonts w:eastAsia="KaiTi_GB2312"/>
          <w:color w:val="0000FF"/>
          <w:szCs w:val="24"/>
        </w:rPr>
        <w:t xml:space="preserve"> </w:t>
      </w:r>
    </w:p>
    <w:p w:rsidR="00000000" w:rsidRDefault="00B83709">
      <w:pPr>
        <w:spacing w:after="240" w:line="360" w:lineRule="exact"/>
      </w:pPr>
      <w:r>
        <w:rPr>
          <w:rFonts w:eastAsia="KaiTi_GB2312"/>
          <w:color w:val="0000FF"/>
          <w:szCs w:val="24"/>
        </w:rPr>
        <w:t>    </w:t>
      </w:r>
      <w:r>
        <w:rPr>
          <w:rFonts w:eastAsia="KaiTi_GB2312" w:hint="eastAsia"/>
          <w:color w:val="0000FF"/>
          <w:szCs w:val="24"/>
        </w:rPr>
        <w:t xml:space="preserve">　</w:t>
      </w:r>
      <w:r>
        <w:rPr>
          <w:rFonts w:eastAsia="KaiTi_GB2312"/>
          <w:color w:val="0000FF"/>
          <w:szCs w:val="24"/>
        </w:rPr>
        <w:t>缔约各国在关于子女的国籍方面，应给予妇女与男子平等的权利。</w:t>
      </w:r>
      <w:r>
        <w:t xml:space="preserve"> </w:t>
      </w:r>
    </w:p>
    <w:p w:rsidR="00000000" w:rsidRDefault="00B83709">
      <w:pPr>
        <w:spacing w:after="240" w:line="360" w:lineRule="exact"/>
        <w:rPr>
          <w:rFonts w:eastAsia="SimHei" w:hint="eastAsia"/>
          <w:color w:val="FF0000"/>
        </w:rPr>
      </w:pPr>
      <w:r>
        <w:rPr>
          <w:rFonts w:eastAsia="SimHei" w:hint="eastAsia"/>
          <w:color w:val="FF0000"/>
        </w:rPr>
        <w:t>婚姻权利</w:t>
      </w:r>
    </w:p>
    <w:p w:rsidR="00000000" w:rsidRDefault="00B83709">
      <w:pPr>
        <w:numPr>
          <w:ilvl w:val="0"/>
          <w:numId w:val="1049"/>
        </w:numPr>
        <w:tabs>
          <w:tab w:val="clear" w:pos="360"/>
          <w:tab w:val="num" w:pos="480"/>
        </w:tabs>
        <w:spacing w:after="240" w:line="360" w:lineRule="exact"/>
        <w:rPr>
          <w:szCs w:val="24"/>
        </w:rPr>
      </w:pPr>
      <w:r>
        <w:rPr>
          <w:rFonts w:hint="eastAsia"/>
          <w:szCs w:val="24"/>
        </w:rPr>
        <w:t>现行法律不禁止同非泰籍人士结婚。拥有泰国国籍的人与外国人结婚的，保留泰国国籍。</w:t>
      </w:r>
    </w:p>
    <w:p w:rsidR="00000000" w:rsidRDefault="00B83709">
      <w:pPr>
        <w:numPr>
          <w:ilvl w:val="0"/>
          <w:numId w:val="1049"/>
        </w:numPr>
        <w:tabs>
          <w:tab w:val="clear" w:pos="360"/>
          <w:tab w:val="num" w:pos="480"/>
        </w:tabs>
        <w:spacing w:after="240" w:line="360" w:lineRule="exact"/>
        <w:rPr>
          <w:szCs w:val="24"/>
        </w:rPr>
      </w:pPr>
      <w:r>
        <w:rPr>
          <w:rFonts w:hint="eastAsia"/>
          <w:szCs w:val="24"/>
        </w:rPr>
        <w:t>根据《</w:t>
      </w:r>
      <w:r>
        <w:rPr>
          <w:rFonts w:hint="eastAsia"/>
          <w:szCs w:val="24"/>
        </w:rPr>
        <w:t>1965</w:t>
      </w:r>
      <w:r>
        <w:rPr>
          <w:rFonts w:hint="eastAsia"/>
          <w:szCs w:val="24"/>
        </w:rPr>
        <w:t>年国籍法》，取得泰国国籍可通过出生、婚姻或改变国籍，但在通过婚姻取得国籍方面，仍然歧视妇女。凡与非泰籍人</w:t>
      </w:r>
      <w:r>
        <w:rPr>
          <w:rFonts w:hint="eastAsia"/>
          <w:szCs w:val="24"/>
        </w:rPr>
        <w:t>结婚的男子，其妻子有权选择其国籍。凡与非泰籍人结婚的妇女，其丈夫没有这样的权利，只有通过正式申请改变国籍才能取得泰国国籍。</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妇女事务全国委员会试图修订《</w:t>
      </w:r>
      <w:r>
        <w:rPr>
          <w:rFonts w:hint="eastAsia"/>
          <w:szCs w:val="24"/>
        </w:rPr>
        <w:t>1965</w:t>
      </w:r>
      <w:r>
        <w:rPr>
          <w:rFonts w:hint="eastAsia"/>
          <w:szCs w:val="24"/>
        </w:rPr>
        <w:t>年国籍法》，以便给予同泰籍人结婚的外国男子或妇女</w:t>
      </w:r>
      <w:r>
        <w:rPr>
          <w:rFonts w:hint="eastAsia"/>
          <w:szCs w:val="24"/>
        </w:rPr>
        <w:t>1996</w:t>
      </w:r>
      <w:r>
        <w:rPr>
          <w:rFonts w:hint="eastAsia"/>
          <w:szCs w:val="24"/>
        </w:rPr>
        <w:t>年</w:t>
      </w:r>
      <w:r>
        <w:rPr>
          <w:rFonts w:hint="eastAsia"/>
          <w:szCs w:val="24"/>
        </w:rPr>
        <w:t>4</w:t>
      </w:r>
      <w:r>
        <w:rPr>
          <w:rFonts w:hint="eastAsia"/>
          <w:szCs w:val="24"/>
        </w:rPr>
        <w:t>月</w:t>
      </w:r>
      <w:r>
        <w:rPr>
          <w:rFonts w:hint="eastAsia"/>
          <w:szCs w:val="24"/>
        </w:rPr>
        <w:t>9</w:t>
      </w:r>
      <w:r>
        <w:rPr>
          <w:rFonts w:hint="eastAsia"/>
          <w:szCs w:val="24"/>
        </w:rPr>
        <w:t>日内阁决议所述的同等权利。不过，内政部对这个问题拥有管辖权，它声明不应修订该法，原因是这将影响国家利益和安全。</w:t>
      </w:r>
    </w:p>
    <w:p w:rsidR="00000000" w:rsidRDefault="00B83709">
      <w:pPr>
        <w:numPr>
          <w:ilvl w:val="0"/>
          <w:numId w:val="1049"/>
        </w:numPr>
        <w:tabs>
          <w:tab w:val="clear" w:pos="360"/>
          <w:tab w:val="num" w:pos="480"/>
        </w:tabs>
        <w:spacing w:after="240" w:line="360" w:lineRule="exact"/>
        <w:rPr>
          <w:szCs w:val="24"/>
        </w:rPr>
      </w:pPr>
      <w:r>
        <w:rPr>
          <w:rFonts w:hint="eastAsia"/>
          <w:szCs w:val="24"/>
        </w:rPr>
        <w:t>但根据《</w:t>
      </w:r>
      <w:r>
        <w:rPr>
          <w:rFonts w:hint="eastAsia"/>
          <w:szCs w:val="24"/>
        </w:rPr>
        <w:t>1997</w:t>
      </w:r>
      <w:r>
        <w:rPr>
          <w:rFonts w:hint="eastAsia"/>
          <w:szCs w:val="24"/>
        </w:rPr>
        <w:t>年宪法》，第三十条规定男女在法律面前享有同等权利。因此，外国人与泰国人结婚的，给予其国籍时应遵行同样的标准和条件。</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妇女事务全国委员会于</w:t>
      </w:r>
      <w:r>
        <w:rPr>
          <w:rFonts w:hint="eastAsia"/>
          <w:szCs w:val="24"/>
        </w:rPr>
        <w:t>1999</w:t>
      </w:r>
      <w:r>
        <w:rPr>
          <w:rFonts w:hint="eastAsia"/>
          <w:szCs w:val="24"/>
        </w:rPr>
        <w:t>年</w:t>
      </w:r>
      <w:r>
        <w:rPr>
          <w:rFonts w:hint="eastAsia"/>
          <w:szCs w:val="24"/>
        </w:rPr>
        <w:t>4</w:t>
      </w:r>
      <w:r>
        <w:rPr>
          <w:rFonts w:hint="eastAsia"/>
          <w:szCs w:val="24"/>
        </w:rPr>
        <w:t>月</w:t>
      </w:r>
      <w:r>
        <w:rPr>
          <w:rFonts w:hint="eastAsia"/>
          <w:szCs w:val="24"/>
        </w:rPr>
        <w:t>22</w:t>
      </w:r>
      <w:r>
        <w:rPr>
          <w:rFonts w:hint="eastAsia"/>
          <w:szCs w:val="24"/>
        </w:rPr>
        <w:t>日向内</w:t>
      </w:r>
      <w:r>
        <w:rPr>
          <w:rFonts w:hint="eastAsia"/>
          <w:szCs w:val="24"/>
        </w:rPr>
        <w:t>政部提交一份建议，提议进行与《宪法》相符的适当修正。目前，内政部正在进行这样的修正。</w:t>
      </w:r>
    </w:p>
    <w:p w:rsidR="00000000" w:rsidRDefault="00B83709">
      <w:pPr>
        <w:spacing w:after="240" w:line="360" w:lineRule="exact"/>
        <w:rPr>
          <w:rFonts w:eastAsia="SimHei" w:hint="eastAsia"/>
          <w:color w:val="FF0000"/>
        </w:rPr>
      </w:pPr>
      <w:r>
        <w:rPr>
          <w:rFonts w:eastAsia="SimHei" w:hint="eastAsia"/>
          <w:color w:val="FF0000"/>
        </w:rPr>
        <w:t>土地所有权</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rFonts w:hint="eastAsia"/>
          <w:szCs w:val="24"/>
        </w:rPr>
        <w:t>1997</w:t>
      </w:r>
      <w:r>
        <w:rPr>
          <w:rFonts w:hint="eastAsia"/>
          <w:szCs w:val="24"/>
        </w:rPr>
        <w:t>年宪法》第三十条规定，法律面前人人享有同等权利并得到同等的法律保护。</w:t>
      </w:r>
      <w:r>
        <w:rPr>
          <w:rFonts w:hint="eastAsia"/>
          <w:szCs w:val="24"/>
        </w:rPr>
        <w:t>1999</w:t>
      </w:r>
      <w:r>
        <w:rPr>
          <w:rFonts w:hint="eastAsia"/>
          <w:szCs w:val="24"/>
        </w:rPr>
        <w:t>年</w:t>
      </w:r>
      <w:r>
        <w:rPr>
          <w:rFonts w:hint="eastAsia"/>
          <w:szCs w:val="24"/>
        </w:rPr>
        <w:t>5</w:t>
      </w:r>
      <w:r>
        <w:rPr>
          <w:rFonts w:hint="eastAsia"/>
          <w:szCs w:val="24"/>
        </w:rPr>
        <w:t>月</w:t>
      </w:r>
      <w:r>
        <w:rPr>
          <w:rFonts w:hint="eastAsia"/>
          <w:szCs w:val="24"/>
        </w:rPr>
        <w:t>11</w:t>
      </w:r>
      <w:r>
        <w:rPr>
          <w:rFonts w:hint="eastAsia"/>
          <w:szCs w:val="24"/>
        </w:rPr>
        <w:t>日经内阁核准，内政部确定了与《宪法》相符的新标准，废除了限制与外国人结婚的泰国人及其子女拥有土地权利的标准。</w:t>
      </w:r>
    </w:p>
    <w:p w:rsidR="00000000" w:rsidRDefault="00B83709">
      <w:pPr>
        <w:numPr>
          <w:ilvl w:val="0"/>
          <w:numId w:val="1049"/>
        </w:numPr>
        <w:tabs>
          <w:tab w:val="clear" w:pos="360"/>
          <w:tab w:val="num" w:pos="480"/>
        </w:tabs>
        <w:spacing w:after="240" w:line="360" w:lineRule="exact"/>
        <w:rPr>
          <w:szCs w:val="24"/>
        </w:rPr>
      </w:pPr>
      <w:r>
        <w:rPr>
          <w:rFonts w:hint="eastAsia"/>
          <w:szCs w:val="24"/>
        </w:rPr>
        <w:t>因此，泰国人无论男女，凡与外国人结婚的，保留在泰国购置土地的权利，但该等“权利”依内政部有关国家安全的规章而定。该规定的根据是防止法律出现的漏洞使得外国人占有大量土地，从而致使泰国人民几乎得不到土地。</w:t>
      </w:r>
    </w:p>
    <w:p w:rsidR="00000000" w:rsidRDefault="00B83709">
      <w:pPr>
        <w:numPr>
          <w:ilvl w:val="0"/>
          <w:numId w:val="1049"/>
        </w:numPr>
        <w:tabs>
          <w:tab w:val="clear" w:pos="360"/>
          <w:tab w:val="num" w:pos="480"/>
        </w:tabs>
        <w:spacing w:after="240" w:line="360" w:lineRule="exact"/>
        <w:rPr>
          <w:szCs w:val="24"/>
        </w:rPr>
      </w:pPr>
      <w:r>
        <w:rPr>
          <w:rFonts w:hint="eastAsia"/>
          <w:szCs w:val="24"/>
        </w:rPr>
        <w:t>目前，</w:t>
      </w:r>
      <w:r>
        <w:rPr>
          <w:rFonts w:hint="eastAsia"/>
          <w:szCs w:val="24"/>
        </w:rPr>
        <w:t>没有法律禁止配偶是外国人的泰国男子或妇女拥有土地，但土地必须供个人使用，而不是供其他外国人使用。</w:t>
      </w:r>
    </w:p>
    <w:p w:rsidR="00000000" w:rsidRDefault="00B83709">
      <w:pPr>
        <w:spacing w:after="240" w:line="360" w:lineRule="exact"/>
        <w:rPr>
          <w:rFonts w:eastAsia="SimHei" w:hint="eastAsia"/>
          <w:color w:val="FF0000"/>
        </w:rPr>
      </w:pPr>
      <w:r>
        <w:rPr>
          <w:rFonts w:eastAsia="SimHei" w:hint="eastAsia"/>
          <w:color w:val="FF0000"/>
        </w:rPr>
        <w:t>出国旅行</w:t>
      </w:r>
    </w:p>
    <w:p w:rsidR="00000000" w:rsidRDefault="00B83709">
      <w:pPr>
        <w:numPr>
          <w:ilvl w:val="0"/>
          <w:numId w:val="1049"/>
        </w:numPr>
        <w:tabs>
          <w:tab w:val="clear" w:pos="360"/>
          <w:tab w:val="num" w:pos="480"/>
        </w:tabs>
        <w:spacing w:after="240" w:line="360" w:lineRule="exact"/>
        <w:rPr>
          <w:szCs w:val="24"/>
        </w:rPr>
      </w:pPr>
      <w:r>
        <w:rPr>
          <w:rFonts w:hint="eastAsia"/>
          <w:szCs w:val="24"/>
        </w:rPr>
        <w:t>已婚妇女可不经丈夫同意申请个人护照出国旅行。子女可拥有个人护照，但在达到法定年龄前出国旅行的，应征得家长或监护人的同意。</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第十条：教育</w:t>
      </w:r>
    </w:p>
    <w:p w:rsidR="00000000" w:rsidRDefault="00B83709">
      <w:pPr>
        <w:spacing w:after="240" w:line="360" w:lineRule="exact"/>
        <w:ind w:firstLine="420"/>
        <w:rPr>
          <w:rFonts w:eastAsia="KaiTi_GB2312"/>
          <w:color w:val="0000FF"/>
          <w:szCs w:val="24"/>
        </w:rPr>
      </w:pPr>
      <w:r>
        <w:rPr>
          <w:rFonts w:eastAsia="KaiTi_GB2312"/>
          <w:color w:val="0000FF"/>
          <w:szCs w:val="24"/>
        </w:rPr>
        <w:t>缔约各国应采取一切适当措施以消除对妇女的歧视，并保证妇女在教育方面享有与男子平等的权利，特别是在男女平等的基础上保证</w:t>
      </w:r>
      <w:r>
        <w:rPr>
          <w:rFonts w:eastAsia="KaiTi_GB2312" w:hint="eastAsia"/>
          <w:color w:val="0000FF"/>
          <w:szCs w:val="24"/>
        </w:rPr>
        <w:t>：</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a</w:t>
      </w:r>
      <w:r>
        <w:rPr>
          <w:rFonts w:eastAsia="KaiTi_GB2312"/>
          <w:color w:val="0000FF"/>
          <w:szCs w:val="24"/>
        </w:rPr>
        <w:t>）在各类教育机构，不论其在农村或城市，职业和行业辅导、学习的机会和文凭的取得，条件相同。在学前教育、普通教育、技术、专业和高等技术教育以及各种</w:t>
      </w:r>
      <w:r>
        <w:rPr>
          <w:rFonts w:eastAsia="KaiTi_GB2312"/>
          <w:color w:val="0000FF"/>
          <w:szCs w:val="24"/>
        </w:rPr>
        <w:t>职业训练方面，都应保证这种平等；</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b</w:t>
      </w:r>
      <w:r>
        <w:rPr>
          <w:rFonts w:eastAsia="KaiTi_GB2312"/>
          <w:color w:val="0000FF"/>
          <w:szCs w:val="24"/>
        </w:rPr>
        <w:t>）课程、考试、师资的标准、校舍和设备的质量一律相同；</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hint="eastAsia"/>
          <w:color w:val="0000FF"/>
          <w:szCs w:val="24"/>
        </w:rPr>
      </w:pPr>
      <w:r>
        <w:rPr>
          <w:rFonts w:eastAsia="KaiTi_GB2312"/>
          <w:color w:val="0000FF"/>
          <w:szCs w:val="24"/>
        </w:rPr>
        <w:t>（</w:t>
      </w:r>
      <w:r>
        <w:rPr>
          <w:rFonts w:eastAsia="KaiTi_GB2312" w:hint="eastAsia"/>
          <w:color w:val="0000FF"/>
          <w:szCs w:val="24"/>
        </w:rPr>
        <w:t>c</w:t>
      </w:r>
      <w:r>
        <w:rPr>
          <w:rFonts w:eastAsia="KaiTi_GB2312"/>
          <w:color w:val="0000FF"/>
          <w:szCs w:val="24"/>
        </w:rPr>
        <w:t>）为消除在各级和各种方式的教育中对男女任务的任何定型观念，应鼓励实行男女同校和其他有助于实现这个目的的教育形式，并特别应修订教科书和课程以及相应地修改</w:t>
      </w:r>
      <w:r>
        <w:rPr>
          <w:rFonts w:eastAsia="KaiTi_GB2312" w:hint="eastAsia"/>
          <w:color w:val="0000FF"/>
          <w:szCs w:val="24"/>
        </w:rPr>
        <w:t>教学方法；</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d</w:t>
      </w:r>
      <w:r>
        <w:rPr>
          <w:rFonts w:eastAsia="KaiTi_GB2312"/>
          <w:color w:val="0000FF"/>
          <w:szCs w:val="24"/>
        </w:rPr>
        <w:t>）领受奖学金和其他研究补助金的机会相同；</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e</w:t>
      </w:r>
      <w:r>
        <w:rPr>
          <w:rFonts w:eastAsia="KaiTi_GB2312"/>
          <w:color w:val="0000FF"/>
          <w:szCs w:val="24"/>
        </w:rPr>
        <w:t>）接受成人教育、包括成人识字和实用识字教育的机会相同，特别是为了尽早缩短男女之间存在的教育水平上的一切差距；</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f</w:t>
      </w:r>
      <w:r>
        <w:rPr>
          <w:rFonts w:eastAsia="KaiTi_GB2312"/>
          <w:color w:val="0000FF"/>
          <w:szCs w:val="24"/>
        </w:rPr>
        <w:t>）减少女生退学率，并为离校过早的少女和妇女办理种种方案；</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g</w:t>
      </w:r>
      <w:r>
        <w:rPr>
          <w:rFonts w:eastAsia="KaiTi_GB2312"/>
          <w:color w:val="0000FF"/>
          <w:szCs w:val="24"/>
        </w:rPr>
        <w:t>）积极参加运动和体</w:t>
      </w:r>
      <w:r>
        <w:rPr>
          <w:rFonts w:eastAsia="KaiTi_GB2312"/>
          <w:color w:val="0000FF"/>
          <w:szCs w:val="24"/>
        </w:rPr>
        <w:t>育的机会相同；</w:t>
      </w:r>
      <w:r>
        <w:rPr>
          <w:rFonts w:eastAsia="KaiTi_GB2312"/>
          <w:color w:val="0000FF"/>
          <w:szCs w:val="24"/>
        </w:rPr>
        <w:t xml:space="preserve"> </w:t>
      </w:r>
    </w:p>
    <w:p w:rsidR="00000000" w:rsidRDefault="00B83709" w:rsidP="00B83709">
      <w:pPr>
        <w:spacing w:after="240" w:line="360" w:lineRule="exact"/>
        <w:ind w:firstLineChars="200" w:firstLine="31680"/>
        <w:rPr>
          <w:rFonts w:hint="eastAsia"/>
          <w:szCs w:val="24"/>
        </w:rPr>
      </w:pPr>
      <w:r>
        <w:rPr>
          <w:rFonts w:eastAsia="KaiTi_GB2312"/>
          <w:color w:val="0000FF"/>
          <w:szCs w:val="24"/>
        </w:rPr>
        <w:t>（</w:t>
      </w:r>
      <w:r>
        <w:rPr>
          <w:rFonts w:eastAsia="KaiTi_GB2312" w:hint="eastAsia"/>
          <w:color w:val="0000FF"/>
          <w:szCs w:val="24"/>
        </w:rPr>
        <w:t>h</w:t>
      </w:r>
      <w:r>
        <w:rPr>
          <w:rFonts w:eastAsia="KaiTi_GB2312"/>
          <w:color w:val="0000FF"/>
          <w:szCs w:val="24"/>
        </w:rPr>
        <w:t>）有接受特殊教育性辅导的机会，以保障家庭健康和幸福，包括关于计划生育的知识和辅导在内。</w:t>
      </w:r>
      <w:r>
        <w:rPr>
          <w:rFonts w:eastAsia="KaiTi_GB2312"/>
          <w:color w:val="0000FF"/>
          <w:szCs w:val="24"/>
        </w:rPr>
        <w:t xml:space="preserve"> </w:t>
      </w:r>
    </w:p>
    <w:p w:rsidR="00000000" w:rsidRDefault="00B83709">
      <w:pPr>
        <w:spacing w:after="240" w:line="360" w:lineRule="exact"/>
        <w:rPr>
          <w:rFonts w:eastAsia="SimHei" w:hint="eastAsia"/>
          <w:color w:val="FF0000"/>
        </w:rPr>
      </w:pPr>
      <w:r>
        <w:rPr>
          <w:rFonts w:eastAsia="SimHei" w:hint="eastAsia"/>
          <w:color w:val="FF0000"/>
        </w:rPr>
        <w:t>泰国的教育</w:t>
      </w:r>
    </w:p>
    <w:p w:rsidR="00000000" w:rsidRDefault="00B83709">
      <w:pPr>
        <w:numPr>
          <w:ilvl w:val="0"/>
          <w:numId w:val="1049"/>
        </w:numPr>
        <w:tabs>
          <w:tab w:val="clear" w:pos="360"/>
          <w:tab w:val="num" w:pos="480"/>
        </w:tabs>
        <w:spacing w:after="240" w:line="360" w:lineRule="exact"/>
        <w:rPr>
          <w:szCs w:val="24"/>
        </w:rPr>
      </w:pPr>
      <w:r>
        <w:rPr>
          <w:rFonts w:hint="eastAsia"/>
          <w:szCs w:val="24"/>
        </w:rPr>
        <w:t>泰国目前正在改革其教育系统，重点是学习者以及将权力下放到地方社区，包括给予每个人以同等的教育机会。《</w:t>
      </w:r>
      <w:r>
        <w:rPr>
          <w:rFonts w:hint="eastAsia"/>
          <w:szCs w:val="24"/>
        </w:rPr>
        <w:t>1999</w:t>
      </w:r>
      <w:r>
        <w:rPr>
          <w:rFonts w:hint="eastAsia"/>
          <w:szCs w:val="24"/>
        </w:rPr>
        <w:t>年国家教育法》规定，“政府应为所有人提供起码</w:t>
      </w:r>
      <w:r>
        <w:rPr>
          <w:rFonts w:hint="eastAsia"/>
          <w:szCs w:val="24"/>
        </w:rPr>
        <w:t>12</w:t>
      </w:r>
      <w:r>
        <w:rPr>
          <w:rFonts w:hint="eastAsia"/>
          <w:szCs w:val="24"/>
        </w:rPr>
        <w:t>年免费的优质基础教育的同等权利和机会。”该法还明确规定，家长或监护人有义务保证子女或监护对象获得九年义务教育的机会。目的是改变家长的态度，更多地支持少女接受教育。为了推动这一改革进程，</w:t>
      </w:r>
      <w:r>
        <w:rPr>
          <w:rFonts w:hint="eastAsia"/>
          <w:szCs w:val="24"/>
        </w:rPr>
        <w:t>1999</w:t>
      </w:r>
      <w:r>
        <w:rPr>
          <w:rFonts w:hint="eastAsia"/>
          <w:szCs w:val="24"/>
        </w:rPr>
        <w:t>年法案规定设立教育改革办公室，作为一个特</w:t>
      </w:r>
      <w:r>
        <w:rPr>
          <w:rFonts w:hint="eastAsia"/>
          <w:szCs w:val="24"/>
        </w:rPr>
        <w:t>设公共机构，以便就教育机构的结构、人员、投资以及与《国家教育法》相符的新法律或修正案提出提案。</w:t>
      </w:r>
    </w:p>
    <w:p w:rsidR="00000000" w:rsidRDefault="00B83709">
      <w:pPr>
        <w:numPr>
          <w:ilvl w:val="0"/>
          <w:numId w:val="1049"/>
        </w:numPr>
        <w:tabs>
          <w:tab w:val="clear" w:pos="360"/>
          <w:tab w:val="num" w:pos="480"/>
        </w:tabs>
        <w:spacing w:after="240" w:line="360" w:lineRule="exact"/>
        <w:rPr>
          <w:szCs w:val="24"/>
        </w:rPr>
      </w:pPr>
      <w:r>
        <w:rPr>
          <w:rFonts w:hint="eastAsia"/>
          <w:szCs w:val="24"/>
        </w:rPr>
        <w:t>政府正在改进泰国的教育，特别是在支持开办私立学校的政策方面，最引人注目的是在大专院校一级。这些私立学校能够招收大量不能进入有限的公立学校学习的学生。</w:t>
      </w:r>
      <w:r>
        <w:rPr>
          <w:szCs w:val="24"/>
        </w:rPr>
        <w:t>2001</w:t>
      </w:r>
      <w:r>
        <w:rPr>
          <w:rFonts w:hint="eastAsia"/>
          <w:szCs w:val="24"/>
        </w:rPr>
        <w:t>年，全国有</w:t>
      </w:r>
      <w:r>
        <w:rPr>
          <w:rFonts w:hint="eastAsia"/>
          <w:szCs w:val="24"/>
        </w:rPr>
        <w:t>24</w:t>
      </w:r>
      <w:r>
        <w:rPr>
          <w:rFonts w:hint="eastAsia"/>
          <w:szCs w:val="24"/>
        </w:rPr>
        <w:t>所公立高等教育院校、</w:t>
      </w:r>
      <w:r>
        <w:rPr>
          <w:rFonts w:hint="eastAsia"/>
          <w:szCs w:val="24"/>
        </w:rPr>
        <w:t>51</w:t>
      </w:r>
      <w:r>
        <w:rPr>
          <w:rFonts w:hint="eastAsia"/>
          <w:szCs w:val="24"/>
        </w:rPr>
        <w:t>所私立院校，这就能够使各府的学生像以前那样，留在家乡，而不必前往大城市接受教育。</w:t>
      </w:r>
    </w:p>
    <w:p w:rsidR="00000000" w:rsidRDefault="00B83709">
      <w:pPr>
        <w:numPr>
          <w:ilvl w:val="0"/>
          <w:numId w:val="1049"/>
        </w:numPr>
        <w:tabs>
          <w:tab w:val="clear" w:pos="360"/>
          <w:tab w:val="num" w:pos="480"/>
        </w:tabs>
        <w:spacing w:after="240" w:line="360" w:lineRule="exact"/>
        <w:rPr>
          <w:szCs w:val="24"/>
        </w:rPr>
      </w:pPr>
      <w:r>
        <w:rPr>
          <w:rFonts w:hint="eastAsia"/>
          <w:szCs w:val="24"/>
        </w:rPr>
        <w:t>但是，教育领域的进步因</w:t>
      </w:r>
      <w:r>
        <w:rPr>
          <w:rFonts w:hint="eastAsia"/>
          <w:szCs w:val="24"/>
        </w:rPr>
        <w:t>1997</w:t>
      </w:r>
      <w:r>
        <w:rPr>
          <w:rFonts w:hint="eastAsia"/>
          <w:szCs w:val="24"/>
        </w:rPr>
        <w:t>年亚洲经济危机受到了严重影响。</w:t>
      </w:r>
      <w:r>
        <w:rPr>
          <w:szCs w:val="24"/>
        </w:rPr>
        <w:t>2000</w:t>
      </w:r>
      <w:r>
        <w:rPr>
          <w:rFonts w:hint="eastAsia"/>
          <w:szCs w:val="24"/>
        </w:rPr>
        <w:t>年的文盲率是</w:t>
      </w:r>
      <w:r>
        <w:rPr>
          <w:szCs w:val="24"/>
        </w:rPr>
        <w:t>7.71%</w:t>
      </w:r>
      <w:r>
        <w:rPr>
          <w:rFonts w:hint="eastAsia"/>
          <w:szCs w:val="24"/>
        </w:rPr>
        <w:t>，同</w:t>
      </w:r>
      <w:r>
        <w:rPr>
          <w:rFonts w:hint="eastAsia"/>
          <w:szCs w:val="24"/>
        </w:rPr>
        <w:t>1990</w:t>
      </w:r>
      <w:r>
        <w:rPr>
          <w:rFonts w:hint="eastAsia"/>
          <w:szCs w:val="24"/>
        </w:rPr>
        <w:t>年的</w:t>
      </w:r>
      <w:r>
        <w:rPr>
          <w:szCs w:val="24"/>
        </w:rPr>
        <w:t>0.71%</w:t>
      </w:r>
      <w:r>
        <w:rPr>
          <w:rFonts w:hint="eastAsia"/>
          <w:szCs w:val="24"/>
        </w:rPr>
        <w:t>相比增幅很大，妇女占文盲</w:t>
      </w:r>
      <w:r>
        <w:rPr>
          <w:rFonts w:hint="eastAsia"/>
          <w:szCs w:val="24"/>
        </w:rPr>
        <w:t>的</w:t>
      </w:r>
      <w:r>
        <w:rPr>
          <w:szCs w:val="24"/>
        </w:rPr>
        <w:t>62%</w:t>
      </w:r>
      <w:r>
        <w:rPr>
          <w:rFonts w:hint="eastAsia"/>
          <w:szCs w:val="24"/>
        </w:rPr>
        <w:t>。非城镇妇女的识字率低于城镇妇女（分别为</w:t>
      </w:r>
      <w:r>
        <w:rPr>
          <w:szCs w:val="24"/>
        </w:rPr>
        <w:t>89.1%</w:t>
      </w:r>
      <w:r>
        <w:rPr>
          <w:rFonts w:hint="eastAsia"/>
          <w:szCs w:val="24"/>
        </w:rPr>
        <w:t>和</w:t>
      </w:r>
      <w:r>
        <w:rPr>
          <w:szCs w:val="24"/>
        </w:rPr>
        <w:t>93.5%</w:t>
      </w:r>
      <w:r>
        <w:rPr>
          <w:rFonts w:hint="eastAsia"/>
          <w:szCs w:val="24"/>
        </w:rPr>
        <w:t>）。按年龄比较妇女与男子的识字率，</w:t>
      </w:r>
      <w:r>
        <w:rPr>
          <w:rFonts w:hint="eastAsia"/>
          <w:szCs w:val="24"/>
        </w:rPr>
        <w:t>60</w:t>
      </w:r>
      <w:r>
        <w:rPr>
          <w:rFonts w:hint="eastAsia"/>
          <w:szCs w:val="24"/>
        </w:rPr>
        <w:t>岁以上男子的识字率高于同龄妇女（分别为</w:t>
      </w:r>
      <w:r>
        <w:rPr>
          <w:szCs w:val="24"/>
        </w:rPr>
        <w:t>83.8%</w:t>
      </w:r>
      <w:r>
        <w:rPr>
          <w:rFonts w:hint="eastAsia"/>
          <w:szCs w:val="24"/>
        </w:rPr>
        <w:t>和</w:t>
      </w:r>
      <w:r>
        <w:rPr>
          <w:szCs w:val="24"/>
        </w:rPr>
        <w:t>66.8%</w:t>
      </w:r>
      <w:r>
        <w:rPr>
          <w:rFonts w:hint="eastAsia"/>
          <w:szCs w:val="24"/>
        </w:rPr>
        <w:t>）。这些数字反映出以往的教育机会不平等，同时反映出城市和农村的资源分配不平等。</w:t>
      </w:r>
    </w:p>
    <w:p w:rsidR="00000000" w:rsidRDefault="00B83709">
      <w:pPr>
        <w:numPr>
          <w:ilvl w:val="0"/>
          <w:numId w:val="1049"/>
        </w:numPr>
        <w:tabs>
          <w:tab w:val="clear" w:pos="360"/>
          <w:tab w:val="num" w:pos="480"/>
        </w:tabs>
        <w:spacing w:after="240" w:line="360" w:lineRule="exact"/>
        <w:rPr>
          <w:szCs w:val="24"/>
        </w:rPr>
      </w:pPr>
      <w:r>
        <w:rPr>
          <w:rFonts w:hint="eastAsia"/>
          <w:szCs w:val="24"/>
        </w:rPr>
        <w:t>总的来说，女孩和男孩几乎可平等地取得各级教育机会，特别是在高等教育一级，高等教育机构的女毕业生多于男毕业生（博士学历除外）（表</w:t>
      </w:r>
      <w:r>
        <w:rPr>
          <w:rFonts w:hint="eastAsia"/>
          <w:szCs w:val="24"/>
        </w:rPr>
        <w:t>9</w:t>
      </w:r>
      <w:r>
        <w:rPr>
          <w:rFonts w:hint="eastAsia"/>
          <w:szCs w:val="24"/>
        </w:rPr>
        <w:t>和表</w:t>
      </w:r>
      <w:r>
        <w:rPr>
          <w:rFonts w:hint="eastAsia"/>
          <w:szCs w:val="24"/>
        </w:rPr>
        <w:t>10</w:t>
      </w:r>
      <w:r>
        <w:rPr>
          <w:rFonts w:hint="eastAsia"/>
          <w:szCs w:val="24"/>
        </w:rPr>
        <w:t>）。此外，出国留学奖学金竞争结果显示，女生的能力与男子相同。公务员制度委员会办公室提供的数据表明，</w:t>
      </w:r>
      <w:r>
        <w:rPr>
          <w:rFonts w:hint="eastAsia"/>
          <w:szCs w:val="24"/>
        </w:rPr>
        <w:t>2000</w:t>
      </w:r>
      <w:r>
        <w:rPr>
          <w:rFonts w:hint="eastAsia"/>
          <w:szCs w:val="24"/>
        </w:rPr>
        <w:t>年获得奖学金的女生（不</w:t>
      </w:r>
      <w:r>
        <w:rPr>
          <w:rFonts w:hint="eastAsia"/>
          <w:szCs w:val="24"/>
        </w:rPr>
        <w:t>包括公务员）多于男生（</w:t>
      </w:r>
      <w:r>
        <w:rPr>
          <w:szCs w:val="24"/>
        </w:rPr>
        <w:t>251:201</w:t>
      </w:r>
      <w:r>
        <w:rPr>
          <w:rFonts w:hint="eastAsia"/>
          <w:szCs w:val="24"/>
        </w:rPr>
        <w:t>），尽管奖学金数据不按学习课程分类。</w:t>
      </w:r>
    </w:p>
    <w:p w:rsidR="00000000" w:rsidRDefault="00B83709">
      <w:pPr>
        <w:spacing w:after="240" w:line="360" w:lineRule="exact"/>
        <w:rPr>
          <w:rFonts w:eastAsia="SimHei" w:hint="eastAsia"/>
          <w:color w:val="FF0000"/>
        </w:rPr>
      </w:pPr>
      <w:r>
        <w:rPr>
          <w:rFonts w:ascii="SimHei" w:eastAsia="SimHei" w:hint="eastAsia"/>
          <w:color w:val="FF0000"/>
        </w:rPr>
        <w:t>表</w:t>
      </w:r>
      <w:r>
        <w:rPr>
          <w:rFonts w:ascii="SimHei" w:eastAsia="SimHei" w:hint="eastAsia"/>
          <w:color w:val="FF0000"/>
        </w:rPr>
        <w:t>9</w:t>
      </w:r>
      <w:r>
        <w:rPr>
          <w:rFonts w:ascii="SimHei" w:eastAsia="SimHei"/>
          <w:color w:val="FF0000"/>
        </w:rPr>
        <w:t>.</w:t>
      </w:r>
      <w:r>
        <w:rPr>
          <w:rFonts w:eastAsia="SimHei"/>
          <w:color w:val="FF0000"/>
        </w:rPr>
        <w:t xml:space="preserve"> </w:t>
      </w:r>
      <w:r>
        <w:rPr>
          <w:rFonts w:eastAsia="SimHei" w:hint="eastAsia"/>
          <w:color w:val="FF0000"/>
        </w:rPr>
        <w:t xml:space="preserve"> </w:t>
      </w:r>
      <w:r>
        <w:rPr>
          <w:rFonts w:hint="eastAsia"/>
          <w:szCs w:val="24"/>
        </w:rPr>
        <w:t>2000</w:t>
      </w:r>
      <w:r>
        <w:rPr>
          <w:rFonts w:hint="eastAsia"/>
          <w:szCs w:val="24"/>
        </w:rPr>
        <w:t>学年按教育等级分列的男女生人数</w:t>
      </w:r>
    </w:p>
    <w:tbl>
      <w:tblPr>
        <w:tblW w:w="0" w:type="auto"/>
        <w:tblLook w:val="0000" w:firstRow="0" w:lastRow="0" w:firstColumn="0" w:lastColumn="0" w:noHBand="0" w:noVBand="0"/>
      </w:tblPr>
      <w:tblGrid>
        <w:gridCol w:w="3355"/>
        <w:gridCol w:w="3355"/>
        <w:gridCol w:w="3356"/>
      </w:tblGrid>
      <w:tr w:rsidR="00000000">
        <w:tblPrEx>
          <w:tblCellMar>
            <w:top w:w="0" w:type="dxa"/>
            <w:bottom w:w="0" w:type="dxa"/>
          </w:tblCellMar>
        </w:tblPrEx>
        <w:tc>
          <w:tcPr>
            <w:tcW w:w="3355" w:type="dxa"/>
            <w:tcBorders>
              <w:top w:val="single" w:sz="4" w:space="0" w:color="auto"/>
              <w:bottom w:val="single" w:sz="4" w:space="0" w:color="auto"/>
            </w:tcBorders>
          </w:tcPr>
          <w:p w:rsidR="00000000" w:rsidRDefault="00B83709">
            <w:pPr>
              <w:spacing w:line="360" w:lineRule="exact"/>
              <w:rPr>
                <w:rFonts w:eastAsia="SimHei" w:hint="eastAsia"/>
                <w:bCs/>
                <w:color w:val="FF0000"/>
              </w:rPr>
            </w:pPr>
            <w:r>
              <w:rPr>
                <w:rFonts w:eastAsia="SimHei" w:hint="eastAsia"/>
                <w:bCs/>
                <w:color w:val="FF0000"/>
                <w:szCs w:val="24"/>
              </w:rPr>
              <w:t>受教育程度</w:t>
            </w:r>
          </w:p>
        </w:tc>
        <w:tc>
          <w:tcPr>
            <w:tcW w:w="3355" w:type="dxa"/>
            <w:tcBorders>
              <w:top w:val="single" w:sz="4" w:space="0" w:color="auto"/>
              <w:bottom w:val="single" w:sz="4" w:space="0" w:color="auto"/>
            </w:tcBorders>
          </w:tcPr>
          <w:p w:rsidR="00000000" w:rsidRDefault="00B83709">
            <w:pPr>
              <w:spacing w:line="360" w:lineRule="exact"/>
              <w:jc w:val="center"/>
              <w:rPr>
                <w:rFonts w:eastAsia="SimHei" w:hint="eastAsia"/>
                <w:bCs/>
                <w:color w:val="FF0000"/>
              </w:rPr>
            </w:pPr>
            <w:r>
              <w:rPr>
                <w:rFonts w:eastAsia="SimHei" w:hint="eastAsia"/>
                <w:bCs/>
                <w:color w:val="FF0000"/>
                <w:szCs w:val="24"/>
              </w:rPr>
              <w:t>学生总人数</w:t>
            </w:r>
          </w:p>
        </w:tc>
        <w:tc>
          <w:tcPr>
            <w:tcW w:w="3356" w:type="dxa"/>
            <w:tcBorders>
              <w:top w:val="single" w:sz="4" w:space="0" w:color="auto"/>
              <w:bottom w:val="single" w:sz="4" w:space="0" w:color="auto"/>
            </w:tcBorders>
          </w:tcPr>
          <w:p w:rsidR="00000000" w:rsidRDefault="00B83709">
            <w:pPr>
              <w:spacing w:line="360" w:lineRule="exact"/>
              <w:jc w:val="center"/>
              <w:rPr>
                <w:rFonts w:eastAsia="SimHei" w:hint="eastAsia"/>
                <w:bCs/>
                <w:color w:val="FF0000"/>
              </w:rPr>
            </w:pPr>
            <w:r>
              <w:rPr>
                <w:rFonts w:eastAsia="SimHei" w:hint="eastAsia"/>
                <w:bCs/>
                <w:color w:val="FF0000"/>
                <w:szCs w:val="24"/>
              </w:rPr>
              <w:t>女生比例</w:t>
            </w:r>
          </w:p>
        </w:tc>
      </w:tr>
      <w:tr w:rsidR="00000000">
        <w:tblPrEx>
          <w:tblCellMar>
            <w:top w:w="0" w:type="dxa"/>
            <w:bottom w:w="0" w:type="dxa"/>
          </w:tblCellMar>
        </w:tblPrEx>
        <w:tc>
          <w:tcPr>
            <w:tcW w:w="3355" w:type="dxa"/>
            <w:tcBorders>
              <w:top w:val="single" w:sz="4" w:space="0" w:color="auto"/>
              <w:bottom w:val="single" w:sz="4" w:space="0" w:color="auto"/>
            </w:tcBorders>
          </w:tcPr>
          <w:p w:rsidR="00000000" w:rsidRDefault="00B83709">
            <w:pPr>
              <w:spacing w:line="360" w:lineRule="exact"/>
              <w:rPr>
                <w:rFonts w:hint="eastAsia"/>
                <w:bCs/>
                <w:szCs w:val="24"/>
              </w:rPr>
            </w:pPr>
            <w:r>
              <w:rPr>
                <w:rFonts w:hint="eastAsia"/>
                <w:bCs/>
                <w:szCs w:val="24"/>
              </w:rPr>
              <w:t>学前</w:t>
            </w:r>
          </w:p>
          <w:p w:rsidR="00000000" w:rsidRDefault="00B83709">
            <w:pPr>
              <w:spacing w:line="360" w:lineRule="exact"/>
              <w:rPr>
                <w:rFonts w:hint="eastAsia"/>
                <w:bCs/>
                <w:szCs w:val="24"/>
              </w:rPr>
            </w:pPr>
            <w:r>
              <w:rPr>
                <w:rFonts w:hint="eastAsia"/>
                <w:bCs/>
                <w:szCs w:val="24"/>
              </w:rPr>
              <w:t>小学</w:t>
            </w:r>
          </w:p>
          <w:p w:rsidR="00000000" w:rsidRDefault="00B83709">
            <w:pPr>
              <w:spacing w:line="360" w:lineRule="exact"/>
              <w:rPr>
                <w:rFonts w:hint="eastAsia"/>
                <w:bCs/>
                <w:szCs w:val="24"/>
              </w:rPr>
            </w:pPr>
            <w:r>
              <w:rPr>
                <w:rFonts w:hint="eastAsia"/>
                <w:bCs/>
                <w:szCs w:val="24"/>
              </w:rPr>
              <w:t>初中</w:t>
            </w:r>
          </w:p>
          <w:p w:rsidR="00000000" w:rsidRDefault="00B83709">
            <w:pPr>
              <w:spacing w:line="360" w:lineRule="exact"/>
              <w:rPr>
                <w:rFonts w:hint="eastAsia"/>
                <w:bCs/>
                <w:szCs w:val="24"/>
              </w:rPr>
            </w:pPr>
            <w:r>
              <w:rPr>
                <w:rFonts w:hint="eastAsia"/>
                <w:bCs/>
                <w:szCs w:val="24"/>
              </w:rPr>
              <w:t>高中（普通教育）</w:t>
            </w:r>
          </w:p>
          <w:p w:rsidR="00000000" w:rsidRDefault="00B83709">
            <w:pPr>
              <w:spacing w:line="360" w:lineRule="exact"/>
              <w:rPr>
                <w:rFonts w:hint="eastAsia"/>
                <w:bCs/>
                <w:szCs w:val="24"/>
              </w:rPr>
            </w:pPr>
            <w:r>
              <w:rPr>
                <w:rFonts w:hint="eastAsia"/>
                <w:bCs/>
                <w:szCs w:val="24"/>
              </w:rPr>
              <w:t>高中（职业教育）</w:t>
            </w:r>
          </w:p>
        </w:tc>
        <w:tc>
          <w:tcPr>
            <w:tcW w:w="3355" w:type="dxa"/>
            <w:tcBorders>
              <w:top w:val="single" w:sz="4" w:space="0" w:color="auto"/>
              <w:bottom w:val="single" w:sz="4" w:space="0" w:color="auto"/>
            </w:tcBorders>
          </w:tcPr>
          <w:p w:rsidR="00000000" w:rsidRDefault="00B83709" w:rsidP="00B83709">
            <w:pPr>
              <w:pStyle w:val="Date"/>
              <w:wordWrap w:val="0"/>
              <w:spacing w:line="360" w:lineRule="exact"/>
              <w:ind w:rightChars="520" w:right="31680"/>
              <w:jc w:val="right"/>
              <w:rPr>
                <w:rFonts w:hint="eastAsia"/>
                <w:bCs/>
                <w:szCs w:val="24"/>
              </w:rPr>
            </w:pPr>
            <w:r>
              <w:rPr>
                <w:rFonts w:hint="eastAsia"/>
                <w:bCs/>
                <w:szCs w:val="24"/>
              </w:rPr>
              <w:t>2 152 196</w:t>
            </w:r>
          </w:p>
          <w:p w:rsidR="00000000" w:rsidRDefault="00B83709" w:rsidP="00B83709">
            <w:pPr>
              <w:pStyle w:val="Date"/>
              <w:wordWrap w:val="0"/>
              <w:spacing w:line="360" w:lineRule="exact"/>
              <w:ind w:rightChars="520" w:right="31680"/>
              <w:jc w:val="right"/>
              <w:rPr>
                <w:rFonts w:hint="eastAsia"/>
                <w:bCs/>
                <w:szCs w:val="24"/>
              </w:rPr>
            </w:pPr>
            <w:r>
              <w:rPr>
                <w:rFonts w:hint="eastAsia"/>
              </w:rPr>
              <w:t>5 99</w:t>
            </w:r>
            <w:r>
              <w:rPr>
                <w:rFonts w:hint="eastAsia"/>
                <w:bCs/>
                <w:szCs w:val="24"/>
              </w:rPr>
              <w:t>6 507</w:t>
            </w:r>
          </w:p>
          <w:p w:rsidR="00000000" w:rsidRDefault="00B83709" w:rsidP="00B83709">
            <w:pPr>
              <w:pStyle w:val="Date"/>
              <w:wordWrap w:val="0"/>
              <w:spacing w:line="360" w:lineRule="exact"/>
              <w:ind w:rightChars="520" w:right="31680"/>
              <w:jc w:val="right"/>
              <w:rPr>
                <w:rFonts w:hint="eastAsia"/>
                <w:bCs/>
                <w:szCs w:val="24"/>
              </w:rPr>
            </w:pPr>
            <w:r>
              <w:rPr>
                <w:rFonts w:hint="eastAsia"/>
                <w:bCs/>
                <w:szCs w:val="24"/>
              </w:rPr>
              <w:t>2 432 706</w:t>
            </w:r>
          </w:p>
          <w:p w:rsidR="00000000" w:rsidRDefault="00B83709" w:rsidP="00B83709">
            <w:pPr>
              <w:pStyle w:val="Date"/>
              <w:wordWrap w:val="0"/>
              <w:spacing w:line="360" w:lineRule="exact"/>
              <w:ind w:rightChars="520" w:right="31680"/>
              <w:jc w:val="right"/>
              <w:rPr>
                <w:rFonts w:hint="eastAsia"/>
                <w:bCs/>
                <w:szCs w:val="24"/>
              </w:rPr>
            </w:pPr>
            <w:r>
              <w:rPr>
                <w:rFonts w:hint="eastAsia"/>
                <w:bCs/>
                <w:szCs w:val="24"/>
              </w:rPr>
              <w:t>1 138 215</w:t>
            </w:r>
          </w:p>
          <w:p w:rsidR="00000000" w:rsidRDefault="00B83709" w:rsidP="00B83709">
            <w:pPr>
              <w:pStyle w:val="Date"/>
              <w:wordWrap w:val="0"/>
              <w:spacing w:line="360" w:lineRule="exact"/>
              <w:ind w:rightChars="520" w:right="31680"/>
              <w:jc w:val="right"/>
              <w:rPr>
                <w:rFonts w:hint="eastAsia"/>
              </w:rPr>
            </w:pPr>
            <w:r>
              <w:rPr>
                <w:rFonts w:hint="eastAsia"/>
                <w:bCs/>
                <w:szCs w:val="24"/>
              </w:rPr>
              <w:t>516</w:t>
            </w:r>
            <w:r>
              <w:rPr>
                <w:rFonts w:hint="eastAsia"/>
              </w:rPr>
              <w:t xml:space="preserve"> 174</w:t>
            </w:r>
          </w:p>
        </w:tc>
        <w:tc>
          <w:tcPr>
            <w:tcW w:w="3356" w:type="dxa"/>
            <w:tcBorders>
              <w:top w:val="single" w:sz="4" w:space="0" w:color="auto"/>
              <w:bottom w:val="single" w:sz="4" w:space="0" w:color="auto"/>
            </w:tcBorders>
          </w:tcPr>
          <w:p w:rsidR="00000000" w:rsidRDefault="00B83709">
            <w:pPr>
              <w:tabs>
                <w:tab w:val="decimal" w:pos="1570"/>
              </w:tabs>
              <w:spacing w:line="360" w:lineRule="exact"/>
              <w:rPr>
                <w:bCs/>
                <w:szCs w:val="24"/>
              </w:rPr>
            </w:pPr>
            <w:r>
              <w:rPr>
                <w:rFonts w:hint="eastAsia"/>
                <w:bCs/>
                <w:szCs w:val="24"/>
              </w:rPr>
              <w:t>48</w:t>
            </w:r>
            <w:r>
              <w:rPr>
                <w:bCs/>
                <w:szCs w:val="24"/>
              </w:rPr>
              <w:t>.5</w:t>
            </w:r>
          </w:p>
          <w:p w:rsidR="00000000" w:rsidRDefault="00B83709">
            <w:pPr>
              <w:tabs>
                <w:tab w:val="decimal" w:pos="1570"/>
              </w:tabs>
              <w:spacing w:line="360" w:lineRule="exact"/>
              <w:rPr>
                <w:bCs/>
                <w:szCs w:val="24"/>
              </w:rPr>
            </w:pPr>
            <w:r>
              <w:rPr>
                <w:bCs/>
                <w:szCs w:val="24"/>
              </w:rPr>
              <w:t>48.47</w:t>
            </w:r>
          </w:p>
          <w:p w:rsidR="00000000" w:rsidRDefault="00B83709">
            <w:pPr>
              <w:tabs>
                <w:tab w:val="decimal" w:pos="1570"/>
              </w:tabs>
              <w:spacing w:line="360" w:lineRule="exact"/>
              <w:rPr>
                <w:bCs/>
                <w:szCs w:val="24"/>
              </w:rPr>
            </w:pPr>
            <w:r>
              <w:rPr>
                <w:bCs/>
                <w:szCs w:val="24"/>
              </w:rPr>
              <w:t>49.80</w:t>
            </w:r>
          </w:p>
          <w:p w:rsidR="00000000" w:rsidRDefault="00B83709">
            <w:pPr>
              <w:tabs>
                <w:tab w:val="decimal" w:pos="1570"/>
              </w:tabs>
              <w:spacing w:line="360" w:lineRule="exact"/>
              <w:rPr>
                <w:bCs/>
                <w:szCs w:val="24"/>
              </w:rPr>
            </w:pPr>
            <w:r>
              <w:rPr>
                <w:bCs/>
                <w:szCs w:val="24"/>
              </w:rPr>
              <w:t>55.76</w:t>
            </w:r>
          </w:p>
          <w:p w:rsidR="00000000" w:rsidRDefault="00B83709">
            <w:pPr>
              <w:tabs>
                <w:tab w:val="decimal" w:pos="1570"/>
              </w:tabs>
              <w:spacing w:line="360" w:lineRule="exact"/>
              <w:rPr>
                <w:bCs/>
                <w:szCs w:val="24"/>
              </w:rPr>
            </w:pPr>
            <w:r>
              <w:rPr>
                <w:bCs/>
                <w:szCs w:val="24"/>
              </w:rPr>
              <w:t>44.00</w:t>
            </w:r>
          </w:p>
        </w:tc>
      </w:tr>
    </w:tbl>
    <w:p w:rsidR="00000000" w:rsidRDefault="00B83709">
      <w:pPr>
        <w:spacing w:after="240" w:line="360" w:lineRule="exact"/>
        <w:rPr>
          <w:rFonts w:eastAsia="KaiTi_GB2312" w:hint="eastAsia"/>
          <w:bCs/>
          <w:color w:val="0000FF"/>
          <w:szCs w:val="24"/>
        </w:rPr>
      </w:pPr>
      <w:r>
        <w:rPr>
          <w:rFonts w:eastAsia="KaiTi_GB2312" w:hint="eastAsia"/>
          <w:b/>
          <w:color w:val="0000FF"/>
          <w:szCs w:val="24"/>
        </w:rPr>
        <w:t>资料来源：</w:t>
      </w:r>
      <w:r>
        <w:rPr>
          <w:rFonts w:eastAsia="KaiTi_GB2312" w:hint="eastAsia"/>
          <w:bCs/>
          <w:color w:val="0000FF"/>
          <w:szCs w:val="24"/>
        </w:rPr>
        <w:t>教育部常务秘书办公室资料中心。</w:t>
      </w:r>
    </w:p>
    <w:p w:rsidR="00000000" w:rsidRDefault="00B83709">
      <w:pPr>
        <w:spacing w:after="240" w:line="360" w:lineRule="exact"/>
        <w:rPr>
          <w:rFonts w:eastAsia="SimHei" w:hint="eastAsia"/>
          <w:color w:val="FF0000"/>
        </w:rPr>
      </w:pPr>
      <w:r>
        <w:rPr>
          <w:rFonts w:ascii="SimHei" w:eastAsia="SimHei" w:hint="eastAsia"/>
          <w:color w:val="FF0000"/>
        </w:rPr>
        <w:t>表</w:t>
      </w:r>
      <w:r>
        <w:rPr>
          <w:rFonts w:ascii="SimHei" w:eastAsia="SimHei" w:hint="eastAsia"/>
          <w:color w:val="FF0000"/>
        </w:rPr>
        <w:t>10</w:t>
      </w:r>
      <w:r>
        <w:rPr>
          <w:rFonts w:ascii="SimHei" w:eastAsia="SimHei"/>
          <w:color w:val="FF0000"/>
        </w:rPr>
        <w:t xml:space="preserve">. </w:t>
      </w:r>
      <w:r>
        <w:rPr>
          <w:rFonts w:hint="eastAsia"/>
          <w:szCs w:val="24"/>
        </w:rPr>
        <w:t>1999</w:t>
      </w:r>
      <w:r>
        <w:rPr>
          <w:rFonts w:hint="eastAsia"/>
          <w:szCs w:val="24"/>
        </w:rPr>
        <w:t>年公立大学毕业生情况</w:t>
      </w:r>
    </w:p>
    <w:tbl>
      <w:tblPr>
        <w:tblW w:w="0" w:type="auto"/>
        <w:tblLook w:val="0000" w:firstRow="0" w:lastRow="0" w:firstColumn="0" w:lastColumn="0" w:noHBand="0" w:noVBand="0"/>
      </w:tblPr>
      <w:tblGrid>
        <w:gridCol w:w="2516"/>
        <w:gridCol w:w="2516"/>
        <w:gridCol w:w="2517"/>
        <w:gridCol w:w="2517"/>
      </w:tblGrid>
      <w:tr w:rsidR="00000000">
        <w:tblPrEx>
          <w:tblCellMar>
            <w:top w:w="0" w:type="dxa"/>
            <w:bottom w:w="0" w:type="dxa"/>
          </w:tblCellMar>
        </w:tblPrEx>
        <w:tc>
          <w:tcPr>
            <w:tcW w:w="2516" w:type="dxa"/>
            <w:tcBorders>
              <w:top w:val="single" w:sz="4" w:space="0" w:color="auto"/>
              <w:bottom w:val="single" w:sz="4" w:space="0" w:color="auto"/>
            </w:tcBorders>
          </w:tcPr>
          <w:p w:rsidR="00000000" w:rsidRDefault="00B83709">
            <w:pPr>
              <w:spacing w:line="360" w:lineRule="exact"/>
              <w:rPr>
                <w:rFonts w:eastAsia="SimHei" w:hint="eastAsia"/>
                <w:bCs/>
                <w:color w:val="FF0000"/>
              </w:rPr>
            </w:pPr>
            <w:r>
              <w:rPr>
                <w:rFonts w:eastAsia="SimHei" w:hint="eastAsia"/>
                <w:bCs/>
                <w:color w:val="FF0000"/>
                <w:szCs w:val="24"/>
              </w:rPr>
              <w:t>受教育程度</w:t>
            </w:r>
          </w:p>
        </w:tc>
        <w:tc>
          <w:tcPr>
            <w:tcW w:w="2516" w:type="dxa"/>
            <w:tcBorders>
              <w:top w:val="single" w:sz="4" w:space="0" w:color="auto"/>
              <w:bottom w:val="single" w:sz="4" w:space="0" w:color="auto"/>
            </w:tcBorders>
          </w:tcPr>
          <w:p w:rsidR="00000000" w:rsidRDefault="00B83709">
            <w:pPr>
              <w:spacing w:line="360" w:lineRule="exact"/>
              <w:jc w:val="center"/>
              <w:rPr>
                <w:rFonts w:eastAsia="SimHei" w:hint="eastAsia"/>
                <w:bCs/>
                <w:color w:val="FF0000"/>
              </w:rPr>
            </w:pPr>
            <w:r>
              <w:rPr>
                <w:rFonts w:eastAsia="SimHei" w:hint="eastAsia"/>
                <w:bCs/>
                <w:color w:val="FF0000"/>
                <w:szCs w:val="24"/>
              </w:rPr>
              <w:t>学生总人数</w:t>
            </w:r>
          </w:p>
        </w:tc>
        <w:tc>
          <w:tcPr>
            <w:tcW w:w="2517" w:type="dxa"/>
            <w:tcBorders>
              <w:top w:val="single" w:sz="4" w:space="0" w:color="auto"/>
              <w:bottom w:val="single" w:sz="4" w:space="0" w:color="auto"/>
            </w:tcBorders>
          </w:tcPr>
          <w:p w:rsidR="00000000" w:rsidRDefault="00B83709">
            <w:pPr>
              <w:spacing w:line="360" w:lineRule="exact"/>
              <w:jc w:val="center"/>
              <w:rPr>
                <w:rFonts w:eastAsia="SimHei" w:hint="eastAsia"/>
                <w:bCs/>
                <w:color w:val="FF0000"/>
              </w:rPr>
            </w:pPr>
            <w:r>
              <w:rPr>
                <w:rFonts w:eastAsia="SimHei" w:hint="eastAsia"/>
                <w:bCs/>
                <w:color w:val="FF0000"/>
                <w:szCs w:val="24"/>
              </w:rPr>
              <w:t>女生人数</w:t>
            </w:r>
          </w:p>
        </w:tc>
        <w:tc>
          <w:tcPr>
            <w:tcW w:w="2517" w:type="dxa"/>
            <w:tcBorders>
              <w:top w:val="single" w:sz="4" w:space="0" w:color="auto"/>
              <w:bottom w:val="single" w:sz="4" w:space="0" w:color="auto"/>
            </w:tcBorders>
          </w:tcPr>
          <w:p w:rsidR="00000000" w:rsidRDefault="00B83709">
            <w:pPr>
              <w:spacing w:line="360" w:lineRule="exact"/>
              <w:jc w:val="center"/>
              <w:rPr>
                <w:rFonts w:eastAsia="SimHei" w:hint="eastAsia"/>
                <w:bCs/>
                <w:color w:val="FF0000"/>
              </w:rPr>
            </w:pPr>
            <w:r>
              <w:rPr>
                <w:rFonts w:eastAsia="SimHei" w:hint="eastAsia"/>
                <w:bCs/>
                <w:color w:val="FF0000"/>
                <w:szCs w:val="24"/>
              </w:rPr>
              <w:t>女生比例</w:t>
            </w:r>
          </w:p>
        </w:tc>
      </w:tr>
      <w:tr w:rsidR="00000000">
        <w:tblPrEx>
          <w:tblCellMar>
            <w:top w:w="0" w:type="dxa"/>
            <w:bottom w:w="0" w:type="dxa"/>
          </w:tblCellMar>
        </w:tblPrEx>
        <w:tc>
          <w:tcPr>
            <w:tcW w:w="2516" w:type="dxa"/>
            <w:tcBorders>
              <w:top w:val="single" w:sz="4" w:space="0" w:color="auto"/>
              <w:bottom w:val="single" w:sz="4" w:space="0" w:color="auto"/>
            </w:tcBorders>
          </w:tcPr>
          <w:p w:rsidR="00000000" w:rsidRDefault="00B83709">
            <w:pPr>
              <w:spacing w:line="360" w:lineRule="exact"/>
              <w:rPr>
                <w:rFonts w:hint="eastAsia"/>
                <w:szCs w:val="24"/>
              </w:rPr>
            </w:pPr>
            <w:r>
              <w:rPr>
                <w:rFonts w:hint="eastAsia"/>
                <w:szCs w:val="24"/>
              </w:rPr>
              <w:t>学士学位</w:t>
            </w:r>
          </w:p>
          <w:p w:rsidR="00000000" w:rsidRDefault="00B83709">
            <w:pPr>
              <w:spacing w:line="360" w:lineRule="exact"/>
              <w:rPr>
                <w:rFonts w:hint="eastAsia"/>
                <w:szCs w:val="24"/>
              </w:rPr>
            </w:pPr>
            <w:r>
              <w:rPr>
                <w:rFonts w:hint="eastAsia"/>
                <w:szCs w:val="24"/>
              </w:rPr>
              <w:t>毕业</w:t>
            </w:r>
            <w:r>
              <w:rPr>
                <w:rFonts w:hint="eastAsia"/>
                <w:szCs w:val="24"/>
              </w:rPr>
              <w:t>证书</w:t>
            </w:r>
          </w:p>
          <w:p w:rsidR="00000000" w:rsidRDefault="00B83709">
            <w:pPr>
              <w:spacing w:line="360" w:lineRule="exact"/>
              <w:rPr>
                <w:rFonts w:hint="eastAsia"/>
                <w:szCs w:val="24"/>
              </w:rPr>
            </w:pPr>
            <w:r>
              <w:rPr>
                <w:rFonts w:hint="eastAsia"/>
                <w:szCs w:val="24"/>
              </w:rPr>
              <w:t>硕士学位</w:t>
            </w:r>
          </w:p>
          <w:p w:rsidR="00000000" w:rsidRDefault="00B83709">
            <w:pPr>
              <w:spacing w:line="360" w:lineRule="exact"/>
              <w:rPr>
                <w:rFonts w:hint="eastAsia"/>
                <w:bCs/>
                <w:szCs w:val="24"/>
              </w:rPr>
            </w:pPr>
            <w:r>
              <w:rPr>
                <w:rFonts w:hint="eastAsia"/>
                <w:szCs w:val="24"/>
              </w:rPr>
              <w:t>博士学位</w:t>
            </w:r>
          </w:p>
        </w:tc>
        <w:tc>
          <w:tcPr>
            <w:tcW w:w="2516" w:type="dxa"/>
            <w:tcBorders>
              <w:top w:val="single" w:sz="4" w:space="0" w:color="auto"/>
              <w:bottom w:val="single" w:sz="4" w:space="0" w:color="auto"/>
            </w:tcBorders>
          </w:tcPr>
          <w:p w:rsidR="00000000" w:rsidRDefault="00B83709" w:rsidP="00B83709">
            <w:pPr>
              <w:spacing w:line="360" w:lineRule="exact"/>
              <w:ind w:rightChars="407" w:right="31680"/>
              <w:jc w:val="right"/>
              <w:rPr>
                <w:rFonts w:hint="eastAsia"/>
                <w:szCs w:val="24"/>
              </w:rPr>
            </w:pPr>
            <w:r>
              <w:rPr>
                <w:szCs w:val="24"/>
              </w:rPr>
              <w:t>73 647</w:t>
            </w:r>
          </w:p>
          <w:p w:rsidR="00000000" w:rsidRDefault="00B83709" w:rsidP="00B83709">
            <w:pPr>
              <w:spacing w:line="360" w:lineRule="exact"/>
              <w:ind w:rightChars="407" w:right="31680"/>
              <w:jc w:val="right"/>
              <w:rPr>
                <w:rFonts w:hint="eastAsia"/>
                <w:szCs w:val="24"/>
              </w:rPr>
            </w:pPr>
            <w:r>
              <w:rPr>
                <w:rFonts w:hint="eastAsia"/>
                <w:szCs w:val="24"/>
              </w:rPr>
              <w:t>1 334</w:t>
            </w:r>
          </w:p>
          <w:p w:rsidR="00000000" w:rsidRDefault="00B83709" w:rsidP="00B83709">
            <w:pPr>
              <w:spacing w:line="360" w:lineRule="exact"/>
              <w:ind w:rightChars="407" w:right="31680"/>
              <w:jc w:val="right"/>
              <w:rPr>
                <w:rFonts w:hint="eastAsia"/>
                <w:szCs w:val="24"/>
              </w:rPr>
            </w:pPr>
            <w:r>
              <w:rPr>
                <w:rFonts w:hint="eastAsia"/>
                <w:szCs w:val="24"/>
              </w:rPr>
              <w:t>18 069</w:t>
            </w:r>
          </w:p>
          <w:p w:rsidR="00000000" w:rsidRDefault="00B83709" w:rsidP="00B83709">
            <w:pPr>
              <w:spacing w:line="360" w:lineRule="exact"/>
              <w:ind w:rightChars="407" w:right="31680"/>
              <w:jc w:val="right"/>
              <w:rPr>
                <w:rFonts w:hint="eastAsia"/>
                <w:bCs/>
                <w:szCs w:val="24"/>
              </w:rPr>
            </w:pPr>
            <w:r>
              <w:rPr>
                <w:rFonts w:hint="eastAsia"/>
                <w:szCs w:val="24"/>
              </w:rPr>
              <w:t>171</w:t>
            </w:r>
          </w:p>
        </w:tc>
        <w:tc>
          <w:tcPr>
            <w:tcW w:w="2517" w:type="dxa"/>
            <w:tcBorders>
              <w:top w:val="single" w:sz="4" w:space="0" w:color="auto"/>
              <w:bottom w:val="single" w:sz="4" w:space="0" w:color="auto"/>
            </w:tcBorders>
          </w:tcPr>
          <w:p w:rsidR="00000000" w:rsidRDefault="00B83709" w:rsidP="00B83709">
            <w:pPr>
              <w:spacing w:line="360" w:lineRule="exact"/>
              <w:ind w:rightChars="407" w:right="31680"/>
              <w:jc w:val="right"/>
              <w:rPr>
                <w:rFonts w:hint="eastAsia"/>
                <w:bCs/>
                <w:szCs w:val="24"/>
              </w:rPr>
            </w:pPr>
            <w:r>
              <w:rPr>
                <w:rFonts w:hint="eastAsia"/>
                <w:bCs/>
                <w:szCs w:val="24"/>
              </w:rPr>
              <w:t>41 749</w:t>
            </w:r>
          </w:p>
          <w:p w:rsidR="00000000" w:rsidRDefault="00B83709" w:rsidP="00B83709">
            <w:pPr>
              <w:pStyle w:val="Date"/>
              <w:spacing w:line="360" w:lineRule="exact"/>
              <w:ind w:rightChars="407" w:right="31680"/>
              <w:jc w:val="right"/>
              <w:rPr>
                <w:rFonts w:hint="eastAsia"/>
                <w:bCs/>
                <w:szCs w:val="24"/>
              </w:rPr>
            </w:pPr>
            <w:r>
              <w:rPr>
                <w:rFonts w:hint="eastAsia"/>
                <w:bCs/>
                <w:szCs w:val="24"/>
              </w:rPr>
              <w:t>737</w:t>
            </w:r>
          </w:p>
          <w:p w:rsidR="00000000" w:rsidRDefault="00B83709" w:rsidP="00B83709">
            <w:pPr>
              <w:spacing w:line="360" w:lineRule="exact"/>
              <w:ind w:rightChars="407" w:right="31680"/>
              <w:jc w:val="right"/>
              <w:rPr>
                <w:rFonts w:hint="eastAsia"/>
                <w:bCs/>
                <w:szCs w:val="24"/>
              </w:rPr>
            </w:pPr>
            <w:r>
              <w:rPr>
                <w:rFonts w:hint="eastAsia"/>
                <w:bCs/>
                <w:szCs w:val="24"/>
              </w:rPr>
              <w:t>9 182</w:t>
            </w:r>
          </w:p>
          <w:p w:rsidR="00000000" w:rsidRDefault="00B83709" w:rsidP="00B83709">
            <w:pPr>
              <w:spacing w:line="360" w:lineRule="exact"/>
              <w:ind w:rightChars="407" w:right="31680"/>
              <w:jc w:val="right"/>
              <w:rPr>
                <w:rFonts w:hint="eastAsia"/>
                <w:bCs/>
                <w:szCs w:val="24"/>
              </w:rPr>
            </w:pPr>
            <w:r>
              <w:rPr>
                <w:rFonts w:hint="eastAsia"/>
                <w:bCs/>
                <w:szCs w:val="24"/>
              </w:rPr>
              <w:t>83</w:t>
            </w:r>
          </w:p>
        </w:tc>
        <w:tc>
          <w:tcPr>
            <w:tcW w:w="2517" w:type="dxa"/>
            <w:tcBorders>
              <w:top w:val="single" w:sz="4" w:space="0" w:color="auto"/>
              <w:bottom w:val="single" w:sz="4" w:space="0" w:color="auto"/>
            </w:tcBorders>
          </w:tcPr>
          <w:p w:rsidR="00000000" w:rsidRDefault="00B83709">
            <w:pPr>
              <w:spacing w:line="360" w:lineRule="exact"/>
              <w:jc w:val="center"/>
              <w:rPr>
                <w:rFonts w:hint="eastAsia"/>
                <w:bCs/>
                <w:szCs w:val="24"/>
              </w:rPr>
            </w:pPr>
            <w:r>
              <w:rPr>
                <w:rFonts w:hint="eastAsia"/>
                <w:bCs/>
                <w:szCs w:val="24"/>
              </w:rPr>
              <w:t>56.69</w:t>
            </w:r>
          </w:p>
          <w:p w:rsidR="00000000" w:rsidRDefault="00B83709">
            <w:pPr>
              <w:spacing w:line="360" w:lineRule="exact"/>
              <w:jc w:val="center"/>
              <w:rPr>
                <w:bCs/>
                <w:szCs w:val="24"/>
              </w:rPr>
            </w:pPr>
            <w:r>
              <w:rPr>
                <w:bCs/>
                <w:szCs w:val="24"/>
              </w:rPr>
              <w:t>55.25</w:t>
            </w:r>
          </w:p>
          <w:p w:rsidR="00000000" w:rsidRDefault="00B83709">
            <w:pPr>
              <w:spacing w:line="360" w:lineRule="exact"/>
              <w:jc w:val="center"/>
              <w:rPr>
                <w:bCs/>
                <w:szCs w:val="24"/>
              </w:rPr>
            </w:pPr>
            <w:r>
              <w:rPr>
                <w:bCs/>
                <w:szCs w:val="24"/>
              </w:rPr>
              <w:t>50.82</w:t>
            </w:r>
          </w:p>
          <w:p w:rsidR="00000000" w:rsidRDefault="00B83709">
            <w:pPr>
              <w:spacing w:line="360" w:lineRule="exact"/>
              <w:jc w:val="center"/>
              <w:rPr>
                <w:bCs/>
                <w:szCs w:val="24"/>
              </w:rPr>
            </w:pPr>
            <w:r>
              <w:rPr>
                <w:bCs/>
                <w:szCs w:val="24"/>
              </w:rPr>
              <w:t>48.54</w:t>
            </w:r>
          </w:p>
        </w:tc>
      </w:tr>
      <w:tr w:rsidR="00000000">
        <w:tblPrEx>
          <w:tblCellMar>
            <w:top w:w="0" w:type="dxa"/>
            <w:bottom w:w="0" w:type="dxa"/>
          </w:tblCellMar>
        </w:tblPrEx>
        <w:tc>
          <w:tcPr>
            <w:tcW w:w="2516" w:type="dxa"/>
            <w:tcBorders>
              <w:top w:val="single" w:sz="4" w:space="0" w:color="auto"/>
              <w:bottom w:val="single" w:sz="4" w:space="0" w:color="auto"/>
            </w:tcBorders>
          </w:tcPr>
          <w:p w:rsidR="00000000" w:rsidRDefault="00B83709">
            <w:pPr>
              <w:spacing w:line="360" w:lineRule="exact"/>
              <w:rPr>
                <w:rFonts w:eastAsia="SimHei" w:hint="eastAsia"/>
                <w:bCs/>
                <w:color w:val="FF0000"/>
                <w:szCs w:val="24"/>
              </w:rPr>
            </w:pPr>
            <w:r>
              <w:rPr>
                <w:rFonts w:eastAsia="SimHei" w:hint="eastAsia"/>
                <w:bCs/>
                <w:color w:val="FF0000"/>
                <w:szCs w:val="24"/>
              </w:rPr>
              <w:t>总计</w:t>
            </w:r>
          </w:p>
        </w:tc>
        <w:tc>
          <w:tcPr>
            <w:tcW w:w="2516" w:type="dxa"/>
            <w:tcBorders>
              <w:top w:val="single" w:sz="4" w:space="0" w:color="auto"/>
              <w:bottom w:val="single" w:sz="4" w:space="0" w:color="auto"/>
            </w:tcBorders>
          </w:tcPr>
          <w:p w:rsidR="00000000" w:rsidRDefault="00B83709" w:rsidP="00B83709">
            <w:pPr>
              <w:spacing w:line="360" w:lineRule="exact"/>
              <w:ind w:rightChars="407" w:right="31680"/>
              <w:jc w:val="right"/>
              <w:rPr>
                <w:rFonts w:hint="eastAsia"/>
                <w:b/>
                <w:color w:val="FF0000"/>
                <w:szCs w:val="24"/>
              </w:rPr>
            </w:pPr>
            <w:r>
              <w:rPr>
                <w:rFonts w:hint="eastAsia"/>
                <w:b/>
                <w:color w:val="FF0000"/>
                <w:szCs w:val="24"/>
              </w:rPr>
              <w:t>93 221</w:t>
            </w:r>
          </w:p>
        </w:tc>
        <w:tc>
          <w:tcPr>
            <w:tcW w:w="2517" w:type="dxa"/>
            <w:tcBorders>
              <w:top w:val="single" w:sz="4" w:space="0" w:color="auto"/>
              <w:bottom w:val="single" w:sz="4" w:space="0" w:color="auto"/>
            </w:tcBorders>
          </w:tcPr>
          <w:p w:rsidR="00000000" w:rsidRDefault="00B83709" w:rsidP="00B83709">
            <w:pPr>
              <w:spacing w:line="360" w:lineRule="exact"/>
              <w:ind w:rightChars="407" w:right="31680"/>
              <w:jc w:val="right"/>
              <w:rPr>
                <w:rFonts w:hint="eastAsia"/>
                <w:b/>
                <w:color w:val="FF0000"/>
                <w:szCs w:val="24"/>
              </w:rPr>
            </w:pPr>
            <w:r>
              <w:rPr>
                <w:rFonts w:hint="eastAsia"/>
                <w:b/>
                <w:color w:val="FF0000"/>
                <w:szCs w:val="24"/>
              </w:rPr>
              <w:t>51 751</w:t>
            </w:r>
          </w:p>
        </w:tc>
        <w:tc>
          <w:tcPr>
            <w:tcW w:w="2517" w:type="dxa"/>
            <w:tcBorders>
              <w:top w:val="single" w:sz="4" w:space="0" w:color="auto"/>
              <w:bottom w:val="single" w:sz="4" w:space="0" w:color="auto"/>
            </w:tcBorders>
          </w:tcPr>
          <w:p w:rsidR="00000000" w:rsidRDefault="00B83709">
            <w:pPr>
              <w:spacing w:line="360" w:lineRule="exact"/>
              <w:jc w:val="center"/>
              <w:rPr>
                <w:b/>
                <w:color w:val="FF0000"/>
                <w:szCs w:val="24"/>
              </w:rPr>
            </w:pPr>
            <w:r>
              <w:rPr>
                <w:b/>
                <w:color w:val="FF0000"/>
                <w:szCs w:val="24"/>
              </w:rPr>
              <w:t>55.51</w:t>
            </w:r>
          </w:p>
        </w:tc>
      </w:tr>
    </w:tbl>
    <w:p w:rsidR="00000000" w:rsidRDefault="00B83709">
      <w:pPr>
        <w:spacing w:after="240" w:line="360" w:lineRule="exact"/>
        <w:rPr>
          <w:rFonts w:eastAsia="SimHei" w:hint="eastAsia"/>
          <w:color w:val="FF0000"/>
        </w:rPr>
      </w:pPr>
      <w:r>
        <w:rPr>
          <w:rFonts w:eastAsia="KaiTi_GB2312" w:hint="eastAsia"/>
          <w:b/>
          <w:color w:val="0000FF"/>
          <w:szCs w:val="24"/>
        </w:rPr>
        <w:t>资料来源：</w:t>
      </w:r>
      <w:r>
        <w:rPr>
          <w:rFonts w:eastAsia="KaiTi_GB2312" w:hint="eastAsia"/>
          <w:bCs/>
          <w:color w:val="0000FF"/>
          <w:szCs w:val="24"/>
        </w:rPr>
        <w:t>大学部，</w:t>
      </w:r>
      <w:r>
        <w:rPr>
          <w:rFonts w:eastAsia="KaiTi_GB2312" w:hint="eastAsia"/>
          <w:bCs/>
          <w:color w:val="0000FF"/>
          <w:szCs w:val="24"/>
        </w:rPr>
        <w:t>2000</w:t>
      </w:r>
      <w:r>
        <w:rPr>
          <w:rFonts w:eastAsia="KaiTi_GB2312" w:hint="eastAsia"/>
          <w:bCs/>
          <w:color w:val="0000FF"/>
          <w:szCs w:val="24"/>
        </w:rPr>
        <w:t>年公立高等教育的教育报告。</w:t>
      </w:r>
    </w:p>
    <w:p w:rsidR="00000000" w:rsidRDefault="00B83709">
      <w:pPr>
        <w:spacing w:after="240" w:line="360" w:lineRule="exact"/>
        <w:rPr>
          <w:rFonts w:eastAsia="SimHei" w:hint="eastAsia"/>
          <w:color w:val="FF0000"/>
        </w:rPr>
      </w:pPr>
      <w:r>
        <w:rPr>
          <w:rFonts w:eastAsia="SimHei" w:hint="eastAsia"/>
          <w:color w:val="FF0000"/>
        </w:rPr>
        <w:t>促进女童接受教育的措施</w:t>
      </w:r>
    </w:p>
    <w:p w:rsidR="00000000" w:rsidRDefault="00B83709">
      <w:pPr>
        <w:spacing w:after="240" w:line="360" w:lineRule="exact"/>
        <w:rPr>
          <w:rFonts w:hint="eastAsia"/>
          <w:szCs w:val="24"/>
        </w:rPr>
      </w:pPr>
      <w:r>
        <w:rPr>
          <w:szCs w:val="24"/>
        </w:rPr>
        <w:t xml:space="preserve">1. </w:t>
      </w:r>
      <w:r>
        <w:rPr>
          <w:rFonts w:eastAsia="SimHei"/>
          <w:bCs/>
          <w:color w:val="FF0000"/>
          <w:szCs w:val="24"/>
        </w:rPr>
        <w:t xml:space="preserve"> </w:t>
      </w:r>
      <w:r>
        <w:rPr>
          <w:rFonts w:eastAsia="SimHei" w:hint="eastAsia"/>
          <w:bCs/>
          <w:color w:val="FF0000"/>
          <w:szCs w:val="24"/>
        </w:rPr>
        <w:t>教育贷款基金。</w:t>
      </w:r>
      <w:r>
        <w:rPr>
          <w:szCs w:val="24"/>
        </w:rPr>
        <w:t xml:space="preserve"> </w:t>
      </w:r>
      <w:r>
        <w:rPr>
          <w:rFonts w:hint="eastAsia"/>
          <w:szCs w:val="24"/>
        </w:rPr>
        <w:t>低收入家庭的学生可申请贷款继续完成从高中直到学士学位的学业（普通教育和职业教育），以及在教育部规定的教学大纲和科目内完成初中教育后继续接受非正规教育。学生完成学业后，应偿还贷款，年利率为</w:t>
      </w:r>
      <w:r>
        <w:rPr>
          <w:rFonts w:hint="eastAsia"/>
          <w:szCs w:val="24"/>
        </w:rPr>
        <w:t>1%</w:t>
      </w:r>
      <w:r>
        <w:rPr>
          <w:rFonts w:hint="eastAsia"/>
          <w:szCs w:val="24"/>
        </w:rPr>
        <w:t>。教育贷</w:t>
      </w:r>
      <w:r>
        <w:rPr>
          <w:rFonts w:hint="eastAsia"/>
          <w:szCs w:val="24"/>
        </w:rPr>
        <w:t>款基金是根据</w:t>
      </w:r>
      <w:r>
        <w:rPr>
          <w:rFonts w:hint="eastAsia"/>
          <w:szCs w:val="24"/>
        </w:rPr>
        <w:t>1995</w:t>
      </w:r>
      <w:r>
        <w:rPr>
          <w:rFonts w:hint="eastAsia"/>
          <w:szCs w:val="24"/>
        </w:rPr>
        <w:t>年</w:t>
      </w:r>
      <w:r>
        <w:rPr>
          <w:rFonts w:hint="eastAsia"/>
          <w:szCs w:val="24"/>
        </w:rPr>
        <w:t>3</w:t>
      </w:r>
      <w:r>
        <w:rPr>
          <w:rFonts w:hint="eastAsia"/>
          <w:szCs w:val="24"/>
        </w:rPr>
        <w:t>月</w:t>
      </w:r>
      <w:r>
        <w:rPr>
          <w:rFonts w:hint="eastAsia"/>
          <w:szCs w:val="24"/>
        </w:rPr>
        <w:t>28</w:t>
      </w:r>
      <w:r>
        <w:rPr>
          <w:rFonts w:hint="eastAsia"/>
          <w:szCs w:val="24"/>
        </w:rPr>
        <w:t>日内阁决议设立的。主管机构是财政部、教育和大学部。</w:t>
      </w:r>
    </w:p>
    <w:p w:rsidR="00000000" w:rsidRDefault="00B83709">
      <w:pPr>
        <w:spacing w:after="240" w:line="360" w:lineRule="exact"/>
        <w:rPr>
          <w:rFonts w:hint="eastAsia"/>
          <w:szCs w:val="24"/>
        </w:rPr>
      </w:pPr>
      <w:r>
        <w:rPr>
          <w:szCs w:val="24"/>
        </w:rPr>
        <w:t xml:space="preserve">2.  </w:t>
      </w:r>
      <w:r>
        <w:rPr>
          <w:rFonts w:eastAsia="SimHei" w:hint="eastAsia"/>
          <w:bCs/>
          <w:color w:val="FF0000"/>
          <w:szCs w:val="24"/>
        </w:rPr>
        <w:t>女童的奖学金</w:t>
      </w:r>
      <w:r>
        <w:rPr>
          <w:rFonts w:hint="eastAsia"/>
          <w:bCs/>
          <w:szCs w:val="24"/>
        </w:rPr>
        <w:t>（“</w:t>
      </w:r>
      <w:r>
        <w:rPr>
          <w:szCs w:val="24"/>
        </w:rPr>
        <w:t>Sema-Life</w:t>
      </w:r>
      <w:r>
        <w:rPr>
          <w:rFonts w:hint="eastAsia"/>
          <w:szCs w:val="24"/>
        </w:rPr>
        <w:t>发展”）</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妇女事务全国委员会同教育部合作，于</w:t>
      </w:r>
      <w:r>
        <w:rPr>
          <w:rFonts w:hint="eastAsia"/>
          <w:szCs w:val="24"/>
        </w:rPr>
        <w:t>1994</w:t>
      </w:r>
      <w:r>
        <w:rPr>
          <w:rFonts w:hint="eastAsia"/>
          <w:szCs w:val="24"/>
        </w:rPr>
        <w:t>年开始为少女提供奖学金。这个项目为来自贫困家庭并生活在大量少女涉足商业色情行业的地区的少女提供奖学金。由于贫穷，这些女童在上完小学和初中后面临中断学业的危险。本项目取得了一定成功，</w:t>
      </w:r>
      <w:r>
        <w:rPr>
          <w:rFonts w:hint="eastAsia"/>
          <w:szCs w:val="24"/>
        </w:rPr>
        <w:t>1994</w:t>
      </w:r>
      <w:r>
        <w:rPr>
          <w:rFonts w:hint="eastAsia"/>
          <w:szCs w:val="24"/>
        </w:rPr>
        <w:t>年发放了</w:t>
      </w:r>
      <w:r>
        <w:rPr>
          <w:szCs w:val="24"/>
        </w:rPr>
        <w:t>4</w:t>
      </w:r>
      <w:r>
        <w:rPr>
          <w:rFonts w:hint="eastAsia"/>
          <w:szCs w:val="24"/>
        </w:rPr>
        <w:t xml:space="preserve"> </w:t>
      </w:r>
      <w:r>
        <w:rPr>
          <w:szCs w:val="24"/>
        </w:rPr>
        <w:t>395</w:t>
      </w:r>
      <w:r>
        <w:rPr>
          <w:rFonts w:hint="eastAsia"/>
          <w:szCs w:val="24"/>
        </w:rPr>
        <w:t>笔奖学金，截至</w:t>
      </w:r>
      <w:r>
        <w:rPr>
          <w:rFonts w:hint="eastAsia"/>
          <w:szCs w:val="24"/>
        </w:rPr>
        <w:t>1999</w:t>
      </w:r>
      <w:r>
        <w:rPr>
          <w:rFonts w:hint="eastAsia"/>
          <w:szCs w:val="24"/>
        </w:rPr>
        <w:t>年，这一数字增至</w:t>
      </w:r>
      <w:r>
        <w:rPr>
          <w:szCs w:val="24"/>
        </w:rPr>
        <w:t>37</w:t>
      </w:r>
      <w:r>
        <w:rPr>
          <w:rFonts w:hint="eastAsia"/>
          <w:szCs w:val="24"/>
        </w:rPr>
        <w:t xml:space="preserve"> </w:t>
      </w:r>
      <w:r>
        <w:rPr>
          <w:szCs w:val="24"/>
        </w:rPr>
        <w:t>395</w:t>
      </w:r>
      <w:r>
        <w:rPr>
          <w:rFonts w:hint="eastAsia"/>
          <w:szCs w:val="24"/>
        </w:rPr>
        <w:t>。</w:t>
      </w:r>
    </w:p>
    <w:p w:rsidR="00000000" w:rsidRDefault="00B83709">
      <w:pPr>
        <w:spacing w:after="240" w:line="360" w:lineRule="exact"/>
        <w:rPr>
          <w:rFonts w:eastAsia="SimHei" w:hint="eastAsia"/>
          <w:color w:val="FF0000"/>
        </w:rPr>
      </w:pPr>
      <w:r>
        <w:rPr>
          <w:rFonts w:eastAsia="SimHei" w:hint="eastAsia"/>
          <w:color w:val="FF0000"/>
        </w:rPr>
        <w:t>特别关切的问题</w:t>
      </w:r>
    </w:p>
    <w:p w:rsidR="00000000" w:rsidRDefault="00B83709">
      <w:pPr>
        <w:numPr>
          <w:ilvl w:val="0"/>
          <w:numId w:val="1049"/>
        </w:numPr>
        <w:tabs>
          <w:tab w:val="clear" w:pos="360"/>
          <w:tab w:val="num" w:pos="480"/>
        </w:tabs>
        <w:spacing w:after="240" w:line="360" w:lineRule="exact"/>
        <w:rPr>
          <w:szCs w:val="24"/>
        </w:rPr>
      </w:pPr>
      <w:r>
        <w:rPr>
          <w:rFonts w:hint="eastAsia"/>
          <w:szCs w:val="24"/>
        </w:rPr>
        <w:t>泰国在</w:t>
      </w:r>
      <w:r>
        <w:rPr>
          <w:rFonts w:hint="eastAsia"/>
          <w:szCs w:val="24"/>
        </w:rPr>
        <w:t>1996</w:t>
      </w:r>
      <w:r>
        <w:rPr>
          <w:rFonts w:hint="eastAsia"/>
          <w:szCs w:val="24"/>
        </w:rPr>
        <w:t>年提交第二次和第三次公约合并报告后，分别于</w:t>
      </w:r>
      <w:r>
        <w:rPr>
          <w:rFonts w:hint="eastAsia"/>
          <w:szCs w:val="24"/>
        </w:rPr>
        <w:t>20</w:t>
      </w:r>
      <w:r>
        <w:rPr>
          <w:rFonts w:hint="eastAsia"/>
          <w:szCs w:val="24"/>
        </w:rPr>
        <w:t>00</w:t>
      </w:r>
      <w:r>
        <w:rPr>
          <w:rFonts w:hint="eastAsia"/>
          <w:szCs w:val="24"/>
        </w:rPr>
        <w:t>年和</w:t>
      </w:r>
      <w:r>
        <w:rPr>
          <w:rFonts w:hint="eastAsia"/>
          <w:szCs w:val="24"/>
        </w:rPr>
        <w:t>2001</w:t>
      </w:r>
      <w:r>
        <w:rPr>
          <w:rFonts w:hint="eastAsia"/>
          <w:szCs w:val="24"/>
        </w:rPr>
        <w:t>年成功地在清迈大学和国立法政大学开设了硕士学位课程。这些课程不仅培养有关妇女问题的合格人员和专家，而且也组织活动，以提高泰国社会对性别歧视问题的认识。但是，这些课程仍然面临着若干挑战，如大学行政管理人员和学者不同意将妇女研究列入社会科学范畴。另外，泰国仍然缺少掌握妇女研究理论及在泰国社会环境内应用该理论的学者。</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妇女事务全国委员会办公室认识到培养能够在政府组织工作的两性问题专家的重要性。因此，它请求公务员制度委员会办公室为公众和公务员分配奖学金以在国外院校从事妇女研究。公务员制度委员会现在不</w:t>
      </w:r>
      <w:r>
        <w:rPr>
          <w:rFonts w:hint="eastAsia"/>
          <w:szCs w:val="24"/>
        </w:rPr>
        <w:t>断分配这些奖学金，目前已有</w:t>
      </w:r>
      <w:r>
        <w:rPr>
          <w:rFonts w:hint="eastAsia"/>
          <w:szCs w:val="24"/>
        </w:rPr>
        <w:t>27</w:t>
      </w:r>
      <w:r>
        <w:rPr>
          <w:rFonts w:hint="eastAsia"/>
          <w:szCs w:val="24"/>
        </w:rPr>
        <w:t>人获得妇女研究学位。</w:t>
      </w:r>
    </w:p>
    <w:p w:rsidR="00000000" w:rsidRDefault="00B83709">
      <w:pPr>
        <w:numPr>
          <w:ilvl w:val="0"/>
          <w:numId w:val="1049"/>
        </w:numPr>
        <w:tabs>
          <w:tab w:val="clear" w:pos="360"/>
          <w:tab w:val="num" w:pos="480"/>
        </w:tabs>
        <w:spacing w:after="240" w:line="360" w:lineRule="exact"/>
        <w:rPr>
          <w:szCs w:val="24"/>
        </w:rPr>
      </w:pPr>
      <w:r>
        <w:rPr>
          <w:rFonts w:hint="eastAsia"/>
          <w:szCs w:val="24"/>
        </w:rPr>
        <w:t>将性别纳入教育主流，特别是基础教育的主流，是向年轻一代宣传两性平等问题及对妇女歧视问题的另一个渠道。因此，妇女事务全国委员会办公室为教育部课程编制和教学发展厅的工作人员举办将性别观点纳入主流培训班，目的是培训负责编写教科书和教学大纲的官员采取性别观点，并将性别观点应用到实际工作中。接受这类培训的其他目标团体包括公务员制度委员会办公室、预算局、国家经济与社会发展委员会办公室、国家统计局、公共关系厅、工业促进厅、社区发展厅以及地方行政管理厅。</w:t>
      </w:r>
    </w:p>
    <w:p w:rsidR="00000000" w:rsidRDefault="00B83709">
      <w:pPr>
        <w:spacing w:after="240" w:line="360" w:lineRule="exact"/>
        <w:rPr>
          <w:rFonts w:eastAsia="SimHei" w:hint="eastAsia"/>
          <w:color w:val="FF0000"/>
        </w:rPr>
      </w:pPr>
      <w:r>
        <w:rPr>
          <w:rFonts w:eastAsia="SimHei" w:hint="eastAsia"/>
          <w:color w:val="FF0000"/>
        </w:rPr>
        <w:t>陈规定型观念</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男</w:t>
      </w:r>
      <w:r>
        <w:rPr>
          <w:rFonts w:hint="eastAsia"/>
          <w:szCs w:val="24"/>
        </w:rPr>
        <w:t>女生学习职业教育厅规定科目的人数仍然反映出社会陈规定型观念。男子和妇女在适合他们传统角色的学习领域入学，这就导致学习机会和领导能力的提高受到限制。女生的人数低于男生。大多数女生的专业领域是家政学（</w:t>
      </w:r>
      <w:r>
        <w:rPr>
          <w:szCs w:val="24"/>
        </w:rPr>
        <w:t>94.86%</w:t>
      </w:r>
      <w:r>
        <w:rPr>
          <w:rFonts w:hint="eastAsia"/>
          <w:szCs w:val="24"/>
        </w:rPr>
        <w:t>）、商业（</w:t>
      </w:r>
      <w:r>
        <w:rPr>
          <w:szCs w:val="24"/>
        </w:rPr>
        <w:t>90.71%</w:t>
      </w:r>
      <w:r>
        <w:rPr>
          <w:rFonts w:hint="eastAsia"/>
          <w:szCs w:val="24"/>
        </w:rPr>
        <w:t>）和旅游（</w:t>
      </w:r>
      <w:r>
        <w:rPr>
          <w:szCs w:val="24"/>
        </w:rPr>
        <w:t>83.84%</w:t>
      </w:r>
      <w:r>
        <w:rPr>
          <w:rFonts w:hint="eastAsia"/>
          <w:szCs w:val="24"/>
        </w:rPr>
        <w:t>）。而在工业、渔业和农业领域，妇女的比例很小（分别为</w:t>
      </w:r>
      <w:r>
        <w:rPr>
          <w:szCs w:val="24"/>
        </w:rPr>
        <w:t>3.87%</w:t>
      </w:r>
      <w:r>
        <w:rPr>
          <w:rFonts w:hint="eastAsia"/>
          <w:szCs w:val="24"/>
        </w:rPr>
        <w:t>、</w:t>
      </w:r>
      <w:r>
        <w:rPr>
          <w:szCs w:val="24"/>
        </w:rPr>
        <w:t>29.03%</w:t>
      </w:r>
      <w:r>
        <w:rPr>
          <w:rFonts w:hint="eastAsia"/>
          <w:szCs w:val="24"/>
        </w:rPr>
        <w:t>和</w:t>
      </w:r>
      <w:r>
        <w:rPr>
          <w:szCs w:val="24"/>
        </w:rPr>
        <w:t>34.32%</w:t>
      </w:r>
      <w:r>
        <w:rPr>
          <w:rFonts w:hint="eastAsia"/>
          <w:szCs w:val="24"/>
        </w:rPr>
        <w:t>）（表</w:t>
      </w:r>
      <w:r>
        <w:rPr>
          <w:rFonts w:hint="eastAsia"/>
          <w:szCs w:val="24"/>
        </w:rPr>
        <w:t>11</w:t>
      </w:r>
      <w:r>
        <w:rPr>
          <w:rFonts w:hint="eastAsia"/>
          <w:szCs w:val="24"/>
        </w:rPr>
        <w:t>）。除有关妇女角色的传统社会价值观以及认为她们在体力上不能从事工业活动的信念外，教育制度本身不鼓励妇女学习这一领域的课程，认为它不适合妇女学习，并且认为她们日后</w:t>
      </w:r>
      <w:r>
        <w:rPr>
          <w:rFonts w:hint="eastAsia"/>
          <w:szCs w:val="24"/>
        </w:rPr>
        <w:t>将面临就业问题。</w:t>
      </w:r>
    </w:p>
    <w:p w:rsidR="00000000" w:rsidRDefault="00B83709">
      <w:pPr>
        <w:spacing w:after="240" w:line="360" w:lineRule="exact"/>
        <w:rPr>
          <w:rFonts w:hint="eastAsia"/>
          <w:szCs w:val="24"/>
        </w:rPr>
      </w:pPr>
      <w:r>
        <w:rPr>
          <w:rFonts w:ascii="SimHei" w:eastAsia="SimHei" w:hint="eastAsia"/>
          <w:color w:val="FF0000"/>
        </w:rPr>
        <w:t>表</w:t>
      </w:r>
      <w:r>
        <w:rPr>
          <w:rFonts w:ascii="SimHei" w:eastAsia="SimHei" w:hint="eastAsia"/>
          <w:color w:val="FF0000"/>
        </w:rPr>
        <w:t>11</w:t>
      </w:r>
      <w:r>
        <w:rPr>
          <w:rFonts w:ascii="SimHei" w:eastAsia="SimHei"/>
          <w:color w:val="FF0000"/>
        </w:rPr>
        <w:t xml:space="preserve">. </w:t>
      </w:r>
      <w:r>
        <w:rPr>
          <w:rFonts w:hint="eastAsia"/>
          <w:szCs w:val="24"/>
        </w:rPr>
        <w:t>2001</w:t>
      </w:r>
      <w:r>
        <w:rPr>
          <w:rFonts w:hint="eastAsia"/>
          <w:szCs w:val="24"/>
        </w:rPr>
        <w:t>年职业教育厅规定的入学人数</w:t>
      </w:r>
    </w:p>
    <w:tbl>
      <w:tblPr>
        <w:tblW w:w="5000" w:type="pct"/>
        <w:tblBorders>
          <w:top w:val="single" w:sz="4" w:space="0" w:color="auto"/>
          <w:bottom w:val="single" w:sz="4" w:space="0" w:color="auto"/>
        </w:tblBorders>
        <w:tblLook w:val="0000" w:firstRow="0" w:lastRow="0" w:firstColumn="0" w:lastColumn="0" w:noHBand="0" w:noVBand="0"/>
      </w:tblPr>
      <w:tblGrid>
        <w:gridCol w:w="2390"/>
        <w:gridCol w:w="1919"/>
        <w:gridCol w:w="1919"/>
        <w:gridCol w:w="1919"/>
        <w:gridCol w:w="1919"/>
      </w:tblGrid>
      <w:tr w:rsidR="00000000">
        <w:tblPrEx>
          <w:tblCellMar>
            <w:top w:w="0" w:type="dxa"/>
            <w:bottom w:w="0" w:type="dxa"/>
          </w:tblCellMar>
        </w:tblPrEx>
        <w:tc>
          <w:tcPr>
            <w:tcW w:w="1187"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r>
              <w:rPr>
                <w:rFonts w:hint="eastAsia"/>
                <w:bCs/>
                <w:color w:val="FF0000"/>
                <w:sz w:val="21"/>
                <w:szCs w:val="24"/>
              </w:rPr>
              <w:t>学习领域</w:t>
            </w:r>
          </w:p>
        </w:tc>
        <w:tc>
          <w:tcPr>
            <w:tcW w:w="95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男生</w:t>
            </w:r>
          </w:p>
        </w:tc>
        <w:tc>
          <w:tcPr>
            <w:tcW w:w="95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女生</w:t>
            </w:r>
          </w:p>
        </w:tc>
        <w:tc>
          <w:tcPr>
            <w:tcW w:w="95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95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女生的比例</w:t>
            </w:r>
          </w:p>
        </w:tc>
      </w:tr>
      <w:tr w:rsidR="00000000">
        <w:tblPrEx>
          <w:tblCellMar>
            <w:top w:w="0" w:type="dxa"/>
            <w:bottom w:w="0" w:type="dxa"/>
          </w:tblCellMar>
        </w:tblPrEx>
        <w:tc>
          <w:tcPr>
            <w:tcW w:w="1187" w:type="pct"/>
            <w:tcBorders>
              <w:top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工业</w:t>
            </w:r>
          </w:p>
        </w:tc>
        <w:tc>
          <w:tcPr>
            <w:tcW w:w="953" w:type="pct"/>
            <w:tcBorders>
              <w:top w:val="nil"/>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301 154</w:t>
            </w:r>
          </w:p>
        </w:tc>
        <w:tc>
          <w:tcPr>
            <w:tcW w:w="953" w:type="pct"/>
            <w:tcBorders>
              <w:top w:val="nil"/>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12 113</w:t>
            </w:r>
          </w:p>
        </w:tc>
        <w:tc>
          <w:tcPr>
            <w:tcW w:w="953" w:type="pct"/>
            <w:tcBorders>
              <w:top w:val="nil"/>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313 267</w:t>
            </w:r>
          </w:p>
        </w:tc>
        <w:tc>
          <w:tcPr>
            <w:tcW w:w="953" w:type="pct"/>
            <w:tcBorders>
              <w:top w:val="nil"/>
            </w:tcBorders>
          </w:tcPr>
          <w:p w:rsidR="00000000" w:rsidRDefault="00B83709">
            <w:pPr>
              <w:pStyle w:val="BodyText2"/>
              <w:framePr w:w="0" w:hRule="auto" w:hSpace="0" w:wrap="auto" w:vAnchor="margin" w:hAnchor="text" w:xAlign="left" w:yAlign="inline"/>
              <w:tabs>
                <w:tab w:val="decimal" w:pos="973"/>
              </w:tabs>
              <w:spacing w:line="360" w:lineRule="exact"/>
              <w:jc w:val="both"/>
              <w:rPr>
                <w:sz w:val="21"/>
                <w:szCs w:val="24"/>
              </w:rPr>
            </w:pPr>
            <w:r>
              <w:rPr>
                <w:sz w:val="21"/>
                <w:szCs w:val="24"/>
              </w:rPr>
              <w:t>3.87</w:t>
            </w:r>
          </w:p>
        </w:tc>
      </w:tr>
      <w:tr w:rsidR="00000000">
        <w:tblPrEx>
          <w:tblCellMar>
            <w:top w:w="0" w:type="dxa"/>
            <w:bottom w:w="0" w:type="dxa"/>
          </w:tblCellMar>
        </w:tblPrEx>
        <w:tc>
          <w:tcPr>
            <w:tcW w:w="1187" w:type="pct"/>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艺术</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5 581</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5 495</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11 076</w:t>
            </w:r>
          </w:p>
        </w:tc>
        <w:tc>
          <w:tcPr>
            <w:tcW w:w="953" w:type="pct"/>
          </w:tcPr>
          <w:p w:rsidR="00000000" w:rsidRDefault="00B83709">
            <w:pPr>
              <w:pStyle w:val="BodyText2"/>
              <w:framePr w:w="0" w:hRule="auto" w:hSpace="0" w:wrap="auto" w:vAnchor="margin" w:hAnchor="text" w:xAlign="left" w:yAlign="inline"/>
              <w:tabs>
                <w:tab w:val="decimal" w:pos="973"/>
              </w:tabs>
              <w:spacing w:line="360" w:lineRule="exact"/>
              <w:jc w:val="both"/>
              <w:rPr>
                <w:sz w:val="21"/>
                <w:szCs w:val="24"/>
              </w:rPr>
            </w:pPr>
            <w:r>
              <w:rPr>
                <w:sz w:val="21"/>
                <w:szCs w:val="24"/>
              </w:rPr>
              <w:t>49.61</w:t>
            </w:r>
          </w:p>
        </w:tc>
      </w:tr>
      <w:tr w:rsidR="00000000">
        <w:tblPrEx>
          <w:tblCellMar>
            <w:top w:w="0" w:type="dxa"/>
            <w:bottom w:w="0" w:type="dxa"/>
          </w:tblCellMar>
        </w:tblPrEx>
        <w:tc>
          <w:tcPr>
            <w:tcW w:w="1187" w:type="pct"/>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家政学</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1 537</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28 393</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29 930</w:t>
            </w:r>
          </w:p>
        </w:tc>
        <w:tc>
          <w:tcPr>
            <w:tcW w:w="953" w:type="pct"/>
          </w:tcPr>
          <w:p w:rsidR="00000000" w:rsidRDefault="00B83709">
            <w:pPr>
              <w:pStyle w:val="BodyText2"/>
              <w:framePr w:w="0" w:hRule="auto" w:hSpace="0" w:wrap="auto" w:vAnchor="margin" w:hAnchor="text" w:xAlign="left" w:yAlign="inline"/>
              <w:tabs>
                <w:tab w:val="decimal" w:pos="973"/>
              </w:tabs>
              <w:spacing w:line="360" w:lineRule="exact"/>
              <w:jc w:val="both"/>
              <w:rPr>
                <w:sz w:val="21"/>
                <w:szCs w:val="24"/>
              </w:rPr>
            </w:pPr>
            <w:r>
              <w:rPr>
                <w:sz w:val="21"/>
                <w:szCs w:val="24"/>
              </w:rPr>
              <w:t>94.86</w:t>
            </w:r>
          </w:p>
        </w:tc>
      </w:tr>
      <w:tr w:rsidR="00000000">
        <w:tblPrEx>
          <w:tblCellMar>
            <w:top w:w="0" w:type="dxa"/>
            <w:bottom w:w="0" w:type="dxa"/>
          </w:tblCellMar>
        </w:tblPrEx>
        <w:tc>
          <w:tcPr>
            <w:tcW w:w="1187" w:type="pct"/>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商业</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18 570</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181 242</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199 812</w:t>
            </w:r>
          </w:p>
        </w:tc>
        <w:tc>
          <w:tcPr>
            <w:tcW w:w="953" w:type="pct"/>
          </w:tcPr>
          <w:p w:rsidR="00000000" w:rsidRDefault="00B83709">
            <w:pPr>
              <w:pStyle w:val="BodyText2"/>
              <w:framePr w:w="0" w:hRule="auto" w:hSpace="0" w:wrap="auto" w:vAnchor="margin" w:hAnchor="text" w:xAlign="left" w:yAlign="inline"/>
              <w:tabs>
                <w:tab w:val="decimal" w:pos="973"/>
              </w:tabs>
              <w:spacing w:line="360" w:lineRule="exact"/>
              <w:jc w:val="both"/>
              <w:rPr>
                <w:sz w:val="21"/>
                <w:szCs w:val="24"/>
              </w:rPr>
            </w:pPr>
            <w:r>
              <w:rPr>
                <w:sz w:val="21"/>
                <w:szCs w:val="24"/>
              </w:rPr>
              <w:t>90.71</w:t>
            </w:r>
          </w:p>
        </w:tc>
      </w:tr>
      <w:tr w:rsidR="00000000">
        <w:tblPrEx>
          <w:tblCellMar>
            <w:top w:w="0" w:type="dxa"/>
            <w:bottom w:w="0" w:type="dxa"/>
          </w:tblCellMar>
        </w:tblPrEx>
        <w:trPr>
          <w:trHeight w:val="414"/>
        </w:trPr>
        <w:tc>
          <w:tcPr>
            <w:tcW w:w="1187" w:type="pct"/>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旅游</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542</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2 811</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3 353</w:t>
            </w:r>
          </w:p>
        </w:tc>
        <w:tc>
          <w:tcPr>
            <w:tcW w:w="953" w:type="pct"/>
          </w:tcPr>
          <w:p w:rsidR="00000000" w:rsidRDefault="00B83709">
            <w:pPr>
              <w:pStyle w:val="BodyText2"/>
              <w:framePr w:w="0" w:hRule="auto" w:hSpace="0" w:wrap="auto" w:vAnchor="margin" w:hAnchor="text" w:xAlign="left" w:yAlign="inline"/>
              <w:tabs>
                <w:tab w:val="decimal" w:pos="973"/>
              </w:tabs>
              <w:spacing w:line="360" w:lineRule="exact"/>
              <w:jc w:val="both"/>
              <w:rPr>
                <w:sz w:val="21"/>
                <w:szCs w:val="24"/>
              </w:rPr>
            </w:pPr>
            <w:r>
              <w:rPr>
                <w:sz w:val="21"/>
                <w:szCs w:val="24"/>
              </w:rPr>
              <w:t>83.84</w:t>
            </w:r>
          </w:p>
        </w:tc>
      </w:tr>
      <w:tr w:rsidR="00000000">
        <w:tblPrEx>
          <w:tblCellMar>
            <w:top w:w="0" w:type="dxa"/>
            <w:bottom w:w="0" w:type="dxa"/>
          </w:tblCellMar>
        </w:tblPrEx>
        <w:tc>
          <w:tcPr>
            <w:tcW w:w="1187" w:type="pct"/>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农业</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21 561</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11 264</w:t>
            </w:r>
          </w:p>
        </w:tc>
        <w:tc>
          <w:tcPr>
            <w:tcW w:w="953" w:type="pct"/>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32 825</w:t>
            </w:r>
          </w:p>
        </w:tc>
        <w:tc>
          <w:tcPr>
            <w:tcW w:w="953" w:type="pct"/>
          </w:tcPr>
          <w:p w:rsidR="00000000" w:rsidRDefault="00B83709">
            <w:pPr>
              <w:pStyle w:val="BodyText2"/>
              <w:framePr w:w="0" w:hRule="auto" w:hSpace="0" w:wrap="auto" w:vAnchor="margin" w:hAnchor="text" w:xAlign="left" w:yAlign="inline"/>
              <w:tabs>
                <w:tab w:val="decimal" w:pos="973"/>
              </w:tabs>
              <w:spacing w:line="360" w:lineRule="exact"/>
              <w:jc w:val="both"/>
              <w:rPr>
                <w:sz w:val="21"/>
                <w:szCs w:val="24"/>
              </w:rPr>
            </w:pPr>
            <w:r>
              <w:rPr>
                <w:sz w:val="21"/>
                <w:szCs w:val="24"/>
              </w:rPr>
              <w:t>34.32</w:t>
            </w:r>
          </w:p>
        </w:tc>
      </w:tr>
      <w:tr w:rsidR="00000000">
        <w:tblPrEx>
          <w:tblCellMar>
            <w:top w:w="0" w:type="dxa"/>
            <w:bottom w:w="0" w:type="dxa"/>
          </w:tblCellMar>
        </w:tblPrEx>
        <w:tc>
          <w:tcPr>
            <w:tcW w:w="1187" w:type="pct"/>
            <w:tcBorders>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渔业</w:t>
            </w:r>
          </w:p>
        </w:tc>
        <w:tc>
          <w:tcPr>
            <w:tcW w:w="953" w:type="pct"/>
            <w:tcBorders>
              <w:bottom w:val="nil"/>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1 841</w:t>
            </w:r>
          </w:p>
        </w:tc>
        <w:tc>
          <w:tcPr>
            <w:tcW w:w="953" w:type="pct"/>
            <w:tcBorders>
              <w:bottom w:val="nil"/>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753</w:t>
            </w:r>
          </w:p>
        </w:tc>
        <w:tc>
          <w:tcPr>
            <w:tcW w:w="953" w:type="pct"/>
            <w:tcBorders>
              <w:bottom w:val="nil"/>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sz w:val="21"/>
                <w:szCs w:val="24"/>
              </w:rPr>
            </w:pPr>
            <w:r>
              <w:rPr>
                <w:sz w:val="21"/>
                <w:szCs w:val="24"/>
              </w:rPr>
              <w:t>2 594</w:t>
            </w:r>
          </w:p>
        </w:tc>
        <w:tc>
          <w:tcPr>
            <w:tcW w:w="953" w:type="pct"/>
            <w:tcBorders>
              <w:bottom w:val="nil"/>
            </w:tcBorders>
          </w:tcPr>
          <w:p w:rsidR="00000000" w:rsidRDefault="00B83709">
            <w:pPr>
              <w:pStyle w:val="BodyText2"/>
              <w:framePr w:w="0" w:hRule="auto" w:hSpace="0" w:wrap="auto" w:vAnchor="margin" w:hAnchor="text" w:xAlign="left" w:yAlign="inline"/>
              <w:tabs>
                <w:tab w:val="decimal" w:pos="973"/>
              </w:tabs>
              <w:spacing w:line="360" w:lineRule="exact"/>
              <w:jc w:val="both"/>
              <w:rPr>
                <w:sz w:val="21"/>
                <w:szCs w:val="24"/>
              </w:rPr>
            </w:pPr>
            <w:r>
              <w:rPr>
                <w:sz w:val="21"/>
                <w:szCs w:val="24"/>
              </w:rPr>
              <w:t>29</w:t>
            </w:r>
            <w:r>
              <w:rPr>
                <w:sz w:val="21"/>
                <w:szCs w:val="24"/>
              </w:rPr>
              <w:t>.03</w:t>
            </w:r>
          </w:p>
        </w:tc>
      </w:tr>
      <w:tr w:rsidR="00000000">
        <w:tblPrEx>
          <w:tblCellMar>
            <w:top w:w="0" w:type="dxa"/>
            <w:bottom w:w="0" w:type="dxa"/>
          </w:tblCellMar>
        </w:tblPrEx>
        <w:tc>
          <w:tcPr>
            <w:tcW w:w="1187"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总计</w:t>
            </w:r>
          </w:p>
        </w:tc>
        <w:tc>
          <w:tcPr>
            <w:tcW w:w="953"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b/>
                <w:color w:val="FF0000"/>
                <w:sz w:val="21"/>
                <w:szCs w:val="24"/>
              </w:rPr>
            </w:pPr>
            <w:r>
              <w:rPr>
                <w:b/>
                <w:color w:val="FF0000"/>
                <w:sz w:val="21"/>
                <w:szCs w:val="24"/>
              </w:rPr>
              <w:t>350 786</w:t>
            </w:r>
          </w:p>
        </w:tc>
        <w:tc>
          <w:tcPr>
            <w:tcW w:w="953"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b/>
                <w:color w:val="FF0000"/>
                <w:sz w:val="21"/>
                <w:szCs w:val="24"/>
              </w:rPr>
            </w:pPr>
            <w:r>
              <w:rPr>
                <w:b/>
                <w:color w:val="FF0000"/>
                <w:sz w:val="21"/>
                <w:szCs w:val="24"/>
              </w:rPr>
              <w:t>242 071</w:t>
            </w:r>
          </w:p>
        </w:tc>
        <w:tc>
          <w:tcPr>
            <w:tcW w:w="953"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34" w:right="31680"/>
              <w:jc w:val="right"/>
              <w:rPr>
                <w:b/>
                <w:color w:val="FF0000"/>
                <w:sz w:val="21"/>
                <w:szCs w:val="24"/>
              </w:rPr>
            </w:pPr>
            <w:r>
              <w:rPr>
                <w:b/>
                <w:color w:val="FF0000"/>
                <w:sz w:val="21"/>
                <w:szCs w:val="24"/>
              </w:rPr>
              <w:t>592 857</w:t>
            </w:r>
          </w:p>
        </w:tc>
        <w:tc>
          <w:tcPr>
            <w:tcW w:w="95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tabs>
                <w:tab w:val="decimal" w:pos="973"/>
              </w:tabs>
              <w:spacing w:line="360" w:lineRule="exact"/>
              <w:jc w:val="both"/>
              <w:rPr>
                <w:b/>
                <w:color w:val="FF0000"/>
                <w:sz w:val="21"/>
                <w:szCs w:val="24"/>
              </w:rPr>
            </w:pPr>
            <w:r>
              <w:rPr>
                <w:b/>
                <w:color w:val="FF0000"/>
                <w:sz w:val="21"/>
                <w:szCs w:val="24"/>
              </w:rPr>
              <w:t>40.83</w:t>
            </w:r>
          </w:p>
        </w:tc>
      </w:tr>
    </w:tbl>
    <w:p w:rsidR="00000000" w:rsidRDefault="00B83709">
      <w:pPr>
        <w:spacing w:after="240" w:line="360" w:lineRule="exact"/>
        <w:rPr>
          <w:rFonts w:hint="eastAsia"/>
          <w:szCs w:val="24"/>
        </w:rPr>
      </w:pPr>
      <w:r>
        <w:rPr>
          <w:rFonts w:eastAsia="KaiTi_GB2312" w:hint="eastAsia"/>
          <w:b/>
          <w:color w:val="0000FF"/>
          <w:szCs w:val="24"/>
        </w:rPr>
        <w:t>资料来源：</w:t>
      </w:r>
      <w:r>
        <w:rPr>
          <w:rFonts w:eastAsia="KaiTi_GB2312" w:hint="eastAsia"/>
          <w:bCs/>
          <w:color w:val="0000FF"/>
          <w:szCs w:val="24"/>
        </w:rPr>
        <w:t>职业教育厅。</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有关妇女和男子传统角色的观念对公立大学男女生的专业选择产生了强烈影响。妇女偏好人文科学、医学、公共卫生（包括护理）以及社会科学，而女生学习工程设计和法律专业的比例相当低（表</w:t>
      </w:r>
      <w:r>
        <w:rPr>
          <w:rFonts w:hint="eastAsia"/>
          <w:szCs w:val="24"/>
        </w:rPr>
        <w:t>12</w:t>
      </w:r>
      <w:r>
        <w:rPr>
          <w:rFonts w:hint="eastAsia"/>
          <w:szCs w:val="24"/>
        </w:rPr>
        <w:t>）。课程编制和教学发展厅教育评估和考试事务办公室对男女中学生考试成绩进行的一项研究发现，性别对教育成绩的差别没有影响。</w:t>
      </w:r>
    </w:p>
    <w:p w:rsidR="00000000" w:rsidRDefault="00B83709">
      <w:pPr>
        <w:spacing w:after="240" w:line="360" w:lineRule="exact"/>
        <w:rPr>
          <w:rFonts w:hint="eastAsia"/>
          <w:szCs w:val="24"/>
        </w:rPr>
      </w:pPr>
      <w:r>
        <w:rPr>
          <w:rFonts w:ascii="SimHei" w:eastAsia="SimHei"/>
          <w:color w:val="FF0000"/>
        </w:rPr>
        <w:br w:type="page"/>
      </w:r>
      <w:r>
        <w:rPr>
          <w:rFonts w:ascii="SimHei" w:eastAsia="SimHei" w:hint="eastAsia"/>
          <w:color w:val="FF0000"/>
        </w:rPr>
        <w:t>表</w:t>
      </w:r>
      <w:r>
        <w:rPr>
          <w:rFonts w:ascii="SimHei" w:eastAsia="SimHei" w:hint="eastAsia"/>
          <w:color w:val="FF0000"/>
        </w:rPr>
        <w:t>12</w:t>
      </w:r>
      <w:r>
        <w:rPr>
          <w:rFonts w:ascii="SimHei" w:eastAsia="SimHei"/>
          <w:color w:val="FF0000"/>
        </w:rPr>
        <w:t xml:space="preserve">. </w:t>
      </w:r>
      <w:r>
        <w:rPr>
          <w:rFonts w:hint="eastAsia"/>
          <w:szCs w:val="24"/>
        </w:rPr>
        <w:t>按专业分列的公立大学</w:t>
      </w:r>
      <w:r>
        <w:rPr>
          <w:rFonts w:hint="eastAsia"/>
          <w:szCs w:val="24"/>
        </w:rPr>
        <w:t>1999</w:t>
      </w:r>
      <w:r>
        <w:rPr>
          <w:rFonts w:hint="eastAsia"/>
          <w:szCs w:val="24"/>
        </w:rPr>
        <w:t>年男女毕业生人数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3"/>
        <w:gridCol w:w="2261"/>
        <w:gridCol w:w="2261"/>
        <w:gridCol w:w="2261"/>
      </w:tblGrid>
      <w:tr w:rsidR="00000000">
        <w:tblPrEx>
          <w:tblCellMar>
            <w:top w:w="0" w:type="dxa"/>
            <w:bottom w:w="0" w:type="dxa"/>
          </w:tblCellMar>
        </w:tblPrEx>
        <w:tc>
          <w:tcPr>
            <w:tcW w:w="1631"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专业</w:t>
            </w:r>
          </w:p>
        </w:tc>
        <w:tc>
          <w:tcPr>
            <w:tcW w:w="1123"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女生</w:t>
            </w:r>
          </w:p>
        </w:tc>
        <w:tc>
          <w:tcPr>
            <w:tcW w:w="1123"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男生</w:t>
            </w:r>
          </w:p>
        </w:tc>
        <w:tc>
          <w:tcPr>
            <w:tcW w:w="1123"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女生的比例</w:t>
            </w:r>
          </w:p>
        </w:tc>
      </w:tr>
      <w:tr w:rsidR="00000000">
        <w:tblPrEx>
          <w:tblCellMar>
            <w:top w:w="0" w:type="dxa"/>
            <w:bottom w:w="0" w:type="dxa"/>
          </w:tblCellMar>
        </w:tblPrEx>
        <w:tc>
          <w:tcPr>
            <w:tcW w:w="1631"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人文科学和宗教</w:t>
            </w:r>
          </w:p>
        </w:tc>
        <w:tc>
          <w:tcPr>
            <w:tcW w:w="1123"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2 45</w:t>
            </w:r>
            <w:r>
              <w:rPr>
                <w:sz w:val="21"/>
                <w:szCs w:val="24"/>
              </w:rPr>
              <w:t>4</w:t>
            </w:r>
          </w:p>
        </w:tc>
        <w:tc>
          <w:tcPr>
            <w:tcW w:w="1123"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495</w:t>
            </w:r>
          </w:p>
        </w:tc>
        <w:tc>
          <w:tcPr>
            <w:tcW w:w="1123"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83.21</w:t>
            </w:r>
          </w:p>
        </w:tc>
      </w:tr>
      <w:tr w:rsidR="00000000">
        <w:tblPrEx>
          <w:tblCellMar>
            <w:top w:w="0" w:type="dxa"/>
            <w:bottom w:w="0" w:type="dxa"/>
          </w:tblCellMar>
        </w:tblPrEx>
        <w:tc>
          <w:tcPr>
            <w:tcW w:w="163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医学和公共卫生</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8 961</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3 267</w:t>
            </w:r>
          </w:p>
        </w:tc>
        <w:tc>
          <w:tcPr>
            <w:tcW w:w="11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73.28</w:t>
            </w:r>
          </w:p>
        </w:tc>
      </w:tr>
      <w:tr w:rsidR="00000000">
        <w:tblPrEx>
          <w:tblCellMar>
            <w:top w:w="0" w:type="dxa"/>
            <w:bottom w:w="0" w:type="dxa"/>
          </w:tblCellMar>
        </w:tblPrEx>
        <w:tc>
          <w:tcPr>
            <w:tcW w:w="163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社会科学</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21 642</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14 831</w:t>
            </w:r>
          </w:p>
        </w:tc>
        <w:tc>
          <w:tcPr>
            <w:tcW w:w="11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59.34</w:t>
            </w:r>
          </w:p>
        </w:tc>
      </w:tr>
      <w:tr w:rsidR="00000000">
        <w:tblPrEx>
          <w:tblCellMar>
            <w:top w:w="0" w:type="dxa"/>
            <w:bottom w:w="0" w:type="dxa"/>
          </w:tblCellMar>
        </w:tblPrEx>
        <w:tc>
          <w:tcPr>
            <w:tcW w:w="163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自然科学</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3 968</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2 655</w:t>
            </w:r>
          </w:p>
        </w:tc>
        <w:tc>
          <w:tcPr>
            <w:tcW w:w="11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59.91</w:t>
            </w:r>
          </w:p>
        </w:tc>
      </w:tr>
      <w:tr w:rsidR="00000000">
        <w:tblPrEx>
          <w:tblCellMar>
            <w:top w:w="0" w:type="dxa"/>
            <w:bottom w:w="0" w:type="dxa"/>
          </w:tblCellMar>
        </w:tblPrEx>
        <w:tc>
          <w:tcPr>
            <w:tcW w:w="163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教育学，教师</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6 303</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5 101</w:t>
            </w:r>
          </w:p>
        </w:tc>
        <w:tc>
          <w:tcPr>
            <w:tcW w:w="11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55.27</w:t>
            </w:r>
          </w:p>
        </w:tc>
      </w:tr>
      <w:tr w:rsidR="00000000">
        <w:tblPrEx>
          <w:tblCellMar>
            <w:top w:w="0" w:type="dxa"/>
            <w:bottom w:w="0" w:type="dxa"/>
          </w:tblCellMar>
        </w:tblPrEx>
        <w:tc>
          <w:tcPr>
            <w:tcW w:w="163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艺术</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469</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435</w:t>
            </w:r>
          </w:p>
        </w:tc>
        <w:tc>
          <w:tcPr>
            <w:tcW w:w="11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51.88</w:t>
            </w:r>
          </w:p>
        </w:tc>
      </w:tr>
      <w:tr w:rsidR="00000000">
        <w:tblPrEx>
          <w:tblCellMar>
            <w:top w:w="0" w:type="dxa"/>
            <w:bottom w:w="0" w:type="dxa"/>
          </w:tblCellMar>
        </w:tblPrEx>
        <w:tc>
          <w:tcPr>
            <w:tcW w:w="163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农业、林业、渔业</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2 119</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2 329</w:t>
            </w:r>
          </w:p>
        </w:tc>
        <w:tc>
          <w:tcPr>
            <w:tcW w:w="11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47.64</w:t>
            </w:r>
          </w:p>
        </w:tc>
      </w:tr>
      <w:tr w:rsidR="00000000">
        <w:tblPrEx>
          <w:tblCellMar>
            <w:top w:w="0" w:type="dxa"/>
            <w:bottom w:w="0" w:type="dxa"/>
          </w:tblCellMar>
        </w:tblPrEx>
        <w:tc>
          <w:tcPr>
            <w:tcW w:w="163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法律</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1 230</w:t>
            </w:r>
          </w:p>
        </w:tc>
        <w:tc>
          <w:tcPr>
            <w:tcW w:w="1123"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3 913</w:t>
            </w:r>
          </w:p>
        </w:tc>
        <w:tc>
          <w:tcPr>
            <w:tcW w:w="11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23.92</w:t>
            </w:r>
          </w:p>
        </w:tc>
      </w:tr>
      <w:tr w:rsidR="00000000">
        <w:tblPrEx>
          <w:tblCellMar>
            <w:top w:w="0" w:type="dxa"/>
            <w:bottom w:w="0" w:type="dxa"/>
          </w:tblCellMar>
        </w:tblPrEx>
        <w:tc>
          <w:tcPr>
            <w:tcW w:w="1631"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工程设计</w:t>
            </w:r>
          </w:p>
        </w:tc>
        <w:tc>
          <w:tcPr>
            <w:tcW w:w="1123"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1 511</w:t>
            </w:r>
          </w:p>
        </w:tc>
        <w:tc>
          <w:tcPr>
            <w:tcW w:w="1123"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365" w:right="31680"/>
              <w:jc w:val="right"/>
              <w:rPr>
                <w:sz w:val="21"/>
                <w:szCs w:val="24"/>
              </w:rPr>
            </w:pPr>
            <w:r>
              <w:rPr>
                <w:sz w:val="21"/>
                <w:szCs w:val="24"/>
              </w:rPr>
              <w:t>7 757</w:t>
            </w:r>
          </w:p>
        </w:tc>
        <w:tc>
          <w:tcPr>
            <w:tcW w:w="1123"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16.30</w:t>
            </w:r>
          </w:p>
        </w:tc>
      </w:tr>
    </w:tbl>
    <w:p w:rsidR="00000000" w:rsidRDefault="00B83709">
      <w:pPr>
        <w:spacing w:after="240" w:line="360" w:lineRule="exact"/>
        <w:rPr>
          <w:szCs w:val="24"/>
        </w:rPr>
      </w:pPr>
      <w:r>
        <w:rPr>
          <w:rFonts w:eastAsia="KaiTi_GB2312" w:hint="eastAsia"/>
          <w:b/>
          <w:color w:val="0000FF"/>
          <w:szCs w:val="24"/>
        </w:rPr>
        <w:t>资料来源：</w:t>
      </w:r>
      <w:r>
        <w:rPr>
          <w:rFonts w:eastAsia="KaiTi_GB2312" w:hint="eastAsia"/>
          <w:bCs/>
          <w:color w:val="0000FF"/>
          <w:szCs w:val="24"/>
        </w:rPr>
        <w:t>2000</w:t>
      </w:r>
      <w:r>
        <w:rPr>
          <w:rFonts w:eastAsia="KaiTi_GB2312" w:hint="eastAsia"/>
          <w:bCs/>
          <w:color w:val="0000FF"/>
          <w:szCs w:val="24"/>
        </w:rPr>
        <w:t>年公立大学研究报告。</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妇女事务全国委员会向内阁提出消除教育歧视问题，建议在遴选</w:t>
      </w:r>
      <w:r>
        <w:rPr>
          <w:rFonts w:hint="eastAsia"/>
          <w:szCs w:val="24"/>
        </w:rPr>
        <w:t>学生进入大学部和其他政府机构下属的高等教育院校深造时，废除按性别确定的定额制度。内阁于</w:t>
      </w:r>
      <w:r>
        <w:rPr>
          <w:rFonts w:hint="eastAsia"/>
          <w:szCs w:val="24"/>
        </w:rPr>
        <w:t>1996</w:t>
      </w:r>
      <w:r>
        <w:rPr>
          <w:rFonts w:hint="eastAsia"/>
          <w:szCs w:val="24"/>
        </w:rPr>
        <w:t>年</w:t>
      </w:r>
      <w:r>
        <w:rPr>
          <w:rFonts w:hint="eastAsia"/>
          <w:szCs w:val="24"/>
        </w:rPr>
        <w:t>11</w:t>
      </w:r>
      <w:r>
        <w:rPr>
          <w:rFonts w:hint="eastAsia"/>
          <w:szCs w:val="24"/>
        </w:rPr>
        <w:t>月</w:t>
      </w:r>
      <w:r>
        <w:rPr>
          <w:rFonts w:hint="eastAsia"/>
          <w:szCs w:val="24"/>
        </w:rPr>
        <w:t>26</w:t>
      </w:r>
      <w:r>
        <w:rPr>
          <w:rFonts w:hint="eastAsia"/>
          <w:szCs w:val="24"/>
        </w:rPr>
        <w:t>日核准这项建议，向有关机构通知了这项改革。</w:t>
      </w:r>
    </w:p>
    <w:p w:rsidR="00000000" w:rsidRDefault="00B83709">
      <w:pPr>
        <w:numPr>
          <w:ilvl w:val="0"/>
          <w:numId w:val="1049"/>
        </w:numPr>
        <w:tabs>
          <w:tab w:val="clear" w:pos="360"/>
          <w:tab w:val="num" w:pos="480"/>
        </w:tabs>
        <w:spacing w:after="240" w:line="360" w:lineRule="exact"/>
        <w:rPr>
          <w:szCs w:val="24"/>
        </w:rPr>
      </w:pPr>
      <w:r>
        <w:rPr>
          <w:rFonts w:hint="eastAsia"/>
          <w:szCs w:val="24"/>
        </w:rPr>
        <w:t>自</w:t>
      </w:r>
      <w:r>
        <w:rPr>
          <w:szCs w:val="24"/>
        </w:rPr>
        <w:t>1998</w:t>
      </w:r>
      <w:r>
        <w:rPr>
          <w:rFonts w:hint="eastAsia"/>
          <w:szCs w:val="24"/>
        </w:rPr>
        <w:t>年以来，遴选男女生到泰国高等教育院校学习的人数不再实行定额限制。如果有人认为各专业的男女生比例过去对妇女有利，现有数据则显示，朱拉隆功大学兽医学院的女生比例从</w:t>
      </w:r>
      <w:r>
        <w:rPr>
          <w:rFonts w:hint="eastAsia"/>
          <w:szCs w:val="24"/>
        </w:rPr>
        <w:t>1998</w:t>
      </w:r>
      <w:r>
        <w:rPr>
          <w:rFonts w:hint="eastAsia"/>
          <w:szCs w:val="24"/>
        </w:rPr>
        <w:t>年的</w:t>
      </w:r>
      <w:r>
        <w:rPr>
          <w:szCs w:val="24"/>
        </w:rPr>
        <w:t>37.65%</w:t>
      </w:r>
      <w:r>
        <w:rPr>
          <w:rFonts w:hint="eastAsia"/>
          <w:szCs w:val="24"/>
        </w:rPr>
        <w:t>增至</w:t>
      </w:r>
      <w:r>
        <w:rPr>
          <w:rFonts w:hint="eastAsia"/>
          <w:szCs w:val="24"/>
        </w:rPr>
        <w:t>2000</w:t>
      </w:r>
      <w:r>
        <w:rPr>
          <w:rFonts w:hint="eastAsia"/>
          <w:szCs w:val="24"/>
        </w:rPr>
        <w:t>年的</w:t>
      </w:r>
      <w:r>
        <w:rPr>
          <w:szCs w:val="24"/>
        </w:rPr>
        <w:t>51.65%</w:t>
      </w:r>
      <w:r>
        <w:rPr>
          <w:rFonts w:hint="eastAsia"/>
          <w:szCs w:val="24"/>
        </w:rPr>
        <w:t>。同期，国立农业大学林业学院的妇女比例从</w:t>
      </w:r>
      <w:r>
        <w:rPr>
          <w:szCs w:val="24"/>
        </w:rPr>
        <w:t>29.35%</w:t>
      </w:r>
      <w:r>
        <w:rPr>
          <w:rFonts w:hint="eastAsia"/>
          <w:szCs w:val="24"/>
        </w:rPr>
        <w:t>增至</w:t>
      </w:r>
      <w:r>
        <w:rPr>
          <w:szCs w:val="24"/>
        </w:rPr>
        <w:t>31.21%</w:t>
      </w:r>
      <w:r>
        <w:rPr>
          <w:rFonts w:hint="eastAsia"/>
          <w:szCs w:val="24"/>
        </w:rPr>
        <w:t>。因此，这些数字似乎表明教育机构的歧视正在不断减少。</w:t>
      </w:r>
    </w:p>
    <w:p w:rsidR="00000000" w:rsidRDefault="00B83709">
      <w:pPr>
        <w:numPr>
          <w:ilvl w:val="0"/>
          <w:numId w:val="1049"/>
        </w:numPr>
        <w:tabs>
          <w:tab w:val="clear" w:pos="360"/>
          <w:tab w:val="num" w:pos="480"/>
        </w:tabs>
        <w:spacing w:after="240" w:line="360" w:lineRule="exact"/>
        <w:rPr>
          <w:szCs w:val="24"/>
        </w:rPr>
      </w:pPr>
      <w:r>
        <w:rPr>
          <w:rFonts w:hint="eastAsia"/>
          <w:szCs w:val="24"/>
        </w:rPr>
        <w:t>职业教育厅监管全国的</w:t>
      </w:r>
      <w:r>
        <w:rPr>
          <w:rFonts w:hint="eastAsia"/>
          <w:szCs w:val="24"/>
        </w:rPr>
        <w:t>海外职业院校，它对内阁决议和妇女事务全国委员会关于男女同等接受教育的要求做出了积极响应。促请学生申请</w:t>
      </w:r>
      <w:r>
        <w:rPr>
          <w:rFonts w:hint="eastAsia"/>
          <w:szCs w:val="24"/>
        </w:rPr>
        <w:t>2002</w:t>
      </w:r>
      <w:r>
        <w:rPr>
          <w:rFonts w:hint="eastAsia"/>
          <w:szCs w:val="24"/>
        </w:rPr>
        <w:t>年职业证书的声明规定，申请人的资格将根据制度进行评估，课程学习方法应考虑男女平等原则。此外，一个监测系统将评估一些职业教育领域的女生人数在正式声明发布后是否增加。</w:t>
      </w:r>
      <w:r>
        <w:rPr>
          <w:szCs w:val="24"/>
        </w:rPr>
        <w:t xml:space="preserve"> </w:t>
      </w:r>
    </w:p>
    <w:p w:rsidR="00000000" w:rsidRDefault="00B83709">
      <w:pPr>
        <w:spacing w:after="240" w:line="360" w:lineRule="exact"/>
        <w:rPr>
          <w:rFonts w:eastAsia="SimHei" w:hint="eastAsia"/>
          <w:color w:val="FF0000"/>
        </w:rPr>
      </w:pPr>
      <w:r>
        <w:rPr>
          <w:rFonts w:eastAsia="SimHei" w:hint="eastAsia"/>
          <w:color w:val="FF0000"/>
        </w:rPr>
        <w:t>非正规教育</w:t>
      </w:r>
    </w:p>
    <w:p w:rsidR="00000000" w:rsidRDefault="00B83709">
      <w:pPr>
        <w:numPr>
          <w:ilvl w:val="0"/>
          <w:numId w:val="1049"/>
        </w:numPr>
        <w:tabs>
          <w:tab w:val="clear" w:pos="360"/>
          <w:tab w:val="num" w:pos="480"/>
        </w:tabs>
        <w:spacing w:after="240" w:line="360" w:lineRule="exact"/>
        <w:rPr>
          <w:szCs w:val="24"/>
        </w:rPr>
      </w:pPr>
      <w:r>
        <w:rPr>
          <w:rFonts w:hint="eastAsia"/>
          <w:szCs w:val="24"/>
        </w:rPr>
        <w:t>成人教育或继续教育系指在正规教育系统以外为至少</w:t>
      </w:r>
      <w:r>
        <w:rPr>
          <w:rFonts w:hint="eastAsia"/>
          <w:szCs w:val="24"/>
        </w:rPr>
        <w:t>15</w:t>
      </w:r>
      <w:r>
        <w:rPr>
          <w:rFonts w:hint="eastAsia"/>
          <w:szCs w:val="24"/>
        </w:rPr>
        <w:t>岁的人提供的教育。该制度便于文盲、不能在正规教育系统接受教育的人士、辍学学生以及生活在边远地区的人获得教育机会。非正规教育课程由非正规教育厅编制，该等课程响应所有目标群体的需要</w:t>
      </w:r>
      <w:r>
        <w:rPr>
          <w:rFonts w:hint="eastAsia"/>
          <w:szCs w:val="24"/>
        </w:rPr>
        <w:t>，由普通教育和职业教育组成。</w:t>
      </w:r>
    </w:p>
    <w:p w:rsidR="00000000" w:rsidRDefault="00B83709">
      <w:pPr>
        <w:numPr>
          <w:ilvl w:val="0"/>
          <w:numId w:val="1049"/>
        </w:numPr>
        <w:tabs>
          <w:tab w:val="clear" w:pos="360"/>
          <w:tab w:val="num" w:pos="480"/>
        </w:tabs>
        <w:spacing w:after="240" w:line="360" w:lineRule="exact"/>
        <w:rPr>
          <w:szCs w:val="24"/>
        </w:rPr>
      </w:pPr>
      <w:r>
        <w:rPr>
          <w:rFonts w:hint="eastAsia"/>
          <w:szCs w:val="24"/>
        </w:rPr>
        <w:t>非正规教育厅提供的数据显示，</w:t>
      </w:r>
      <w:r>
        <w:rPr>
          <w:rFonts w:hint="eastAsia"/>
          <w:szCs w:val="24"/>
        </w:rPr>
        <w:t>1999</w:t>
      </w:r>
      <w:r>
        <w:rPr>
          <w:rFonts w:hint="eastAsia"/>
          <w:szCs w:val="24"/>
        </w:rPr>
        <w:t>年在该厅登记的妇女人数为</w:t>
      </w:r>
      <w:r>
        <w:rPr>
          <w:szCs w:val="24"/>
        </w:rPr>
        <w:t>1</w:t>
      </w:r>
      <w:r>
        <w:rPr>
          <w:rFonts w:hint="eastAsia"/>
          <w:szCs w:val="24"/>
        </w:rPr>
        <w:t xml:space="preserve"> </w:t>
      </w:r>
      <w:r>
        <w:rPr>
          <w:szCs w:val="24"/>
        </w:rPr>
        <w:t>407</w:t>
      </w:r>
      <w:r>
        <w:rPr>
          <w:rFonts w:hint="eastAsia"/>
          <w:szCs w:val="24"/>
        </w:rPr>
        <w:t xml:space="preserve"> </w:t>
      </w:r>
      <w:r>
        <w:rPr>
          <w:szCs w:val="24"/>
        </w:rPr>
        <w:t>213</w:t>
      </w:r>
      <w:r>
        <w:rPr>
          <w:rFonts w:hint="eastAsia"/>
          <w:szCs w:val="24"/>
        </w:rPr>
        <w:t>人，男子</w:t>
      </w:r>
      <w:r>
        <w:rPr>
          <w:szCs w:val="24"/>
        </w:rPr>
        <w:t>1</w:t>
      </w:r>
      <w:r>
        <w:rPr>
          <w:rFonts w:hint="eastAsia"/>
          <w:szCs w:val="24"/>
        </w:rPr>
        <w:t xml:space="preserve"> </w:t>
      </w:r>
      <w:r>
        <w:rPr>
          <w:szCs w:val="24"/>
        </w:rPr>
        <w:t>234</w:t>
      </w:r>
      <w:r>
        <w:rPr>
          <w:rFonts w:hint="eastAsia"/>
          <w:szCs w:val="24"/>
        </w:rPr>
        <w:t xml:space="preserve"> </w:t>
      </w:r>
      <w:r>
        <w:rPr>
          <w:szCs w:val="24"/>
        </w:rPr>
        <w:t>573</w:t>
      </w:r>
      <w:r>
        <w:rPr>
          <w:rFonts w:hint="eastAsia"/>
          <w:szCs w:val="24"/>
        </w:rPr>
        <w:t>人（表</w:t>
      </w:r>
      <w:r>
        <w:rPr>
          <w:rFonts w:hint="eastAsia"/>
          <w:szCs w:val="24"/>
        </w:rPr>
        <w:t>13</w:t>
      </w:r>
      <w:r>
        <w:rPr>
          <w:rFonts w:hint="eastAsia"/>
          <w:szCs w:val="24"/>
        </w:rPr>
        <w:t>）。总的来说，在所有课程的注册人数中妇女略多于男子。不过，没有详细的资料说明妇女选择的职业。在社区教育课程注册的山区妇女人数较少，这表明少数族裔群体（山区部族）的妇女尚没有取得平等的教育机会。</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非正规教育厅于</w:t>
      </w:r>
      <w:r>
        <w:rPr>
          <w:rFonts w:hint="eastAsia"/>
          <w:szCs w:val="24"/>
        </w:rPr>
        <w:t>1997</w:t>
      </w:r>
      <w:r>
        <w:rPr>
          <w:rFonts w:hint="eastAsia"/>
          <w:szCs w:val="24"/>
        </w:rPr>
        <w:t>年启动了一项终身教育方案，着重点是在参与妇女教育和培训的政府和私营部门各机构间建立网络和协调机制。遗憾的是，项目的执行因</w:t>
      </w:r>
      <w:r>
        <w:rPr>
          <w:rFonts w:hint="eastAsia"/>
          <w:szCs w:val="24"/>
        </w:rPr>
        <w:t>1997</w:t>
      </w:r>
      <w:r>
        <w:rPr>
          <w:rFonts w:hint="eastAsia"/>
          <w:szCs w:val="24"/>
        </w:rPr>
        <w:t>年经济危机和行政改革推迟</w:t>
      </w:r>
      <w:r>
        <w:rPr>
          <w:rFonts w:hint="eastAsia"/>
          <w:szCs w:val="24"/>
        </w:rPr>
        <w:t>进行，并且压缩了规模。</w:t>
      </w:r>
    </w:p>
    <w:p w:rsidR="00000000" w:rsidRDefault="00B83709">
      <w:pPr>
        <w:spacing w:after="240" w:line="360" w:lineRule="exact"/>
        <w:rPr>
          <w:rFonts w:hint="eastAsia"/>
          <w:szCs w:val="24"/>
        </w:rPr>
      </w:pPr>
      <w:r>
        <w:rPr>
          <w:rFonts w:ascii="SimHei" w:eastAsia="SimHei" w:hint="eastAsia"/>
          <w:color w:val="FF0000"/>
        </w:rPr>
        <w:t>表</w:t>
      </w:r>
      <w:r>
        <w:rPr>
          <w:rFonts w:ascii="SimHei" w:eastAsia="SimHei" w:hint="eastAsia"/>
          <w:color w:val="FF0000"/>
        </w:rPr>
        <w:t>13</w:t>
      </w:r>
      <w:r>
        <w:rPr>
          <w:rFonts w:ascii="SimHei" w:eastAsia="SimHei"/>
          <w:color w:val="FF0000"/>
        </w:rPr>
        <w:t xml:space="preserve">. </w:t>
      </w:r>
      <w:r>
        <w:rPr>
          <w:rFonts w:hint="eastAsia"/>
          <w:szCs w:val="24"/>
        </w:rPr>
        <w:t>2000</w:t>
      </w:r>
      <w:r>
        <w:rPr>
          <w:rFonts w:hint="eastAsia"/>
          <w:szCs w:val="24"/>
        </w:rPr>
        <w:t>年在非正规教育厅登记的学生人数</w:t>
      </w:r>
    </w:p>
    <w:tbl>
      <w:tblPr>
        <w:tblW w:w="5000" w:type="pct"/>
        <w:tblBorders>
          <w:top w:val="single" w:sz="4" w:space="0" w:color="auto"/>
          <w:bottom w:val="single" w:sz="4" w:space="0" w:color="auto"/>
        </w:tblBorders>
        <w:tblLook w:val="0000" w:firstRow="0" w:lastRow="0" w:firstColumn="0" w:lastColumn="0" w:noHBand="0" w:noVBand="0"/>
      </w:tblPr>
      <w:tblGrid>
        <w:gridCol w:w="3456"/>
        <w:gridCol w:w="1653"/>
        <w:gridCol w:w="1653"/>
        <w:gridCol w:w="1653"/>
        <w:gridCol w:w="1651"/>
      </w:tblGrid>
      <w:tr w:rsidR="00000000">
        <w:tblPrEx>
          <w:tblCellMar>
            <w:top w:w="0" w:type="dxa"/>
            <w:bottom w:w="0" w:type="dxa"/>
          </w:tblCellMar>
        </w:tblPrEx>
        <w:tc>
          <w:tcPr>
            <w:tcW w:w="1717" w:type="pct"/>
            <w:tcBorders>
              <w:top w:val="single" w:sz="4" w:space="0" w:color="auto"/>
              <w:bottom w:val="single" w:sz="4" w:space="0" w:color="auto"/>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课程</w:t>
            </w:r>
          </w:p>
        </w:tc>
        <w:tc>
          <w:tcPr>
            <w:tcW w:w="821" w:type="pct"/>
            <w:tcBorders>
              <w:top w:val="single" w:sz="4" w:space="0" w:color="auto"/>
              <w:bottom w:val="single" w:sz="4" w:space="0" w:color="auto"/>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男生</w:t>
            </w:r>
          </w:p>
        </w:tc>
        <w:tc>
          <w:tcPr>
            <w:tcW w:w="821" w:type="pct"/>
            <w:tcBorders>
              <w:top w:val="single" w:sz="4" w:space="0" w:color="auto"/>
              <w:bottom w:val="single" w:sz="4" w:space="0" w:color="auto"/>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女生</w:t>
            </w:r>
          </w:p>
        </w:tc>
        <w:tc>
          <w:tcPr>
            <w:tcW w:w="821" w:type="pct"/>
            <w:tcBorders>
              <w:top w:val="single" w:sz="4" w:space="0" w:color="auto"/>
              <w:bottom w:val="single" w:sz="4" w:space="0" w:color="auto"/>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总计</w:t>
            </w:r>
          </w:p>
        </w:tc>
        <w:tc>
          <w:tcPr>
            <w:tcW w:w="820"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女生的比例</w:t>
            </w: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bCs/>
                <w:color w:val="FF0000"/>
                <w:sz w:val="21"/>
                <w:szCs w:val="24"/>
              </w:rPr>
              <w:t xml:space="preserve">1. </w:t>
            </w:r>
            <w:r>
              <w:rPr>
                <w:rFonts w:hint="eastAsia"/>
                <w:bCs/>
                <w:color w:val="FF0000"/>
                <w:sz w:val="21"/>
                <w:szCs w:val="24"/>
              </w:rPr>
              <w:t>普通教育</w:t>
            </w:r>
          </w:p>
          <w:p w:rsidR="00000000" w:rsidRDefault="00B83709">
            <w:pPr>
              <w:pStyle w:val="BodyText2"/>
              <w:framePr w:w="0" w:hRule="auto" w:hSpace="0" w:wrap="auto" w:vAnchor="margin" w:hAnchor="text" w:xAlign="left" w:yAlign="inline"/>
              <w:spacing w:line="360" w:lineRule="exact"/>
              <w:jc w:val="both"/>
              <w:rPr>
                <w:rFonts w:hint="eastAsia"/>
                <w:b/>
                <w:sz w:val="21"/>
                <w:szCs w:val="24"/>
              </w:rPr>
            </w:pPr>
            <w:r>
              <w:rPr>
                <w:rFonts w:hint="eastAsia"/>
                <w:bCs/>
                <w:color w:val="FF0000"/>
                <w:sz w:val="21"/>
                <w:szCs w:val="24"/>
              </w:rPr>
              <w:t>小学</w:t>
            </w:r>
          </w:p>
        </w:tc>
        <w:tc>
          <w:tcPr>
            <w:tcW w:w="821"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sz w:val="21"/>
                <w:szCs w:val="24"/>
              </w:rPr>
            </w:pPr>
          </w:p>
        </w:tc>
        <w:tc>
          <w:tcPr>
            <w:tcW w:w="821"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sz w:val="21"/>
                <w:szCs w:val="24"/>
              </w:rPr>
            </w:pPr>
          </w:p>
        </w:tc>
        <w:tc>
          <w:tcPr>
            <w:tcW w:w="821"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sz w:val="21"/>
                <w:szCs w:val="24"/>
              </w:rPr>
            </w:pP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sz w:val="21"/>
                <w:szCs w:val="24"/>
              </w:rPr>
            </w:pP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小学</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82 387</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73 481</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155 868</w:t>
            </w: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47.14</w:t>
            </w: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初中</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384 840</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285 048</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669 888</w:t>
            </w: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42.55</w:t>
            </w: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高中</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354 688</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290 949</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645 637</w:t>
            </w: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45.06</w:t>
            </w: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基础教育</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16 052</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17 295</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33 347</w:t>
            </w: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51.86</w:t>
            </w: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山区的社区教育</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40 220</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37 023</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77 243</w:t>
            </w: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47.93</w:t>
            </w: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bCs/>
                <w:color w:val="FF0000"/>
                <w:sz w:val="21"/>
                <w:szCs w:val="24"/>
              </w:rPr>
              <w:t xml:space="preserve">2. </w:t>
            </w:r>
            <w:r>
              <w:rPr>
                <w:rFonts w:hint="eastAsia"/>
                <w:bCs/>
                <w:color w:val="FF0000"/>
                <w:sz w:val="21"/>
                <w:szCs w:val="24"/>
              </w:rPr>
              <w:t>职业教育课程</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p>
        </w:tc>
      </w:tr>
      <w:tr w:rsidR="00000000">
        <w:tblPrEx>
          <w:tblCellMar>
            <w:top w:w="0" w:type="dxa"/>
            <w:bottom w:w="0" w:type="dxa"/>
          </w:tblCellMar>
        </w:tblPrEx>
        <w:tc>
          <w:tcPr>
            <w:tcW w:w="1717" w:type="pct"/>
            <w:tcBorders>
              <w:top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短期</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212 503</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423 356</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635 859</w:t>
            </w:r>
          </w:p>
        </w:tc>
        <w:tc>
          <w:tcPr>
            <w:tcW w:w="820" w:type="pct"/>
            <w:tcBorders>
              <w:top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66.58</w:t>
            </w:r>
          </w:p>
        </w:tc>
      </w:tr>
      <w:tr w:rsidR="00000000">
        <w:tblPrEx>
          <w:tblCellMar>
            <w:top w:w="0" w:type="dxa"/>
            <w:bottom w:w="0" w:type="dxa"/>
          </w:tblCellMar>
        </w:tblPrEx>
        <w:tc>
          <w:tcPr>
            <w:tcW w:w="1717" w:type="pct"/>
            <w:tcBorders>
              <w:top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利益集团</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122 382</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251 381</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373 763</w:t>
            </w:r>
          </w:p>
        </w:tc>
        <w:tc>
          <w:tcPr>
            <w:tcW w:w="820" w:type="pct"/>
            <w:tcBorders>
              <w:top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67.26</w:t>
            </w:r>
          </w:p>
        </w:tc>
      </w:tr>
      <w:tr w:rsidR="00000000">
        <w:tblPrEx>
          <w:tblCellMar>
            <w:top w:w="0" w:type="dxa"/>
            <w:bottom w:w="0" w:type="dxa"/>
          </w:tblCellMar>
        </w:tblPrEx>
        <w:tc>
          <w:tcPr>
            <w:tcW w:w="1717" w:type="pct"/>
            <w:tcBorders>
              <w:top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职业证书</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17 739</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20 592</w:t>
            </w:r>
          </w:p>
        </w:tc>
        <w:tc>
          <w:tcPr>
            <w:tcW w:w="821" w:type="pct"/>
            <w:tcBorders>
              <w:top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38 331</w:t>
            </w:r>
          </w:p>
        </w:tc>
        <w:tc>
          <w:tcPr>
            <w:tcW w:w="820" w:type="pct"/>
            <w:tcBorders>
              <w:top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53.72</w:t>
            </w:r>
          </w:p>
        </w:tc>
      </w:tr>
      <w:tr w:rsidR="00000000">
        <w:tblPrEx>
          <w:tblCellMar>
            <w:top w:w="0" w:type="dxa"/>
            <w:bottom w:w="0" w:type="dxa"/>
          </w:tblCellMar>
        </w:tblPrEx>
        <w:tc>
          <w:tcPr>
            <w:tcW w:w="1717"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职业证书</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3 762</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8 088</w:t>
            </w:r>
          </w:p>
        </w:tc>
        <w:tc>
          <w:tcPr>
            <w:tcW w:w="821"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sz w:val="21"/>
                <w:szCs w:val="24"/>
              </w:rPr>
            </w:pPr>
            <w:r>
              <w:rPr>
                <w:sz w:val="21"/>
                <w:szCs w:val="24"/>
              </w:rPr>
              <w:t>11 850</w:t>
            </w:r>
          </w:p>
        </w:tc>
        <w:tc>
          <w:tcPr>
            <w:tcW w:w="820"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68.25</w:t>
            </w:r>
          </w:p>
        </w:tc>
      </w:tr>
      <w:tr w:rsidR="00000000">
        <w:tblPrEx>
          <w:tblCellMar>
            <w:top w:w="0" w:type="dxa"/>
            <w:bottom w:w="0" w:type="dxa"/>
          </w:tblCellMar>
        </w:tblPrEx>
        <w:tc>
          <w:tcPr>
            <w:tcW w:w="1717"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总计</w:t>
            </w:r>
          </w:p>
        </w:tc>
        <w:tc>
          <w:tcPr>
            <w:tcW w:w="821"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b/>
                <w:color w:val="FF0000"/>
                <w:sz w:val="21"/>
                <w:szCs w:val="24"/>
              </w:rPr>
            </w:pPr>
            <w:r>
              <w:rPr>
                <w:b/>
                <w:color w:val="FF0000"/>
                <w:sz w:val="21"/>
                <w:szCs w:val="24"/>
              </w:rPr>
              <w:t>1 234 573</w:t>
            </w:r>
          </w:p>
        </w:tc>
        <w:tc>
          <w:tcPr>
            <w:tcW w:w="821"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b/>
                <w:color w:val="FF0000"/>
                <w:sz w:val="21"/>
                <w:szCs w:val="24"/>
              </w:rPr>
            </w:pPr>
            <w:r>
              <w:rPr>
                <w:b/>
                <w:color w:val="FF0000"/>
                <w:sz w:val="21"/>
                <w:szCs w:val="24"/>
              </w:rPr>
              <w:t>1 407 213</w:t>
            </w:r>
          </w:p>
        </w:tc>
        <w:tc>
          <w:tcPr>
            <w:tcW w:w="821"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158" w:right="31680"/>
              <w:jc w:val="right"/>
              <w:rPr>
                <w:b/>
                <w:color w:val="FF0000"/>
                <w:sz w:val="21"/>
                <w:szCs w:val="24"/>
              </w:rPr>
            </w:pPr>
            <w:r>
              <w:rPr>
                <w:b/>
                <w:color w:val="FF0000"/>
                <w:sz w:val="21"/>
                <w:szCs w:val="24"/>
              </w:rPr>
              <w:t>2 641 786</w:t>
            </w:r>
          </w:p>
        </w:tc>
        <w:tc>
          <w:tcPr>
            <w:tcW w:w="820"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53.27</w:t>
            </w:r>
          </w:p>
        </w:tc>
      </w:tr>
    </w:tbl>
    <w:p w:rsidR="00000000" w:rsidRDefault="00B83709">
      <w:pPr>
        <w:spacing w:after="240" w:line="360" w:lineRule="exact"/>
        <w:rPr>
          <w:szCs w:val="24"/>
        </w:rPr>
      </w:pPr>
      <w:r>
        <w:rPr>
          <w:rFonts w:eastAsia="KaiTi_GB2312" w:hint="eastAsia"/>
          <w:b/>
          <w:color w:val="0000FF"/>
          <w:szCs w:val="24"/>
        </w:rPr>
        <w:t>资料来源：</w:t>
      </w:r>
      <w:r>
        <w:rPr>
          <w:rFonts w:eastAsia="KaiTi_GB2312"/>
          <w:b/>
          <w:color w:val="0000FF"/>
          <w:szCs w:val="24"/>
        </w:rPr>
        <w:t xml:space="preserve"> </w:t>
      </w:r>
      <w:r>
        <w:rPr>
          <w:rFonts w:eastAsia="KaiTi_GB2312" w:hint="eastAsia"/>
          <w:bCs/>
          <w:color w:val="0000FF"/>
          <w:szCs w:val="24"/>
        </w:rPr>
        <w:t>非正规教育厅。</w:t>
      </w:r>
    </w:p>
    <w:p w:rsidR="00000000" w:rsidRDefault="00B83709">
      <w:pPr>
        <w:spacing w:after="240" w:line="360" w:lineRule="exact"/>
        <w:rPr>
          <w:rFonts w:eastAsia="SimHei" w:hint="eastAsia"/>
          <w:color w:val="FF0000"/>
        </w:rPr>
      </w:pPr>
      <w:r>
        <w:rPr>
          <w:rFonts w:eastAsia="SimHei" w:hint="eastAsia"/>
          <w:color w:val="FF0000"/>
        </w:rPr>
        <w:t>处境不利妇女的教育</w:t>
      </w:r>
    </w:p>
    <w:p w:rsidR="00000000" w:rsidRDefault="00B83709">
      <w:pPr>
        <w:numPr>
          <w:ilvl w:val="0"/>
          <w:numId w:val="1049"/>
        </w:numPr>
        <w:tabs>
          <w:tab w:val="clear" w:pos="360"/>
          <w:tab w:val="num" w:pos="480"/>
        </w:tabs>
        <w:spacing w:after="240" w:line="360" w:lineRule="exact"/>
        <w:rPr>
          <w:szCs w:val="24"/>
        </w:rPr>
      </w:pPr>
      <w:r>
        <w:rPr>
          <w:rFonts w:hint="eastAsia"/>
          <w:szCs w:val="24"/>
        </w:rPr>
        <w:t>非正规教育厅准许不能进入正规教育系统的妇女在其各方案中登记。这些方案提供各种选择，以适应个人需要和处境（表</w:t>
      </w:r>
      <w:r>
        <w:rPr>
          <w:rFonts w:hint="eastAsia"/>
          <w:szCs w:val="24"/>
        </w:rPr>
        <w:t>13</w:t>
      </w:r>
      <w:r>
        <w:rPr>
          <w:rFonts w:hint="eastAsia"/>
          <w:szCs w:val="24"/>
        </w:rPr>
        <w:t>）。此</w:t>
      </w:r>
      <w:r>
        <w:rPr>
          <w:rFonts w:hint="eastAsia"/>
          <w:szCs w:val="24"/>
        </w:rPr>
        <w:t>外，该厅还派教师上门为残疾儿童上课。</w:t>
      </w:r>
    </w:p>
    <w:p w:rsidR="00000000" w:rsidRDefault="00B83709">
      <w:pPr>
        <w:numPr>
          <w:ilvl w:val="0"/>
          <w:numId w:val="1049"/>
        </w:numPr>
        <w:tabs>
          <w:tab w:val="clear" w:pos="360"/>
          <w:tab w:val="num" w:pos="480"/>
        </w:tabs>
        <w:spacing w:after="240" w:line="360" w:lineRule="exact"/>
        <w:rPr>
          <w:szCs w:val="24"/>
        </w:rPr>
      </w:pPr>
      <w:r>
        <w:rPr>
          <w:rFonts w:hint="eastAsia"/>
          <w:szCs w:val="24"/>
        </w:rPr>
        <w:t>有的院校，如军事学院和警察学院不招收妇女，说她们在身心特征方面不适合上这类学校。不过，在为尼姑提供教育方面取得了进步，最明显的是</w:t>
      </w:r>
      <w:r>
        <w:rPr>
          <w:szCs w:val="24"/>
        </w:rPr>
        <w:t>Mahamongkut</w:t>
      </w:r>
      <w:r>
        <w:rPr>
          <w:rFonts w:hint="eastAsia"/>
          <w:szCs w:val="24"/>
        </w:rPr>
        <w:t>学院于</w:t>
      </w:r>
      <w:r>
        <w:rPr>
          <w:rFonts w:hint="eastAsia"/>
          <w:szCs w:val="24"/>
        </w:rPr>
        <w:t>1998</w:t>
      </w:r>
      <w:r>
        <w:rPr>
          <w:rFonts w:hint="eastAsia"/>
          <w:szCs w:val="24"/>
        </w:rPr>
        <w:t>年开办了一个学院，为那些对宗教和哲学感兴趣的尼姑和妇女提供本科教育。</w:t>
      </w:r>
    </w:p>
    <w:p w:rsidR="00000000" w:rsidRDefault="00B83709">
      <w:pPr>
        <w:numPr>
          <w:ilvl w:val="0"/>
          <w:numId w:val="1049"/>
        </w:numPr>
        <w:tabs>
          <w:tab w:val="clear" w:pos="360"/>
          <w:tab w:val="num" w:pos="480"/>
        </w:tabs>
        <w:spacing w:after="240" w:line="360" w:lineRule="exact"/>
        <w:rPr>
          <w:szCs w:val="24"/>
        </w:rPr>
      </w:pPr>
      <w:r>
        <w:rPr>
          <w:rFonts w:hint="eastAsia"/>
          <w:szCs w:val="24"/>
        </w:rPr>
        <w:t>体育厅招收的女生人数与男生相比仍然居低（</w:t>
      </w:r>
      <w:r>
        <w:rPr>
          <w:szCs w:val="24"/>
        </w:rPr>
        <w:t>6</w:t>
      </w:r>
      <w:r>
        <w:rPr>
          <w:rFonts w:hint="eastAsia"/>
          <w:szCs w:val="24"/>
        </w:rPr>
        <w:t xml:space="preserve"> </w:t>
      </w:r>
      <w:r>
        <w:rPr>
          <w:szCs w:val="24"/>
        </w:rPr>
        <w:t>872</w:t>
      </w:r>
      <w:r>
        <w:rPr>
          <w:rFonts w:hint="eastAsia"/>
          <w:szCs w:val="24"/>
        </w:rPr>
        <w:t>名女生比</w:t>
      </w:r>
      <w:r>
        <w:rPr>
          <w:szCs w:val="24"/>
        </w:rPr>
        <w:t>12</w:t>
      </w:r>
      <w:r>
        <w:rPr>
          <w:rFonts w:hint="eastAsia"/>
          <w:szCs w:val="24"/>
        </w:rPr>
        <w:t xml:space="preserve"> </w:t>
      </w:r>
      <w:r>
        <w:rPr>
          <w:szCs w:val="24"/>
        </w:rPr>
        <w:t>060</w:t>
      </w:r>
      <w:r>
        <w:rPr>
          <w:rFonts w:hint="eastAsia"/>
          <w:szCs w:val="24"/>
        </w:rPr>
        <w:t>名男生）。但是，妇女在这一领域的参与人数呈上升趋势，这就为男女从事相同运动提供了机会。但鉴于运动的选择性，女生避免参加以男子为主的运动（如足球、藤球）。此外，女生日益参加</w:t>
      </w:r>
      <w:r>
        <w:rPr>
          <w:rFonts w:hint="eastAsia"/>
          <w:szCs w:val="24"/>
        </w:rPr>
        <w:t>自卫等她们以前往往避免参加的运动。目前，体育厅没有关于促进少女自卫以便她们能够学会保护自己的明确政策。</w:t>
      </w:r>
    </w:p>
    <w:p w:rsidR="00000000" w:rsidRDefault="00B83709">
      <w:pPr>
        <w:spacing w:after="240" w:line="360" w:lineRule="exact"/>
        <w:rPr>
          <w:rFonts w:eastAsia="SimHei" w:hint="eastAsia"/>
          <w:color w:val="FF0000"/>
        </w:rPr>
      </w:pPr>
      <w:r>
        <w:rPr>
          <w:rFonts w:eastAsia="SimHei" w:hint="eastAsia"/>
          <w:color w:val="FF0000"/>
        </w:rPr>
        <w:t>性教育</w:t>
      </w:r>
    </w:p>
    <w:p w:rsidR="00000000" w:rsidRDefault="00B83709">
      <w:pPr>
        <w:numPr>
          <w:ilvl w:val="0"/>
          <w:numId w:val="1049"/>
        </w:numPr>
        <w:tabs>
          <w:tab w:val="clear" w:pos="360"/>
          <w:tab w:val="num" w:pos="480"/>
        </w:tabs>
        <w:spacing w:after="240" w:line="360" w:lineRule="exact"/>
        <w:rPr>
          <w:szCs w:val="24"/>
        </w:rPr>
      </w:pPr>
      <w:r>
        <w:rPr>
          <w:rFonts w:hint="eastAsia"/>
          <w:szCs w:val="24"/>
        </w:rPr>
        <w:t>二十年前，各级教学大纲通过小学一级的促进生活本领和中学一级的健康教育列入了“性教育”内容。这一问题也纳入了社会研究、科学、职业培训以及公共卫生等课程，这些课程的重点是健康教育和生理学。不过，性教育的目标和范围没有达到。因此，泰国计划生育协会呼吁将性教育作为教学大纲中的独立课程。其后，性教育的教学方法得以修正，并列入教育部</w:t>
      </w:r>
      <w:r>
        <w:rPr>
          <w:rFonts w:hint="eastAsia"/>
          <w:szCs w:val="24"/>
        </w:rPr>
        <w:t>1982</w:t>
      </w:r>
      <w:r>
        <w:rPr>
          <w:rFonts w:hint="eastAsia"/>
          <w:szCs w:val="24"/>
        </w:rPr>
        <w:t>年的政策中。采用的名称是“家庭生活教育”，而不是“性教育”。</w:t>
      </w:r>
      <w:r>
        <w:rPr>
          <w:szCs w:val="24"/>
        </w:rPr>
        <w:t>1998</w:t>
      </w:r>
      <w:r>
        <w:rPr>
          <w:rFonts w:hint="eastAsia"/>
          <w:szCs w:val="24"/>
        </w:rPr>
        <w:t>年</w:t>
      </w:r>
      <w:r>
        <w:rPr>
          <w:rFonts w:hint="eastAsia"/>
          <w:szCs w:val="24"/>
        </w:rPr>
        <w:t>，课程编制和教学发展厅编制了一个基本课程框架，为的是将家庭生活教育列为一至十二年级在校学生的一门卫生主课。这门课程的具体方面包括身心特征以及社会和文化特征，涵盖道德、性别角色、性问题以及人权保护。</w:t>
      </w:r>
    </w:p>
    <w:p w:rsidR="00000000" w:rsidRDefault="00B83709">
      <w:pPr>
        <w:numPr>
          <w:ilvl w:val="0"/>
          <w:numId w:val="1049"/>
        </w:numPr>
        <w:tabs>
          <w:tab w:val="clear" w:pos="360"/>
          <w:tab w:val="num" w:pos="480"/>
        </w:tabs>
        <w:spacing w:after="240" w:line="360" w:lineRule="exact"/>
        <w:rPr>
          <w:szCs w:val="24"/>
        </w:rPr>
      </w:pPr>
      <w:r>
        <w:rPr>
          <w:rFonts w:hint="eastAsia"/>
          <w:szCs w:val="24"/>
        </w:rPr>
        <w:t>以上课程仅充作家庭生活教育的教学框架。课程编制和教学发展厅核准了这门课程，全国各地目前都开设了这门课程。根据学生的年龄调整了该课程。目前，实验学校正在开设这门课程，但对于没有做好开课准备或者对授课没有信心的学校或教师，课程编制和教学发展厅为教师提供培训。这个培训方案的详细内容从生理学和社会学到性别角色和人权观念不</w:t>
      </w:r>
      <w:r>
        <w:rPr>
          <w:rFonts w:hint="eastAsia"/>
          <w:szCs w:val="24"/>
        </w:rPr>
        <w:t>等。目的是让中小学男女生有获得知识的同等机会，并且能够应用他们在日常生活中学到的东西。</w:t>
      </w:r>
    </w:p>
    <w:p w:rsidR="00000000" w:rsidRDefault="00B83709">
      <w:pPr>
        <w:numPr>
          <w:ilvl w:val="0"/>
          <w:numId w:val="1049"/>
        </w:numPr>
        <w:tabs>
          <w:tab w:val="clear" w:pos="360"/>
          <w:tab w:val="num" w:pos="480"/>
        </w:tabs>
        <w:spacing w:after="240" w:line="360" w:lineRule="exact"/>
        <w:rPr>
          <w:szCs w:val="24"/>
        </w:rPr>
      </w:pPr>
      <w:r>
        <w:rPr>
          <w:rFonts w:hint="eastAsia"/>
          <w:szCs w:val="24"/>
        </w:rPr>
        <w:t>此外，</w:t>
      </w:r>
      <w:r>
        <w:rPr>
          <w:szCs w:val="24"/>
        </w:rPr>
        <w:t>Siam</w:t>
      </w:r>
      <w:r>
        <w:rPr>
          <w:rFonts w:hint="eastAsia"/>
          <w:szCs w:val="24"/>
        </w:rPr>
        <w:t>照料组织和总理府常务秘书办公室编制并散发了一份“青年道德”手册，向少男少女介绍青春期的身体变化以及如何关爱自身的性健康。但是，泰国社会仍然认为性教育是不应同青少年公开讨论的私事儿。结果，手册散发后，收到了消极的反馈，说手册将促使青少年过早地对性产生兴趣。因此，泰国的社会价值观仍然限制少男少女学习性知识的机会。</w:t>
      </w:r>
    </w:p>
    <w:p w:rsidR="00000000" w:rsidRDefault="00B83709">
      <w:pPr>
        <w:spacing w:after="240" w:line="360" w:lineRule="exact"/>
        <w:rPr>
          <w:rFonts w:eastAsia="SimHei" w:hint="eastAsia"/>
          <w:color w:val="FF0000"/>
        </w:rPr>
      </w:pPr>
      <w:r>
        <w:rPr>
          <w:rFonts w:eastAsia="SimHei" w:hint="eastAsia"/>
          <w:color w:val="FF0000"/>
        </w:rPr>
        <w:t>教师比例</w:t>
      </w:r>
    </w:p>
    <w:p w:rsidR="00000000" w:rsidRDefault="00B83709">
      <w:pPr>
        <w:numPr>
          <w:ilvl w:val="0"/>
          <w:numId w:val="1049"/>
        </w:numPr>
        <w:tabs>
          <w:tab w:val="clear" w:pos="360"/>
          <w:tab w:val="num" w:pos="480"/>
        </w:tabs>
        <w:spacing w:after="240" w:line="360" w:lineRule="exact"/>
        <w:rPr>
          <w:szCs w:val="24"/>
        </w:rPr>
      </w:pPr>
      <w:r>
        <w:rPr>
          <w:rFonts w:hint="eastAsia"/>
          <w:szCs w:val="24"/>
        </w:rPr>
        <w:t>在教育各级，女教师的人数比男教师多；不过，不教课的教师半数以上是男子（表</w:t>
      </w:r>
      <w:r>
        <w:rPr>
          <w:rFonts w:hint="eastAsia"/>
          <w:szCs w:val="24"/>
        </w:rPr>
        <w:t>14</w:t>
      </w:r>
      <w:r>
        <w:rPr>
          <w:rFonts w:hint="eastAsia"/>
          <w:szCs w:val="24"/>
        </w:rPr>
        <w:t>）。此外，职</w:t>
      </w:r>
      <w:r>
        <w:rPr>
          <w:rFonts w:hint="eastAsia"/>
          <w:szCs w:val="24"/>
        </w:rPr>
        <w:t>业教育厅管辖的女教师的比例（</w:t>
      </w:r>
      <w:r>
        <w:rPr>
          <w:szCs w:val="24"/>
        </w:rPr>
        <w:t>39.61%</w:t>
      </w:r>
      <w:r>
        <w:rPr>
          <w:rFonts w:hint="eastAsia"/>
          <w:szCs w:val="24"/>
        </w:rPr>
        <w:t>）大大低于男教师的比例（</w:t>
      </w:r>
      <w:r>
        <w:rPr>
          <w:szCs w:val="24"/>
        </w:rPr>
        <w:t>60.9%</w:t>
      </w:r>
      <w:r>
        <w:rPr>
          <w:rFonts w:hint="eastAsia"/>
          <w:szCs w:val="24"/>
        </w:rPr>
        <w:t>），特别是在工业和艺术领域（分别为</w:t>
      </w:r>
      <w:r>
        <w:rPr>
          <w:szCs w:val="24"/>
        </w:rPr>
        <w:t xml:space="preserve">5.35% </w:t>
      </w:r>
      <w:r>
        <w:rPr>
          <w:rFonts w:hint="eastAsia"/>
          <w:szCs w:val="24"/>
        </w:rPr>
        <w:t>和</w:t>
      </w:r>
      <w:r>
        <w:rPr>
          <w:szCs w:val="24"/>
        </w:rPr>
        <w:t>18.4%</w:t>
      </w:r>
      <w:r>
        <w:rPr>
          <w:rFonts w:hint="eastAsia"/>
          <w:szCs w:val="24"/>
        </w:rPr>
        <w:t>的女教师）（表</w:t>
      </w:r>
      <w:r>
        <w:rPr>
          <w:rFonts w:hint="eastAsia"/>
          <w:szCs w:val="24"/>
        </w:rPr>
        <w:t>15</w:t>
      </w:r>
      <w:r>
        <w:rPr>
          <w:rFonts w:hint="eastAsia"/>
          <w:szCs w:val="24"/>
        </w:rPr>
        <w:t>）。女教师主要教授家政学，这反映了妇女在家庭中的传统角色，并限制了妇女和男子发挥其能力的潜力。</w:t>
      </w:r>
    </w:p>
    <w:p w:rsidR="00000000" w:rsidRDefault="00B83709">
      <w:pPr>
        <w:spacing w:after="120" w:line="360" w:lineRule="exact"/>
        <w:rPr>
          <w:rFonts w:hint="eastAsia"/>
          <w:szCs w:val="24"/>
        </w:rPr>
      </w:pPr>
      <w:r>
        <w:rPr>
          <w:rFonts w:ascii="SimHei" w:eastAsia="SimHei"/>
          <w:color w:val="FF0000"/>
        </w:rPr>
        <w:br w:type="page"/>
      </w:r>
      <w:r>
        <w:rPr>
          <w:rFonts w:ascii="SimHei" w:eastAsia="SimHei" w:hint="eastAsia"/>
          <w:color w:val="FF0000"/>
        </w:rPr>
        <w:t>表</w:t>
      </w:r>
      <w:r>
        <w:rPr>
          <w:rFonts w:ascii="SimHei" w:eastAsia="SimHei" w:hint="eastAsia"/>
          <w:color w:val="FF0000"/>
        </w:rPr>
        <w:t>14</w:t>
      </w:r>
      <w:r>
        <w:rPr>
          <w:rFonts w:ascii="SimHei" w:eastAsia="SimHei"/>
          <w:color w:val="FF0000"/>
        </w:rPr>
        <w:t xml:space="preserve">. </w:t>
      </w:r>
      <w:r>
        <w:rPr>
          <w:rFonts w:hint="eastAsia"/>
          <w:szCs w:val="24"/>
        </w:rPr>
        <w:t>2000</w:t>
      </w:r>
      <w:r>
        <w:rPr>
          <w:rFonts w:hint="eastAsia"/>
          <w:szCs w:val="24"/>
        </w:rPr>
        <w:t>年教育各级的教师人数</w:t>
      </w:r>
    </w:p>
    <w:tbl>
      <w:tblPr>
        <w:tblW w:w="5000" w:type="pct"/>
        <w:tblBorders>
          <w:top w:val="single" w:sz="4" w:space="0" w:color="auto"/>
          <w:bottom w:val="single" w:sz="4" w:space="0" w:color="auto"/>
        </w:tblBorders>
        <w:tblLook w:val="0000" w:firstRow="0" w:lastRow="0" w:firstColumn="0" w:lastColumn="0" w:noHBand="0" w:noVBand="0"/>
      </w:tblPr>
      <w:tblGrid>
        <w:gridCol w:w="4427"/>
        <w:gridCol w:w="1361"/>
        <w:gridCol w:w="1361"/>
        <w:gridCol w:w="1361"/>
        <w:gridCol w:w="1556"/>
      </w:tblGrid>
      <w:tr w:rsidR="00000000">
        <w:tblPrEx>
          <w:tblCellMar>
            <w:top w:w="0" w:type="dxa"/>
            <w:bottom w:w="0" w:type="dxa"/>
          </w:tblCellMar>
        </w:tblPrEx>
        <w:tc>
          <w:tcPr>
            <w:tcW w:w="2199"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r>
              <w:rPr>
                <w:rFonts w:hint="eastAsia"/>
                <w:bCs/>
                <w:color w:val="FF0000"/>
                <w:sz w:val="21"/>
                <w:szCs w:val="24"/>
              </w:rPr>
              <w:t>等级</w:t>
            </w:r>
            <w:r>
              <w:rPr>
                <w:bCs/>
                <w:color w:val="FF0000"/>
                <w:sz w:val="21"/>
                <w:szCs w:val="24"/>
              </w:rPr>
              <w:t xml:space="preserve"> </w:t>
            </w:r>
          </w:p>
        </w:tc>
        <w:tc>
          <w:tcPr>
            <w:tcW w:w="676"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676"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676"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77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女教师的比例</w:t>
            </w:r>
          </w:p>
        </w:tc>
      </w:tr>
      <w:tr w:rsidR="00000000">
        <w:tblPrEx>
          <w:tblCellMar>
            <w:top w:w="0" w:type="dxa"/>
            <w:bottom w:w="0" w:type="dxa"/>
          </w:tblCellMar>
        </w:tblPrEx>
        <w:tc>
          <w:tcPr>
            <w:tcW w:w="2199"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学前教育</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77 902</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66 980</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10 922</w:t>
            </w:r>
          </w:p>
        </w:tc>
        <w:tc>
          <w:tcPr>
            <w:tcW w:w="773"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85.98</w:t>
            </w:r>
          </w:p>
        </w:tc>
      </w:tr>
      <w:tr w:rsidR="00000000">
        <w:tblPrEx>
          <w:tblCellMar>
            <w:top w:w="0" w:type="dxa"/>
            <w:bottom w:w="0" w:type="dxa"/>
          </w:tblCellMar>
        </w:tblPrEx>
        <w:tc>
          <w:tcPr>
            <w:tcW w:w="2199"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小学教育</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279 001</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164 071</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114 930</w:t>
            </w:r>
          </w:p>
        </w:tc>
        <w:tc>
          <w:tcPr>
            <w:tcW w:w="773"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58.81</w:t>
            </w:r>
          </w:p>
        </w:tc>
      </w:tr>
      <w:tr w:rsidR="00000000">
        <w:tblPrEx>
          <w:tblCellMar>
            <w:top w:w="0" w:type="dxa"/>
            <w:bottom w:w="0" w:type="dxa"/>
          </w:tblCellMar>
        </w:tblPrEx>
        <w:tc>
          <w:tcPr>
            <w:tcW w:w="2199"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初中教育</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121 547</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68 424</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53 1</w:t>
            </w:r>
            <w:r>
              <w:rPr>
                <w:sz w:val="21"/>
                <w:szCs w:val="24"/>
              </w:rPr>
              <w:t>26</w:t>
            </w:r>
          </w:p>
        </w:tc>
        <w:tc>
          <w:tcPr>
            <w:tcW w:w="773"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56.29</w:t>
            </w:r>
          </w:p>
        </w:tc>
      </w:tr>
      <w:tr w:rsidR="00000000">
        <w:tblPrEx>
          <w:tblCellMar>
            <w:top w:w="0" w:type="dxa"/>
            <w:bottom w:w="0" w:type="dxa"/>
          </w:tblCellMar>
        </w:tblPrEx>
        <w:tc>
          <w:tcPr>
            <w:tcW w:w="2199"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高中教育</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57 515</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34 462</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23 053</w:t>
            </w:r>
          </w:p>
        </w:tc>
        <w:tc>
          <w:tcPr>
            <w:tcW w:w="773"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59.92</w:t>
            </w:r>
          </w:p>
        </w:tc>
      </w:tr>
      <w:tr w:rsidR="00000000">
        <w:tblPrEx>
          <w:tblCellMar>
            <w:top w:w="0" w:type="dxa"/>
            <w:bottom w:w="0" w:type="dxa"/>
          </w:tblCellMar>
        </w:tblPrEx>
        <w:tc>
          <w:tcPr>
            <w:tcW w:w="2199"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非教学职位（如辅导员、管理人员和代课教师）</w:t>
            </w:r>
            <w:r>
              <w:rPr>
                <w:rFonts w:eastAsia="SimSun"/>
                <w:sz w:val="21"/>
                <w:szCs w:val="24"/>
              </w:rPr>
              <w:t xml:space="preserve"> </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18 376</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5 625</w:t>
            </w:r>
          </w:p>
        </w:tc>
        <w:tc>
          <w:tcPr>
            <w:tcW w:w="676"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sz w:val="21"/>
                <w:szCs w:val="24"/>
              </w:rPr>
            </w:pPr>
            <w:r>
              <w:rPr>
                <w:sz w:val="21"/>
                <w:szCs w:val="24"/>
              </w:rPr>
              <w:t>12 751</w:t>
            </w:r>
          </w:p>
        </w:tc>
        <w:tc>
          <w:tcPr>
            <w:tcW w:w="773" w:type="pct"/>
            <w:tcBorders>
              <w:top w:val="nil"/>
              <w:bottom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30.61</w:t>
            </w:r>
          </w:p>
        </w:tc>
      </w:tr>
      <w:tr w:rsidR="00000000">
        <w:tblPrEx>
          <w:tblCellMar>
            <w:top w:w="0" w:type="dxa"/>
            <w:bottom w:w="0" w:type="dxa"/>
          </w:tblCellMar>
        </w:tblPrEx>
        <w:tc>
          <w:tcPr>
            <w:tcW w:w="2199"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总计</w:t>
            </w:r>
          </w:p>
        </w:tc>
        <w:tc>
          <w:tcPr>
            <w:tcW w:w="676"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b/>
                <w:color w:val="FF0000"/>
                <w:sz w:val="21"/>
                <w:szCs w:val="24"/>
              </w:rPr>
            </w:pPr>
            <w:r>
              <w:rPr>
                <w:b/>
                <w:color w:val="FF0000"/>
                <w:sz w:val="21"/>
                <w:szCs w:val="24"/>
              </w:rPr>
              <w:t>554 334</w:t>
            </w:r>
          </w:p>
        </w:tc>
        <w:tc>
          <w:tcPr>
            <w:tcW w:w="676"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b/>
                <w:color w:val="FF0000"/>
                <w:sz w:val="21"/>
                <w:szCs w:val="24"/>
              </w:rPr>
            </w:pPr>
            <w:r>
              <w:rPr>
                <w:b/>
                <w:color w:val="FF0000"/>
                <w:sz w:val="21"/>
                <w:szCs w:val="24"/>
              </w:rPr>
              <w:t>339 488</w:t>
            </w:r>
          </w:p>
        </w:tc>
        <w:tc>
          <w:tcPr>
            <w:tcW w:w="676"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81" w:right="31680"/>
              <w:jc w:val="right"/>
              <w:rPr>
                <w:b/>
                <w:color w:val="FF0000"/>
                <w:sz w:val="21"/>
                <w:szCs w:val="24"/>
              </w:rPr>
            </w:pPr>
            <w:r>
              <w:rPr>
                <w:b/>
                <w:color w:val="FF0000"/>
                <w:sz w:val="21"/>
                <w:szCs w:val="24"/>
              </w:rPr>
              <w:t>214 846</w:t>
            </w:r>
          </w:p>
        </w:tc>
        <w:tc>
          <w:tcPr>
            <w:tcW w:w="773"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61.24</w:t>
            </w:r>
          </w:p>
        </w:tc>
      </w:tr>
    </w:tbl>
    <w:p w:rsidR="00000000" w:rsidRDefault="00B83709">
      <w:pPr>
        <w:spacing w:after="240" w:line="360" w:lineRule="exact"/>
        <w:rPr>
          <w:rFonts w:eastAsia="KaiTi_GB2312" w:hint="eastAsia"/>
          <w:bCs/>
          <w:color w:val="0000FF"/>
          <w:szCs w:val="24"/>
        </w:rPr>
      </w:pPr>
      <w:r>
        <w:rPr>
          <w:rFonts w:eastAsia="KaiTi_GB2312" w:hint="eastAsia"/>
          <w:b/>
          <w:color w:val="0000FF"/>
          <w:szCs w:val="24"/>
        </w:rPr>
        <w:t>资料来源：</w:t>
      </w:r>
      <w:r>
        <w:rPr>
          <w:rFonts w:eastAsia="KaiTi_GB2312" w:hint="eastAsia"/>
          <w:bCs/>
          <w:color w:val="0000FF"/>
          <w:szCs w:val="24"/>
        </w:rPr>
        <w:t>教育部常务秘书办公室。</w:t>
      </w:r>
    </w:p>
    <w:p w:rsidR="00000000" w:rsidRDefault="00B83709">
      <w:pPr>
        <w:spacing w:after="120" w:line="360" w:lineRule="exact"/>
        <w:rPr>
          <w:rFonts w:hint="eastAsia"/>
          <w:szCs w:val="24"/>
        </w:rPr>
      </w:pPr>
      <w:r>
        <w:rPr>
          <w:rFonts w:ascii="SimHei" w:eastAsia="SimHei" w:hint="eastAsia"/>
          <w:color w:val="FF0000"/>
        </w:rPr>
        <w:t>表</w:t>
      </w:r>
      <w:r>
        <w:rPr>
          <w:rFonts w:ascii="SimHei" w:eastAsia="SimHei" w:hint="eastAsia"/>
          <w:color w:val="FF0000"/>
        </w:rPr>
        <w:t>15</w:t>
      </w:r>
      <w:r>
        <w:rPr>
          <w:rFonts w:ascii="SimHei" w:eastAsia="SimHei"/>
          <w:color w:val="FF0000"/>
        </w:rPr>
        <w:t xml:space="preserve">. </w:t>
      </w:r>
      <w:r>
        <w:rPr>
          <w:rFonts w:hint="eastAsia"/>
          <w:szCs w:val="24"/>
        </w:rPr>
        <w:t>2001</w:t>
      </w:r>
      <w:r>
        <w:rPr>
          <w:rFonts w:hint="eastAsia"/>
          <w:szCs w:val="24"/>
        </w:rPr>
        <w:t>年职业教育厅管辖的教师人数</w:t>
      </w:r>
    </w:p>
    <w:tbl>
      <w:tblPr>
        <w:tblW w:w="5000" w:type="pct"/>
        <w:tblBorders>
          <w:top w:val="single" w:sz="4" w:space="0" w:color="auto"/>
          <w:bottom w:val="single" w:sz="4" w:space="0" w:color="auto"/>
        </w:tblBorders>
        <w:tblLook w:val="0000" w:firstRow="0" w:lastRow="0" w:firstColumn="0" w:lastColumn="0" w:noHBand="0" w:noVBand="0"/>
      </w:tblPr>
      <w:tblGrid>
        <w:gridCol w:w="3595"/>
        <w:gridCol w:w="1618"/>
        <w:gridCol w:w="1619"/>
        <w:gridCol w:w="1619"/>
        <w:gridCol w:w="1615"/>
      </w:tblGrid>
      <w:tr w:rsidR="00000000">
        <w:tblPrEx>
          <w:tblCellMar>
            <w:top w:w="0" w:type="dxa"/>
            <w:bottom w:w="0" w:type="dxa"/>
          </w:tblCellMar>
        </w:tblPrEx>
        <w:tc>
          <w:tcPr>
            <w:tcW w:w="1786"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专业</w:t>
            </w:r>
          </w:p>
        </w:tc>
        <w:tc>
          <w:tcPr>
            <w:tcW w:w="804"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804"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804"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802"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女教师的比例</w:t>
            </w:r>
          </w:p>
        </w:tc>
      </w:tr>
      <w:tr w:rsidR="00000000">
        <w:tblPrEx>
          <w:tblCellMar>
            <w:top w:w="0" w:type="dxa"/>
            <w:bottom w:w="0" w:type="dxa"/>
          </w:tblCellMar>
        </w:tblPrEx>
        <w:tc>
          <w:tcPr>
            <w:tcW w:w="1786"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工业</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5 613</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317</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5 930</w:t>
            </w:r>
          </w:p>
        </w:tc>
        <w:tc>
          <w:tcPr>
            <w:tcW w:w="802" w:type="pct"/>
            <w:tcBorders>
              <w:top w:val="nil"/>
              <w:bottom w:val="nil"/>
            </w:tcBorders>
          </w:tcPr>
          <w:p w:rsidR="00000000" w:rsidRDefault="00B83709">
            <w:pPr>
              <w:pStyle w:val="BodyText2"/>
              <w:framePr w:w="0" w:hRule="auto" w:hSpace="0" w:wrap="auto" w:vAnchor="margin" w:hAnchor="text" w:xAlign="left" w:yAlign="inline"/>
              <w:tabs>
                <w:tab w:val="decimal" w:pos="669"/>
              </w:tabs>
              <w:spacing w:line="360" w:lineRule="exact"/>
              <w:jc w:val="both"/>
              <w:rPr>
                <w:sz w:val="21"/>
                <w:szCs w:val="24"/>
              </w:rPr>
            </w:pPr>
            <w:r>
              <w:rPr>
                <w:sz w:val="21"/>
                <w:szCs w:val="24"/>
              </w:rPr>
              <w:t>5.35</w:t>
            </w:r>
          </w:p>
        </w:tc>
      </w:tr>
      <w:tr w:rsidR="00000000">
        <w:tblPrEx>
          <w:tblCellMar>
            <w:top w:w="0" w:type="dxa"/>
            <w:bottom w:w="0" w:type="dxa"/>
          </w:tblCellMar>
        </w:tblPrEx>
        <w:tc>
          <w:tcPr>
            <w:tcW w:w="1786"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艺术</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572</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129</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701</w:t>
            </w:r>
          </w:p>
        </w:tc>
        <w:tc>
          <w:tcPr>
            <w:tcW w:w="802" w:type="pct"/>
            <w:tcBorders>
              <w:top w:val="nil"/>
              <w:bottom w:val="nil"/>
            </w:tcBorders>
          </w:tcPr>
          <w:p w:rsidR="00000000" w:rsidRDefault="00B83709">
            <w:pPr>
              <w:pStyle w:val="BodyText2"/>
              <w:framePr w:w="0" w:hRule="auto" w:hSpace="0" w:wrap="auto" w:vAnchor="margin" w:hAnchor="text" w:xAlign="left" w:yAlign="inline"/>
              <w:tabs>
                <w:tab w:val="decimal" w:pos="669"/>
              </w:tabs>
              <w:spacing w:line="360" w:lineRule="exact"/>
              <w:jc w:val="both"/>
              <w:rPr>
                <w:sz w:val="21"/>
                <w:szCs w:val="24"/>
              </w:rPr>
            </w:pPr>
            <w:r>
              <w:rPr>
                <w:sz w:val="21"/>
                <w:szCs w:val="24"/>
              </w:rPr>
              <w:t>18.40</w:t>
            </w:r>
          </w:p>
        </w:tc>
      </w:tr>
      <w:tr w:rsidR="00000000">
        <w:tblPrEx>
          <w:tblCellMar>
            <w:top w:w="0" w:type="dxa"/>
            <w:bottom w:w="0" w:type="dxa"/>
          </w:tblCellMar>
        </w:tblPrEx>
        <w:tc>
          <w:tcPr>
            <w:tcW w:w="1786"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家政学</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68</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1 156</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1 224</w:t>
            </w:r>
          </w:p>
        </w:tc>
        <w:tc>
          <w:tcPr>
            <w:tcW w:w="802" w:type="pct"/>
            <w:tcBorders>
              <w:top w:val="nil"/>
              <w:bottom w:val="nil"/>
            </w:tcBorders>
          </w:tcPr>
          <w:p w:rsidR="00000000" w:rsidRDefault="00B83709">
            <w:pPr>
              <w:pStyle w:val="BodyText2"/>
              <w:framePr w:w="0" w:hRule="auto" w:hSpace="0" w:wrap="auto" w:vAnchor="margin" w:hAnchor="text" w:xAlign="left" w:yAlign="inline"/>
              <w:tabs>
                <w:tab w:val="decimal" w:pos="669"/>
              </w:tabs>
              <w:spacing w:line="360" w:lineRule="exact"/>
              <w:jc w:val="both"/>
              <w:rPr>
                <w:sz w:val="21"/>
                <w:szCs w:val="24"/>
              </w:rPr>
            </w:pPr>
            <w:r>
              <w:rPr>
                <w:sz w:val="21"/>
                <w:szCs w:val="24"/>
              </w:rPr>
              <w:t>94.44</w:t>
            </w:r>
          </w:p>
        </w:tc>
      </w:tr>
      <w:tr w:rsidR="00000000">
        <w:tblPrEx>
          <w:tblCellMar>
            <w:top w:w="0" w:type="dxa"/>
            <w:bottom w:w="0" w:type="dxa"/>
          </w:tblCellMar>
        </w:tblPrEx>
        <w:tc>
          <w:tcPr>
            <w:tcW w:w="1786"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商业</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525</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1 997</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2 522</w:t>
            </w:r>
          </w:p>
        </w:tc>
        <w:tc>
          <w:tcPr>
            <w:tcW w:w="802" w:type="pct"/>
            <w:tcBorders>
              <w:top w:val="nil"/>
              <w:bottom w:val="nil"/>
            </w:tcBorders>
          </w:tcPr>
          <w:p w:rsidR="00000000" w:rsidRDefault="00B83709">
            <w:pPr>
              <w:pStyle w:val="BodyText2"/>
              <w:framePr w:w="0" w:hRule="auto" w:hSpace="0" w:wrap="auto" w:vAnchor="margin" w:hAnchor="text" w:xAlign="left" w:yAlign="inline"/>
              <w:tabs>
                <w:tab w:val="decimal" w:pos="669"/>
              </w:tabs>
              <w:spacing w:line="360" w:lineRule="exact"/>
              <w:jc w:val="both"/>
              <w:rPr>
                <w:sz w:val="21"/>
                <w:szCs w:val="24"/>
              </w:rPr>
            </w:pPr>
            <w:r>
              <w:rPr>
                <w:sz w:val="21"/>
                <w:szCs w:val="24"/>
              </w:rPr>
              <w:t>79.18</w:t>
            </w:r>
          </w:p>
        </w:tc>
      </w:tr>
      <w:tr w:rsidR="00000000">
        <w:tblPrEx>
          <w:tblCellMar>
            <w:top w:w="0" w:type="dxa"/>
            <w:bottom w:w="0" w:type="dxa"/>
          </w:tblCellMar>
        </w:tblPrEx>
        <w:tc>
          <w:tcPr>
            <w:tcW w:w="1786"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sz w:val="21"/>
                <w:szCs w:val="24"/>
              </w:rPr>
            </w:pPr>
            <w:r>
              <w:rPr>
                <w:rFonts w:eastAsia="SimSun" w:hint="eastAsia"/>
                <w:sz w:val="21"/>
                <w:szCs w:val="24"/>
              </w:rPr>
              <w:t>一般</w:t>
            </w:r>
            <w:r>
              <w:rPr>
                <w:rFonts w:eastAsia="SimSun"/>
                <w:sz w:val="21"/>
                <w:szCs w:val="24"/>
              </w:rPr>
              <w:t xml:space="preserve"> </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2 944</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3 100</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6 044</w:t>
            </w:r>
          </w:p>
        </w:tc>
        <w:tc>
          <w:tcPr>
            <w:tcW w:w="802" w:type="pct"/>
            <w:tcBorders>
              <w:top w:val="nil"/>
              <w:bottom w:val="nil"/>
            </w:tcBorders>
          </w:tcPr>
          <w:p w:rsidR="00000000" w:rsidRDefault="00B83709">
            <w:pPr>
              <w:pStyle w:val="BodyText2"/>
              <w:framePr w:w="0" w:hRule="auto" w:hSpace="0" w:wrap="auto" w:vAnchor="margin" w:hAnchor="text" w:xAlign="left" w:yAlign="inline"/>
              <w:tabs>
                <w:tab w:val="decimal" w:pos="669"/>
              </w:tabs>
              <w:spacing w:line="360" w:lineRule="exact"/>
              <w:jc w:val="both"/>
              <w:rPr>
                <w:sz w:val="21"/>
                <w:szCs w:val="24"/>
              </w:rPr>
            </w:pPr>
            <w:r>
              <w:rPr>
                <w:sz w:val="21"/>
                <w:szCs w:val="24"/>
              </w:rPr>
              <w:t>51.29</w:t>
            </w:r>
          </w:p>
        </w:tc>
      </w:tr>
      <w:tr w:rsidR="00000000">
        <w:tblPrEx>
          <w:tblCellMar>
            <w:top w:w="0" w:type="dxa"/>
            <w:bottom w:w="0" w:type="dxa"/>
          </w:tblCellMar>
        </w:tblPrEx>
        <w:tc>
          <w:tcPr>
            <w:tcW w:w="1786" w:type="pct"/>
            <w:tcBorders>
              <w:top w:val="nil"/>
              <w:bottom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农业</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1 119</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413</w:t>
            </w:r>
          </w:p>
        </w:tc>
        <w:tc>
          <w:tcPr>
            <w:tcW w:w="804" w:type="pct"/>
            <w:tcBorders>
              <w:top w:val="nil"/>
              <w:bottom w:val="nil"/>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sz w:val="21"/>
                <w:szCs w:val="24"/>
              </w:rPr>
            </w:pPr>
            <w:r>
              <w:rPr>
                <w:sz w:val="21"/>
                <w:szCs w:val="24"/>
              </w:rPr>
              <w:t>1 532</w:t>
            </w:r>
          </w:p>
        </w:tc>
        <w:tc>
          <w:tcPr>
            <w:tcW w:w="802" w:type="pct"/>
            <w:tcBorders>
              <w:top w:val="nil"/>
              <w:bottom w:val="nil"/>
            </w:tcBorders>
          </w:tcPr>
          <w:p w:rsidR="00000000" w:rsidRDefault="00B83709">
            <w:pPr>
              <w:pStyle w:val="BodyText2"/>
              <w:framePr w:w="0" w:hRule="auto" w:hSpace="0" w:wrap="auto" w:vAnchor="margin" w:hAnchor="text" w:xAlign="left" w:yAlign="inline"/>
              <w:tabs>
                <w:tab w:val="decimal" w:pos="669"/>
              </w:tabs>
              <w:spacing w:line="360" w:lineRule="exact"/>
              <w:jc w:val="both"/>
              <w:rPr>
                <w:sz w:val="21"/>
                <w:szCs w:val="24"/>
              </w:rPr>
            </w:pPr>
            <w:r>
              <w:rPr>
                <w:sz w:val="21"/>
                <w:szCs w:val="24"/>
              </w:rPr>
              <w:t>26.96</w:t>
            </w:r>
          </w:p>
        </w:tc>
      </w:tr>
      <w:tr w:rsidR="00000000">
        <w:tblPrEx>
          <w:tblCellMar>
            <w:top w:w="0" w:type="dxa"/>
            <w:bottom w:w="0" w:type="dxa"/>
          </w:tblCellMar>
        </w:tblPrEx>
        <w:tc>
          <w:tcPr>
            <w:tcW w:w="1786"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总计</w:t>
            </w:r>
          </w:p>
        </w:tc>
        <w:tc>
          <w:tcPr>
            <w:tcW w:w="804"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b/>
                <w:color w:val="FF0000"/>
                <w:sz w:val="21"/>
                <w:szCs w:val="24"/>
              </w:rPr>
            </w:pPr>
            <w:r>
              <w:rPr>
                <w:b/>
                <w:color w:val="FF0000"/>
                <w:sz w:val="21"/>
                <w:szCs w:val="24"/>
              </w:rPr>
              <w:t>10 841</w:t>
            </w:r>
          </w:p>
        </w:tc>
        <w:tc>
          <w:tcPr>
            <w:tcW w:w="804"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b/>
                <w:color w:val="FF0000"/>
                <w:sz w:val="21"/>
                <w:szCs w:val="24"/>
              </w:rPr>
            </w:pPr>
            <w:r>
              <w:rPr>
                <w:b/>
                <w:color w:val="FF0000"/>
                <w:sz w:val="21"/>
                <w:szCs w:val="24"/>
              </w:rPr>
              <w:t>7 112</w:t>
            </w:r>
          </w:p>
        </w:tc>
        <w:tc>
          <w:tcPr>
            <w:tcW w:w="804" w:type="pct"/>
            <w:tcBorders>
              <w:top w:val="single" w:sz="4" w:space="0" w:color="auto"/>
              <w:bottom w:val="single" w:sz="4" w:space="0" w:color="auto"/>
            </w:tcBorders>
          </w:tcPr>
          <w:p w:rsidR="00000000" w:rsidRDefault="00B83709" w:rsidP="00B83709">
            <w:pPr>
              <w:pStyle w:val="BodyText2"/>
              <w:framePr w:w="0" w:hRule="auto" w:hSpace="0" w:wrap="auto" w:vAnchor="margin" w:hAnchor="text" w:xAlign="left" w:yAlign="inline"/>
              <w:spacing w:line="360" w:lineRule="exact"/>
              <w:ind w:rightChars="208" w:right="31680"/>
              <w:jc w:val="right"/>
              <w:rPr>
                <w:b/>
                <w:color w:val="FF0000"/>
                <w:sz w:val="21"/>
                <w:szCs w:val="24"/>
              </w:rPr>
            </w:pPr>
            <w:r>
              <w:rPr>
                <w:b/>
                <w:color w:val="FF0000"/>
                <w:sz w:val="21"/>
                <w:szCs w:val="24"/>
              </w:rPr>
              <w:t>17 953</w:t>
            </w:r>
          </w:p>
        </w:tc>
        <w:tc>
          <w:tcPr>
            <w:tcW w:w="802" w:type="pct"/>
            <w:tcBorders>
              <w:top w:val="single" w:sz="4" w:space="0" w:color="auto"/>
              <w:bottom w:val="single" w:sz="4" w:space="0" w:color="auto"/>
            </w:tcBorders>
          </w:tcPr>
          <w:p w:rsidR="00000000" w:rsidRDefault="00B83709">
            <w:pPr>
              <w:pStyle w:val="BodyText2"/>
              <w:framePr w:w="0" w:hRule="auto" w:hSpace="0" w:wrap="auto" w:vAnchor="margin" w:hAnchor="text" w:xAlign="left" w:yAlign="inline"/>
              <w:tabs>
                <w:tab w:val="decimal" w:pos="669"/>
              </w:tabs>
              <w:spacing w:line="360" w:lineRule="exact"/>
              <w:jc w:val="both"/>
              <w:rPr>
                <w:b/>
                <w:color w:val="FF0000"/>
                <w:sz w:val="21"/>
                <w:szCs w:val="24"/>
              </w:rPr>
            </w:pPr>
            <w:r>
              <w:rPr>
                <w:b/>
                <w:color w:val="FF0000"/>
                <w:sz w:val="21"/>
                <w:szCs w:val="24"/>
              </w:rPr>
              <w:t>39.61</w:t>
            </w:r>
          </w:p>
        </w:tc>
      </w:tr>
    </w:tbl>
    <w:p w:rsidR="00000000" w:rsidRDefault="00B83709">
      <w:pPr>
        <w:spacing w:after="240" w:line="360" w:lineRule="exact"/>
        <w:rPr>
          <w:rFonts w:hint="eastAsia"/>
          <w:szCs w:val="24"/>
        </w:rPr>
      </w:pPr>
      <w:r>
        <w:rPr>
          <w:rFonts w:eastAsia="KaiTi_GB2312" w:hint="eastAsia"/>
          <w:b/>
          <w:color w:val="0000FF"/>
          <w:szCs w:val="24"/>
        </w:rPr>
        <w:t>资料来源：</w:t>
      </w:r>
      <w:r>
        <w:rPr>
          <w:rFonts w:eastAsia="KaiTi_GB2312" w:hint="eastAsia"/>
          <w:bCs/>
          <w:color w:val="0000FF"/>
          <w:szCs w:val="24"/>
        </w:rPr>
        <w:t>教育部职业教育厅。</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在大学部监管下的大学工作的女学者的比例通常高于男学者（表</w:t>
      </w:r>
      <w:r>
        <w:rPr>
          <w:rFonts w:hint="eastAsia"/>
          <w:szCs w:val="24"/>
        </w:rPr>
        <w:t>16</w:t>
      </w:r>
      <w:r>
        <w:rPr>
          <w:rFonts w:hint="eastAsia"/>
          <w:szCs w:val="24"/>
        </w:rPr>
        <w:t>）。这些女学者大多是讲师和助教。在副教授一级，男女比例大致相等，尽管在正教授一级，妇女的人数和比例低得多。在</w:t>
      </w:r>
      <w:r>
        <w:rPr>
          <w:rFonts w:hint="eastAsia"/>
          <w:szCs w:val="24"/>
        </w:rPr>
        <w:t>24</w:t>
      </w:r>
      <w:r>
        <w:rPr>
          <w:rFonts w:hint="eastAsia"/>
          <w:szCs w:val="24"/>
        </w:rPr>
        <w:t>名大学高层管理人员当中，</w:t>
      </w:r>
      <w:r>
        <w:rPr>
          <w:rFonts w:hint="eastAsia"/>
          <w:szCs w:val="24"/>
        </w:rPr>
        <w:t>2000</w:t>
      </w:r>
      <w:r>
        <w:rPr>
          <w:rFonts w:hint="eastAsia"/>
          <w:szCs w:val="24"/>
        </w:rPr>
        <w:t>年仅有三名妇女，</w:t>
      </w:r>
      <w:r>
        <w:rPr>
          <w:rFonts w:hint="eastAsia"/>
          <w:szCs w:val="24"/>
        </w:rPr>
        <w:t>2002</w:t>
      </w:r>
      <w:r>
        <w:rPr>
          <w:rFonts w:hint="eastAsia"/>
          <w:szCs w:val="24"/>
        </w:rPr>
        <w:t>年减为一名。</w:t>
      </w:r>
    </w:p>
    <w:p w:rsidR="00000000" w:rsidRDefault="00B83709">
      <w:pPr>
        <w:spacing w:after="120" w:line="360" w:lineRule="exact"/>
        <w:rPr>
          <w:rFonts w:hint="eastAsia"/>
          <w:szCs w:val="24"/>
        </w:rPr>
      </w:pPr>
      <w:r>
        <w:rPr>
          <w:rFonts w:ascii="SimHei" w:eastAsia="SimHei" w:hint="eastAsia"/>
          <w:color w:val="FF0000"/>
        </w:rPr>
        <w:t>表</w:t>
      </w:r>
      <w:r>
        <w:rPr>
          <w:rFonts w:ascii="SimHei" w:eastAsia="SimHei" w:hint="eastAsia"/>
          <w:color w:val="FF0000"/>
        </w:rPr>
        <w:t>16</w:t>
      </w:r>
      <w:r>
        <w:rPr>
          <w:rFonts w:ascii="SimHei" w:eastAsia="SimHei"/>
          <w:color w:val="FF0000"/>
        </w:rPr>
        <w:t>.</w:t>
      </w:r>
      <w:r>
        <w:rPr>
          <w:szCs w:val="24"/>
        </w:rPr>
        <w:t xml:space="preserve"> </w:t>
      </w:r>
      <w:r>
        <w:rPr>
          <w:rFonts w:hint="eastAsia"/>
          <w:szCs w:val="24"/>
        </w:rPr>
        <w:t>20</w:t>
      </w:r>
      <w:r>
        <w:rPr>
          <w:rFonts w:hint="eastAsia"/>
          <w:szCs w:val="24"/>
        </w:rPr>
        <w:t>01</w:t>
      </w:r>
      <w:r>
        <w:rPr>
          <w:rFonts w:hint="eastAsia"/>
          <w:szCs w:val="24"/>
        </w:rPr>
        <w:t>年大学部下属的大学的学者人数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9"/>
        <w:gridCol w:w="2253"/>
        <w:gridCol w:w="2253"/>
        <w:gridCol w:w="2251"/>
      </w:tblGrid>
      <w:tr w:rsidR="00000000">
        <w:tblPrEx>
          <w:tblCellMar>
            <w:top w:w="0" w:type="dxa"/>
            <w:bottom w:w="0" w:type="dxa"/>
          </w:tblCellMar>
        </w:tblPrEx>
        <w:tc>
          <w:tcPr>
            <w:tcW w:w="1644"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职位</w:t>
            </w:r>
          </w:p>
        </w:tc>
        <w:tc>
          <w:tcPr>
            <w:tcW w:w="1119"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女性</w:t>
            </w:r>
          </w:p>
        </w:tc>
        <w:tc>
          <w:tcPr>
            <w:tcW w:w="1119"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女性的比例</w:t>
            </w:r>
          </w:p>
        </w:tc>
        <w:tc>
          <w:tcPr>
            <w:tcW w:w="1118"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男性</w:t>
            </w:r>
          </w:p>
        </w:tc>
      </w:tr>
      <w:tr w:rsidR="00000000">
        <w:tblPrEx>
          <w:tblCellMar>
            <w:top w:w="0" w:type="dxa"/>
            <w:bottom w:w="0" w:type="dxa"/>
          </w:tblCellMar>
        </w:tblPrEx>
        <w:tc>
          <w:tcPr>
            <w:tcW w:w="164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讲师</w:t>
            </w:r>
          </w:p>
        </w:tc>
        <w:tc>
          <w:tcPr>
            <w:tcW w:w="1119"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74" w:right="31680"/>
              <w:jc w:val="right"/>
              <w:rPr>
                <w:sz w:val="21"/>
                <w:szCs w:val="24"/>
              </w:rPr>
            </w:pPr>
            <w:r>
              <w:rPr>
                <w:sz w:val="21"/>
                <w:szCs w:val="24"/>
              </w:rPr>
              <w:t>6 337</w:t>
            </w:r>
          </w:p>
        </w:tc>
        <w:tc>
          <w:tcPr>
            <w:tcW w:w="1119"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52.94</w:t>
            </w:r>
          </w:p>
        </w:tc>
        <w:tc>
          <w:tcPr>
            <w:tcW w:w="1118"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47" w:right="31680"/>
              <w:jc w:val="right"/>
              <w:rPr>
                <w:sz w:val="21"/>
                <w:szCs w:val="24"/>
              </w:rPr>
            </w:pPr>
            <w:r>
              <w:rPr>
                <w:sz w:val="21"/>
                <w:szCs w:val="24"/>
              </w:rPr>
              <w:t>5 633</w:t>
            </w:r>
          </w:p>
        </w:tc>
      </w:tr>
      <w:tr w:rsidR="00000000">
        <w:tblPrEx>
          <w:tblCellMar>
            <w:top w:w="0" w:type="dxa"/>
            <w:bottom w:w="0" w:type="dxa"/>
          </w:tblCellMar>
        </w:tblPrEx>
        <w:tc>
          <w:tcPr>
            <w:tcW w:w="16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助教</w:t>
            </w:r>
          </w:p>
        </w:tc>
        <w:tc>
          <w:tcPr>
            <w:tcW w:w="111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74" w:right="31680"/>
              <w:jc w:val="right"/>
              <w:rPr>
                <w:sz w:val="21"/>
                <w:szCs w:val="24"/>
              </w:rPr>
            </w:pPr>
            <w:r>
              <w:rPr>
                <w:sz w:val="21"/>
                <w:szCs w:val="24"/>
              </w:rPr>
              <w:t>2 988</w:t>
            </w:r>
          </w:p>
        </w:tc>
        <w:tc>
          <w:tcPr>
            <w:tcW w:w="1119"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54.02</w:t>
            </w:r>
          </w:p>
        </w:tc>
        <w:tc>
          <w:tcPr>
            <w:tcW w:w="1118"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47" w:right="31680"/>
              <w:jc w:val="right"/>
              <w:rPr>
                <w:sz w:val="21"/>
                <w:szCs w:val="24"/>
              </w:rPr>
            </w:pPr>
            <w:r>
              <w:rPr>
                <w:sz w:val="21"/>
                <w:szCs w:val="24"/>
              </w:rPr>
              <w:t>2 543</w:t>
            </w:r>
          </w:p>
        </w:tc>
      </w:tr>
      <w:tr w:rsidR="00000000">
        <w:tblPrEx>
          <w:tblCellMar>
            <w:top w:w="0" w:type="dxa"/>
            <w:bottom w:w="0" w:type="dxa"/>
          </w:tblCellMar>
        </w:tblPrEx>
        <w:tc>
          <w:tcPr>
            <w:tcW w:w="16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副教授</w:t>
            </w:r>
          </w:p>
        </w:tc>
        <w:tc>
          <w:tcPr>
            <w:tcW w:w="111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74" w:right="31680"/>
              <w:jc w:val="right"/>
              <w:rPr>
                <w:sz w:val="21"/>
                <w:szCs w:val="24"/>
              </w:rPr>
            </w:pPr>
            <w:r>
              <w:rPr>
                <w:sz w:val="21"/>
                <w:szCs w:val="24"/>
              </w:rPr>
              <w:t>2 201</w:t>
            </w:r>
          </w:p>
        </w:tc>
        <w:tc>
          <w:tcPr>
            <w:tcW w:w="1119"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51.81</w:t>
            </w:r>
          </w:p>
        </w:tc>
        <w:tc>
          <w:tcPr>
            <w:tcW w:w="1118"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47" w:right="31680"/>
              <w:jc w:val="right"/>
              <w:rPr>
                <w:sz w:val="21"/>
                <w:szCs w:val="24"/>
              </w:rPr>
            </w:pPr>
            <w:r>
              <w:rPr>
                <w:sz w:val="21"/>
                <w:szCs w:val="24"/>
              </w:rPr>
              <w:t>2 047</w:t>
            </w:r>
          </w:p>
        </w:tc>
      </w:tr>
      <w:tr w:rsidR="00000000">
        <w:tblPrEx>
          <w:tblCellMar>
            <w:top w:w="0" w:type="dxa"/>
            <w:bottom w:w="0" w:type="dxa"/>
          </w:tblCellMar>
        </w:tblPrEx>
        <w:tc>
          <w:tcPr>
            <w:tcW w:w="16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教授</w:t>
            </w:r>
          </w:p>
        </w:tc>
        <w:tc>
          <w:tcPr>
            <w:tcW w:w="111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74" w:right="31680"/>
              <w:jc w:val="right"/>
              <w:rPr>
                <w:sz w:val="21"/>
                <w:szCs w:val="24"/>
              </w:rPr>
            </w:pPr>
            <w:r>
              <w:rPr>
                <w:sz w:val="21"/>
                <w:szCs w:val="24"/>
              </w:rPr>
              <w:t>98</w:t>
            </w:r>
          </w:p>
        </w:tc>
        <w:tc>
          <w:tcPr>
            <w:tcW w:w="1119"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31.92</w:t>
            </w:r>
          </w:p>
        </w:tc>
        <w:tc>
          <w:tcPr>
            <w:tcW w:w="1118"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347" w:right="31680"/>
              <w:jc w:val="right"/>
              <w:rPr>
                <w:sz w:val="21"/>
                <w:szCs w:val="24"/>
              </w:rPr>
            </w:pPr>
            <w:r>
              <w:rPr>
                <w:sz w:val="21"/>
                <w:szCs w:val="24"/>
              </w:rPr>
              <w:t>209</w:t>
            </w:r>
          </w:p>
        </w:tc>
      </w:tr>
      <w:tr w:rsidR="00000000">
        <w:tblPrEx>
          <w:tblCellMar>
            <w:top w:w="0" w:type="dxa"/>
            <w:bottom w:w="0" w:type="dxa"/>
          </w:tblCellMar>
        </w:tblPrEx>
        <w:tc>
          <w:tcPr>
            <w:tcW w:w="1644"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总计</w:t>
            </w:r>
          </w:p>
        </w:tc>
        <w:tc>
          <w:tcPr>
            <w:tcW w:w="1119"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374" w:right="31680"/>
              <w:jc w:val="right"/>
              <w:rPr>
                <w:b/>
                <w:color w:val="FF0000"/>
                <w:sz w:val="21"/>
                <w:szCs w:val="24"/>
              </w:rPr>
            </w:pPr>
            <w:r>
              <w:rPr>
                <w:b/>
                <w:color w:val="FF0000"/>
                <w:sz w:val="21"/>
                <w:szCs w:val="24"/>
              </w:rPr>
              <w:t>11 624</w:t>
            </w:r>
          </w:p>
        </w:tc>
        <w:tc>
          <w:tcPr>
            <w:tcW w:w="1119"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52.70</w:t>
            </w:r>
          </w:p>
        </w:tc>
        <w:tc>
          <w:tcPr>
            <w:tcW w:w="1118"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347" w:right="31680"/>
              <w:jc w:val="right"/>
              <w:rPr>
                <w:b/>
                <w:color w:val="FF0000"/>
                <w:sz w:val="21"/>
                <w:szCs w:val="24"/>
              </w:rPr>
            </w:pPr>
            <w:r>
              <w:rPr>
                <w:b/>
                <w:color w:val="FF0000"/>
                <w:sz w:val="21"/>
                <w:szCs w:val="24"/>
              </w:rPr>
              <w:t>10 432</w:t>
            </w:r>
          </w:p>
        </w:tc>
      </w:tr>
    </w:tbl>
    <w:p w:rsidR="00000000" w:rsidRDefault="00B83709">
      <w:pPr>
        <w:spacing w:after="240" w:line="360" w:lineRule="exact"/>
        <w:rPr>
          <w:szCs w:val="24"/>
        </w:rPr>
      </w:pPr>
      <w:r>
        <w:rPr>
          <w:rFonts w:eastAsia="KaiTi_GB2312" w:hint="eastAsia"/>
          <w:b/>
          <w:color w:val="0000FF"/>
          <w:szCs w:val="24"/>
        </w:rPr>
        <w:t>资料来源：</w:t>
      </w:r>
      <w:r>
        <w:rPr>
          <w:rFonts w:eastAsia="KaiTi_GB2312" w:hint="eastAsia"/>
          <w:color w:val="0000FF"/>
          <w:szCs w:val="24"/>
        </w:rPr>
        <w:t>大学部。</w:t>
      </w:r>
    </w:p>
    <w:p w:rsidR="00000000" w:rsidRDefault="00B83709">
      <w:pPr>
        <w:numPr>
          <w:ilvl w:val="0"/>
          <w:numId w:val="1049"/>
        </w:numPr>
        <w:tabs>
          <w:tab w:val="clear" w:pos="360"/>
          <w:tab w:val="num" w:pos="480"/>
        </w:tabs>
        <w:spacing w:after="240" w:line="360" w:lineRule="exact"/>
        <w:rPr>
          <w:szCs w:val="24"/>
        </w:rPr>
      </w:pPr>
      <w:r>
        <w:rPr>
          <w:rFonts w:hint="eastAsia"/>
          <w:szCs w:val="24"/>
        </w:rPr>
        <w:t>总之，泰国女孩和男孩享有同等教育机会。泰国没有禁止任何年龄的妇女或男子在任何领域学习的规章制度，但军事学院和警察学院除外（不过，高中女生可选择同男生一道接受国防培训）。女生通常认识到，她们的教育机会已经扩大。但</w:t>
      </w:r>
      <w:r>
        <w:rPr>
          <w:rFonts w:hint="eastAsia"/>
          <w:szCs w:val="24"/>
        </w:rPr>
        <w:t>实际上，两性分工方面的社会态度根深蒂固，将妇女的学业选择限制在最适合妇女传统角色的领域（如社会科学、护理），并且排斥职业教育。尽管教育领域对妇女的歧视不像以往那样严重，但还没有消除。主要社会机构（家庭、教育、就业）接受并加强家庭和公共领域里的传统性别角色。家庭是与儿童最密切并且对儿童影响最大的社会机构。在选择课程或专业方面，子女通常首先得到家庭的建议和指导，这样的建议和指导往往支持女孩充当和从事传统定型的角色和职业。此外，大多数学校辅导员仍没有对性别的观念，雇主在土木工程和林业等就业领域仍歧视妇女。因此，消</w:t>
      </w:r>
      <w:r>
        <w:rPr>
          <w:rFonts w:hint="eastAsia"/>
          <w:szCs w:val="24"/>
        </w:rPr>
        <w:t>除教育领域的歧视需要更多时间来提高泰国社会对支持妇女和男子进入更广泛专业和职业领域的好处的认识和理解。</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第十一条：就业</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缔约各国应采取一切适当措施，消除在就业方面对妇女的歧视，以保证她们在男女平等的基础上享有相同权利，特别是：</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a</w:t>
      </w:r>
      <w:r>
        <w:rPr>
          <w:rFonts w:eastAsia="KaiTi_GB2312"/>
          <w:color w:val="0000FF"/>
          <w:szCs w:val="24"/>
        </w:rPr>
        <w:t>）人人有不可剥夺的工作权利；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b</w:t>
      </w:r>
      <w:r>
        <w:rPr>
          <w:rFonts w:eastAsia="KaiTi_GB2312"/>
          <w:color w:val="0000FF"/>
          <w:szCs w:val="24"/>
        </w:rPr>
        <w:t>）享有相同就业机会的权利，包括在就业方面相同的甄选标准；</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c</w:t>
      </w:r>
      <w:r>
        <w:rPr>
          <w:rFonts w:eastAsia="KaiTi_GB2312"/>
          <w:color w:val="0000FF"/>
          <w:szCs w:val="24"/>
        </w:rPr>
        <w:t>）享有自由选择专业和职业，提升和工作保障，一切服务福利和条件，接受职业训练和再训练，包括实习训练</w:t>
      </w:r>
      <w:r>
        <w:rPr>
          <w:rFonts w:eastAsia="KaiTi_GB2312" w:hint="eastAsia"/>
          <w:color w:val="0000FF"/>
          <w:szCs w:val="24"/>
        </w:rPr>
        <w:t>、</w:t>
      </w:r>
      <w:r>
        <w:rPr>
          <w:rFonts w:eastAsia="KaiTi_GB2312"/>
          <w:color w:val="0000FF"/>
          <w:szCs w:val="24"/>
        </w:rPr>
        <w:t>高等职业训练和经常训练的权利；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d</w:t>
      </w:r>
      <w:r>
        <w:rPr>
          <w:rFonts w:eastAsia="KaiTi_GB2312"/>
          <w:color w:val="0000FF"/>
          <w:szCs w:val="24"/>
        </w:rPr>
        <w:t>）</w:t>
      </w:r>
      <w:r>
        <w:rPr>
          <w:rFonts w:eastAsia="KaiTi_GB2312"/>
          <w:color w:val="0000FF"/>
          <w:szCs w:val="24"/>
        </w:rPr>
        <w:t xml:space="preserve"> </w:t>
      </w:r>
      <w:r>
        <w:rPr>
          <w:rFonts w:eastAsia="KaiTi_GB2312"/>
          <w:color w:val="0000FF"/>
          <w:szCs w:val="24"/>
        </w:rPr>
        <w:t>同样价值的工作享有同等报酬包括福利和享</w:t>
      </w:r>
      <w:r>
        <w:rPr>
          <w:rFonts w:eastAsia="KaiTi_GB2312"/>
          <w:color w:val="0000FF"/>
          <w:szCs w:val="24"/>
        </w:rPr>
        <w:t>有平等待遇的权利，在评定工作的表现方面，享有平等待遇的权利；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e</w:t>
      </w:r>
      <w:r>
        <w:rPr>
          <w:rFonts w:eastAsia="KaiTi_GB2312"/>
          <w:color w:val="0000FF"/>
          <w:szCs w:val="24"/>
        </w:rPr>
        <w:t>）享有社会保障的权利，特别是在退休、失业、疾病、残废和老年或在其他丧失工作能力的情况下，以及享有带薪假的权利；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f</w:t>
      </w:r>
      <w:r>
        <w:rPr>
          <w:rFonts w:eastAsia="KaiTi_GB2312"/>
          <w:color w:val="0000FF"/>
          <w:szCs w:val="24"/>
        </w:rPr>
        <w:t>）在工作条件中享有健康和安全保障，包括保障生育机能的权利。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缔约各国为使妇女不致因结婚或生育而受歧视，又为保障其有效的工作权利起见，应采取适当措施：</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a</w:t>
      </w:r>
      <w:r>
        <w:rPr>
          <w:rFonts w:eastAsia="KaiTi_GB2312"/>
          <w:color w:val="0000FF"/>
          <w:szCs w:val="24"/>
        </w:rPr>
        <w:t>）禁止以怀孕或产假为理由予以解雇，以及以婚姻状况为理由予以解雇的歧视，违反规定者得受处分；</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b</w:t>
      </w:r>
      <w:r>
        <w:rPr>
          <w:rFonts w:eastAsia="KaiTi_GB2312"/>
          <w:color w:val="0000FF"/>
          <w:szCs w:val="24"/>
        </w:rPr>
        <w:t>）实施带薪产假或具有同等社会福利的产假，不丧失原有工作、年资或社会津贴</w:t>
      </w:r>
      <w:r>
        <w:rPr>
          <w:rFonts w:eastAsia="KaiTi_GB2312"/>
          <w:color w:val="0000FF"/>
          <w:szCs w:val="24"/>
        </w:rPr>
        <w:t>；</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c</w:t>
      </w:r>
      <w:r>
        <w:rPr>
          <w:rFonts w:eastAsia="KaiTi_GB2312"/>
          <w:color w:val="0000FF"/>
          <w:szCs w:val="24"/>
        </w:rPr>
        <w:t>）鼓励提供必要的辅助性社会服务，特别是通过促进建立和发展托儿设施</w:t>
      </w:r>
      <w:r>
        <w:rPr>
          <w:rFonts w:eastAsia="KaiTi_GB2312" w:hint="eastAsia"/>
          <w:color w:val="0000FF"/>
          <w:szCs w:val="24"/>
        </w:rPr>
        <w:t>系统，</w:t>
      </w:r>
      <w:r>
        <w:rPr>
          <w:rFonts w:eastAsia="KaiTi_GB2312"/>
          <w:color w:val="0000FF"/>
          <w:szCs w:val="24"/>
        </w:rPr>
        <w:t>使父母得以兼顾家庭义务和工作责任并参与公共事务；</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d</w:t>
      </w:r>
      <w:r>
        <w:rPr>
          <w:rFonts w:eastAsia="KaiTi_GB2312"/>
          <w:color w:val="0000FF"/>
          <w:szCs w:val="24"/>
        </w:rPr>
        <w:t>）对于怀孕期间从事确实有害于健康的工作的妇女，给予特别保护。</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hint="eastAsia"/>
          <w:color w:val="0000FF"/>
          <w:szCs w:val="24"/>
        </w:rPr>
      </w:pPr>
      <w:r>
        <w:rPr>
          <w:rFonts w:eastAsia="KaiTi_GB2312"/>
          <w:color w:val="0000FF"/>
          <w:szCs w:val="24"/>
        </w:rPr>
        <w:t>应参照科技知识，定期审查与本条所包涵的内容有关的保护性法律，必要时应加以修订、废止或推广。</w:t>
      </w:r>
      <w:r>
        <w:rPr>
          <w:rFonts w:eastAsia="KaiTi_GB2312"/>
          <w:color w:val="0000FF"/>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截至</w:t>
      </w:r>
      <w:r>
        <w:rPr>
          <w:rFonts w:hint="eastAsia"/>
          <w:szCs w:val="24"/>
        </w:rPr>
        <w:t>2000</w:t>
      </w:r>
      <w:r>
        <w:rPr>
          <w:rFonts w:hint="eastAsia"/>
          <w:szCs w:val="24"/>
        </w:rPr>
        <w:t>年</w:t>
      </w:r>
      <w:r>
        <w:rPr>
          <w:rFonts w:hint="eastAsia"/>
          <w:szCs w:val="24"/>
        </w:rPr>
        <w:t>4</w:t>
      </w:r>
      <w:r>
        <w:rPr>
          <w:rFonts w:hint="eastAsia"/>
          <w:szCs w:val="24"/>
        </w:rPr>
        <w:t>月</w:t>
      </w:r>
      <w:r>
        <w:rPr>
          <w:rFonts w:hint="eastAsia"/>
          <w:szCs w:val="24"/>
        </w:rPr>
        <w:t>1</w:t>
      </w:r>
      <w:r>
        <w:rPr>
          <w:rFonts w:hint="eastAsia"/>
          <w:szCs w:val="24"/>
        </w:rPr>
        <w:t>日的人口和住房普查数据表明，泰国人口为</w:t>
      </w:r>
      <w:r>
        <w:rPr>
          <w:szCs w:val="24"/>
        </w:rPr>
        <w:t>6</w:t>
      </w:r>
      <w:r>
        <w:rPr>
          <w:rFonts w:hint="eastAsia"/>
          <w:szCs w:val="24"/>
        </w:rPr>
        <w:t xml:space="preserve"> </w:t>
      </w:r>
      <w:r>
        <w:rPr>
          <w:szCs w:val="24"/>
        </w:rPr>
        <w:t>06</w:t>
      </w:r>
      <w:r>
        <w:rPr>
          <w:rFonts w:hint="eastAsia"/>
          <w:szCs w:val="24"/>
        </w:rPr>
        <w:t>0</w:t>
      </w:r>
      <w:r>
        <w:rPr>
          <w:rFonts w:hint="eastAsia"/>
          <w:szCs w:val="24"/>
        </w:rPr>
        <w:t>万人（男子</w:t>
      </w:r>
      <w:r>
        <w:rPr>
          <w:rFonts w:hint="eastAsia"/>
          <w:szCs w:val="24"/>
        </w:rPr>
        <w:t>2 980</w:t>
      </w:r>
      <w:r>
        <w:rPr>
          <w:rFonts w:hint="eastAsia"/>
          <w:szCs w:val="24"/>
        </w:rPr>
        <w:t>万，妇女</w:t>
      </w:r>
      <w:r>
        <w:rPr>
          <w:rFonts w:hint="eastAsia"/>
          <w:szCs w:val="24"/>
        </w:rPr>
        <w:t>3 080</w:t>
      </w:r>
      <w:r>
        <w:rPr>
          <w:rFonts w:hint="eastAsia"/>
          <w:szCs w:val="24"/>
        </w:rPr>
        <w:t>万），男女比例为</w:t>
      </w:r>
      <w:r>
        <w:rPr>
          <w:rFonts w:hint="eastAsia"/>
          <w:szCs w:val="24"/>
        </w:rPr>
        <w:t>97</w:t>
      </w:r>
      <w:r>
        <w:rPr>
          <w:szCs w:val="24"/>
        </w:rPr>
        <w:t>:</w:t>
      </w:r>
      <w:r>
        <w:rPr>
          <w:rFonts w:hint="eastAsia"/>
          <w:szCs w:val="24"/>
        </w:rPr>
        <w:t>100</w:t>
      </w:r>
      <w:r>
        <w:rPr>
          <w:rFonts w:hint="eastAsia"/>
          <w:szCs w:val="24"/>
        </w:rPr>
        <w:t>。因此，当时全国各地区的妇女人数多于男子。</w:t>
      </w:r>
    </w:p>
    <w:p w:rsidR="00000000" w:rsidRDefault="00B83709">
      <w:pPr>
        <w:numPr>
          <w:ilvl w:val="0"/>
          <w:numId w:val="1049"/>
        </w:numPr>
        <w:tabs>
          <w:tab w:val="clear" w:pos="360"/>
          <w:tab w:val="num" w:pos="480"/>
        </w:tabs>
        <w:spacing w:after="240" w:line="360" w:lineRule="exact"/>
        <w:rPr>
          <w:szCs w:val="24"/>
        </w:rPr>
      </w:pPr>
      <w:r>
        <w:rPr>
          <w:rFonts w:hint="eastAsia"/>
          <w:szCs w:val="24"/>
        </w:rPr>
        <w:t>考虑到</w:t>
      </w:r>
      <w:r>
        <w:rPr>
          <w:rFonts w:hint="eastAsia"/>
          <w:szCs w:val="24"/>
        </w:rPr>
        <w:t>2000</w:t>
      </w:r>
      <w:r>
        <w:rPr>
          <w:rFonts w:hint="eastAsia"/>
          <w:szCs w:val="24"/>
        </w:rPr>
        <w:t>年按年龄组划分的人口，</w:t>
      </w:r>
      <w:r>
        <w:rPr>
          <w:rFonts w:hint="eastAsia"/>
          <w:szCs w:val="24"/>
        </w:rPr>
        <w:t>0-</w:t>
      </w:r>
      <w:r>
        <w:rPr>
          <w:rFonts w:hint="eastAsia"/>
          <w:szCs w:val="24"/>
        </w:rPr>
        <w:t>14</w:t>
      </w:r>
      <w:r>
        <w:rPr>
          <w:rFonts w:hint="eastAsia"/>
          <w:szCs w:val="24"/>
        </w:rPr>
        <w:t>岁人口占总人口的</w:t>
      </w:r>
      <w:r>
        <w:rPr>
          <w:szCs w:val="24"/>
        </w:rPr>
        <w:t>24.1%</w:t>
      </w:r>
      <w:r>
        <w:rPr>
          <w:rFonts w:hint="eastAsia"/>
          <w:szCs w:val="24"/>
        </w:rPr>
        <w:t>（</w:t>
      </w:r>
      <w:r>
        <w:rPr>
          <w:szCs w:val="24"/>
        </w:rPr>
        <w:t>1</w:t>
      </w:r>
      <w:r>
        <w:rPr>
          <w:rFonts w:hint="eastAsia"/>
          <w:szCs w:val="24"/>
        </w:rPr>
        <w:t xml:space="preserve"> </w:t>
      </w:r>
      <w:r>
        <w:rPr>
          <w:szCs w:val="24"/>
        </w:rPr>
        <w:t>46</w:t>
      </w:r>
      <w:r>
        <w:rPr>
          <w:rFonts w:hint="eastAsia"/>
          <w:szCs w:val="24"/>
        </w:rPr>
        <w:t>0</w:t>
      </w:r>
      <w:r>
        <w:rPr>
          <w:rFonts w:hint="eastAsia"/>
          <w:szCs w:val="24"/>
        </w:rPr>
        <w:t>万），工作年龄人口（</w:t>
      </w:r>
      <w:r>
        <w:rPr>
          <w:szCs w:val="24"/>
        </w:rPr>
        <w:t>15</w:t>
      </w:r>
      <w:r>
        <w:rPr>
          <w:rFonts w:hint="eastAsia"/>
          <w:szCs w:val="24"/>
        </w:rPr>
        <w:t>-</w:t>
      </w:r>
      <w:r>
        <w:rPr>
          <w:szCs w:val="24"/>
        </w:rPr>
        <w:t>59</w:t>
      </w:r>
      <w:r>
        <w:rPr>
          <w:rFonts w:hint="eastAsia"/>
          <w:szCs w:val="24"/>
        </w:rPr>
        <w:t>岁）占</w:t>
      </w:r>
      <w:r>
        <w:rPr>
          <w:szCs w:val="24"/>
        </w:rPr>
        <w:t xml:space="preserve"> 65.5% </w:t>
      </w:r>
      <w:r>
        <w:rPr>
          <w:rFonts w:hint="eastAsia"/>
          <w:szCs w:val="24"/>
        </w:rPr>
        <w:t>（</w:t>
      </w:r>
      <w:r>
        <w:rPr>
          <w:rFonts w:hint="eastAsia"/>
          <w:szCs w:val="24"/>
        </w:rPr>
        <w:t>4 030</w:t>
      </w:r>
      <w:r>
        <w:rPr>
          <w:rFonts w:hint="eastAsia"/>
          <w:szCs w:val="24"/>
        </w:rPr>
        <w:t>万），而老年人（</w:t>
      </w:r>
      <w:r>
        <w:rPr>
          <w:rFonts w:hint="eastAsia"/>
          <w:szCs w:val="24"/>
        </w:rPr>
        <w:t>60</w:t>
      </w:r>
      <w:r>
        <w:rPr>
          <w:rFonts w:hint="eastAsia"/>
          <w:szCs w:val="24"/>
        </w:rPr>
        <w:t>岁及以上）占</w:t>
      </w:r>
      <w:r>
        <w:rPr>
          <w:szCs w:val="24"/>
        </w:rPr>
        <w:t>9.4%</w:t>
      </w:r>
      <w:r>
        <w:rPr>
          <w:rFonts w:hint="eastAsia"/>
          <w:szCs w:val="24"/>
        </w:rPr>
        <w:t>（</w:t>
      </w:r>
      <w:r>
        <w:rPr>
          <w:rFonts w:hint="eastAsia"/>
          <w:szCs w:val="24"/>
        </w:rPr>
        <w:t>570</w:t>
      </w:r>
      <w:r>
        <w:rPr>
          <w:rFonts w:hint="eastAsia"/>
          <w:szCs w:val="24"/>
        </w:rPr>
        <w:t>万）。最年轻年龄组（</w:t>
      </w:r>
      <w:r>
        <w:rPr>
          <w:rFonts w:hint="eastAsia"/>
          <w:szCs w:val="24"/>
        </w:rPr>
        <w:t>0-14</w:t>
      </w:r>
      <w:r>
        <w:rPr>
          <w:rFonts w:hint="eastAsia"/>
          <w:szCs w:val="24"/>
        </w:rPr>
        <w:t>岁）的男性多于女性，但老年组的情况正好相反。工作年龄男女的比例大致相同（分别为</w:t>
      </w:r>
      <w:r>
        <w:rPr>
          <w:szCs w:val="24"/>
        </w:rPr>
        <w:t>66.1%</w:t>
      </w:r>
      <w:r>
        <w:rPr>
          <w:rFonts w:hint="eastAsia"/>
          <w:szCs w:val="24"/>
        </w:rPr>
        <w:t>和</w:t>
      </w:r>
      <w:r>
        <w:rPr>
          <w:szCs w:val="24"/>
        </w:rPr>
        <w:t>66.8%</w:t>
      </w:r>
      <w:r>
        <w:rPr>
          <w:rFonts w:hint="eastAsia"/>
          <w:szCs w:val="24"/>
        </w:rPr>
        <w:t>）。尽管劳动力中的男女（</w:t>
      </w:r>
      <w:r>
        <w:rPr>
          <w:rFonts w:hint="eastAsia"/>
          <w:szCs w:val="24"/>
        </w:rPr>
        <w:t>13</w:t>
      </w:r>
      <w:r>
        <w:rPr>
          <w:rFonts w:hint="eastAsia"/>
          <w:szCs w:val="24"/>
        </w:rPr>
        <w:t>岁及以上）人数在</w:t>
      </w:r>
      <w:r>
        <w:rPr>
          <w:rFonts w:hint="eastAsia"/>
          <w:szCs w:val="24"/>
        </w:rPr>
        <w:t>2000</w:t>
      </w:r>
      <w:r>
        <w:rPr>
          <w:rFonts w:hint="eastAsia"/>
          <w:szCs w:val="24"/>
        </w:rPr>
        <w:t>年非常接近，但被列为非劳动力的妇女多于男子。这些妇女大多是家庭主妇，并且被视为非在业人口（依据国家统计局</w:t>
      </w:r>
      <w:r>
        <w:rPr>
          <w:rFonts w:hint="eastAsia"/>
          <w:szCs w:val="24"/>
        </w:rPr>
        <w:t>1999</w:t>
      </w:r>
      <w:r>
        <w:rPr>
          <w:rFonts w:hint="eastAsia"/>
          <w:szCs w:val="24"/>
        </w:rPr>
        <w:t>年的性别统计数据）。</w:t>
      </w:r>
    </w:p>
    <w:p w:rsidR="00000000" w:rsidRDefault="00B83709">
      <w:pPr>
        <w:numPr>
          <w:ilvl w:val="0"/>
          <w:numId w:val="1049"/>
        </w:numPr>
        <w:tabs>
          <w:tab w:val="clear" w:pos="360"/>
          <w:tab w:val="num" w:pos="480"/>
        </w:tabs>
        <w:spacing w:after="240" w:line="360" w:lineRule="exact"/>
        <w:rPr>
          <w:rFonts w:hint="eastAsia"/>
          <w:szCs w:val="24"/>
        </w:rPr>
      </w:pPr>
      <w:r>
        <w:rPr>
          <w:rFonts w:hint="eastAsia"/>
          <w:szCs w:val="24"/>
        </w:rPr>
        <w:t>2000</w:t>
      </w:r>
      <w:r>
        <w:rPr>
          <w:rFonts w:hint="eastAsia"/>
          <w:szCs w:val="24"/>
        </w:rPr>
        <w:t>年人口和住房普查报告，</w:t>
      </w:r>
      <w:r>
        <w:rPr>
          <w:rFonts w:hint="eastAsia"/>
          <w:szCs w:val="24"/>
        </w:rPr>
        <w:t>1999</w:t>
      </w:r>
      <w:r>
        <w:rPr>
          <w:rFonts w:hint="eastAsia"/>
          <w:szCs w:val="24"/>
        </w:rPr>
        <w:t>年</w:t>
      </w:r>
      <w:r>
        <w:rPr>
          <w:rFonts w:hint="eastAsia"/>
          <w:szCs w:val="24"/>
        </w:rPr>
        <w:t>4</w:t>
      </w:r>
      <w:r>
        <w:rPr>
          <w:rFonts w:hint="eastAsia"/>
          <w:szCs w:val="24"/>
        </w:rPr>
        <w:t>月</w:t>
      </w:r>
      <w:r>
        <w:rPr>
          <w:rFonts w:hint="eastAsia"/>
          <w:szCs w:val="24"/>
        </w:rPr>
        <w:t>1</w:t>
      </w:r>
      <w:r>
        <w:rPr>
          <w:rFonts w:hint="eastAsia"/>
          <w:szCs w:val="24"/>
        </w:rPr>
        <w:t>日至</w:t>
      </w:r>
      <w:r>
        <w:rPr>
          <w:rFonts w:hint="eastAsia"/>
          <w:szCs w:val="24"/>
        </w:rPr>
        <w:t>2002</w:t>
      </w:r>
      <w:r>
        <w:rPr>
          <w:rFonts w:hint="eastAsia"/>
          <w:szCs w:val="24"/>
        </w:rPr>
        <w:t>年</w:t>
      </w:r>
      <w:r>
        <w:rPr>
          <w:rFonts w:hint="eastAsia"/>
          <w:szCs w:val="24"/>
        </w:rPr>
        <w:t>3</w:t>
      </w:r>
      <w:r>
        <w:rPr>
          <w:rFonts w:hint="eastAsia"/>
          <w:szCs w:val="24"/>
        </w:rPr>
        <w:t>月</w:t>
      </w:r>
      <w:r>
        <w:rPr>
          <w:rFonts w:hint="eastAsia"/>
          <w:szCs w:val="24"/>
        </w:rPr>
        <w:t>31</w:t>
      </w:r>
      <w:r>
        <w:rPr>
          <w:rFonts w:hint="eastAsia"/>
          <w:szCs w:val="24"/>
        </w:rPr>
        <w:t>日这一年间，</w:t>
      </w:r>
      <w:r>
        <w:rPr>
          <w:rFonts w:hint="eastAsia"/>
          <w:szCs w:val="24"/>
        </w:rPr>
        <w:t>3 410</w:t>
      </w:r>
      <w:r>
        <w:rPr>
          <w:rFonts w:hint="eastAsia"/>
          <w:szCs w:val="24"/>
        </w:rPr>
        <w:t>万（</w:t>
      </w:r>
      <w:r>
        <w:rPr>
          <w:szCs w:val="24"/>
        </w:rPr>
        <w:t>1</w:t>
      </w:r>
      <w:r>
        <w:rPr>
          <w:rFonts w:hint="eastAsia"/>
          <w:szCs w:val="24"/>
        </w:rPr>
        <w:t xml:space="preserve"> </w:t>
      </w:r>
      <w:r>
        <w:rPr>
          <w:szCs w:val="24"/>
        </w:rPr>
        <w:t>76</w:t>
      </w:r>
      <w:r>
        <w:rPr>
          <w:rFonts w:hint="eastAsia"/>
          <w:szCs w:val="24"/>
        </w:rPr>
        <w:t>0</w:t>
      </w:r>
      <w:r>
        <w:rPr>
          <w:rFonts w:hint="eastAsia"/>
          <w:szCs w:val="24"/>
        </w:rPr>
        <w:t>万男子，占</w:t>
      </w:r>
      <w:r>
        <w:rPr>
          <w:szCs w:val="24"/>
        </w:rPr>
        <w:t>51.6%</w:t>
      </w:r>
      <w:r>
        <w:rPr>
          <w:rFonts w:hint="eastAsia"/>
          <w:szCs w:val="24"/>
        </w:rPr>
        <w:t>；</w:t>
      </w:r>
      <w:r>
        <w:rPr>
          <w:szCs w:val="24"/>
        </w:rPr>
        <w:t>1</w:t>
      </w:r>
      <w:r>
        <w:rPr>
          <w:rFonts w:hint="eastAsia"/>
          <w:szCs w:val="24"/>
        </w:rPr>
        <w:t xml:space="preserve"> </w:t>
      </w:r>
      <w:r>
        <w:rPr>
          <w:szCs w:val="24"/>
        </w:rPr>
        <w:t>65</w:t>
      </w:r>
      <w:r>
        <w:rPr>
          <w:rFonts w:hint="eastAsia"/>
          <w:szCs w:val="24"/>
        </w:rPr>
        <w:t>0</w:t>
      </w:r>
      <w:r>
        <w:rPr>
          <w:rFonts w:hint="eastAsia"/>
          <w:szCs w:val="24"/>
        </w:rPr>
        <w:t>万妇女，占</w:t>
      </w:r>
      <w:r>
        <w:rPr>
          <w:szCs w:val="24"/>
        </w:rPr>
        <w:t>48.4%</w:t>
      </w:r>
      <w:r>
        <w:rPr>
          <w:rFonts w:hint="eastAsia"/>
          <w:szCs w:val="24"/>
        </w:rPr>
        <w:t>）</w:t>
      </w:r>
      <w:r>
        <w:rPr>
          <w:szCs w:val="24"/>
        </w:rPr>
        <w:t xml:space="preserve"> </w:t>
      </w:r>
      <w:r>
        <w:rPr>
          <w:rFonts w:hint="eastAsia"/>
          <w:szCs w:val="24"/>
        </w:rPr>
        <w:t>年届</w:t>
      </w:r>
      <w:r>
        <w:rPr>
          <w:rFonts w:hint="eastAsia"/>
          <w:szCs w:val="24"/>
        </w:rPr>
        <w:t>15</w:t>
      </w:r>
      <w:r>
        <w:rPr>
          <w:rFonts w:hint="eastAsia"/>
          <w:szCs w:val="24"/>
        </w:rPr>
        <w:t>岁及以上的人有工作。妇女占总劳动力的</w:t>
      </w:r>
      <w:r>
        <w:rPr>
          <w:szCs w:val="24"/>
        </w:rPr>
        <w:t>48%</w:t>
      </w:r>
      <w:r>
        <w:rPr>
          <w:rFonts w:hint="eastAsia"/>
          <w:szCs w:val="24"/>
        </w:rPr>
        <w:t>（</w:t>
      </w:r>
      <w:r>
        <w:rPr>
          <w:rFonts w:hint="eastAsia"/>
          <w:szCs w:val="24"/>
        </w:rPr>
        <w:t>1990</w:t>
      </w:r>
      <w:r>
        <w:rPr>
          <w:rFonts w:hint="eastAsia"/>
          <w:szCs w:val="24"/>
        </w:rPr>
        <w:t>年为</w:t>
      </w:r>
      <w:r>
        <w:rPr>
          <w:szCs w:val="24"/>
        </w:rPr>
        <w:t>47%</w:t>
      </w:r>
      <w:r>
        <w:rPr>
          <w:rFonts w:hint="eastAsia"/>
          <w:szCs w:val="24"/>
        </w:rPr>
        <w:t>），占总人口中所有妇女的</w:t>
      </w:r>
      <w:r>
        <w:rPr>
          <w:rFonts w:hint="eastAsia"/>
          <w:szCs w:val="24"/>
        </w:rPr>
        <w:t>54%</w:t>
      </w:r>
      <w:r>
        <w:rPr>
          <w:rFonts w:hint="eastAsia"/>
          <w:szCs w:val="24"/>
        </w:rPr>
        <w:t>（</w:t>
      </w:r>
      <w:r>
        <w:rPr>
          <w:rFonts w:hint="eastAsia"/>
          <w:szCs w:val="24"/>
        </w:rPr>
        <w:t>1990</w:t>
      </w:r>
      <w:r>
        <w:rPr>
          <w:rFonts w:hint="eastAsia"/>
          <w:szCs w:val="24"/>
        </w:rPr>
        <w:t>年为</w:t>
      </w:r>
      <w:r>
        <w:rPr>
          <w:rFonts w:hint="eastAsia"/>
          <w:szCs w:val="24"/>
        </w:rPr>
        <w:t>52%</w:t>
      </w:r>
      <w:r>
        <w:rPr>
          <w:rFonts w:hint="eastAsia"/>
          <w:szCs w:val="24"/>
        </w:rPr>
        <w:t>）。劳动力大军中的男子占男性总人口的</w:t>
      </w:r>
      <w:r>
        <w:rPr>
          <w:rFonts w:hint="eastAsia"/>
          <w:szCs w:val="24"/>
        </w:rPr>
        <w:t>59%</w:t>
      </w:r>
      <w:r>
        <w:rPr>
          <w:rFonts w:hint="eastAsia"/>
          <w:szCs w:val="24"/>
        </w:rPr>
        <w:t>（</w:t>
      </w:r>
      <w:r>
        <w:rPr>
          <w:rFonts w:hint="eastAsia"/>
          <w:szCs w:val="24"/>
        </w:rPr>
        <w:t>1990</w:t>
      </w:r>
      <w:r>
        <w:rPr>
          <w:rFonts w:hint="eastAsia"/>
          <w:szCs w:val="24"/>
        </w:rPr>
        <w:t>年为</w:t>
      </w:r>
      <w:r>
        <w:rPr>
          <w:rFonts w:hint="eastAsia"/>
          <w:szCs w:val="24"/>
        </w:rPr>
        <w:t>60%</w:t>
      </w:r>
      <w:r>
        <w:rPr>
          <w:rFonts w:hint="eastAsia"/>
          <w:szCs w:val="24"/>
        </w:rPr>
        <w:t>）。这些数字表明，妇女已经成为泰国劳动力中的重要部分，而且以后甚至将成为更加重要的组成部分。在已工作的劳动力中，</w:t>
      </w:r>
      <w:r>
        <w:rPr>
          <w:szCs w:val="24"/>
        </w:rPr>
        <w:t>55.17%</w:t>
      </w:r>
      <w:r>
        <w:rPr>
          <w:rFonts w:hint="eastAsia"/>
          <w:szCs w:val="24"/>
        </w:rPr>
        <w:t>的妇女在农业部门工作，</w:t>
      </w:r>
      <w:r>
        <w:rPr>
          <w:szCs w:val="24"/>
        </w:rPr>
        <w:t>44.83%</w:t>
      </w:r>
      <w:r>
        <w:rPr>
          <w:rFonts w:hint="eastAsia"/>
          <w:szCs w:val="24"/>
        </w:rPr>
        <w:t>在其他非农业部门工作，最突出的是批发（</w:t>
      </w:r>
      <w:r>
        <w:rPr>
          <w:szCs w:val="24"/>
        </w:rPr>
        <w:t>11.6%</w:t>
      </w:r>
      <w:r>
        <w:rPr>
          <w:rFonts w:hint="eastAsia"/>
          <w:szCs w:val="24"/>
        </w:rPr>
        <w:t>）和生产（</w:t>
      </w:r>
      <w:r>
        <w:rPr>
          <w:szCs w:val="24"/>
        </w:rPr>
        <w:t>8.99%</w:t>
      </w:r>
      <w:r>
        <w:rPr>
          <w:rFonts w:hint="eastAsia"/>
          <w:szCs w:val="24"/>
        </w:rPr>
        <w:t>）（表</w:t>
      </w:r>
      <w:r>
        <w:rPr>
          <w:rFonts w:hint="eastAsia"/>
          <w:szCs w:val="24"/>
        </w:rPr>
        <w:t>17</w:t>
      </w:r>
      <w:r>
        <w:rPr>
          <w:rFonts w:hint="eastAsia"/>
          <w:szCs w:val="24"/>
        </w:rPr>
        <w:t xml:space="preserve">）。在农业部门以外工作的男子的比例略高于妇女。妇女主要在商业、服务和职业专门工作，而男子往往更多地在交通、行政管理以及手工艺或生产领域工作。　</w:t>
      </w:r>
    </w:p>
    <w:p w:rsidR="00000000" w:rsidRDefault="00B83709">
      <w:pPr>
        <w:spacing w:after="240" w:line="360" w:lineRule="exact"/>
        <w:rPr>
          <w:rFonts w:hint="eastAsia"/>
          <w:szCs w:val="24"/>
        </w:rPr>
      </w:pPr>
      <w:r>
        <w:rPr>
          <w:rFonts w:ascii="SimHei" w:eastAsia="SimHei" w:hint="eastAsia"/>
          <w:color w:val="FF0000"/>
        </w:rPr>
        <w:t>表</w:t>
      </w:r>
      <w:r>
        <w:rPr>
          <w:rFonts w:ascii="SimHei" w:eastAsia="SimHei" w:hint="eastAsia"/>
          <w:color w:val="FF0000"/>
        </w:rPr>
        <w:t>17</w:t>
      </w:r>
      <w:r>
        <w:rPr>
          <w:rFonts w:ascii="SimHei" w:eastAsia="SimHei"/>
          <w:color w:val="FF0000"/>
        </w:rPr>
        <w:t xml:space="preserve">. </w:t>
      </w:r>
      <w:r>
        <w:rPr>
          <w:rFonts w:hint="eastAsia"/>
          <w:szCs w:val="24"/>
        </w:rPr>
        <w:t>按行业和性别分列的</w:t>
      </w:r>
      <w:r>
        <w:rPr>
          <w:rFonts w:hint="eastAsia"/>
          <w:szCs w:val="24"/>
        </w:rPr>
        <w:t>15</w:t>
      </w:r>
      <w:r>
        <w:rPr>
          <w:rFonts w:hint="eastAsia"/>
          <w:szCs w:val="24"/>
        </w:rPr>
        <w:t>岁及以上雇员的人数和比例（单位：百万）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6"/>
        <w:gridCol w:w="1000"/>
        <w:gridCol w:w="1000"/>
        <w:gridCol w:w="1001"/>
        <w:gridCol w:w="1001"/>
        <w:gridCol w:w="1001"/>
        <w:gridCol w:w="997"/>
      </w:tblGrid>
      <w:tr w:rsidR="00000000">
        <w:tblPrEx>
          <w:tblCellMar>
            <w:top w:w="0" w:type="dxa"/>
            <w:bottom w:w="0" w:type="dxa"/>
          </w:tblCellMar>
        </w:tblPrEx>
        <w:trPr>
          <w:cantSplit/>
          <w:tblHeader/>
        </w:trPr>
        <w:tc>
          <w:tcPr>
            <w:tcW w:w="2020"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行业类别</w:t>
            </w:r>
          </w:p>
        </w:tc>
        <w:tc>
          <w:tcPr>
            <w:tcW w:w="993"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994"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992"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r>
      <w:tr w:rsidR="00000000">
        <w:tblPrEx>
          <w:tblCellMar>
            <w:top w:w="0" w:type="dxa"/>
            <w:bottom w:w="0" w:type="dxa"/>
          </w:tblCellMar>
        </w:tblPrEx>
        <w:trPr>
          <w:cantSplit/>
          <w:tblHeader/>
        </w:trPr>
        <w:tc>
          <w:tcPr>
            <w:tcW w:w="2020"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49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49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49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49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49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49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r>
      <w:tr w:rsidR="00000000">
        <w:tblPrEx>
          <w:tblCellMar>
            <w:top w:w="0" w:type="dxa"/>
            <w:bottom w:w="0" w:type="dxa"/>
          </w:tblCellMar>
        </w:tblPrEx>
        <w:tc>
          <w:tcPr>
            <w:tcW w:w="2020"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总数</w:t>
            </w:r>
          </w:p>
        </w:tc>
        <w:tc>
          <w:tcPr>
            <w:tcW w:w="49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b/>
                <w:color w:val="FF0000"/>
                <w:sz w:val="21"/>
                <w:szCs w:val="24"/>
              </w:rPr>
            </w:pPr>
            <w:r>
              <w:rPr>
                <w:b/>
                <w:color w:val="FF0000"/>
                <w:sz w:val="21"/>
                <w:szCs w:val="24"/>
              </w:rPr>
              <w:t>34.12</w:t>
            </w:r>
          </w:p>
        </w:tc>
        <w:tc>
          <w:tcPr>
            <w:tcW w:w="49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b/>
                <w:color w:val="FF0000"/>
                <w:sz w:val="21"/>
                <w:szCs w:val="24"/>
              </w:rPr>
            </w:pPr>
            <w:r>
              <w:rPr>
                <w:b/>
                <w:color w:val="FF0000"/>
                <w:sz w:val="21"/>
                <w:szCs w:val="24"/>
              </w:rPr>
              <w:t>100.0</w:t>
            </w:r>
          </w:p>
        </w:tc>
        <w:tc>
          <w:tcPr>
            <w:tcW w:w="49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b/>
                <w:color w:val="FF0000"/>
                <w:sz w:val="21"/>
                <w:szCs w:val="24"/>
              </w:rPr>
            </w:pPr>
            <w:r>
              <w:rPr>
                <w:b/>
                <w:color w:val="FF0000"/>
                <w:sz w:val="21"/>
                <w:szCs w:val="24"/>
              </w:rPr>
              <w:t>17.63</w:t>
            </w:r>
          </w:p>
        </w:tc>
        <w:tc>
          <w:tcPr>
            <w:tcW w:w="49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b/>
                <w:color w:val="FF0000"/>
                <w:sz w:val="21"/>
                <w:szCs w:val="24"/>
              </w:rPr>
            </w:pPr>
            <w:r>
              <w:rPr>
                <w:b/>
                <w:color w:val="FF0000"/>
                <w:sz w:val="21"/>
                <w:szCs w:val="24"/>
              </w:rPr>
              <w:t>51.66</w:t>
            </w:r>
          </w:p>
        </w:tc>
        <w:tc>
          <w:tcPr>
            <w:tcW w:w="49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b/>
                <w:color w:val="FF0000"/>
                <w:sz w:val="21"/>
                <w:szCs w:val="24"/>
              </w:rPr>
            </w:pPr>
            <w:r>
              <w:rPr>
                <w:b/>
                <w:color w:val="FF0000"/>
                <w:sz w:val="21"/>
                <w:szCs w:val="24"/>
              </w:rPr>
              <w:t>16.49</w:t>
            </w:r>
          </w:p>
        </w:tc>
        <w:tc>
          <w:tcPr>
            <w:tcW w:w="495"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b/>
                <w:color w:val="FF0000"/>
                <w:sz w:val="21"/>
                <w:szCs w:val="24"/>
              </w:rPr>
            </w:pPr>
            <w:r>
              <w:rPr>
                <w:b/>
                <w:color w:val="FF0000"/>
                <w:sz w:val="21"/>
                <w:szCs w:val="24"/>
              </w:rPr>
              <w:t>48.34</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农业、狩猎和林业</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48.39</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53.91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9.29</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50.52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9.10</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49.48</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渔业</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0.43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1.26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0.31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72.19</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0.12</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27.81</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采矿</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0.04</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70.63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0.01</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29.37</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生产</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3.07</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8.99</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1.42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46.38</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1.65</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53.62</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电力、天然气和供水</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0.31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0.09</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85.08</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0.02</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14.92</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建筑</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1.03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3.02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0.82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79.27</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0.21</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20.73</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批发、零售、汽车修理、摩托车</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3.96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11.60</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1.83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46.27</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2.13</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53.73</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饭店和餐馆</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0.81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2.36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0.31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38.89</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0.49</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61.11</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交通运输、</w:t>
            </w:r>
            <w:r>
              <w:rPr>
                <w:rFonts w:eastAsia="SimSun" w:hint="eastAsia"/>
                <w:sz w:val="21"/>
                <w:szCs w:val="24"/>
              </w:rPr>
              <w:t>商店</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0.85</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2.50</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0.73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86.02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0.12</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13.98</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金融经纪人</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0.26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0.76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50.75</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0.13</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49.25</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21"/>
                <w:szCs w:val="24"/>
              </w:rPr>
            </w:pPr>
            <w:r>
              <w:rPr>
                <w:rFonts w:eastAsia="SimSun" w:hint="eastAsia"/>
                <w:sz w:val="21"/>
                <w:szCs w:val="24"/>
              </w:rPr>
              <w:t>房地产、租赁、商业活动</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0.32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0.94</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0.18</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56.64</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0.14</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43.36</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21"/>
                <w:szCs w:val="24"/>
              </w:rPr>
            </w:pPr>
            <w:r>
              <w:rPr>
                <w:rFonts w:eastAsia="SimSun" w:hint="eastAsia"/>
                <w:sz w:val="21"/>
                <w:szCs w:val="24"/>
              </w:rPr>
              <w:t>政府行政管理、国防和强制性社会保险</w:t>
            </w:r>
            <w:r>
              <w:rPr>
                <w:rFonts w:eastAsia="SimSun"/>
                <w:sz w:val="21"/>
                <w:szCs w:val="24"/>
              </w:rPr>
              <w:t xml:space="preserve"> </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1.15</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3.36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0.83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72.64</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0.31</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27.36</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教育</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1.10</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3.23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0.48</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43.31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0.63</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56.69</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21"/>
                <w:szCs w:val="24"/>
              </w:rPr>
            </w:pPr>
            <w:r>
              <w:rPr>
                <w:rFonts w:eastAsia="SimSun" w:hint="eastAsia"/>
                <w:sz w:val="21"/>
                <w:szCs w:val="24"/>
              </w:rPr>
              <w:t>保健和社会福利</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0.43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1.26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31.02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0.30</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68.98</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21"/>
                <w:szCs w:val="24"/>
              </w:rPr>
            </w:pPr>
            <w:r>
              <w:rPr>
                <w:rFonts w:eastAsia="SimSun" w:hint="eastAsia"/>
                <w:sz w:val="21"/>
                <w:szCs w:val="24"/>
              </w:rPr>
              <w:t>社区、社会和个</w:t>
            </w:r>
            <w:r>
              <w:rPr>
                <w:rFonts w:eastAsia="SimSun" w:hint="eastAsia"/>
                <w:sz w:val="21"/>
                <w:szCs w:val="24"/>
              </w:rPr>
              <w:t>人服务</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1.12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3.29</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0.55</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49.20</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0.57</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50.80</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家庭佣工</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0.23</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0.67</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0.04</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17.31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0.19</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82.69</w:t>
            </w:r>
          </w:p>
        </w:tc>
      </w:tr>
      <w:tr w:rsidR="00000000">
        <w:tblPrEx>
          <w:tblCellMar>
            <w:top w:w="0" w:type="dxa"/>
            <w:bottom w:w="0" w:type="dxa"/>
          </w:tblCellMar>
        </w:tblPrEx>
        <w:tc>
          <w:tcPr>
            <w:tcW w:w="202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国际组织</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0.002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0.006</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0.001</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36.842</w:t>
            </w:r>
          </w:p>
        </w:tc>
        <w:tc>
          <w:tcPr>
            <w:tcW w:w="49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0.001</w:t>
            </w:r>
          </w:p>
        </w:tc>
        <w:tc>
          <w:tcPr>
            <w:tcW w:w="495"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63.158</w:t>
            </w:r>
          </w:p>
        </w:tc>
      </w:tr>
      <w:tr w:rsidR="00000000">
        <w:tblPrEx>
          <w:tblCellMar>
            <w:top w:w="0" w:type="dxa"/>
            <w:bottom w:w="0" w:type="dxa"/>
          </w:tblCellMar>
        </w:tblPrEx>
        <w:tc>
          <w:tcPr>
            <w:tcW w:w="2020"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不详</w:t>
            </w:r>
          </w:p>
        </w:tc>
        <w:tc>
          <w:tcPr>
            <w:tcW w:w="497" w:type="pct"/>
            <w:tcBorders>
              <w:top w:val="nil"/>
              <w:left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0.81</w:t>
            </w:r>
          </w:p>
        </w:tc>
        <w:tc>
          <w:tcPr>
            <w:tcW w:w="497" w:type="pct"/>
            <w:tcBorders>
              <w:top w:val="nil"/>
              <w:left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2.39</w:t>
            </w:r>
          </w:p>
        </w:tc>
        <w:tc>
          <w:tcPr>
            <w:tcW w:w="497" w:type="pct"/>
            <w:tcBorders>
              <w:top w:val="nil"/>
              <w:left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0.43</w:t>
            </w:r>
          </w:p>
        </w:tc>
        <w:tc>
          <w:tcPr>
            <w:tcW w:w="497" w:type="pct"/>
            <w:tcBorders>
              <w:top w:val="nil"/>
              <w:left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53.14</w:t>
            </w:r>
          </w:p>
        </w:tc>
        <w:tc>
          <w:tcPr>
            <w:tcW w:w="497" w:type="pct"/>
            <w:tcBorders>
              <w:top w:val="nil"/>
              <w:left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0.38</w:t>
            </w:r>
          </w:p>
        </w:tc>
        <w:tc>
          <w:tcPr>
            <w:tcW w:w="495" w:type="pct"/>
            <w:tcBorders>
              <w:top w:val="nil"/>
              <w:left w:val="nil"/>
              <w:right w:val="nil"/>
            </w:tcBorders>
          </w:tcPr>
          <w:p w:rsidR="00000000" w:rsidRDefault="00B83709">
            <w:pPr>
              <w:pStyle w:val="BodyText2"/>
              <w:framePr w:w="0" w:hRule="auto" w:hSpace="0" w:wrap="auto" w:vAnchor="margin" w:hAnchor="text" w:xAlign="left" w:yAlign="inline"/>
              <w:tabs>
                <w:tab w:val="decimal" w:pos="374"/>
              </w:tabs>
              <w:spacing w:line="360" w:lineRule="exact"/>
              <w:jc w:val="both"/>
              <w:rPr>
                <w:sz w:val="21"/>
                <w:szCs w:val="24"/>
              </w:rPr>
            </w:pPr>
            <w:r>
              <w:rPr>
                <w:sz w:val="21"/>
                <w:szCs w:val="24"/>
              </w:rPr>
              <w:t>46.86</w:t>
            </w:r>
          </w:p>
        </w:tc>
      </w:tr>
    </w:tbl>
    <w:p w:rsidR="00000000" w:rsidRDefault="00B83709">
      <w:pPr>
        <w:spacing w:after="240" w:line="360" w:lineRule="exact"/>
        <w:rPr>
          <w:szCs w:val="24"/>
        </w:rPr>
      </w:pPr>
      <w:r>
        <w:rPr>
          <w:rFonts w:eastAsia="KaiTi_GB2312" w:hint="eastAsia"/>
          <w:b/>
          <w:color w:val="0000FF"/>
          <w:szCs w:val="24"/>
        </w:rPr>
        <w:t>资料来源：</w:t>
      </w:r>
      <w:r>
        <w:rPr>
          <w:rFonts w:eastAsia="KaiTi_GB2312" w:hint="eastAsia"/>
          <w:bCs/>
          <w:color w:val="0000FF"/>
          <w:szCs w:val="24"/>
        </w:rPr>
        <w:t>国家统计局，</w:t>
      </w:r>
      <w:r>
        <w:rPr>
          <w:rFonts w:eastAsia="KaiTi_GB2312" w:hint="eastAsia"/>
          <w:bCs/>
          <w:color w:val="0000FF"/>
          <w:szCs w:val="24"/>
        </w:rPr>
        <w:t>2000</w:t>
      </w:r>
      <w:r>
        <w:rPr>
          <w:rFonts w:eastAsia="KaiTi_GB2312" w:hint="eastAsia"/>
          <w:bCs/>
          <w:color w:val="0000FF"/>
          <w:szCs w:val="24"/>
        </w:rPr>
        <w:t>年人口和住房普查高级报告。</w:t>
      </w:r>
    </w:p>
    <w:p w:rsidR="00000000" w:rsidRDefault="00B83709">
      <w:pPr>
        <w:numPr>
          <w:ilvl w:val="0"/>
          <w:numId w:val="1049"/>
        </w:numPr>
        <w:tabs>
          <w:tab w:val="clear" w:pos="360"/>
          <w:tab w:val="num" w:pos="480"/>
        </w:tabs>
        <w:spacing w:after="240" w:line="360" w:lineRule="exact"/>
        <w:rPr>
          <w:szCs w:val="24"/>
        </w:rPr>
      </w:pPr>
      <w:r>
        <w:rPr>
          <w:rFonts w:hint="eastAsia"/>
          <w:szCs w:val="24"/>
        </w:rPr>
        <w:t>2001</w:t>
      </w:r>
      <w:r>
        <w:rPr>
          <w:rFonts w:hint="eastAsia"/>
          <w:szCs w:val="24"/>
        </w:rPr>
        <w:t>年</w:t>
      </w:r>
      <w:r>
        <w:rPr>
          <w:rFonts w:hint="eastAsia"/>
          <w:szCs w:val="24"/>
        </w:rPr>
        <w:t>7-9</w:t>
      </w:r>
      <w:r>
        <w:rPr>
          <w:rFonts w:hint="eastAsia"/>
          <w:szCs w:val="24"/>
        </w:rPr>
        <w:t>月第三季度，泰王国全国劳动力调查数据显示，泰国雇工总人数为</w:t>
      </w:r>
      <w:r>
        <w:rPr>
          <w:szCs w:val="24"/>
        </w:rPr>
        <w:t>3</w:t>
      </w:r>
      <w:r>
        <w:rPr>
          <w:rFonts w:hint="eastAsia"/>
          <w:szCs w:val="24"/>
        </w:rPr>
        <w:t xml:space="preserve"> </w:t>
      </w:r>
      <w:r>
        <w:rPr>
          <w:szCs w:val="24"/>
        </w:rPr>
        <w:t>348</w:t>
      </w:r>
      <w:r>
        <w:rPr>
          <w:rFonts w:hint="eastAsia"/>
          <w:szCs w:val="24"/>
        </w:rPr>
        <w:t>万人，其中男性雇工为</w:t>
      </w:r>
      <w:r>
        <w:rPr>
          <w:rFonts w:hint="eastAsia"/>
          <w:szCs w:val="24"/>
        </w:rPr>
        <w:t>1 847</w:t>
      </w:r>
      <w:r>
        <w:rPr>
          <w:rFonts w:hint="eastAsia"/>
          <w:szCs w:val="24"/>
        </w:rPr>
        <w:t>万人（</w:t>
      </w:r>
      <w:r>
        <w:rPr>
          <w:szCs w:val="24"/>
        </w:rPr>
        <w:t>55.16%</w:t>
      </w:r>
      <w:r>
        <w:rPr>
          <w:rFonts w:hint="eastAsia"/>
          <w:szCs w:val="24"/>
        </w:rPr>
        <w:t>），女性</w:t>
      </w:r>
      <w:r>
        <w:rPr>
          <w:szCs w:val="24"/>
        </w:rPr>
        <w:t>1</w:t>
      </w:r>
      <w:r>
        <w:rPr>
          <w:rFonts w:hint="eastAsia"/>
          <w:szCs w:val="24"/>
        </w:rPr>
        <w:t xml:space="preserve"> </w:t>
      </w:r>
      <w:r>
        <w:rPr>
          <w:szCs w:val="24"/>
        </w:rPr>
        <w:t>501</w:t>
      </w:r>
      <w:r>
        <w:rPr>
          <w:rFonts w:hint="eastAsia"/>
          <w:szCs w:val="24"/>
        </w:rPr>
        <w:t>万人（</w:t>
      </w:r>
      <w:r>
        <w:rPr>
          <w:szCs w:val="24"/>
        </w:rPr>
        <w:t>44.84%</w:t>
      </w:r>
      <w:r>
        <w:rPr>
          <w:rFonts w:hint="eastAsia"/>
          <w:szCs w:val="24"/>
        </w:rPr>
        <w:t>）。按年龄组分类，</w:t>
      </w:r>
      <w:r>
        <w:rPr>
          <w:rFonts w:hint="eastAsia"/>
          <w:szCs w:val="24"/>
        </w:rPr>
        <w:t>15-24</w:t>
      </w:r>
      <w:r>
        <w:rPr>
          <w:rFonts w:hint="eastAsia"/>
          <w:szCs w:val="24"/>
        </w:rPr>
        <w:t>岁、</w:t>
      </w:r>
      <w:r>
        <w:rPr>
          <w:rFonts w:hint="eastAsia"/>
          <w:szCs w:val="24"/>
        </w:rPr>
        <w:t>25-49</w:t>
      </w:r>
      <w:r>
        <w:rPr>
          <w:rFonts w:hint="eastAsia"/>
          <w:szCs w:val="24"/>
        </w:rPr>
        <w:t>岁以及</w:t>
      </w:r>
      <w:r>
        <w:rPr>
          <w:rFonts w:hint="eastAsia"/>
          <w:szCs w:val="24"/>
        </w:rPr>
        <w:t>50</w:t>
      </w:r>
      <w:r>
        <w:rPr>
          <w:rFonts w:hint="eastAsia"/>
          <w:szCs w:val="24"/>
        </w:rPr>
        <w:t>岁及以上女工分别占雇工总人数的</w:t>
      </w:r>
      <w:r>
        <w:rPr>
          <w:szCs w:val="24"/>
        </w:rPr>
        <w:t>7.40%</w:t>
      </w:r>
      <w:r>
        <w:rPr>
          <w:rFonts w:hint="eastAsia"/>
          <w:szCs w:val="24"/>
        </w:rPr>
        <w:t>、</w:t>
      </w:r>
      <w:r>
        <w:rPr>
          <w:szCs w:val="24"/>
        </w:rPr>
        <w:t xml:space="preserve"> 29.36%</w:t>
      </w:r>
      <w:r>
        <w:rPr>
          <w:rFonts w:hint="eastAsia"/>
          <w:szCs w:val="24"/>
        </w:rPr>
        <w:t>和</w:t>
      </w:r>
      <w:r>
        <w:rPr>
          <w:szCs w:val="24"/>
        </w:rPr>
        <w:t>8.08%</w:t>
      </w:r>
      <w:r>
        <w:rPr>
          <w:rFonts w:hint="eastAsia"/>
          <w:szCs w:val="24"/>
        </w:rPr>
        <w:t>（表</w:t>
      </w:r>
      <w:r>
        <w:rPr>
          <w:rFonts w:hint="eastAsia"/>
          <w:szCs w:val="24"/>
        </w:rPr>
        <w:t>18</w:t>
      </w:r>
      <w:r>
        <w:rPr>
          <w:rFonts w:hint="eastAsia"/>
          <w:szCs w:val="24"/>
        </w:rPr>
        <w:t>）。</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18</w:t>
      </w:r>
      <w:r>
        <w:rPr>
          <w:rFonts w:ascii="SimHei"/>
          <w:color w:val="FF0000"/>
          <w:sz w:val="21"/>
        </w:rPr>
        <w:t xml:space="preserve">. </w:t>
      </w:r>
      <w:r>
        <w:rPr>
          <w:rFonts w:eastAsia="SimSun" w:hint="eastAsia"/>
          <w:sz w:val="21"/>
          <w:szCs w:val="24"/>
        </w:rPr>
        <w:t>按年龄组和性别分列的雇工人数（单位：千）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4"/>
        <w:gridCol w:w="1852"/>
        <w:gridCol w:w="1160"/>
        <w:gridCol w:w="1160"/>
        <w:gridCol w:w="1160"/>
        <w:gridCol w:w="1160"/>
        <w:gridCol w:w="1160"/>
        <w:gridCol w:w="1160"/>
      </w:tblGrid>
      <w:tr w:rsidR="00000000">
        <w:tblPrEx>
          <w:tblCellMar>
            <w:top w:w="0" w:type="dxa"/>
            <w:bottom w:w="0" w:type="dxa"/>
          </w:tblCellMar>
        </w:tblPrEx>
        <w:trPr>
          <w:cantSplit/>
        </w:trPr>
        <w:tc>
          <w:tcPr>
            <w:tcW w:w="623" w:type="pct"/>
            <w:vMerge w:val="restart"/>
            <w:tcBorders>
              <w:left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年龄组</w:t>
            </w:r>
          </w:p>
        </w:tc>
        <w:tc>
          <w:tcPr>
            <w:tcW w:w="920" w:type="pct"/>
            <w:vMerge w:val="restart"/>
            <w:tcBorders>
              <w:left w:val="nil"/>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女雇工</w:t>
            </w:r>
            <w:r>
              <w:rPr>
                <w:rFonts w:hint="eastAsia"/>
                <w:bCs/>
                <w:color w:val="FF0000"/>
                <w:sz w:val="21"/>
                <w:szCs w:val="24"/>
              </w:rPr>
              <w:t>/</w:t>
            </w:r>
            <w:r>
              <w:rPr>
                <w:rFonts w:hint="eastAsia"/>
                <w:bCs/>
                <w:color w:val="FF0000"/>
                <w:sz w:val="21"/>
                <w:szCs w:val="24"/>
              </w:rPr>
              <w:t>雇工总数</w:t>
            </w:r>
          </w:p>
        </w:tc>
        <w:tc>
          <w:tcPr>
            <w:tcW w:w="1152" w:type="pct"/>
            <w:gridSpan w:val="2"/>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1152" w:type="pct"/>
            <w:gridSpan w:val="2"/>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1152" w:type="pct"/>
            <w:gridSpan w:val="2"/>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r>
      <w:tr w:rsidR="00000000">
        <w:tblPrEx>
          <w:tblCellMar>
            <w:top w:w="0" w:type="dxa"/>
            <w:bottom w:w="0" w:type="dxa"/>
          </w:tblCellMar>
        </w:tblPrEx>
        <w:trPr>
          <w:cantSplit/>
        </w:trPr>
        <w:tc>
          <w:tcPr>
            <w:tcW w:w="623" w:type="pct"/>
            <w:vMerge/>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920" w:type="pct"/>
            <w:vMerge/>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p>
        </w:tc>
        <w:tc>
          <w:tcPr>
            <w:tcW w:w="57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7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57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7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57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7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总数</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b/>
                <w:color w:val="FF0000"/>
                <w:sz w:val="21"/>
                <w:szCs w:val="24"/>
              </w:rPr>
            </w:pPr>
            <w:r>
              <w:rPr>
                <w:b/>
                <w:color w:val="FF0000"/>
                <w:sz w:val="21"/>
                <w:szCs w:val="24"/>
              </w:rPr>
              <w:t>44.84</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b/>
                <w:color w:val="FF0000"/>
                <w:sz w:val="21"/>
                <w:szCs w:val="24"/>
              </w:rPr>
            </w:pPr>
            <w:r>
              <w:rPr>
                <w:b/>
                <w:color w:val="FF0000"/>
                <w:sz w:val="21"/>
                <w:szCs w:val="24"/>
              </w:rPr>
              <w:t>33 484.0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b/>
                <w:color w:val="FF0000"/>
                <w:sz w:val="21"/>
                <w:szCs w:val="24"/>
              </w:rPr>
            </w:pPr>
            <w:r>
              <w:rPr>
                <w:b/>
                <w:color w:val="FF0000"/>
                <w:sz w:val="21"/>
                <w:szCs w:val="24"/>
              </w:rPr>
              <w:t>100.00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b/>
                <w:color w:val="FF0000"/>
                <w:sz w:val="21"/>
                <w:szCs w:val="24"/>
              </w:rPr>
            </w:pPr>
            <w:r>
              <w:rPr>
                <w:b/>
                <w:color w:val="FF0000"/>
                <w:sz w:val="21"/>
                <w:szCs w:val="24"/>
              </w:rPr>
              <w:t>18 471.2</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b/>
                <w:color w:val="FF0000"/>
                <w:sz w:val="21"/>
                <w:szCs w:val="24"/>
              </w:rPr>
            </w:pPr>
            <w:r>
              <w:rPr>
                <w:b/>
                <w:color w:val="FF0000"/>
                <w:sz w:val="21"/>
                <w:szCs w:val="24"/>
              </w:rPr>
              <w:t>55.16</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b/>
                <w:color w:val="FF0000"/>
                <w:sz w:val="21"/>
                <w:szCs w:val="24"/>
              </w:rPr>
            </w:pPr>
            <w:r>
              <w:rPr>
                <w:b/>
                <w:color w:val="FF0000"/>
                <w:sz w:val="21"/>
                <w:szCs w:val="24"/>
              </w:rPr>
              <w:t>15</w:t>
            </w:r>
            <w:r>
              <w:rPr>
                <w:rFonts w:hint="eastAsia"/>
                <w:b/>
                <w:color w:val="FF0000"/>
                <w:sz w:val="21"/>
                <w:szCs w:val="24"/>
              </w:rPr>
              <w:t xml:space="preserve"> </w:t>
            </w:r>
            <w:r>
              <w:rPr>
                <w:b/>
                <w:color w:val="FF0000"/>
                <w:sz w:val="21"/>
                <w:szCs w:val="24"/>
              </w:rPr>
              <w:t>012.8</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b/>
                <w:color w:val="FF0000"/>
                <w:sz w:val="21"/>
                <w:szCs w:val="24"/>
              </w:rPr>
            </w:pPr>
            <w:r>
              <w:rPr>
                <w:b/>
                <w:color w:val="FF0000"/>
                <w:sz w:val="21"/>
                <w:szCs w:val="24"/>
              </w:rPr>
              <w:t>44.84</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15-19</w:t>
            </w:r>
            <w:r>
              <w:rPr>
                <w:rFonts w:eastAsia="SimSun" w:hint="eastAsia"/>
                <w:sz w:val="21"/>
                <w:szCs w:val="24"/>
              </w:rPr>
              <w:t>岁</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2.19</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1 776.7</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5.31</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1 044.9</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58.81</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731.8</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41.19</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20-2</w:t>
            </w:r>
            <w:r>
              <w:rPr>
                <w:rFonts w:eastAsia="SimSun"/>
                <w:sz w:val="21"/>
                <w:szCs w:val="24"/>
              </w:rPr>
              <w:t>4</w:t>
            </w:r>
            <w:r>
              <w:rPr>
                <w:rFonts w:eastAsia="SimSun" w:hint="eastAsia"/>
                <w:sz w:val="21"/>
                <w:szCs w:val="24"/>
              </w:rPr>
              <w:t>岁</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5.21</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3 905.7</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11.66</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2 161.8</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55.35</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w:t>
            </w:r>
            <w:r>
              <w:rPr>
                <w:rFonts w:hint="eastAsia"/>
                <w:sz w:val="21"/>
                <w:szCs w:val="24"/>
              </w:rPr>
              <w:t xml:space="preserve"> </w:t>
            </w:r>
            <w:r>
              <w:rPr>
                <w:sz w:val="21"/>
                <w:szCs w:val="24"/>
              </w:rPr>
              <w:t>743.9</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44.65</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25-29</w:t>
            </w:r>
            <w:r>
              <w:rPr>
                <w:rFonts w:eastAsia="SimSun" w:hint="eastAsia"/>
                <w:sz w:val="21"/>
                <w:szCs w:val="24"/>
              </w:rPr>
              <w:t>岁</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6.55</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4 872.9</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14.55</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2 678.1</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54.96</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w:t>
            </w:r>
            <w:r>
              <w:rPr>
                <w:rFonts w:hint="eastAsia"/>
                <w:sz w:val="21"/>
                <w:szCs w:val="24"/>
              </w:rPr>
              <w:t xml:space="preserve"> </w:t>
            </w:r>
            <w:r>
              <w:rPr>
                <w:sz w:val="21"/>
                <w:szCs w:val="24"/>
              </w:rPr>
              <w:t>194.8</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45.04</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30-34</w:t>
            </w:r>
            <w:r>
              <w:rPr>
                <w:rFonts w:eastAsia="SimSun" w:hint="eastAsia"/>
                <w:sz w:val="21"/>
                <w:szCs w:val="24"/>
              </w:rPr>
              <w:t>岁</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6.44</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4 725.2</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14.11</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2 570.2</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54.39</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w:t>
            </w:r>
            <w:r>
              <w:rPr>
                <w:rFonts w:hint="eastAsia"/>
                <w:sz w:val="21"/>
                <w:szCs w:val="24"/>
              </w:rPr>
              <w:t xml:space="preserve"> </w:t>
            </w:r>
            <w:r>
              <w:rPr>
                <w:sz w:val="21"/>
                <w:szCs w:val="24"/>
              </w:rPr>
              <w:t>155.0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45.61</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35-39</w:t>
            </w:r>
            <w:r>
              <w:rPr>
                <w:rFonts w:eastAsia="SimSun" w:hint="eastAsia"/>
                <w:sz w:val="21"/>
                <w:szCs w:val="24"/>
              </w:rPr>
              <w:t>岁</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6.10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4 413.2</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13.18</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2 370.0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53.70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w:t>
            </w:r>
            <w:r>
              <w:rPr>
                <w:rFonts w:hint="eastAsia"/>
                <w:sz w:val="21"/>
                <w:szCs w:val="24"/>
              </w:rPr>
              <w:t xml:space="preserve"> </w:t>
            </w:r>
            <w:r>
              <w:rPr>
                <w:sz w:val="21"/>
                <w:szCs w:val="24"/>
              </w:rPr>
              <w:t>043.2</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46.30</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40-49</w:t>
            </w:r>
            <w:r>
              <w:rPr>
                <w:rFonts w:eastAsia="SimSun" w:hint="eastAsia"/>
                <w:sz w:val="21"/>
                <w:szCs w:val="24"/>
              </w:rPr>
              <w:t>岁</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10.27</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7 433.3</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22.20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3 995.0</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53.74</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3</w:t>
            </w:r>
            <w:r>
              <w:rPr>
                <w:rFonts w:hint="eastAsia"/>
                <w:sz w:val="21"/>
                <w:szCs w:val="24"/>
              </w:rPr>
              <w:t xml:space="preserve"> </w:t>
            </w:r>
            <w:r>
              <w:rPr>
                <w:sz w:val="21"/>
                <w:szCs w:val="24"/>
              </w:rPr>
              <w:t>438.3</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46.26</w:t>
            </w:r>
          </w:p>
        </w:tc>
      </w:tr>
      <w:tr w:rsidR="00000000">
        <w:tblPrEx>
          <w:tblCellMar>
            <w:top w:w="0" w:type="dxa"/>
            <w:bottom w:w="0" w:type="dxa"/>
          </w:tblCellMar>
        </w:tblPrEx>
        <w:tc>
          <w:tcPr>
            <w:tcW w:w="6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50-59</w:t>
            </w:r>
            <w:r>
              <w:rPr>
                <w:rFonts w:eastAsia="SimSun" w:hint="eastAsia"/>
                <w:sz w:val="21"/>
                <w:szCs w:val="24"/>
              </w:rPr>
              <w:t>岁</w:t>
            </w:r>
          </w:p>
        </w:tc>
        <w:tc>
          <w:tcPr>
            <w:tcW w:w="920"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5.67</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4 298.1</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12.84</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2 399.4</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55.82</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w:t>
            </w:r>
            <w:r>
              <w:rPr>
                <w:rFonts w:hint="eastAsia"/>
                <w:sz w:val="21"/>
                <w:szCs w:val="24"/>
              </w:rPr>
              <w:t xml:space="preserve"> </w:t>
            </w:r>
            <w:r>
              <w:rPr>
                <w:sz w:val="21"/>
                <w:szCs w:val="24"/>
              </w:rPr>
              <w:t>898.7</w:t>
            </w:r>
          </w:p>
        </w:tc>
        <w:tc>
          <w:tcPr>
            <w:tcW w:w="57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44.18</w:t>
            </w:r>
          </w:p>
        </w:tc>
      </w:tr>
      <w:tr w:rsidR="00000000">
        <w:tblPrEx>
          <w:tblCellMar>
            <w:top w:w="0" w:type="dxa"/>
            <w:bottom w:w="0" w:type="dxa"/>
          </w:tblCellMar>
        </w:tblPrEx>
        <w:tc>
          <w:tcPr>
            <w:tcW w:w="623"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&gt;=60</w:t>
            </w:r>
            <w:r>
              <w:rPr>
                <w:rFonts w:eastAsia="SimSun" w:hint="eastAsia"/>
                <w:sz w:val="21"/>
                <w:szCs w:val="24"/>
              </w:rPr>
              <w:t>岁</w:t>
            </w:r>
          </w:p>
        </w:tc>
        <w:tc>
          <w:tcPr>
            <w:tcW w:w="920" w:type="pct"/>
            <w:tcBorders>
              <w:top w:val="nil"/>
              <w:left w:val="nil"/>
              <w:right w:val="nil"/>
            </w:tcBorders>
          </w:tcPr>
          <w:p w:rsidR="00000000" w:rsidRDefault="00B83709">
            <w:pPr>
              <w:pStyle w:val="BodyText2"/>
              <w:framePr w:w="0" w:hRule="auto" w:hSpace="0" w:wrap="auto" w:vAnchor="margin" w:hAnchor="text" w:xAlign="left" w:yAlign="inline"/>
              <w:tabs>
                <w:tab w:val="decimal" w:pos="666"/>
              </w:tabs>
              <w:spacing w:line="360" w:lineRule="exact"/>
              <w:jc w:val="both"/>
              <w:rPr>
                <w:sz w:val="21"/>
                <w:szCs w:val="24"/>
              </w:rPr>
            </w:pPr>
            <w:r>
              <w:rPr>
                <w:sz w:val="21"/>
                <w:szCs w:val="24"/>
              </w:rPr>
              <w:t>2.41</w:t>
            </w:r>
          </w:p>
        </w:tc>
        <w:tc>
          <w:tcPr>
            <w:tcW w:w="57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2 058.9</w:t>
            </w:r>
          </w:p>
        </w:tc>
        <w:tc>
          <w:tcPr>
            <w:tcW w:w="57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6.15</w:t>
            </w:r>
          </w:p>
        </w:tc>
        <w:tc>
          <w:tcPr>
            <w:tcW w:w="57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1 251.8</w:t>
            </w:r>
          </w:p>
        </w:tc>
        <w:tc>
          <w:tcPr>
            <w:tcW w:w="57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60.80</w:t>
            </w:r>
          </w:p>
        </w:tc>
        <w:tc>
          <w:tcPr>
            <w:tcW w:w="57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807.1</w:t>
            </w:r>
          </w:p>
        </w:tc>
        <w:tc>
          <w:tcPr>
            <w:tcW w:w="57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42" w:right="31680"/>
              <w:jc w:val="right"/>
              <w:rPr>
                <w:sz w:val="21"/>
                <w:szCs w:val="24"/>
              </w:rPr>
            </w:pPr>
            <w:r>
              <w:rPr>
                <w:sz w:val="21"/>
                <w:szCs w:val="24"/>
              </w:rPr>
              <w:t>39.20</w:t>
            </w:r>
          </w:p>
        </w:tc>
      </w:tr>
    </w:tbl>
    <w:p w:rsidR="00000000" w:rsidRDefault="00B83709">
      <w:pPr>
        <w:pStyle w:val="BodyText2"/>
        <w:framePr w:w="0" w:hRule="auto" w:hSpace="0" w:wrap="auto" w:vAnchor="margin" w:hAnchor="text" w:xAlign="left" w:yAlign="inline"/>
        <w:spacing w:after="24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泰王国全国第三季度劳动力调查报告：</w:t>
      </w:r>
      <w:r>
        <w:rPr>
          <w:rFonts w:eastAsia="KaiTi_GB2312" w:hint="eastAsia"/>
          <w:bCs/>
          <w:color w:val="0000FF"/>
          <w:sz w:val="21"/>
          <w:szCs w:val="24"/>
        </w:rPr>
        <w:t>2001</w:t>
      </w:r>
      <w:r>
        <w:rPr>
          <w:rFonts w:eastAsia="KaiTi_GB2312" w:hint="eastAsia"/>
          <w:bCs/>
          <w:color w:val="0000FF"/>
          <w:sz w:val="21"/>
          <w:szCs w:val="24"/>
        </w:rPr>
        <w:t>年</w:t>
      </w:r>
      <w:r>
        <w:rPr>
          <w:rFonts w:eastAsia="KaiTi_GB2312" w:hint="eastAsia"/>
          <w:bCs/>
          <w:color w:val="0000FF"/>
          <w:sz w:val="21"/>
          <w:szCs w:val="24"/>
        </w:rPr>
        <w:t>7-9</w:t>
      </w:r>
      <w:r>
        <w:rPr>
          <w:rFonts w:eastAsia="KaiTi_GB2312" w:hint="eastAsia"/>
          <w:bCs/>
          <w:color w:val="0000FF"/>
          <w:sz w:val="21"/>
          <w:szCs w:val="24"/>
        </w:rPr>
        <w:t>月，国家统计局。</w:t>
      </w:r>
    </w:p>
    <w:p w:rsidR="00000000" w:rsidRDefault="00B83709">
      <w:pPr>
        <w:numPr>
          <w:ilvl w:val="0"/>
          <w:numId w:val="1049"/>
        </w:numPr>
        <w:tabs>
          <w:tab w:val="clear" w:pos="360"/>
          <w:tab w:val="num" w:pos="480"/>
        </w:tabs>
        <w:spacing w:after="240" w:line="360" w:lineRule="exact"/>
        <w:rPr>
          <w:szCs w:val="24"/>
        </w:rPr>
      </w:pPr>
      <w:r>
        <w:rPr>
          <w:rFonts w:hint="eastAsia"/>
          <w:szCs w:val="24"/>
        </w:rPr>
        <w:t>在工作地位、工作类型和补偿方面仍存在很大的两性差异。总的来说，妇女的工作条件不如男子的好，尽管有些高学历妇女获得了很大成功。目前，女雇工近半数是无报酬家庭工人。</w:t>
      </w:r>
    </w:p>
    <w:p w:rsidR="00000000" w:rsidRDefault="00B83709">
      <w:pPr>
        <w:numPr>
          <w:ilvl w:val="0"/>
          <w:numId w:val="1049"/>
        </w:numPr>
        <w:tabs>
          <w:tab w:val="clear" w:pos="360"/>
          <w:tab w:val="num" w:pos="480"/>
        </w:tabs>
        <w:spacing w:after="240" w:line="360" w:lineRule="exact"/>
        <w:rPr>
          <w:szCs w:val="24"/>
        </w:rPr>
      </w:pPr>
      <w:r>
        <w:rPr>
          <w:rFonts w:hint="eastAsia"/>
          <w:szCs w:val="24"/>
        </w:rPr>
        <w:t>2000</w:t>
      </w:r>
      <w:r>
        <w:rPr>
          <w:rFonts w:hint="eastAsia"/>
          <w:szCs w:val="24"/>
        </w:rPr>
        <w:t>年人口和住房普查数据</w:t>
      </w:r>
      <w:r>
        <w:rPr>
          <w:rFonts w:hint="eastAsia"/>
          <w:szCs w:val="24"/>
        </w:rPr>
        <w:t>显示，无报酬家庭工人</w:t>
      </w:r>
      <w:r>
        <w:rPr>
          <w:szCs w:val="24"/>
        </w:rPr>
        <w:t>71.20%</w:t>
      </w:r>
      <w:r>
        <w:rPr>
          <w:rFonts w:hint="eastAsia"/>
          <w:szCs w:val="24"/>
        </w:rPr>
        <w:t>是妇女，而所有雇员中</w:t>
      </w:r>
      <w:r>
        <w:rPr>
          <w:szCs w:val="24"/>
        </w:rPr>
        <w:t>29.86%</w:t>
      </w:r>
      <w:r>
        <w:rPr>
          <w:rFonts w:hint="eastAsia"/>
          <w:szCs w:val="24"/>
        </w:rPr>
        <w:t>是妇女（表</w:t>
      </w:r>
      <w:r>
        <w:rPr>
          <w:rFonts w:hint="eastAsia"/>
          <w:szCs w:val="24"/>
        </w:rPr>
        <w:t>19</w:t>
      </w:r>
      <w:r>
        <w:rPr>
          <w:rFonts w:hint="eastAsia"/>
          <w:szCs w:val="24"/>
        </w:rPr>
        <w:t>）。妇女还占商业业主的</w:t>
      </w:r>
      <w:r>
        <w:rPr>
          <w:szCs w:val="24"/>
        </w:rPr>
        <w:t>31.55%</w:t>
      </w:r>
      <w:r>
        <w:rPr>
          <w:rFonts w:hint="eastAsia"/>
          <w:szCs w:val="24"/>
        </w:rPr>
        <w:t>以及政府部门雇员的</w:t>
      </w:r>
      <w:r>
        <w:rPr>
          <w:szCs w:val="24"/>
        </w:rPr>
        <w:t>42.84%</w:t>
      </w:r>
      <w:r>
        <w:rPr>
          <w:rFonts w:hint="eastAsia"/>
          <w:szCs w:val="24"/>
        </w:rPr>
        <w:t>。在男性劳动力成员中，</w:t>
      </w:r>
      <w:r>
        <w:rPr>
          <w:szCs w:val="24"/>
        </w:rPr>
        <w:t>7</w:t>
      </w:r>
      <w:r>
        <w:rPr>
          <w:rFonts w:hint="eastAsia"/>
          <w:szCs w:val="24"/>
        </w:rPr>
        <w:t xml:space="preserve"> </w:t>
      </w:r>
      <w:r>
        <w:rPr>
          <w:szCs w:val="24"/>
        </w:rPr>
        <w:t>59</w:t>
      </w:r>
      <w:r>
        <w:rPr>
          <w:rFonts w:hint="eastAsia"/>
          <w:szCs w:val="24"/>
        </w:rPr>
        <w:t>0</w:t>
      </w:r>
      <w:r>
        <w:rPr>
          <w:rFonts w:hint="eastAsia"/>
          <w:szCs w:val="24"/>
        </w:rPr>
        <w:t>万人在自营企业中工作，占拥有私营企业但没有雇员的总人数的</w:t>
      </w:r>
      <w:r>
        <w:rPr>
          <w:szCs w:val="24"/>
        </w:rPr>
        <w:t>68.45%</w:t>
      </w:r>
      <w:r>
        <w:rPr>
          <w:rFonts w:hint="eastAsia"/>
          <w:szCs w:val="24"/>
        </w:rPr>
        <w:t>。男子也占私营部门雇员的</w:t>
      </w:r>
      <w:r>
        <w:rPr>
          <w:szCs w:val="24"/>
        </w:rPr>
        <w:t>53.99%</w:t>
      </w:r>
      <w:r>
        <w:rPr>
          <w:rFonts w:hint="eastAsia"/>
          <w:szCs w:val="24"/>
        </w:rPr>
        <w:t>。</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19</w:t>
      </w:r>
      <w:r>
        <w:rPr>
          <w:rFonts w:ascii="SimHei"/>
          <w:color w:val="FF0000"/>
          <w:sz w:val="21"/>
        </w:rPr>
        <w:t xml:space="preserve">. </w:t>
      </w:r>
      <w:r>
        <w:rPr>
          <w:rFonts w:eastAsia="SimSun" w:hint="eastAsia"/>
          <w:sz w:val="21"/>
          <w:szCs w:val="24"/>
        </w:rPr>
        <w:t>一年期内按性别分列的</w:t>
      </w:r>
      <w:r>
        <w:rPr>
          <w:rFonts w:eastAsia="SimSun" w:hint="eastAsia"/>
          <w:sz w:val="21"/>
          <w:szCs w:val="24"/>
        </w:rPr>
        <w:t>15</w:t>
      </w:r>
      <w:r>
        <w:rPr>
          <w:rFonts w:eastAsia="SimSun" w:hint="eastAsia"/>
          <w:sz w:val="21"/>
          <w:szCs w:val="24"/>
        </w:rPr>
        <w:t>岁以上雇员人数（单位：百万）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9"/>
        <w:gridCol w:w="1179"/>
        <w:gridCol w:w="1180"/>
        <w:gridCol w:w="1180"/>
        <w:gridCol w:w="1180"/>
        <w:gridCol w:w="1180"/>
        <w:gridCol w:w="1178"/>
      </w:tblGrid>
      <w:tr w:rsidR="00000000">
        <w:tblPrEx>
          <w:tblCellMar>
            <w:top w:w="0" w:type="dxa"/>
            <w:bottom w:w="0" w:type="dxa"/>
          </w:tblCellMar>
        </w:tblPrEx>
        <w:trPr>
          <w:cantSplit/>
        </w:trPr>
        <w:tc>
          <w:tcPr>
            <w:tcW w:w="1485" w:type="pct"/>
            <w:vMerge w:val="restart"/>
            <w:tcBorders>
              <w:left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工作条件</w:t>
            </w:r>
          </w:p>
        </w:tc>
        <w:tc>
          <w:tcPr>
            <w:tcW w:w="1172" w:type="pct"/>
            <w:gridSpan w:val="2"/>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1172" w:type="pct"/>
            <w:gridSpan w:val="2"/>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1172" w:type="pct"/>
            <w:gridSpan w:val="2"/>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r>
      <w:tr w:rsidR="00000000">
        <w:tblPrEx>
          <w:tblCellMar>
            <w:top w:w="0" w:type="dxa"/>
            <w:bottom w:w="0" w:type="dxa"/>
          </w:tblCellMar>
        </w:tblPrEx>
        <w:trPr>
          <w:cantSplit/>
        </w:trPr>
        <w:tc>
          <w:tcPr>
            <w:tcW w:w="1485" w:type="pct"/>
            <w:vMerge/>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r>
      <w:tr w:rsidR="00000000">
        <w:tblPrEx>
          <w:tblCellMar>
            <w:top w:w="0" w:type="dxa"/>
            <w:bottom w:w="0" w:type="dxa"/>
          </w:tblCellMar>
        </w:tblPrEx>
        <w:tc>
          <w:tcPr>
            <w:tcW w:w="1485"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总数</w:t>
            </w:r>
          </w:p>
        </w:tc>
        <w:tc>
          <w:tcPr>
            <w:tcW w:w="58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b/>
                <w:color w:val="FF0000"/>
                <w:sz w:val="21"/>
                <w:szCs w:val="24"/>
              </w:rPr>
            </w:pPr>
            <w:r>
              <w:rPr>
                <w:b/>
                <w:color w:val="FF0000"/>
                <w:sz w:val="21"/>
                <w:szCs w:val="24"/>
              </w:rPr>
              <w:t>34.12</w:t>
            </w:r>
          </w:p>
        </w:tc>
        <w:tc>
          <w:tcPr>
            <w:tcW w:w="58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b/>
                <w:color w:val="FF0000"/>
                <w:sz w:val="21"/>
                <w:szCs w:val="24"/>
              </w:rPr>
            </w:pPr>
            <w:r>
              <w:rPr>
                <w:b/>
                <w:color w:val="FF0000"/>
                <w:sz w:val="21"/>
                <w:szCs w:val="24"/>
              </w:rPr>
              <w:t>100.00</w:t>
            </w:r>
          </w:p>
        </w:tc>
        <w:tc>
          <w:tcPr>
            <w:tcW w:w="58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b/>
                <w:color w:val="FF0000"/>
                <w:sz w:val="21"/>
                <w:szCs w:val="24"/>
              </w:rPr>
            </w:pPr>
            <w:r>
              <w:rPr>
                <w:b/>
                <w:color w:val="FF0000"/>
                <w:sz w:val="21"/>
                <w:szCs w:val="24"/>
              </w:rPr>
              <w:t>17.63</w:t>
            </w:r>
          </w:p>
        </w:tc>
        <w:tc>
          <w:tcPr>
            <w:tcW w:w="58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b/>
                <w:color w:val="FF0000"/>
                <w:sz w:val="21"/>
                <w:szCs w:val="24"/>
              </w:rPr>
            </w:pPr>
            <w:r>
              <w:rPr>
                <w:b/>
                <w:color w:val="FF0000"/>
                <w:sz w:val="21"/>
                <w:szCs w:val="24"/>
              </w:rPr>
              <w:t>51.66</w:t>
            </w:r>
          </w:p>
        </w:tc>
        <w:tc>
          <w:tcPr>
            <w:tcW w:w="58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b/>
                <w:color w:val="FF0000"/>
                <w:sz w:val="21"/>
                <w:szCs w:val="24"/>
              </w:rPr>
            </w:pPr>
            <w:r>
              <w:rPr>
                <w:b/>
                <w:color w:val="FF0000"/>
                <w:sz w:val="21"/>
                <w:szCs w:val="24"/>
              </w:rPr>
              <w:t>16.49</w:t>
            </w:r>
          </w:p>
        </w:tc>
        <w:tc>
          <w:tcPr>
            <w:tcW w:w="58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b/>
                <w:color w:val="FF0000"/>
                <w:sz w:val="21"/>
                <w:szCs w:val="24"/>
              </w:rPr>
            </w:pPr>
            <w:r>
              <w:rPr>
                <w:b/>
                <w:color w:val="FF0000"/>
                <w:sz w:val="21"/>
                <w:szCs w:val="24"/>
              </w:rPr>
              <w:t>48.34</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21"/>
                <w:szCs w:val="24"/>
              </w:rPr>
            </w:pPr>
            <w:r>
              <w:rPr>
                <w:rFonts w:eastAsia="SimSun" w:hint="eastAsia"/>
                <w:sz w:val="21"/>
                <w:szCs w:val="24"/>
              </w:rPr>
              <w:t>雇主</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0.54</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1.60</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0.38</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70.14</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0.16</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29.86</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无雇员的私营企业</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11.09</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32.51</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7.59</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68.45</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3.50</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31.55</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21"/>
                <w:szCs w:val="24"/>
              </w:rPr>
            </w:pPr>
            <w:r>
              <w:rPr>
                <w:rFonts w:eastAsia="SimSun" w:hint="eastAsia"/>
                <w:sz w:val="21"/>
                <w:szCs w:val="24"/>
              </w:rPr>
              <w:t>雇员</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11.68</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34.24</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6.46</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55.34</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5.22</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44.66</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政府机构</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2.08</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6.09</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1.19</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57.16</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0.89</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42.84</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政府</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0.72</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2.10</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0.42</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58.43</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0.30</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41.57</w:t>
            </w:r>
          </w:p>
        </w:tc>
      </w:tr>
      <w:tr w:rsidR="00000000">
        <w:tblPrEx>
          <w:tblCellMar>
            <w:top w:w="0" w:type="dxa"/>
            <w:bottom w:w="0" w:type="dxa"/>
          </w:tblCellMar>
        </w:tblPrEx>
        <w:tc>
          <w:tcPr>
            <w:tcW w:w="148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国有企业</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0.38</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1.11</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0.26</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69.75</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0.11</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30.25</w:t>
            </w:r>
          </w:p>
        </w:tc>
      </w:tr>
    </w:tbl>
    <w:p w:rsidR="00000000" w:rsidRDefault="00B83709">
      <w:pPr>
        <w:pStyle w:val="BodyText2"/>
        <w:framePr w:w="0" w:hRule="auto" w:hSpace="0" w:wrap="auto" w:vAnchor="margin" w:hAnchor="text" w:xAlign="left" w:yAlign="inline"/>
        <w:spacing w:before="120" w:after="240" w:line="360" w:lineRule="exact"/>
        <w:jc w:val="both"/>
        <w:rPr>
          <w:rFonts w:hint="eastAsia"/>
          <w:sz w:val="21"/>
          <w:szCs w:val="24"/>
        </w:rPr>
      </w:pPr>
      <w:r>
        <w:rPr>
          <w:rFonts w:ascii="SimHei" w:hint="eastAsia"/>
          <w:color w:val="FF0000"/>
          <w:sz w:val="21"/>
        </w:rPr>
        <w:t>表</w:t>
      </w:r>
      <w:r>
        <w:rPr>
          <w:rFonts w:ascii="SimHei" w:hint="eastAsia"/>
          <w:color w:val="FF0000"/>
          <w:sz w:val="21"/>
        </w:rPr>
        <w:t>19</w:t>
      </w:r>
      <w:r>
        <w:rPr>
          <w:rFonts w:ascii="SimHei"/>
          <w:color w:val="FF0000"/>
          <w:sz w:val="21"/>
        </w:rPr>
        <w:t xml:space="preserve">. </w:t>
      </w:r>
      <w:r>
        <w:rPr>
          <w:rFonts w:eastAsia="SimSun" w:hint="eastAsia"/>
          <w:sz w:val="21"/>
          <w:szCs w:val="24"/>
        </w:rPr>
        <w:t>一年期内按性别分列的</w:t>
      </w:r>
      <w:r>
        <w:rPr>
          <w:rFonts w:eastAsia="SimSun" w:hint="eastAsia"/>
          <w:sz w:val="21"/>
          <w:szCs w:val="24"/>
        </w:rPr>
        <w:t>15</w:t>
      </w:r>
      <w:r>
        <w:rPr>
          <w:rFonts w:eastAsia="SimSun" w:hint="eastAsia"/>
          <w:sz w:val="21"/>
          <w:szCs w:val="24"/>
        </w:rPr>
        <w:t>岁以上雇员人数（单位：百万）</w:t>
      </w:r>
      <w:r>
        <w:rPr>
          <w:rFonts w:eastAsia="KaiTi_GB2312" w:hint="eastAsia"/>
          <w:color w:val="0000FF"/>
          <w:sz w:val="21"/>
          <w:szCs w:val="24"/>
        </w:rPr>
        <w:t>（续）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9"/>
        <w:gridCol w:w="1179"/>
        <w:gridCol w:w="1180"/>
        <w:gridCol w:w="1180"/>
        <w:gridCol w:w="1180"/>
        <w:gridCol w:w="1180"/>
        <w:gridCol w:w="1178"/>
      </w:tblGrid>
      <w:tr w:rsidR="00000000">
        <w:tblPrEx>
          <w:tblCellMar>
            <w:top w:w="0" w:type="dxa"/>
            <w:bottom w:w="0" w:type="dxa"/>
          </w:tblCellMar>
        </w:tblPrEx>
        <w:trPr>
          <w:cantSplit/>
        </w:trPr>
        <w:tc>
          <w:tcPr>
            <w:tcW w:w="1485" w:type="pct"/>
            <w:vMerge w:val="restart"/>
            <w:tcBorders>
              <w:left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工作条</w:t>
            </w:r>
            <w:r>
              <w:rPr>
                <w:rFonts w:hint="eastAsia"/>
                <w:bCs/>
                <w:color w:val="FF0000"/>
                <w:sz w:val="21"/>
                <w:szCs w:val="24"/>
              </w:rPr>
              <w:t>件</w:t>
            </w:r>
          </w:p>
        </w:tc>
        <w:tc>
          <w:tcPr>
            <w:tcW w:w="1172"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1172"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1172"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r>
      <w:tr w:rsidR="00000000">
        <w:tblPrEx>
          <w:tblCellMar>
            <w:top w:w="0" w:type="dxa"/>
            <w:bottom w:w="0" w:type="dxa"/>
          </w:tblCellMar>
        </w:tblPrEx>
        <w:trPr>
          <w:cantSplit/>
        </w:trPr>
        <w:tc>
          <w:tcPr>
            <w:tcW w:w="1485" w:type="pct"/>
            <w:vMerge/>
            <w:tcBorders>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586"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私营部门</w:t>
            </w:r>
          </w:p>
        </w:tc>
        <w:tc>
          <w:tcPr>
            <w:tcW w:w="586"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8.51</w:t>
            </w:r>
          </w:p>
        </w:tc>
        <w:tc>
          <w:tcPr>
            <w:tcW w:w="586"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24.94</w:t>
            </w:r>
          </w:p>
        </w:tc>
        <w:tc>
          <w:tcPr>
            <w:tcW w:w="586"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4.59</w:t>
            </w:r>
          </w:p>
        </w:tc>
        <w:tc>
          <w:tcPr>
            <w:tcW w:w="586"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53.99</w:t>
            </w:r>
          </w:p>
        </w:tc>
        <w:tc>
          <w:tcPr>
            <w:tcW w:w="586"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3.92</w:t>
            </w:r>
          </w:p>
        </w:tc>
        <w:tc>
          <w:tcPr>
            <w:tcW w:w="586"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46.01</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无报酬家庭工人</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10.43</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30.58</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3.00</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28.80</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7.43</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71.20</w:t>
            </w:r>
          </w:p>
        </w:tc>
      </w:tr>
      <w:tr w:rsidR="00000000">
        <w:tblPrEx>
          <w:tblCellMar>
            <w:top w:w="0" w:type="dxa"/>
            <w:bottom w:w="0" w:type="dxa"/>
          </w:tblCellMar>
        </w:tblPrEx>
        <w:tc>
          <w:tcPr>
            <w:tcW w:w="148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小组工作</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0.02</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0.05</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0.01</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41.24</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0.01</w:t>
            </w:r>
          </w:p>
        </w:tc>
        <w:tc>
          <w:tcPr>
            <w:tcW w:w="58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58.76</w:t>
            </w:r>
          </w:p>
        </w:tc>
      </w:tr>
      <w:tr w:rsidR="00000000">
        <w:tblPrEx>
          <w:tblCellMar>
            <w:top w:w="0" w:type="dxa"/>
            <w:bottom w:w="0" w:type="dxa"/>
          </w:tblCellMar>
        </w:tblPrEx>
        <w:tc>
          <w:tcPr>
            <w:tcW w:w="148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不详</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0.35</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1.03</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0.17</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49.97</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0.18</w:t>
            </w:r>
          </w:p>
        </w:tc>
        <w:tc>
          <w:tcPr>
            <w:tcW w:w="586"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3" w:right="31680"/>
              <w:jc w:val="right"/>
              <w:rPr>
                <w:sz w:val="21"/>
                <w:szCs w:val="24"/>
              </w:rPr>
            </w:pPr>
            <w:r>
              <w:rPr>
                <w:sz w:val="21"/>
                <w:szCs w:val="24"/>
              </w:rPr>
              <w:t>50.03</w:t>
            </w:r>
          </w:p>
        </w:tc>
      </w:tr>
    </w:tbl>
    <w:p w:rsidR="00000000" w:rsidRDefault="00B83709">
      <w:pPr>
        <w:pStyle w:val="BodyText2"/>
        <w:framePr w:w="0" w:hRule="auto" w:hSpace="0" w:wrap="auto" w:vAnchor="margin" w:hAnchor="text" w:xAlign="left" w:yAlign="inline"/>
        <w:spacing w:after="24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2000</w:t>
      </w:r>
      <w:r>
        <w:rPr>
          <w:rFonts w:eastAsia="KaiTi_GB2312" w:hint="eastAsia"/>
          <w:bCs/>
          <w:color w:val="0000FF"/>
          <w:sz w:val="21"/>
          <w:szCs w:val="24"/>
        </w:rPr>
        <w:t>年人口和住房普查，国家统计局初步报告（高级）。</w:t>
      </w:r>
    </w:p>
    <w:p w:rsidR="00000000" w:rsidRDefault="00B83709">
      <w:pPr>
        <w:numPr>
          <w:ilvl w:val="0"/>
          <w:numId w:val="1049"/>
        </w:numPr>
        <w:tabs>
          <w:tab w:val="clear" w:pos="360"/>
          <w:tab w:val="num" w:pos="480"/>
        </w:tabs>
        <w:spacing w:after="240" w:line="360" w:lineRule="exact"/>
        <w:rPr>
          <w:szCs w:val="24"/>
        </w:rPr>
      </w:pPr>
      <w:r>
        <w:rPr>
          <w:rFonts w:hint="eastAsia"/>
          <w:szCs w:val="24"/>
        </w:rPr>
        <w:t>2001</w:t>
      </w:r>
      <w:r>
        <w:rPr>
          <w:rFonts w:hint="eastAsia"/>
          <w:szCs w:val="24"/>
        </w:rPr>
        <w:t>年</w:t>
      </w:r>
      <w:r>
        <w:rPr>
          <w:rFonts w:hint="eastAsia"/>
          <w:szCs w:val="24"/>
        </w:rPr>
        <w:t>7-9</w:t>
      </w:r>
      <w:r>
        <w:rPr>
          <w:rFonts w:hint="eastAsia"/>
          <w:szCs w:val="24"/>
        </w:rPr>
        <w:t>月第三季度劳动力调查关于薪资的资料表明，在</w:t>
      </w:r>
      <w:r>
        <w:rPr>
          <w:szCs w:val="24"/>
        </w:rPr>
        <w:t>1</w:t>
      </w:r>
      <w:r>
        <w:rPr>
          <w:rFonts w:hint="eastAsia"/>
          <w:szCs w:val="24"/>
        </w:rPr>
        <w:t xml:space="preserve"> </w:t>
      </w:r>
      <w:r>
        <w:rPr>
          <w:szCs w:val="24"/>
        </w:rPr>
        <w:t>35</w:t>
      </w:r>
      <w:r>
        <w:rPr>
          <w:rFonts w:hint="eastAsia"/>
          <w:szCs w:val="24"/>
        </w:rPr>
        <w:t>0</w:t>
      </w:r>
      <w:r>
        <w:rPr>
          <w:rFonts w:hint="eastAsia"/>
          <w:szCs w:val="24"/>
        </w:rPr>
        <w:t>万领取薪资的</w:t>
      </w:r>
      <w:r>
        <w:rPr>
          <w:rFonts w:hint="eastAsia"/>
          <w:szCs w:val="24"/>
        </w:rPr>
        <w:t>工人当中，</w:t>
      </w:r>
      <w:r>
        <w:rPr>
          <w:szCs w:val="24"/>
        </w:rPr>
        <w:t>44.1%</w:t>
      </w:r>
      <w:r>
        <w:rPr>
          <w:rFonts w:hint="eastAsia"/>
          <w:szCs w:val="24"/>
        </w:rPr>
        <w:t>的月收入在</w:t>
      </w:r>
      <w:r>
        <w:rPr>
          <w:szCs w:val="24"/>
        </w:rPr>
        <w:t>2</w:t>
      </w:r>
      <w:r>
        <w:rPr>
          <w:rFonts w:hint="eastAsia"/>
          <w:szCs w:val="24"/>
        </w:rPr>
        <w:t xml:space="preserve"> </w:t>
      </w:r>
      <w:r>
        <w:rPr>
          <w:szCs w:val="24"/>
        </w:rPr>
        <w:t>501-5</w:t>
      </w:r>
      <w:r>
        <w:rPr>
          <w:rFonts w:hint="eastAsia"/>
          <w:szCs w:val="24"/>
        </w:rPr>
        <w:t xml:space="preserve"> </w:t>
      </w:r>
      <w:r>
        <w:rPr>
          <w:szCs w:val="24"/>
        </w:rPr>
        <w:t>500</w:t>
      </w:r>
      <w:r>
        <w:rPr>
          <w:rFonts w:hint="eastAsia"/>
          <w:szCs w:val="24"/>
        </w:rPr>
        <w:t>铢之间、</w:t>
      </w:r>
      <w:r>
        <w:rPr>
          <w:rFonts w:hint="eastAsia"/>
          <w:szCs w:val="24"/>
        </w:rPr>
        <w:t>20</w:t>
      </w:r>
      <w:r>
        <w:rPr>
          <w:szCs w:val="24"/>
        </w:rPr>
        <w:t>.</w:t>
      </w:r>
      <w:r>
        <w:rPr>
          <w:rFonts w:hint="eastAsia"/>
          <w:szCs w:val="24"/>
        </w:rPr>
        <w:t>4%</w:t>
      </w:r>
      <w:r>
        <w:rPr>
          <w:rFonts w:hint="eastAsia"/>
          <w:szCs w:val="24"/>
        </w:rPr>
        <w:t>在</w:t>
      </w:r>
      <w:r>
        <w:rPr>
          <w:rFonts w:hint="eastAsia"/>
          <w:szCs w:val="24"/>
        </w:rPr>
        <w:t>5 501-10 000</w:t>
      </w:r>
      <w:r>
        <w:rPr>
          <w:rFonts w:hint="eastAsia"/>
          <w:szCs w:val="24"/>
        </w:rPr>
        <w:t>铢之间、</w:t>
      </w:r>
      <w:r>
        <w:rPr>
          <w:szCs w:val="24"/>
        </w:rPr>
        <w:t>19.3%</w:t>
      </w:r>
      <w:r>
        <w:rPr>
          <w:rFonts w:hint="eastAsia"/>
          <w:szCs w:val="24"/>
        </w:rPr>
        <w:t>为</w:t>
      </w:r>
      <w:r>
        <w:rPr>
          <w:szCs w:val="24"/>
        </w:rPr>
        <w:t>2</w:t>
      </w:r>
      <w:r>
        <w:rPr>
          <w:rFonts w:hint="eastAsia"/>
          <w:szCs w:val="24"/>
        </w:rPr>
        <w:t xml:space="preserve"> </w:t>
      </w:r>
      <w:r>
        <w:rPr>
          <w:szCs w:val="24"/>
        </w:rPr>
        <w:t>500</w:t>
      </w:r>
      <w:r>
        <w:rPr>
          <w:rFonts w:hint="eastAsia"/>
          <w:szCs w:val="24"/>
        </w:rPr>
        <w:t>铢或以下、</w:t>
      </w:r>
      <w:r>
        <w:rPr>
          <w:szCs w:val="24"/>
        </w:rPr>
        <w:t>15.7%</w:t>
      </w:r>
      <w:r>
        <w:rPr>
          <w:rFonts w:hint="eastAsia"/>
          <w:szCs w:val="24"/>
        </w:rPr>
        <w:t>为</w:t>
      </w:r>
      <w:r>
        <w:rPr>
          <w:szCs w:val="24"/>
        </w:rPr>
        <w:t>10</w:t>
      </w:r>
      <w:r>
        <w:rPr>
          <w:rFonts w:hint="eastAsia"/>
          <w:szCs w:val="24"/>
        </w:rPr>
        <w:t xml:space="preserve"> </w:t>
      </w:r>
      <w:r>
        <w:rPr>
          <w:szCs w:val="24"/>
        </w:rPr>
        <w:t>000</w:t>
      </w:r>
      <w:r>
        <w:rPr>
          <w:rFonts w:hint="eastAsia"/>
          <w:szCs w:val="24"/>
        </w:rPr>
        <w:t>铢或以上（表</w:t>
      </w:r>
      <w:r>
        <w:rPr>
          <w:rFonts w:hint="eastAsia"/>
          <w:szCs w:val="24"/>
        </w:rPr>
        <w:t>20</w:t>
      </w:r>
      <w:r>
        <w:rPr>
          <w:rFonts w:hint="eastAsia"/>
          <w:szCs w:val="24"/>
        </w:rPr>
        <w:t>）。私营部门雇员的薪资比政府部门雇员的薪资低得多，部分原因是“私营部门雇员”这一类别包括大量工资非常低的临时工。</w:t>
      </w:r>
    </w:p>
    <w:p w:rsidR="00000000" w:rsidRDefault="00B83709">
      <w:pPr>
        <w:pStyle w:val="BodyText2"/>
        <w:framePr w:w="0" w:hRule="auto" w:hSpace="0" w:wrap="auto" w:vAnchor="margin" w:hAnchor="text" w:xAlign="left" w:yAlign="inline"/>
        <w:spacing w:after="240" w:line="360" w:lineRule="exact"/>
        <w:jc w:val="both"/>
        <w:rPr>
          <w:rFonts w:eastAsia="SimSun" w:hint="eastAsia"/>
          <w:sz w:val="21"/>
          <w:szCs w:val="24"/>
        </w:rPr>
      </w:pPr>
      <w:r>
        <w:rPr>
          <w:rFonts w:ascii="SimHei"/>
          <w:color w:val="FF0000"/>
          <w:sz w:val="21"/>
        </w:rPr>
        <w:br w:type="page"/>
      </w:r>
      <w:r>
        <w:rPr>
          <w:rFonts w:ascii="SimHei" w:hint="eastAsia"/>
          <w:color w:val="FF0000"/>
          <w:sz w:val="21"/>
        </w:rPr>
        <w:t>表</w:t>
      </w:r>
      <w:r>
        <w:rPr>
          <w:rFonts w:ascii="SimHei" w:hint="eastAsia"/>
          <w:color w:val="FF0000"/>
          <w:sz w:val="21"/>
        </w:rPr>
        <w:t>20</w:t>
      </w:r>
      <w:r>
        <w:rPr>
          <w:rFonts w:ascii="SimHei"/>
          <w:color w:val="FF0000"/>
          <w:sz w:val="21"/>
        </w:rPr>
        <w:t>.</w:t>
      </w:r>
      <w:r>
        <w:rPr>
          <w:sz w:val="21"/>
          <w:szCs w:val="24"/>
        </w:rPr>
        <w:t xml:space="preserve"> </w:t>
      </w:r>
      <w:r>
        <w:rPr>
          <w:rFonts w:eastAsia="SimSun" w:hint="eastAsia"/>
          <w:sz w:val="21"/>
          <w:szCs w:val="24"/>
        </w:rPr>
        <w:t>按薪资水平和性别分列的雇员人数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1081"/>
        <w:gridCol w:w="999"/>
        <w:gridCol w:w="999"/>
        <w:gridCol w:w="916"/>
        <w:gridCol w:w="916"/>
        <w:gridCol w:w="916"/>
        <w:gridCol w:w="916"/>
        <w:gridCol w:w="916"/>
        <w:gridCol w:w="910"/>
      </w:tblGrid>
      <w:tr w:rsidR="00000000">
        <w:tblPrEx>
          <w:tblCellMar>
            <w:top w:w="0" w:type="dxa"/>
            <w:bottom w:w="0" w:type="dxa"/>
          </w:tblCellMar>
        </w:tblPrEx>
        <w:trPr>
          <w:cantSplit/>
        </w:trPr>
        <w:tc>
          <w:tcPr>
            <w:tcW w:w="744"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18"/>
                <w:szCs w:val="24"/>
              </w:rPr>
            </w:pPr>
            <w:r>
              <w:rPr>
                <w:rFonts w:hint="eastAsia"/>
                <w:bCs/>
                <w:color w:val="FF0000"/>
                <w:sz w:val="18"/>
                <w:szCs w:val="24"/>
              </w:rPr>
              <w:t>薪资水平</w:t>
            </w:r>
          </w:p>
        </w:tc>
        <w:tc>
          <w:tcPr>
            <w:tcW w:w="1529" w:type="pct"/>
            <w:gridSpan w:val="3"/>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总数</w:t>
            </w:r>
          </w:p>
        </w:tc>
        <w:tc>
          <w:tcPr>
            <w:tcW w:w="1364" w:type="pct"/>
            <w:gridSpan w:val="3"/>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男</w:t>
            </w:r>
          </w:p>
        </w:tc>
        <w:tc>
          <w:tcPr>
            <w:tcW w:w="1364" w:type="pct"/>
            <w:gridSpan w:val="3"/>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女</w:t>
            </w:r>
          </w:p>
        </w:tc>
      </w:tr>
      <w:tr w:rsidR="00000000">
        <w:tblPrEx>
          <w:tblCellMar>
            <w:top w:w="0" w:type="dxa"/>
            <w:bottom w:w="0" w:type="dxa"/>
          </w:tblCellMar>
        </w:tblPrEx>
        <w:trPr>
          <w:cantSplit/>
        </w:trPr>
        <w:tc>
          <w:tcPr>
            <w:tcW w:w="744"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p>
        </w:tc>
        <w:tc>
          <w:tcPr>
            <w:tcW w:w="53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总数</w:t>
            </w:r>
          </w:p>
        </w:tc>
        <w:tc>
          <w:tcPr>
            <w:tcW w:w="49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公营</w:t>
            </w:r>
          </w:p>
        </w:tc>
        <w:tc>
          <w:tcPr>
            <w:tcW w:w="49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私营</w:t>
            </w:r>
          </w:p>
        </w:tc>
        <w:tc>
          <w:tcPr>
            <w:tcW w:w="45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合计</w:t>
            </w:r>
          </w:p>
        </w:tc>
        <w:tc>
          <w:tcPr>
            <w:tcW w:w="45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公营</w:t>
            </w:r>
          </w:p>
        </w:tc>
        <w:tc>
          <w:tcPr>
            <w:tcW w:w="45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私营</w:t>
            </w:r>
          </w:p>
        </w:tc>
        <w:tc>
          <w:tcPr>
            <w:tcW w:w="45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合计</w:t>
            </w:r>
          </w:p>
        </w:tc>
        <w:tc>
          <w:tcPr>
            <w:tcW w:w="45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公营</w:t>
            </w:r>
          </w:p>
        </w:tc>
        <w:tc>
          <w:tcPr>
            <w:tcW w:w="45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私营</w:t>
            </w:r>
          </w:p>
        </w:tc>
      </w:tr>
      <w:tr w:rsidR="00000000">
        <w:tblPrEx>
          <w:tblCellMar>
            <w:top w:w="0" w:type="dxa"/>
            <w:bottom w:w="0" w:type="dxa"/>
          </w:tblCellMar>
        </w:tblPrEx>
        <w:trPr>
          <w:cantSplit/>
        </w:trPr>
        <w:tc>
          <w:tcPr>
            <w:tcW w:w="74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18"/>
                <w:szCs w:val="24"/>
              </w:rPr>
            </w:pPr>
            <w:r>
              <w:rPr>
                <w:rFonts w:hint="eastAsia"/>
                <w:bCs/>
                <w:color w:val="FF0000"/>
                <w:sz w:val="18"/>
                <w:szCs w:val="24"/>
              </w:rPr>
              <w:t>总数（单位：千）</w:t>
            </w:r>
          </w:p>
        </w:tc>
        <w:tc>
          <w:tcPr>
            <w:tcW w:w="53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13 539.4</w:t>
            </w:r>
          </w:p>
        </w:tc>
        <w:tc>
          <w:tcPr>
            <w:tcW w:w="496"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2 851.9</w:t>
            </w:r>
          </w:p>
        </w:tc>
        <w:tc>
          <w:tcPr>
            <w:tcW w:w="496"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10 687.5</w:t>
            </w:r>
          </w:p>
        </w:tc>
        <w:tc>
          <w:tcPr>
            <w:tcW w:w="45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7 542.9</w:t>
            </w:r>
          </w:p>
        </w:tc>
        <w:tc>
          <w:tcPr>
            <w:tcW w:w="45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1 65</w:t>
            </w:r>
            <w:r>
              <w:rPr>
                <w:b/>
                <w:color w:val="FF0000"/>
                <w:sz w:val="18"/>
                <w:szCs w:val="24"/>
              </w:rPr>
              <w:t>6.5</w:t>
            </w:r>
          </w:p>
        </w:tc>
        <w:tc>
          <w:tcPr>
            <w:tcW w:w="45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5 886.4</w:t>
            </w:r>
          </w:p>
        </w:tc>
        <w:tc>
          <w:tcPr>
            <w:tcW w:w="45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5 966.4</w:t>
            </w:r>
          </w:p>
        </w:tc>
        <w:tc>
          <w:tcPr>
            <w:tcW w:w="45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195.4</w:t>
            </w:r>
          </w:p>
        </w:tc>
        <w:tc>
          <w:tcPr>
            <w:tcW w:w="45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4</w:t>
            </w:r>
            <w:r>
              <w:rPr>
                <w:rFonts w:hint="eastAsia"/>
                <w:b/>
                <w:color w:val="FF0000"/>
                <w:sz w:val="18"/>
                <w:szCs w:val="24"/>
              </w:rPr>
              <w:t xml:space="preserve"> </w:t>
            </w:r>
            <w:r>
              <w:rPr>
                <w:b/>
                <w:color w:val="FF0000"/>
                <w:sz w:val="18"/>
                <w:szCs w:val="24"/>
              </w:rPr>
              <w:t>801.1</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&lt; 2 500</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2 618.9</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102.5</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2 516.4</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1 344.2</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72.8</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1 271.4</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1 274.7</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29.7</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w:t>
            </w:r>
            <w:r>
              <w:rPr>
                <w:rFonts w:hint="eastAsia"/>
                <w:sz w:val="18"/>
                <w:szCs w:val="24"/>
              </w:rPr>
              <w:t xml:space="preserve"> </w:t>
            </w:r>
            <w:r>
              <w:rPr>
                <w:sz w:val="18"/>
                <w:szCs w:val="24"/>
              </w:rPr>
              <w:t>245.0</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2 500-5 500</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5 963.8</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612.3</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5 351.5</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3 261.1</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385.8</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2 875.3</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2 702.7</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226.5</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w:t>
            </w:r>
            <w:r>
              <w:rPr>
                <w:rFonts w:hint="eastAsia"/>
                <w:sz w:val="18"/>
                <w:szCs w:val="24"/>
              </w:rPr>
              <w:t xml:space="preserve"> </w:t>
            </w:r>
            <w:r>
              <w:rPr>
                <w:sz w:val="18"/>
                <w:szCs w:val="24"/>
              </w:rPr>
              <w:t>476.2</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5 501-10 000</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2 766.7</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882.1</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1 884.6</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1 682.7</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507.4</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1 175.3</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1 084.0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37</w:t>
            </w:r>
            <w:r>
              <w:rPr>
                <w:sz w:val="18"/>
                <w:szCs w:val="24"/>
              </w:rPr>
              <w:t>4.7</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709.3</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&gt; 10 001</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2 128.7</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1 242.2</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886.5</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1 218.3</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681.8</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536.5</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910.4</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560.4</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350.0</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sz w:val="18"/>
                <w:szCs w:val="24"/>
              </w:rPr>
            </w:pPr>
            <w:r>
              <w:rPr>
                <w:rFonts w:hint="eastAsia"/>
                <w:sz w:val="18"/>
                <w:szCs w:val="24"/>
              </w:rPr>
              <w:t>不详</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61.3</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12.8</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48.5</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36.6</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8.7</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27.9</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24.7</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4.1</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20.6</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rFonts w:eastAsia="SimSun" w:hint="eastAsia"/>
                <w:sz w:val="18"/>
                <w:szCs w:val="24"/>
              </w:rPr>
              <w:t>总数</w:t>
            </w:r>
            <w:r>
              <w:rPr>
                <w:sz w:val="18"/>
                <w:szCs w:val="24"/>
              </w:rPr>
              <w:t xml:space="preserve"> (%)</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100.0</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&lt; 2 500</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19.3</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3.6</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23.6</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17.8</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4.4</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21.6</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21.3</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2.5</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25.9</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2 500-5 500</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44.1</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21.5</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50.1</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43.2</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23.3</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48.9</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45.1</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19.0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51.6</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5 501-10 000</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20.4</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30.9</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17.6</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22.3</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30.6</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20.0</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18.1</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31.4</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14.8</w:t>
            </w:r>
          </w:p>
        </w:tc>
      </w:tr>
      <w:tr w:rsidR="00000000">
        <w:tblPrEx>
          <w:tblCellMar>
            <w:top w:w="0" w:type="dxa"/>
            <w:bottom w:w="0" w:type="dxa"/>
          </w:tblCellMar>
        </w:tblPrEx>
        <w:trPr>
          <w:cantSplit/>
        </w:trPr>
        <w:tc>
          <w:tcPr>
            <w:tcW w:w="74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18"/>
                <w:szCs w:val="24"/>
              </w:rPr>
            </w:pPr>
            <w:r>
              <w:rPr>
                <w:sz w:val="18"/>
                <w:szCs w:val="24"/>
              </w:rPr>
              <w:t>&gt; 10 001</w:t>
            </w:r>
          </w:p>
        </w:tc>
        <w:tc>
          <w:tcPr>
            <w:tcW w:w="5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15.7</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43.6</w:t>
            </w:r>
          </w:p>
        </w:tc>
        <w:tc>
          <w:tcPr>
            <w:tcW w:w="49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8.3</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16.2</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41.2</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9.1</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15.2</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46.9</w:t>
            </w:r>
          </w:p>
        </w:tc>
        <w:tc>
          <w:tcPr>
            <w:tcW w:w="45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7.3</w:t>
            </w:r>
          </w:p>
        </w:tc>
      </w:tr>
      <w:tr w:rsidR="00000000">
        <w:tblPrEx>
          <w:tblCellMar>
            <w:top w:w="0" w:type="dxa"/>
            <w:bottom w:w="0" w:type="dxa"/>
          </w:tblCellMar>
        </w:tblPrEx>
        <w:trPr>
          <w:cantSplit/>
        </w:trPr>
        <w:tc>
          <w:tcPr>
            <w:tcW w:w="74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rFonts w:hint="eastAsia"/>
                <w:sz w:val="18"/>
                <w:szCs w:val="24"/>
              </w:rPr>
            </w:pPr>
            <w:r>
              <w:rPr>
                <w:rFonts w:hint="eastAsia"/>
                <w:sz w:val="18"/>
                <w:szCs w:val="24"/>
              </w:rPr>
              <w:t>不详</w:t>
            </w:r>
          </w:p>
        </w:tc>
        <w:tc>
          <w:tcPr>
            <w:tcW w:w="537"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0.5</w:t>
            </w:r>
          </w:p>
        </w:tc>
        <w:tc>
          <w:tcPr>
            <w:tcW w:w="496"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0.5</w:t>
            </w:r>
          </w:p>
        </w:tc>
        <w:tc>
          <w:tcPr>
            <w:tcW w:w="496"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0.5</w:t>
            </w:r>
          </w:p>
        </w:tc>
        <w:tc>
          <w:tcPr>
            <w:tcW w:w="45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0.5</w:t>
            </w:r>
          </w:p>
        </w:tc>
        <w:tc>
          <w:tcPr>
            <w:tcW w:w="45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0.5</w:t>
            </w:r>
          </w:p>
        </w:tc>
        <w:tc>
          <w:tcPr>
            <w:tcW w:w="45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0.5</w:t>
            </w:r>
          </w:p>
        </w:tc>
        <w:tc>
          <w:tcPr>
            <w:tcW w:w="45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0.4</w:t>
            </w:r>
          </w:p>
        </w:tc>
        <w:tc>
          <w:tcPr>
            <w:tcW w:w="45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0.4</w:t>
            </w:r>
          </w:p>
        </w:tc>
        <w:tc>
          <w:tcPr>
            <w:tcW w:w="45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0.4</w:t>
            </w:r>
          </w:p>
        </w:tc>
      </w:tr>
    </w:tbl>
    <w:p w:rsidR="00000000" w:rsidRDefault="00B83709">
      <w:pPr>
        <w:pStyle w:val="BodyText2"/>
        <w:framePr w:w="0" w:hRule="auto" w:hSpace="0" w:wrap="auto" w:vAnchor="margin" w:hAnchor="text" w:xAlign="left" w:yAlign="inline"/>
        <w:spacing w:after="24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第三季度：</w:t>
      </w:r>
      <w:r>
        <w:rPr>
          <w:rFonts w:eastAsia="KaiTi_GB2312" w:hint="eastAsia"/>
          <w:bCs/>
          <w:color w:val="0000FF"/>
          <w:sz w:val="21"/>
          <w:szCs w:val="24"/>
        </w:rPr>
        <w:t>2001</w:t>
      </w:r>
      <w:r>
        <w:rPr>
          <w:rFonts w:eastAsia="KaiTi_GB2312" w:hint="eastAsia"/>
          <w:bCs/>
          <w:color w:val="0000FF"/>
          <w:sz w:val="21"/>
          <w:szCs w:val="24"/>
        </w:rPr>
        <w:t>年</w:t>
      </w:r>
      <w:r>
        <w:rPr>
          <w:rFonts w:eastAsia="KaiTi_GB2312" w:hint="eastAsia"/>
          <w:bCs/>
          <w:color w:val="0000FF"/>
          <w:sz w:val="21"/>
          <w:szCs w:val="24"/>
        </w:rPr>
        <w:t>7-9</w:t>
      </w:r>
      <w:r>
        <w:rPr>
          <w:rFonts w:eastAsia="KaiTi_GB2312" w:hint="eastAsia"/>
          <w:bCs/>
          <w:color w:val="0000FF"/>
          <w:sz w:val="21"/>
          <w:szCs w:val="24"/>
        </w:rPr>
        <w:t>月，国家统计局。</w:t>
      </w:r>
    </w:p>
    <w:p w:rsidR="00000000" w:rsidRDefault="00B83709">
      <w:pPr>
        <w:numPr>
          <w:ilvl w:val="0"/>
          <w:numId w:val="1049"/>
        </w:numPr>
        <w:tabs>
          <w:tab w:val="clear" w:pos="360"/>
          <w:tab w:val="num" w:pos="480"/>
        </w:tabs>
        <w:spacing w:after="240" w:line="360" w:lineRule="exact"/>
        <w:rPr>
          <w:szCs w:val="24"/>
        </w:rPr>
      </w:pPr>
      <w:r>
        <w:rPr>
          <w:rFonts w:hint="eastAsia"/>
          <w:szCs w:val="24"/>
        </w:rPr>
        <w:t>按性别对最低和最高工资类别进行分析，即可了解男女薪资的差别。在薪资最高的组别（每月</w:t>
      </w:r>
      <w:r>
        <w:rPr>
          <w:szCs w:val="24"/>
        </w:rPr>
        <w:t>5</w:t>
      </w:r>
      <w:r>
        <w:rPr>
          <w:rFonts w:hint="eastAsia"/>
          <w:szCs w:val="24"/>
        </w:rPr>
        <w:t xml:space="preserve"> </w:t>
      </w:r>
      <w:r>
        <w:rPr>
          <w:szCs w:val="24"/>
        </w:rPr>
        <w:t>001</w:t>
      </w:r>
      <w:r>
        <w:rPr>
          <w:rFonts w:hint="eastAsia"/>
          <w:szCs w:val="24"/>
        </w:rPr>
        <w:t>到</w:t>
      </w:r>
      <w:r>
        <w:rPr>
          <w:szCs w:val="24"/>
        </w:rPr>
        <w:t>10</w:t>
      </w:r>
      <w:r>
        <w:rPr>
          <w:rFonts w:hint="eastAsia"/>
          <w:szCs w:val="24"/>
        </w:rPr>
        <w:t xml:space="preserve"> </w:t>
      </w:r>
      <w:r>
        <w:rPr>
          <w:szCs w:val="24"/>
        </w:rPr>
        <w:t>000</w:t>
      </w:r>
      <w:r>
        <w:rPr>
          <w:rFonts w:hint="eastAsia"/>
          <w:szCs w:val="24"/>
        </w:rPr>
        <w:t>多铢）中，男子的人数多于妇女，而低工资（每月不超过</w:t>
      </w:r>
      <w:r>
        <w:rPr>
          <w:rFonts w:hint="eastAsia"/>
          <w:szCs w:val="24"/>
        </w:rPr>
        <w:t>2 500-5 000</w:t>
      </w:r>
      <w:r>
        <w:rPr>
          <w:rFonts w:hint="eastAsia"/>
          <w:szCs w:val="24"/>
        </w:rPr>
        <w:t>铢）妇女的比例高于男子。后一种情况部分上反映了教育领域</w:t>
      </w:r>
      <w:r>
        <w:rPr>
          <w:rFonts w:hint="eastAsia"/>
          <w:szCs w:val="24"/>
        </w:rPr>
        <w:t>以往的不平等现象，以及妇女参与非正规部门的人数多于男子，特别是在采用简单技术的行业。高收入组别中妇女的比例较低表明，妇女在晋升方面拥有的机会少于男子。办公室女工职位大多数居低，而男子比妇女更有可能被任命为私营部门和政府部门的主管一级管理人员。</w:t>
      </w:r>
    </w:p>
    <w:p w:rsidR="00000000" w:rsidRDefault="00B83709">
      <w:pPr>
        <w:numPr>
          <w:ilvl w:val="0"/>
          <w:numId w:val="1049"/>
        </w:numPr>
        <w:tabs>
          <w:tab w:val="clear" w:pos="360"/>
          <w:tab w:val="num" w:pos="480"/>
        </w:tabs>
        <w:spacing w:after="240" w:line="360" w:lineRule="exact"/>
        <w:rPr>
          <w:szCs w:val="24"/>
        </w:rPr>
      </w:pPr>
      <w:r>
        <w:rPr>
          <w:rFonts w:hint="eastAsia"/>
          <w:szCs w:val="24"/>
        </w:rPr>
        <w:t>国家统计局与公务员制度委员会办公室合作，于</w:t>
      </w:r>
      <w:r>
        <w:rPr>
          <w:rFonts w:hint="eastAsia"/>
          <w:szCs w:val="24"/>
        </w:rPr>
        <w:t>1998</w:t>
      </w:r>
      <w:r>
        <w:rPr>
          <w:rFonts w:hint="eastAsia"/>
          <w:szCs w:val="24"/>
        </w:rPr>
        <w:t>年进行了一项调查，调查内容是根据在雇用</w:t>
      </w:r>
      <w:r>
        <w:rPr>
          <w:rFonts w:hint="eastAsia"/>
          <w:szCs w:val="24"/>
        </w:rPr>
        <w:t>100</w:t>
      </w:r>
      <w:r>
        <w:rPr>
          <w:rFonts w:hint="eastAsia"/>
          <w:szCs w:val="24"/>
        </w:rPr>
        <w:t>名以上工人的企业工作的长期工的工作条件，私营部门的薪酬情况。结果显示，行政管理一级（分部门主任、科室经理、工长）的男子多于妇女，发现妇女主要从事操作工作。在各个级别，男子的薪</w:t>
      </w:r>
      <w:r>
        <w:rPr>
          <w:rFonts w:hint="eastAsia"/>
          <w:szCs w:val="24"/>
        </w:rPr>
        <w:t>酬也高于妇女（表</w:t>
      </w:r>
      <w:r>
        <w:rPr>
          <w:rFonts w:hint="eastAsia"/>
          <w:szCs w:val="24"/>
        </w:rPr>
        <w:t>21</w:t>
      </w:r>
      <w:r>
        <w:rPr>
          <w:rFonts w:hint="eastAsia"/>
          <w:szCs w:val="24"/>
        </w:rPr>
        <w:t>）。</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color w:val="FF0000"/>
          <w:sz w:val="21"/>
        </w:rPr>
        <w:br w:type="page"/>
      </w:r>
      <w:r>
        <w:rPr>
          <w:rFonts w:ascii="SimHei" w:hint="eastAsia"/>
          <w:color w:val="FF0000"/>
          <w:sz w:val="21"/>
        </w:rPr>
        <w:t>表</w:t>
      </w:r>
      <w:r>
        <w:rPr>
          <w:rFonts w:ascii="SimHei" w:hint="eastAsia"/>
          <w:color w:val="FF0000"/>
          <w:sz w:val="21"/>
        </w:rPr>
        <w:t>21</w:t>
      </w:r>
      <w:r>
        <w:rPr>
          <w:rFonts w:ascii="SimHei"/>
          <w:color w:val="FF0000"/>
          <w:sz w:val="21"/>
        </w:rPr>
        <w:t xml:space="preserve">. </w:t>
      </w:r>
      <w:r>
        <w:rPr>
          <w:rFonts w:hint="eastAsia"/>
          <w:sz w:val="21"/>
          <w:szCs w:val="24"/>
        </w:rPr>
        <w:t>1998</w:t>
      </w:r>
      <w:r>
        <w:rPr>
          <w:rFonts w:eastAsia="SimSun" w:hint="eastAsia"/>
          <w:sz w:val="21"/>
          <w:szCs w:val="24"/>
        </w:rPr>
        <w:t>年按机构、职位和性别分列的长期工平均月薪和私营部门男女雇员的比例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8"/>
        <w:gridCol w:w="899"/>
        <w:gridCol w:w="901"/>
        <w:gridCol w:w="870"/>
        <w:gridCol w:w="870"/>
        <w:gridCol w:w="870"/>
        <w:gridCol w:w="870"/>
        <w:gridCol w:w="870"/>
        <w:gridCol w:w="870"/>
        <w:gridCol w:w="870"/>
        <w:gridCol w:w="868"/>
      </w:tblGrid>
      <w:tr w:rsidR="00000000">
        <w:tblPrEx>
          <w:tblCellMar>
            <w:top w:w="0" w:type="dxa"/>
            <w:bottom w:w="0" w:type="dxa"/>
          </w:tblCellMar>
        </w:tblPrEx>
        <w:trPr>
          <w:cantSplit/>
        </w:trPr>
        <w:tc>
          <w:tcPr>
            <w:tcW w:w="650"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企业规模</w:t>
            </w:r>
          </w:p>
        </w:tc>
        <w:tc>
          <w:tcPr>
            <w:tcW w:w="895" w:type="pct"/>
            <w:gridSpan w:val="2"/>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所有职位</w:t>
            </w:r>
          </w:p>
        </w:tc>
        <w:tc>
          <w:tcPr>
            <w:tcW w:w="3456" w:type="pct"/>
            <w:gridSpan w:val="8"/>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职位等级</w:t>
            </w:r>
          </w:p>
        </w:tc>
      </w:tr>
      <w:tr w:rsidR="00000000">
        <w:tblPrEx>
          <w:tblCellMar>
            <w:top w:w="0" w:type="dxa"/>
            <w:bottom w:w="0" w:type="dxa"/>
          </w:tblCellMar>
        </w:tblPrEx>
        <w:trPr>
          <w:cantSplit/>
          <w:trHeight w:val="425"/>
        </w:trPr>
        <w:tc>
          <w:tcPr>
            <w:tcW w:w="650" w:type="pct"/>
            <w:vMerge/>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895" w:type="pct"/>
            <w:gridSpan w:val="2"/>
            <w:vMerge/>
            <w:tcBorders>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p>
        </w:tc>
        <w:tc>
          <w:tcPr>
            <w:tcW w:w="864" w:type="pct"/>
            <w:gridSpan w:val="2"/>
            <w:tcBorders>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分部门主任</w:t>
            </w:r>
          </w:p>
        </w:tc>
        <w:tc>
          <w:tcPr>
            <w:tcW w:w="864" w:type="pct"/>
            <w:gridSpan w:val="2"/>
            <w:tcBorders>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部门经理</w:t>
            </w:r>
          </w:p>
        </w:tc>
        <w:tc>
          <w:tcPr>
            <w:tcW w:w="864" w:type="pct"/>
            <w:gridSpan w:val="2"/>
            <w:tcBorders>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监理</w:t>
            </w:r>
          </w:p>
        </w:tc>
        <w:tc>
          <w:tcPr>
            <w:tcW w:w="864" w:type="pct"/>
            <w:gridSpan w:val="2"/>
            <w:tcBorders>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rFonts w:hint="eastAsia"/>
                <w:bCs/>
                <w:color w:val="FF0000"/>
                <w:sz w:val="21"/>
                <w:szCs w:val="24"/>
              </w:rPr>
              <w:t>操作员</w:t>
            </w:r>
          </w:p>
        </w:tc>
      </w:tr>
      <w:tr w:rsidR="00000000">
        <w:tblPrEx>
          <w:tblCellMar>
            <w:top w:w="0" w:type="dxa"/>
            <w:bottom w:w="0" w:type="dxa"/>
          </w:tblCellMar>
        </w:tblPrEx>
        <w:trPr>
          <w:cantSplit/>
        </w:trPr>
        <w:tc>
          <w:tcPr>
            <w:tcW w:w="650"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44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448"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r>
      <w:tr w:rsidR="00000000">
        <w:tblPrEx>
          <w:tblCellMar>
            <w:top w:w="0" w:type="dxa"/>
            <w:bottom w:w="0" w:type="dxa"/>
          </w:tblCellMar>
        </w:tblPrEx>
        <w:tc>
          <w:tcPr>
            <w:tcW w:w="650"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r>
              <w:rPr>
                <w:rFonts w:hint="eastAsia"/>
                <w:bCs/>
                <w:color w:val="FF0000"/>
                <w:sz w:val="21"/>
                <w:szCs w:val="24"/>
              </w:rPr>
              <w:t>总数（铢）</w:t>
            </w:r>
          </w:p>
        </w:tc>
        <w:tc>
          <w:tcPr>
            <w:tcW w:w="44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15 074</w:t>
            </w:r>
          </w:p>
        </w:tc>
        <w:tc>
          <w:tcPr>
            <w:tcW w:w="448"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23 742</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51</w:t>
            </w:r>
            <w:r>
              <w:rPr>
                <w:rFonts w:hint="eastAsia"/>
                <w:b/>
                <w:color w:val="FF0000"/>
                <w:sz w:val="21"/>
                <w:szCs w:val="24"/>
              </w:rPr>
              <w:t xml:space="preserve"> </w:t>
            </w:r>
            <w:r>
              <w:rPr>
                <w:b/>
                <w:color w:val="FF0000"/>
                <w:sz w:val="21"/>
                <w:szCs w:val="24"/>
              </w:rPr>
              <w:t>206</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63</w:t>
            </w:r>
            <w:r>
              <w:rPr>
                <w:rFonts w:hint="eastAsia"/>
                <w:b/>
                <w:color w:val="FF0000"/>
                <w:sz w:val="21"/>
                <w:szCs w:val="24"/>
              </w:rPr>
              <w:t xml:space="preserve"> </w:t>
            </w:r>
            <w:r>
              <w:rPr>
                <w:b/>
                <w:color w:val="FF0000"/>
                <w:sz w:val="21"/>
                <w:szCs w:val="24"/>
              </w:rPr>
              <w:t>848</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29</w:t>
            </w:r>
            <w:r>
              <w:rPr>
                <w:rFonts w:hint="eastAsia"/>
                <w:b/>
                <w:color w:val="FF0000"/>
                <w:sz w:val="21"/>
                <w:szCs w:val="24"/>
              </w:rPr>
              <w:t xml:space="preserve"> </w:t>
            </w:r>
            <w:r>
              <w:rPr>
                <w:b/>
                <w:color w:val="FF0000"/>
                <w:sz w:val="21"/>
                <w:szCs w:val="24"/>
              </w:rPr>
              <w:t>666</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35</w:t>
            </w:r>
            <w:r>
              <w:rPr>
                <w:rFonts w:hint="eastAsia"/>
                <w:b/>
                <w:color w:val="FF0000"/>
                <w:sz w:val="21"/>
                <w:szCs w:val="24"/>
              </w:rPr>
              <w:t xml:space="preserve"> </w:t>
            </w:r>
            <w:r>
              <w:rPr>
                <w:b/>
                <w:color w:val="FF0000"/>
                <w:sz w:val="21"/>
                <w:szCs w:val="24"/>
              </w:rPr>
              <w:t>998</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15</w:t>
            </w:r>
            <w:r>
              <w:rPr>
                <w:rFonts w:hint="eastAsia"/>
                <w:b/>
                <w:color w:val="FF0000"/>
                <w:sz w:val="21"/>
                <w:szCs w:val="24"/>
              </w:rPr>
              <w:t xml:space="preserve"> </w:t>
            </w:r>
            <w:r>
              <w:rPr>
                <w:b/>
                <w:color w:val="FF0000"/>
                <w:sz w:val="21"/>
                <w:szCs w:val="24"/>
              </w:rPr>
              <w:t>545</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18</w:t>
            </w:r>
            <w:r>
              <w:rPr>
                <w:rFonts w:hint="eastAsia"/>
                <w:b/>
                <w:color w:val="FF0000"/>
                <w:sz w:val="21"/>
                <w:szCs w:val="24"/>
              </w:rPr>
              <w:t xml:space="preserve"> </w:t>
            </w:r>
            <w:r>
              <w:rPr>
                <w:b/>
                <w:color w:val="FF0000"/>
                <w:sz w:val="21"/>
                <w:szCs w:val="24"/>
              </w:rPr>
              <w:t>355</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9</w:t>
            </w:r>
            <w:r>
              <w:rPr>
                <w:rFonts w:hint="eastAsia"/>
                <w:b/>
                <w:color w:val="FF0000"/>
                <w:sz w:val="21"/>
                <w:szCs w:val="24"/>
              </w:rPr>
              <w:t xml:space="preserve"> </w:t>
            </w:r>
            <w:r>
              <w:rPr>
                <w:b/>
                <w:color w:val="FF0000"/>
                <w:sz w:val="21"/>
                <w:szCs w:val="24"/>
              </w:rPr>
              <w:t>388</w:t>
            </w:r>
          </w:p>
        </w:tc>
        <w:tc>
          <w:tcPr>
            <w:tcW w:w="43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w:t>
            </w:r>
            <w:r>
              <w:rPr>
                <w:rFonts w:hint="eastAsia"/>
                <w:b/>
                <w:color w:val="FF0000"/>
                <w:sz w:val="21"/>
                <w:szCs w:val="24"/>
              </w:rPr>
              <w:t xml:space="preserve"> </w:t>
            </w:r>
            <w:r>
              <w:rPr>
                <w:b/>
                <w:color w:val="FF0000"/>
                <w:sz w:val="21"/>
                <w:szCs w:val="24"/>
              </w:rPr>
              <w:t>971</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100-299</w:t>
            </w:r>
            <w:r>
              <w:rPr>
                <w:rFonts w:eastAsia="SimSun" w:hint="eastAsia"/>
                <w:sz w:val="21"/>
                <w:szCs w:val="24"/>
              </w:rPr>
              <w:t>人</w:t>
            </w:r>
            <w:r>
              <w:rPr>
                <w:sz w:val="21"/>
                <w:szCs w:val="24"/>
              </w:rPr>
              <w:t xml:space="preserve"> </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12 964</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19 791</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w:t>
            </w:r>
            <w:r>
              <w:rPr>
                <w:rFonts w:hint="eastAsia"/>
                <w:sz w:val="21"/>
                <w:szCs w:val="24"/>
              </w:rPr>
              <w:t xml:space="preserve"> </w:t>
            </w:r>
            <w:r>
              <w:rPr>
                <w:sz w:val="21"/>
                <w:szCs w:val="24"/>
              </w:rPr>
              <w:t>396</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w:t>
            </w:r>
            <w:r>
              <w:rPr>
                <w:rFonts w:hint="eastAsia"/>
                <w:sz w:val="21"/>
                <w:szCs w:val="24"/>
              </w:rPr>
              <w:t xml:space="preserve"> </w:t>
            </w:r>
            <w:r>
              <w:rPr>
                <w:sz w:val="21"/>
                <w:szCs w:val="24"/>
              </w:rPr>
              <w:t>847</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24</w:t>
            </w:r>
            <w:r>
              <w:rPr>
                <w:rFonts w:hint="eastAsia"/>
                <w:sz w:val="21"/>
                <w:szCs w:val="24"/>
              </w:rPr>
              <w:t xml:space="preserve"> </w:t>
            </w:r>
            <w:r>
              <w:rPr>
                <w:sz w:val="21"/>
                <w:szCs w:val="24"/>
              </w:rPr>
              <w:t>666</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30</w:t>
            </w:r>
            <w:r>
              <w:rPr>
                <w:rFonts w:hint="eastAsia"/>
                <w:sz w:val="21"/>
                <w:szCs w:val="24"/>
              </w:rPr>
              <w:t xml:space="preserve"> </w:t>
            </w:r>
            <w:r>
              <w:rPr>
                <w:sz w:val="21"/>
                <w:szCs w:val="24"/>
              </w:rPr>
              <w:t>143</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w:t>
            </w:r>
            <w:r>
              <w:rPr>
                <w:rFonts w:hint="eastAsia"/>
                <w:sz w:val="21"/>
                <w:szCs w:val="24"/>
              </w:rPr>
              <w:t xml:space="preserve"> </w:t>
            </w:r>
            <w:r>
              <w:rPr>
                <w:sz w:val="21"/>
                <w:szCs w:val="24"/>
              </w:rPr>
              <w:t>335</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15</w:t>
            </w:r>
            <w:r>
              <w:rPr>
                <w:rFonts w:hint="eastAsia"/>
                <w:sz w:val="21"/>
                <w:szCs w:val="24"/>
              </w:rPr>
              <w:t xml:space="preserve"> </w:t>
            </w:r>
            <w:r>
              <w:rPr>
                <w:sz w:val="21"/>
                <w:szCs w:val="24"/>
              </w:rPr>
              <w:t>750</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w:t>
            </w:r>
            <w:r>
              <w:rPr>
                <w:rFonts w:hint="eastAsia"/>
                <w:sz w:val="21"/>
                <w:szCs w:val="24"/>
              </w:rPr>
              <w:t xml:space="preserve"> </w:t>
            </w:r>
            <w:r>
              <w:rPr>
                <w:sz w:val="21"/>
                <w:szCs w:val="24"/>
              </w:rPr>
              <w:t>473</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w:t>
            </w:r>
            <w:r>
              <w:rPr>
                <w:rFonts w:hint="eastAsia"/>
                <w:sz w:val="21"/>
                <w:szCs w:val="24"/>
              </w:rPr>
              <w:t xml:space="preserve"> </w:t>
            </w:r>
            <w:r>
              <w:rPr>
                <w:sz w:val="21"/>
                <w:szCs w:val="24"/>
              </w:rPr>
              <w:t>112</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 xml:space="preserve">300-499 </w:t>
            </w:r>
            <w:r>
              <w:rPr>
                <w:rFonts w:eastAsia="SimSun" w:hint="eastAsia"/>
                <w:sz w:val="21"/>
                <w:szCs w:val="24"/>
              </w:rPr>
              <w:t>人</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15</w:t>
            </w:r>
            <w:r>
              <w:rPr>
                <w:rFonts w:hint="eastAsia"/>
                <w:sz w:val="21"/>
                <w:szCs w:val="24"/>
              </w:rPr>
              <w:t xml:space="preserve"> </w:t>
            </w:r>
            <w:r>
              <w:rPr>
                <w:sz w:val="21"/>
                <w:szCs w:val="24"/>
              </w:rPr>
              <w:t>139</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22 727</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w:t>
            </w:r>
            <w:r>
              <w:rPr>
                <w:rFonts w:hint="eastAsia"/>
                <w:sz w:val="21"/>
                <w:szCs w:val="24"/>
              </w:rPr>
              <w:t xml:space="preserve"> </w:t>
            </w:r>
            <w:r>
              <w:rPr>
                <w:sz w:val="21"/>
                <w:szCs w:val="24"/>
              </w:rPr>
              <w:t>851</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63</w:t>
            </w:r>
            <w:r>
              <w:rPr>
                <w:rFonts w:hint="eastAsia"/>
                <w:sz w:val="21"/>
                <w:szCs w:val="24"/>
              </w:rPr>
              <w:t xml:space="preserve"> </w:t>
            </w:r>
            <w:r>
              <w:rPr>
                <w:sz w:val="21"/>
                <w:szCs w:val="24"/>
              </w:rPr>
              <w:t>229</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28</w:t>
            </w:r>
            <w:r>
              <w:rPr>
                <w:rFonts w:hint="eastAsia"/>
                <w:sz w:val="21"/>
                <w:szCs w:val="24"/>
              </w:rPr>
              <w:t xml:space="preserve"> </w:t>
            </w:r>
            <w:r>
              <w:rPr>
                <w:sz w:val="21"/>
                <w:szCs w:val="24"/>
              </w:rPr>
              <w:t>063</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36</w:t>
            </w:r>
            <w:r>
              <w:rPr>
                <w:rFonts w:hint="eastAsia"/>
                <w:sz w:val="21"/>
                <w:szCs w:val="24"/>
              </w:rPr>
              <w:t xml:space="preserve"> </w:t>
            </w:r>
            <w:r>
              <w:rPr>
                <w:sz w:val="21"/>
                <w:szCs w:val="24"/>
              </w:rPr>
              <w:t>174</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15</w:t>
            </w:r>
            <w:r>
              <w:rPr>
                <w:rFonts w:hint="eastAsia"/>
                <w:sz w:val="21"/>
                <w:szCs w:val="24"/>
              </w:rPr>
              <w:t xml:space="preserve"> </w:t>
            </w:r>
            <w:r>
              <w:rPr>
                <w:sz w:val="21"/>
                <w:szCs w:val="24"/>
              </w:rPr>
              <w:t>815</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w:t>
            </w:r>
            <w:r>
              <w:rPr>
                <w:rFonts w:hint="eastAsia"/>
                <w:sz w:val="21"/>
                <w:szCs w:val="24"/>
              </w:rPr>
              <w:t xml:space="preserve"> </w:t>
            </w:r>
            <w:r>
              <w:rPr>
                <w:sz w:val="21"/>
                <w:szCs w:val="24"/>
              </w:rPr>
              <w:t>092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w:t>
            </w:r>
            <w:r>
              <w:rPr>
                <w:rFonts w:hint="eastAsia"/>
                <w:sz w:val="21"/>
                <w:szCs w:val="24"/>
              </w:rPr>
              <w:t xml:space="preserve"> </w:t>
            </w:r>
            <w:r>
              <w:rPr>
                <w:sz w:val="21"/>
                <w:szCs w:val="24"/>
              </w:rPr>
              <w:t>368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w:t>
            </w:r>
            <w:r>
              <w:rPr>
                <w:rFonts w:hint="eastAsia"/>
                <w:sz w:val="21"/>
                <w:szCs w:val="24"/>
              </w:rPr>
              <w:t xml:space="preserve"> </w:t>
            </w:r>
            <w:r>
              <w:rPr>
                <w:sz w:val="21"/>
                <w:szCs w:val="24"/>
              </w:rPr>
              <w:t>162</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500-999</w:t>
            </w:r>
            <w:r>
              <w:rPr>
                <w:rFonts w:eastAsia="SimSun" w:hint="eastAsia"/>
                <w:sz w:val="21"/>
                <w:szCs w:val="24"/>
              </w:rPr>
              <w:t>人</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16 266</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27 108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59</w:t>
            </w:r>
            <w:r>
              <w:rPr>
                <w:rFonts w:hint="eastAsia"/>
                <w:sz w:val="21"/>
                <w:szCs w:val="24"/>
              </w:rPr>
              <w:t xml:space="preserve"> </w:t>
            </w:r>
            <w:r>
              <w:rPr>
                <w:sz w:val="21"/>
                <w:szCs w:val="24"/>
              </w:rPr>
              <w:t>751</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68</w:t>
            </w:r>
            <w:r>
              <w:rPr>
                <w:rFonts w:hint="eastAsia"/>
                <w:sz w:val="21"/>
                <w:szCs w:val="24"/>
              </w:rPr>
              <w:t xml:space="preserve"> </w:t>
            </w:r>
            <w:r>
              <w:rPr>
                <w:sz w:val="21"/>
                <w:szCs w:val="24"/>
              </w:rPr>
              <w:t>678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35</w:t>
            </w:r>
            <w:r>
              <w:rPr>
                <w:rFonts w:hint="eastAsia"/>
                <w:sz w:val="21"/>
                <w:szCs w:val="24"/>
              </w:rPr>
              <w:t xml:space="preserve"> </w:t>
            </w:r>
            <w:r>
              <w:rPr>
                <w:sz w:val="21"/>
                <w:szCs w:val="24"/>
              </w:rPr>
              <w:t>032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w:t>
            </w:r>
            <w:r>
              <w:rPr>
                <w:rFonts w:hint="eastAsia"/>
                <w:sz w:val="21"/>
                <w:szCs w:val="24"/>
              </w:rPr>
              <w:t xml:space="preserve"> </w:t>
            </w:r>
            <w:r>
              <w:rPr>
                <w:sz w:val="21"/>
                <w:szCs w:val="24"/>
              </w:rPr>
              <w:t>570</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w:t>
            </w:r>
            <w:r>
              <w:rPr>
                <w:rFonts w:hint="eastAsia"/>
                <w:sz w:val="21"/>
                <w:szCs w:val="24"/>
              </w:rPr>
              <w:t xml:space="preserve"> </w:t>
            </w:r>
            <w:r>
              <w:rPr>
                <w:sz w:val="21"/>
                <w:szCs w:val="24"/>
              </w:rPr>
              <w:t>720</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w:t>
            </w:r>
            <w:r>
              <w:rPr>
                <w:rFonts w:hint="eastAsia"/>
                <w:sz w:val="21"/>
                <w:szCs w:val="24"/>
              </w:rPr>
              <w:t xml:space="preserve"> </w:t>
            </w:r>
            <w:r>
              <w:rPr>
                <w:sz w:val="21"/>
                <w:szCs w:val="24"/>
              </w:rPr>
              <w:t>730</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w:t>
            </w:r>
            <w:r>
              <w:rPr>
                <w:rFonts w:hint="eastAsia"/>
                <w:sz w:val="21"/>
                <w:szCs w:val="24"/>
              </w:rPr>
              <w:t xml:space="preserve"> </w:t>
            </w:r>
            <w:r>
              <w:rPr>
                <w:sz w:val="21"/>
                <w:szCs w:val="24"/>
              </w:rPr>
              <w:t>702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w:t>
            </w:r>
            <w:r>
              <w:rPr>
                <w:rFonts w:hint="eastAsia"/>
                <w:sz w:val="21"/>
                <w:szCs w:val="24"/>
              </w:rPr>
              <w:t xml:space="preserve"> </w:t>
            </w:r>
            <w:r>
              <w:rPr>
                <w:sz w:val="21"/>
                <w:szCs w:val="24"/>
              </w:rPr>
              <w:t>485</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 xml:space="preserve">&gt; 1 000 </w:t>
            </w:r>
            <w:r>
              <w:rPr>
                <w:rFonts w:eastAsia="SimSun" w:hint="eastAsia"/>
                <w:sz w:val="21"/>
                <w:szCs w:val="24"/>
              </w:rPr>
              <w:t>人</w:t>
            </w:r>
            <w:r>
              <w:rPr>
                <w:sz w:val="21"/>
                <w:szCs w:val="24"/>
              </w:rPr>
              <w:t xml:space="preserve"> </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19 079</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32 372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66</w:t>
            </w:r>
            <w:r>
              <w:rPr>
                <w:rFonts w:hint="eastAsia"/>
                <w:sz w:val="21"/>
                <w:szCs w:val="24"/>
              </w:rPr>
              <w:t xml:space="preserve"> </w:t>
            </w:r>
            <w:r>
              <w:rPr>
                <w:sz w:val="21"/>
                <w:szCs w:val="24"/>
              </w:rPr>
              <w:t>176</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85</w:t>
            </w:r>
            <w:r>
              <w:rPr>
                <w:rFonts w:hint="eastAsia"/>
                <w:sz w:val="21"/>
                <w:szCs w:val="24"/>
              </w:rPr>
              <w:t xml:space="preserve"> </w:t>
            </w:r>
            <w:r>
              <w:rPr>
                <w:sz w:val="21"/>
                <w:szCs w:val="24"/>
              </w:rPr>
              <w:t>365</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37</w:t>
            </w:r>
            <w:r>
              <w:rPr>
                <w:rFonts w:hint="eastAsia"/>
                <w:sz w:val="21"/>
                <w:szCs w:val="24"/>
              </w:rPr>
              <w:t xml:space="preserve"> </w:t>
            </w:r>
            <w:r>
              <w:rPr>
                <w:sz w:val="21"/>
                <w:szCs w:val="24"/>
              </w:rPr>
              <w:t>305</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w:t>
            </w:r>
            <w:r>
              <w:rPr>
                <w:rFonts w:hint="eastAsia"/>
                <w:sz w:val="21"/>
                <w:szCs w:val="24"/>
              </w:rPr>
              <w:t xml:space="preserve"> </w:t>
            </w:r>
            <w:r>
              <w:rPr>
                <w:sz w:val="21"/>
                <w:szCs w:val="24"/>
              </w:rPr>
              <w:t>812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w:t>
            </w:r>
            <w:r>
              <w:rPr>
                <w:rFonts w:hint="eastAsia"/>
                <w:sz w:val="21"/>
                <w:szCs w:val="24"/>
              </w:rPr>
              <w:t xml:space="preserve"> </w:t>
            </w:r>
            <w:r>
              <w:rPr>
                <w:sz w:val="21"/>
                <w:szCs w:val="24"/>
              </w:rPr>
              <w:t>207</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r>
              <w:rPr>
                <w:rFonts w:hint="eastAsia"/>
                <w:sz w:val="21"/>
                <w:szCs w:val="24"/>
              </w:rPr>
              <w:t xml:space="preserve"> </w:t>
            </w:r>
            <w:r>
              <w:rPr>
                <w:sz w:val="21"/>
                <w:szCs w:val="24"/>
              </w:rPr>
              <w:t>481</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w:t>
            </w:r>
            <w:r>
              <w:rPr>
                <w:rFonts w:hint="eastAsia"/>
                <w:sz w:val="21"/>
                <w:szCs w:val="24"/>
              </w:rPr>
              <w:t xml:space="preserve"> </w:t>
            </w:r>
            <w:r>
              <w:rPr>
                <w:sz w:val="21"/>
                <w:szCs w:val="24"/>
              </w:rPr>
              <w:t>502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w:t>
            </w:r>
            <w:r>
              <w:rPr>
                <w:rFonts w:hint="eastAsia"/>
                <w:sz w:val="21"/>
                <w:szCs w:val="24"/>
              </w:rPr>
              <w:t xml:space="preserve"> </w:t>
            </w:r>
            <w:r>
              <w:rPr>
                <w:sz w:val="21"/>
                <w:szCs w:val="24"/>
              </w:rPr>
              <w:t>215</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r>
              <w:rPr>
                <w:rFonts w:hint="eastAsia"/>
                <w:bCs/>
                <w:color w:val="FF0000"/>
                <w:sz w:val="21"/>
                <w:szCs w:val="24"/>
              </w:rPr>
              <w:t>总</w:t>
            </w:r>
            <w:r>
              <w:rPr>
                <w:rFonts w:hint="eastAsia"/>
                <w:bCs/>
                <w:color w:val="FF0000"/>
                <w:sz w:val="21"/>
                <w:szCs w:val="24"/>
              </w:rPr>
              <w:t>数</w:t>
            </w:r>
            <w:r>
              <w:rPr>
                <w:bCs/>
                <w:color w:val="FF0000"/>
                <w:sz w:val="21"/>
                <w:szCs w:val="24"/>
              </w:rPr>
              <w:t>(%)</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44.4</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55.6</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22.8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77.2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33.3</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66.7</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39.0</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61.0</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54.4</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45.6</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 xml:space="preserve">100-299 </w:t>
            </w:r>
            <w:r>
              <w:rPr>
                <w:rFonts w:eastAsia="SimSun" w:hint="eastAsia"/>
                <w:sz w:val="21"/>
                <w:szCs w:val="24"/>
              </w:rPr>
              <w:t>人</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44.1</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55.9</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76.2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33.1</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66.9</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38.1</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61.9</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53.9</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46.1</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 xml:space="preserve">300-499 </w:t>
            </w:r>
            <w:r>
              <w:rPr>
                <w:rFonts w:eastAsia="SimSun" w:hint="eastAsia"/>
                <w:sz w:val="21"/>
                <w:szCs w:val="24"/>
              </w:rPr>
              <w:t>人</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43.2</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56.8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24.8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75.7</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33.2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66.8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37.9</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62.1</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52.2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47.8</w:t>
            </w:r>
          </w:p>
        </w:tc>
      </w:tr>
      <w:tr w:rsidR="00000000">
        <w:tblPrEx>
          <w:tblCellMar>
            <w:top w:w="0" w:type="dxa"/>
            <w:bottom w:w="0" w:type="dxa"/>
          </w:tblCellMar>
        </w:tblPrEx>
        <w:tc>
          <w:tcPr>
            <w:tcW w:w="6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 xml:space="preserve">500-999 </w:t>
            </w:r>
            <w:r>
              <w:rPr>
                <w:rFonts w:eastAsia="SimSun" w:hint="eastAsia"/>
                <w:sz w:val="21"/>
                <w:szCs w:val="24"/>
              </w:rPr>
              <w:t>人</w:t>
            </w:r>
          </w:p>
        </w:tc>
        <w:tc>
          <w:tcPr>
            <w:tcW w:w="44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44.4</w:t>
            </w:r>
          </w:p>
        </w:tc>
        <w:tc>
          <w:tcPr>
            <w:tcW w:w="4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55.6</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18.4</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81.6</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32.8</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67.2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37.6</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62.4</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56.2</w:t>
            </w:r>
          </w:p>
        </w:tc>
        <w:tc>
          <w:tcPr>
            <w:tcW w:w="4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43.8</w:t>
            </w:r>
          </w:p>
        </w:tc>
      </w:tr>
      <w:tr w:rsidR="00000000">
        <w:tblPrEx>
          <w:tblCellMar>
            <w:top w:w="0" w:type="dxa"/>
            <w:bottom w:w="0" w:type="dxa"/>
          </w:tblCellMar>
        </w:tblPrEx>
        <w:tc>
          <w:tcPr>
            <w:tcW w:w="650"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 xml:space="preserve">&gt; 1 000 </w:t>
            </w:r>
            <w:r>
              <w:rPr>
                <w:rFonts w:eastAsia="SimSun" w:hint="eastAsia"/>
                <w:sz w:val="21"/>
                <w:szCs w:val="24"/>
              </w:rPr>
              <w:t>人</w:t>
            </w:r>
          </w:p>
        </w:tc>
        <w:tc>
          <w:tcPr>
            <w:tcW w:w="44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46.8</w:t>
            </w:r>
          </w:p>
        </w:tc>
        <w:tc>
          <w:tcPr>
            <w:tcW w:w="448"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w:t>
            </w:r>
            <w:r>
              <w:rPr>
                <w:sz w:val="21"/>
                <w:szCs w:val="24"/>
              </w:rPr>
              <w:t>.2</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23.5</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76.5</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34.7</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65.3</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44.2</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55.8</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56.7</w:t>
            </w:r>
          </w:p>
        </w:tc>
        <w:tc>
          <w:tcPr>
            <w:tcW w:w="4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43.3</w:t>
            </w:r>
          </w:p>
        </w:tc>
      </w:tr>
    </w:tbl>
    <w:p w:rsidR="00000000" w:rsidRDefault="00B83709">
      <w:pPr>
        <w:pStyle w:val="BodyText2"/>
        <w:framePr w:w="0" w:hRule="auto" w:hSpace="0" w:wrap="auto" w:vAnchor="margin" w:hAnchor="text" w:xAlign="left" w:yAlign="inline"/>
        <w:spacing w:after="24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国家统计局及公务员制度委员会办公室：</w:t>
      </w:r>
      <w:r>
        <w:rPr>
          <w:rFonts w:eastAsia="KaiTi_GB2312" w:hint="eastAsia"/>
          <w:bCs/>
          <w:color w:val="0000FF"/>
          <w:sz w:val="21"/>
          <w:szCs w:val="24"/>
        </w:rPr>
        <w:t>1998</w:t>
      </w:r>
      <w:r>
        <w:rPr>
          <w:rFonts w:eastAsia="KaiTi_GB2312" w:hint="eastAsia"/>
          <w:bCs/>
          <w:color w:val="0000FF"/>
          <w:sz w:val="21"/>
          <w:szCs w:val="24"/>
        </w:rPr>
        <w:t>年私营部门薪酬调查</w:t>
      </w:r>
      <w:r>
        <w:rPr>
          <w:rFonts w:eastAsia="KaiTi_GB2312" w:hint="eastAsia"/>
          <w:color w:val="0000FF"/>
          <w:sz w:val="21"/>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公务员制度委员会办公室</w:t>
      </w:r>
      <w:r>
        <w:rPr>
          <w:rFonts w:hint="eastAsia"/>
          <w:szCs w:val="24"/>
        </w:rPr>
        <w:t>2000</w:t>
      </w:r>
      <w:r>
        <w:rPr>
          <w:rFonts w:hint="eastAsia"/>
          <w:szCs w:val="24"/>
        </w:rPr>
        <w:t>年按性别分列的数据显示，男性公务员主要担任</w:t>
      </w:r>
      <w:r>
        <w:rPr>
          <w:rFonts w:hint="eastAsia"/>
          <w:szCs w:val="24"/>
        </w:rPr>
        <w:t>8-11</w:t>
      </w:r>
      <w:r>
        <w:rPr>
          <w:rFonts w:hint="eastAsia"/>
          <w:szCs w:val="24"/>
        </w:rPr>
        <w:t>级职位，妇女担任</w:t>
      </w:r>
      <w:r>
        <w:rPr>
          <w:rFonts w:hint="eastAsia"/>
          <w:szCs w:val="24"/>
        </w:rPr>
        <w:t>1-7</w:t>
      </w:r>
      <w:r>
        <w:rPr>
          <w:rFonts w:hint="eastAsia"/>
          <w:szCs w:val="24"/>
        </w:rPr>
        <w:t>级职位的人更多（表</w:t>
      </w:r>
      <w:r>
        <w:rPr>
          <w:rFonts w:hint="eastAsia"/>
          <w:szCs w:val="24"/>
        </w:rPr>
        <w:t>22</w:t>
      </w:r>
      <w:r>
        <w:rPr>
          <w:rFonts w:hint="eastAsia"/>
          <w:szCs w:val="24"/>
        </w:rPr>
        <w:t>）。不过，</w:t>
      </w:r>
      <w:r>
        <w:rPr>
          <w:rFonts w:hint="eastAsia"/>
          <w:szCs w:val="24"/>
        </w:rPr>
        <w:t>9-11</w:t>
      </w:r>
      <w:r>
        <w:rPr>
          <w:rFonts w:hint="eastAsia"/>
          <w:szCs w:val="24"/>
        </w:rPr>
        <w:t>级妇女的比例从</w:t>
      </w:r>
      <w:r>
        <w:rPr>
          <w:rFonts w:hint="eastAsia"/>
          <w:szCs w:val="24"/>
        </w:rPr>
        <w:t>1992</w:t>
      </w:r>
      <w:r>
        <w:rPr>
          <w:rFonts w:hint="eastAsia"/>
          <w:szCs w:val="24"/>
        </w:rPr>
        <w:t>年的</w:t>
      </w:r>
      <w:r>
        <w:rPr>
          <w:szCs w:val="24"/>
        </w:rPr>
        <w:t>9.87%</w:t>
      </w:r>
      <w:r>
        <w:rPr>
          <w:rFonts w:hint="eastAsia"/>
          <w:szCs w:val="24"/>
        </w:rPr>
        <w:t>增至</w:t>
      </w:r>
      <w:r>
        <w:rPr>
          <w:rFonts w:hint="eastAsia"/>
          <w:szCs w:val="24"/>
        </w:rPr>
        <w:t>2000</w:t>
      </w:r>
      <w:r>
        <w:rPr>
          <w:rFonts w:hint="eastAsia"/>
          <w:szCs w:val="24"/>
        </w:rPr>
        <w:t>年的</w:t>
      </w:r>
      <w:r>
        <w:rPr>
          <w:szCs w:val="24"/>
        </w:rPr>
        <w:t>13.84%</w:t>
      </w:r>
      <w:r>
        <w:rPr>
          <w:rFonts w:hint="eastAsia"/>
          <w:szCs w:val="24"/>
        </w:rPr>
        <w:t>（表</w:t>
      </w:r>
      <w:r>
        <w:rPr>
          <w:rFonts w:hint="eastAsia"/>
          <w:szCs w:val="24"/>
        </w:rPr>
        <w:t>23</w:t>
      </w:r>
      <w:r>
        <w:rPr>
          <w:rFonts w:hint="eastAsia"/>
          <w:szCs w:val="24"/>
        </w:rPr>
        <w:t>）。</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22</w:t>
      </w:r>
      <w:r>
        <w:rPr>
          <w:rFonts w:ascii="SimHei"/>
          <w:color w:val="FF0000"/>
          <w:sz w:val="21"/>
        </w:rPr>
        <w:t xml:space="preserve">. </w:t>
      </w:r>
      <w:r>
        <w:rPr>
          <w:rFonts w:hint="eastAsia"/>
          <w:sz w:val="21"/>
          <w:szCs w:val="24"/>
        </w:rPr>
        <w:t>2000</w:t>
      </w:r>
      <w:r>
        <w:rPr>
          <w:rFonts w:eastAsia="SimSun" w:hint="eastAsia"/>
          <w:sz w:val="21"/>
          <w:szCs w:val="24"/>
        </w:rPr>
        <w:t>年按级别和性别分列的政府官员人数和比例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2"/>
        <w:gridCol w:w="1240"/>
        <w:gridCol w:w="1242"/>
        <w:gridCol w:w="1240"/>
        <w:gridCol w:w="1242"/>
        <w:gridCol w:w="1240"/>
        <w:gridCol w:w="1240"/>
      </w:tblGrid>
      <w:tr w:rsidR="00000000">
        <w:tblPrEx>
          <w:tblCellMar>
            <w:top w:w="0" w:type="dxa"/>
            <w:bottom w:w="0" w:type="dxa"/>
          </w:tblCellMar>
        </w:tblPrEx>
        <w:trPr>
          <w:cantSplit/>
          <w:tblHeader/>
        </w:trPr>
        <w:tc>
          <w:tcPr>
            <w:tcW w:w="1302"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级别</w:t>
            </w:r>
          </w:p>
        </w:tc>
        <w:tc>
          <w:tcPr>
            <w:tcW w:w="1233"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1233"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1233" w:type="pct"/>
            <w:gridSpan w:val="2"/>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r>
      <w:tr w:rsidR="00000000">
        <w:tblPrEx>
          <w:tblCellMar>
            <w:top w:w="0" w:type="dxa"/>
            <w:bottom w:w="0" w:type="dxa"/>
          </w:tblCellMar>
        </w:tblPrEx>
        <w:trPr>
          <w:cantSplit/>
          <w:tblHeader/>
        </w:trPr>
        <w:tc>
          <w:tcPr>
            <w:tcW w:w="1302"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61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61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61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61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c>
          <w:tcPr>
            <w:tcW w:w="61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数量</w:t>
            </w:r>
          </w:p>
        </w:tc>
        <w:tc>
          <w:tcPr>
            <w:tcW w:w="61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w:t>
            </w:r>
          </w:p>
        </w:tc>
      </w:tr>
      <w:tr w:rsidR="00000000">
        <w:tblPrEx>
          <w:tblCellMar>
            <w:top w:w="0" w:type="dxa"/>
            <w:bottom w:w="0" w:type="dxa"/>
          </w:tblCellMar>
        </w:tblPrEx>
        <w:tc>
          <w:tcPr>
            <w:tcW w:w="1302"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总数</w:t>
            </w:r>
          </w:p>
        </w:tc>
        <w:tc>
          <w:tcPr>
            <w:tcW w:w="61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b/>
                <w:color w:val="FF0000"/>
                <w:sz w:val="21"/>
                <w:szCs w:val="24"/>
              </w:rPr>
            </w:pPr>
            <w:r>
              <w:rPr>
                <w:b/>
                <w:color w:val="FF0000"/>
                <w:sz w:val="21"/>
                <w:szCs w:val="24"/>
              </w:rPr>
              <w:t xml:space="preserve">388 </w:t>
            </w:r>
            <w:r>
              <w:rPr>
                <w:b/>
                <w:color w:val="FF0000"/>
                <w:sz w:val="21"/>
                <w:szCs w:val="24"/>
              </w:rPr>
              <w:t>054</w:t>
            </w:r>
          </w:p>
        </w:tc>
        <w:tc>
          <w:tcPr>
            <w:tcW w:w="61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b/>
                <w:color w:val="FF0000"/>
                <w:sz w:val="21"/>
                <w:szCs w:val="24"/>
              </w:rPr>
            </w:pPr>
            <w:r>
              <w:rPr>
                <w:b/>
                <w:color w:val="FF0000"/>
                <w:sz w:val="21"/>
                <w:szCs w:val="24"/>
              </w:rPr>
              <w:t>100.0</w:t>
            </w:r>
          </w:p>
        </w:tc>
        <w:tc>
          <w:tcPr>
            <w:tcW w:w="61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b/>
                <w:color w:val="FF0000"/>
                <w:sz w:val="21"/>
                <w:szCs w:val="24"/>
              </w:rPr>
            </w:pPr>
            <w:r>
              <w:rPr>
                <w:b/>
                <w:color w:val="FF0000"/>
                <w:sz w:val="21"/>
                <w:szCs w:val="24"/>
              </w:rPr>
              <w:t>228 161</w:t>
            </w:r>
          </w:p>
        </w:tc>
        <w:tc>
          <w:tcPr>
            <w:tcW w:w="61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b/>
                <w:color w:val="FF0000"/>
                <w:sz w:val="21"/>
                <w:szCs w:val="24"/>
              </w:rPr>
            </w:pPr>
            <w:r>
              <w:rPr>
                <w:b/>
                <w:color w:val="FF0000"/>
                <w:sz w:val="21"/>
                <w:szCs w:val="24"/>
              </w:rPr>
              <w:t>58.80</w:t>
            </w:r>
          </w:p>
        </w:tc>
        <w:tc>
          <w:tcPr>
            <w:tcW w:w="61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b/>
                <w:color w:val="FF0000"/>
                <w:sz w:val="21"/>
                <w:szCs w:val="24"/>
              </w:rPr>
            </w:pPr>
            <w:r>
              <w:rPr>
                <w:b/>
                <w:color w:val="FF0000"/>
                <w:sz w:val="21"/>
                <w:szCs w:val="24"/>
              </w:rPr>
              <w:t>159</w:t>
            </w:r>
            <w:r>
              <w:rPr>
                <w:rFonts w:hint="eastAsia"/>
                <w:b/>
                <w:color w:val="FF0000"/>
                <w:sz w:val="21"/>
                <w:szCs w:val="24"/>
              </w:rPr>
              <w:t xml:space="preserve"> </w:t>
            </w:r>
            <w:r>
              <w:rPr>
                <w:b/>
                <w:color w:val="FF0000"/>
                <w:sz w:val="21"/>
                <w:szCs w:val="24"/>
              </w:rPr>
              <w:t>893</w:t>
            </w:r>
          </w:p>
        </w:tc>
        <w:tc>
          <w:tcPr>
            <w:tcW w:w="616"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b/>
                <w:color w:val="FF0000"/>
                <w:sz w:val="21"/>
                <w:szCs w:val="24"/>
              </w:rPr>
            </w:pPr>
            <w:r>
              <w:rPr>
                <w:b/>
                <w:color w:val="FF0000"/>
                <w:sz w:val="21"/>
                <w:szCs w:val="24"/>
              </w:rPr>
              <w:t>41.20</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3 361</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0.87</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2 208</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65.69</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w:t>
            </w:r>
            <w:r>
              <w:rPr>
                <w:rFonts w:hint="eastAsia"/>
                <w:sz w:val="21"/>
                <w:szCs w:val="24"/>
              </w:rPr>
              <w:t xml:space="preserve"> </w:t>
            </w:r>
            <w:r>
              <w:rPr>
                <w:sz w:val="21"/>
                <w:szCs w:val="24"/>
              </w:rPr>
              <w:t>153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41.20</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2</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22 051</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5.68</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16 078</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72.91</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w:t>
            </w:r>
            <w:r>
              <w:rPr>
                <w:rFonts w:hint="eastAsia"/>
                <w:sz w:val="21"/>
                <w:szCs w:val="24"/>
              </w:rPr>
              <w:t xml:space="preserve"> </w:t>
            </w:r>
            <w:r>
              <w:rPr>
                <w:sz w:val="21"/>
                <w:szCs w:val="24"/>
              </w:rPr>
              <w:t>973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27.09</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40 069</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10.33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26 546</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66.25</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13</w:t>
            </w:r>
            <w:r>
              <w:rPr>
                <w:rFonts w:hint="eastAsia"/>
                <w:sz w:val="21"/>
                <w:szCs w:val="24"/>
              </w:rPr>
              <w:t xml:space="preserve"> </w:t>
            </w:r>
            <w:r>
              <w:rPr>
                <w:sz w:val="21"/>
                <w:szCs w:val="24"/>
              </w:rPr>
              <w:t>523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33.75</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4</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70 010</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18.04</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44 873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64.10</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25</w:t>
            </w:r>
            <w:r>
              <w:rPr>
                <w:rFonts w:hint="eastAsia"/>
                <w:sz w:val="21"/>
                <w:szCs w:val="24"/>
              </w:rPr>
              <w:t xml:space="preserve"> </w:t>
            </w:r>
            <w:r>
              <w:rPr>
                <w:sz w:val="21"/>
                <w:szCs w:val="24"/>
              </w:rPr>
              <w:t>137</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35.90</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5</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97 284</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25.07</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56 195</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57.76</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41</w:t>
            </w:r>
            <w:r>
              <w:rPr>
                <w:rFonts w:hint="eastAsia"/>
                <w:sz w:val="21"/>
                <w:szCs w:val="24"/>
              </w:rPr>
              <w:t xml:space="preserve"> </w:t>
            </w:r>
            <w:r>
              <w:rPr>
                <w:sz w:val="21"/>
                <w:szCs w:val="24"/>
              </w:rPr>
              <w:t>089</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42.24</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6</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89 993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23.1</w:t>
            </w:r>
            <w:r>
              <w:rPr>
                <w:sz w:val="21"/>
                <w:szCs w:val="24"/>
              </w:rPr>
              <w:t>9</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50 331</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55.93</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39</w:t>
            </w:r>
            <w:r>
              <w:rPr>
                <w:rFonts w:hint="eastAsia"/>
                <w:sz w:val="21"/>
                <w:szCs w:val="24"/>
              </w:rPr>
              <w:t xml:space="preserve"> </w:t>
            </w:r>
            <w:r>
              <w:rPr>
                <w:sz w:val="21"/>
                <w:szCs w:val="24"/>
              </w:rPr>
              <w:t>662</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44.07</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7</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48 131</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12.40</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25 777</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53.56</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22</w:t>
            </w:r>
            <w:r>
              <w:rPr>
                <w:rFonts w:hint="eastAsia"/>
                <w:sz w:val="21"/>
                <w:szCs w:val="24"/>
              </w:rPr>
              <w:t xml:space="preserve"> </w:t>
            </w:r>
            <w:r>
              <w:rPr>
                <w:sz w:val="21"/>
                <w:szCs w:val="24"/>
              </w:rPr>
              <w:t>354</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46.44</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8</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14 059</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3.62</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5 444</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38.72</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8</w:t>
            </w:r>
            <w:r>
              <w:rPr>
                <w:rFonts w:hint="eastAsia"/>
                <w:sz w:val="21"/>
                <w:szCs w:val="24"/>
              </w:rPr>
              <w:t xml:space="preserve"> </w:t>
            </w:r>
            <w:r>
              <w:rPr>
                <w:sz w:val="21"/>
                <w:szCs w:val="24"/>
              </w:rPr>
              <w:t>615</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61.28</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9</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2 510</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0.65</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629</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25.06</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w:t>
            </w:r>
            <w:r>
              <w:rPr>
                <w:rFonts w:hint="eastAsia"/>
                <w:sz w:val="21"/>
                <w:szCs w:val="24"/>
              </w:rPr>
              <w:t xml:space="preserve"> </w:t>
            </w:r>
            <w:r>
              <w:rPr>
                <w:sz w:val="21"/>
                <w:szCs w:val="24"/>
              </w:rPr>
              <w:t>881</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74.94</w:t>
            </w:r>
          </w:p>
        </w:tc>
      </w:tr>
      <w:tr w:rsidR="00000000">
        <w:tblPrEx>
          <w:tblCellMar>
            <w:top w:w="0" w:type="dxa"/>
            <w:bottom w:w="0" w:type="dxa"/>
          </w:tblCellMar>
        </w:tblPrEx>
        <w:tc>
          <w:tcPr>
            <w:tcW w:w="13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10</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557</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0.14</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77</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13.82</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480</w:t>
            </w:r>
          </w:p>
        </w:tc>
        <w:tc>
          <w:tcPr>
            <w:tcW w:w="616"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86.18</w:t>
            </w:r>
          </w:p>
        </w:tc>
      </w:tr>
      <w:tr w:rsidR="00000000">
        <w:tblPrEx>
          <w:tblCellMar>
            <w:top w:w="0" w:type="dxa"/>
            <w:bottom w:w="0" w:type="dxa"/>
          </w:tblCellMar>
        </w:tblPrEx>
        <w:tc>
          <w:tcPr>
            <w:tcW w:w="1302"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11</w:t>
            </w:r>
          </w:p>
        </w:tc>
        <w:tc>
          <w:tcPr>
            <w:tcW w:w="61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29</w:t>
            </w:r>
          </w:p>
        </w:tc>
        <w:tc>
          <w:tcPr>
            <w:tcW w:w="61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0.01</w:t>
            </w:r>
          </w:p>
        </w:tc>
        <w:tc>
          <w:tcPr>
            <w:tcW w:w="61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3</w:t>
            </w:r>
          </w:p>
        </w:tc>
        <w:tc>
          <w:tcPr>
            <w:tcW w:w="61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10.34</w:t>
            </w:r>
          </w:p>
        </w:tc>
        <w:tc>
          <w:tcPr>
            <w:tcW w:w="61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26</w:t>
            </w:r>
          </w:p>
        </w:tc>
        <w:tc>
          <w:tcPr>
            <w:tcW w:w="616"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79" w:right="31680"/>
              <w:jc w:val="right"/>
              <w:rPr>
                <w:sz w:val="21"/>
                <w:szCs w:val="24"/>
              </w:rPr>
            </w:pPr>
            <w:r>
              <w:rPr>
                <w:sz w:val="21"/>
                <w:szCs w:val="24"/>
              </w:rPr>
              <w:t>89.66</w:t>
            </w:r>
          </w:p>
        </w:tc>
      </w:tr>
    </w:tbl>
    <w:p w:rsidR="00000000" w:rsidRDefault="00B83709">
      <w:pPr>
        <w:pStyle w:val="BodyText2"/>
        <w:framePr w:w="0" w:hRule="auto" w:hSpace="0" w:wrap="auto" w:vAnchor="margin" w:hAnchor="text" w:xAlign="left" w:yAlign="inline"/>
        <w:spacing w:after="24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1999</w:t>
      </w:r>
      <w:r>
        <w:rPr>
          <w:rFonts w:eastAsia="KaiTi_GB2312" w:hint="eastAsia"/>
          <w:bCs/>
          <w:color w:val="0000FF"/>
          <w:sz w:val="21"/>
          <w:szCs w:val="24"/>
        </w:rPr>
        <w:t>年性别统计，公务员制度委员会办公室。</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23</w:t>
      </w:r>
      <w:r>
        <w:rPr>
          <w:rFonts w:ascii="SimHei"/>
          <w:color w:val="FF0000"/>
          <w:sz w:val="21"/>
        </w:rPr>
        <w:t xml:space="preserve">. </w:t>
      </w:r>
      <w:r>
        <w:rPr>
          <w:rFonts w:hint="eastAsia"/>
          <w:sz w:val="21"/>
          <w:szCs w:val="24"/>
        </w:rPr>
        <w:t>1992-2000</w:t>
      </w:r>
      <w:r>
        <w:rPr>
          <w:rFonts w:eastAsia="SimSun" w:hint="eastAsia"/>
          <w:sz w:val="21"/>
          <w:szCs w:val="24"/>
        </w:rPr>
        <w:t>年男女行政管理人员（单位：人）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7"/>
        <w:gridCol w:w="707"/>
        <w:gridCol w:w="554"/>
        <w:gridCol w:w="556"/>
        <w:gridCol w:w="632"/>
        <w:gridCol w:w="632"/>
        <w:gridCol w:w="632"/>
        <w:gridCol w:w="632"/>
        <w:gridCol w:w="632"/>
        <w:gridCol w:w="632"/>
        <w:gridCol w:w="938"/>
        <w:gridCol w:w="938"/>
        <w:gridCol w:w="938"/>
        <w:gridCol w:w="936"/>
      </w:tblGrid>
      <w:tr w:rsidR="00000000">
        <w:tblPrEx>
          <w:tblCellMar>
            <w:top w:w="0" w:type="dxa"/>
            <w:bottom w:w="0" w:type="dxa"/>
          </w:tblCellMar>
        </w:tblPrEx>
        <w:trPr>
          <w:cantSplit/>
        </w:trPr>
        <w:tc>
          <w:tcPr>
            <w:tcW w:w="351"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rFonts w:hint="eastAsia"/>
                <w:bCs/>
                <w:color w:val="FF0000"/>
                <w:sz w:val="21"/>
                <w:szCs w:val="24"/>
              </w:rPr>
              <w:t>年份</w:t>
            </w:r>
          </w:p>
        </w:tc>
        <w:tc>
          <w:tcPr>
            <w:tcW w:w="902" w:type="pct"/>
            <w:gridSpan w:val="3"/>
            <w:tcBorders>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bCs/>
                <w:color w:val="FF0000"/>
                <w:sz w:val="21"/>
                <w:szCs w:val="24"/>
              </w:rPr>
              <w:t>9</w:t>
            </w:r>
            <w:r>
              <w:rPr>
                <w:rFonts w:hint="eastAsia"/>
                <w:bCs/>
                <w:color w:val="FF0000"/>
                <w:sz w:val="21"/>
                <w:szCs w:val="24"/>
              </w:rPr>
              <w:t>-</w:t>
            </w:r>
            <w:r>
              <w:rPr>
                <w:bCs/>
                <w:color w:val="FF0000"/>
                <w:sz w:val="21"/>
                <w:szCs w:val="24"/>
              </w:rPr>
              <w:t>11</w:t>
            </w:r>
            <w:r>
              <w:rPr>
                <w:rFonts w:hint="eastAsia"/>
                <w:bCs/>
                <w:color w:val="FF0000"/>
                <w:sz w:val="21"/>
                <w:szCs w:val="24"/>
              </w:rPr>
              <w:t>级</w:t>
            </w:r>
          </w:p>
        </w:tc>
        <w:tc>
          <w:tcPr>
            <w:tcW w:w="628" w:type="pct"/>
            <w:gridSpan w:val="2"/>
            <w:tcBorders>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9</w:t>
            </w:r>
            <w:r>
              <w:rPr>
                <w:rFonts w:hint="eastAsia"/>
                <w:bCs/>
                <w:color w:val="FF0000"/>
                <w:sz w:val="21"/>
                <w:szCs w:val="24"/>
              </w:rPr>
              <w:t>级</w:t>
            </w:r>
          </w:p>
        </w:tc>
        <w:tc>
          <w:tcPr>
            <w:tcW w:w="628" w:type="pct"/>
            <w:gridSpan w:val="2"/>
            <w:tcBorders>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10</w:t>
            </w:r>
            <w:r>
              <w:rPr>
                <w:rFonts w:hint="eastAsia"/>
                <w:bCs/>
                <w:color w:val="FF0000"/>
                <w:sz w:val="21"/>
                <w:szCs w:val="24"/>
              </w:rPr>
              <w:t>级</w:t>
            </w:r>
          </w:p>
        </w:tc>
        <w:tc>
          <w:tcPr>
            <w:tcW w:w="628" w:type="pct"/>
            <w:gridSpan w:val="2"/>
            <w:tcBorders>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11</w:t>
            </w:r>
            <w:r>
              <w:rPr>
                <w:rFonts w:hint="eastAsia"/>
                <w:bCs/>
                <w:color w:val="FF0000"/>
                <w:sz w:val="21"/>
                <w:szCs w:val="24"/>
              </w:rPr>
              <w:t>级</w:t>
            </w:r>
          </w:p>
        </w:tc>
        <w:tc>
          <w:tcPr>
            <w:tcW w:w="1864" w:type="pct"/>
            <w:gridSpan w:val="4"/>
            <w:tcBorders>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按级别分列的女性比例</w:t>
            </w:r>
          </w:p>
        </w:tc>
      </w:tr>
      <w:tr w:rsidR="00000000">
        <w:tblPrEx>
          <w:tblCellMar>
            <w:top w:w="0" w:type="dxa"/>
            <w:bottom w:w="0" w:type="dxa"/>
          </w:tblCellMar>
        </w:tblPrEx>
        <w:trPr>
          <w:cantSplit/>
        </w:trPr>
        <w:tc>
          <w:tcPr>
            <w:tcW w:w="351"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p>
        </w:tc>
        <w:tc>
          <w:tcPr>
            <w:tcW w:w="351" w:type="pct"/>
            <w:tcBorders>
              <w:top w:val="nil"/>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27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275"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314" w:type="pct"/>
            <w:tcBorders>
              <w:top w:val="nil"/>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3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314" w:type="pct"/>
            <w:tcBorders>
              <w:top w:val="nil"/>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3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314" w:type="pct"/>
            <w:tcBorders>
              <w:top w:val="nil"/>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3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466" w:type="pct"/>
            <w:tcBorders>
              <w:top w:val="nil"/>
              <w:left w:val="single" w:sz="4" w:space="0" w:color="auto"/>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9-11</w:t>
            </w:r>
          </w:p>
        </w:tc>
        <w:tc>
          <w:tcPr>
            <w:tcW w:w="46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9</w:t>
            </w:r>
          </w:p>
        </w:tc>
        <w:tc>
          <w:tcPr>
            <w:tcW w:w="46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10</w:t>
            </w:r>
          </w:p>
        </w:tc>
        <w:tc>
          <w:tcPr>
            <w:tcW w:w="466"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21"/>
                <w:szCs w:val="24"/>
              </w:rPr>
            </w:pPr>
            <w:r>
              <w:rPr>
                <w:bCs/>
                <w:color w:val="FF0000"/>
                <w:sz w:val="21"/>
                <w:szCs w:val="24"/>
              </w:rPr>
              <w:t>11</w:t>
            </w:r>
          </w:p>
        </w:tc>
      </w:tr>
      <w:tr w:rsidR="00000000">
        <w:tblPrEx>
          <w:tblCellMar>
            <w:top w:w="0" w:type="dxa"/>
            <w:bottom w:w="0" w:type="dxa"/>
          </w:tblCellMar>
        </w:tblPrEx>
        <w:tc>
          <w:tcPr>
            <w:tcW w:w="351"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1992</w:t>
            </w:r>
          </w:p>
        </w:tc>
        <w:tc>
          <w:tcPr>
            <w:tcW w:w="351" w:type="pct"/>
            <w:tcBorders>
              <w:top w:val="single" w:sz="4" w:space="0" w:color="auto"/>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385</w:t>
            </w:r>
          </w:p>
        </w:tc>
        <w:tc>
          <w:tcPr>
            <w:tcW w:w="27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38</w:t>
            </w:r>
          </w:p>
        </w:tc>
        <w:tc>
          <w:tcPr>
            <w:tcW w:w="275"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347</w:t>
            </w:r>
          </w:p>
        </w:tc>
        <w:tc>
          <w:tcPr>
            <w:tcW w:w="314" w:type="pct"/>
            <w:tcBorders>
              <w:top w:val="single" w:sz="4" w:space="0" w:color="auto"/>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27</w:t>
            </w:r>
          </w:p>
        </w:tc>
        <w:tc>
          <w:tcPr>
            <w:tcW w:w="3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187</w:t>
            </w:r>
          </w:p>
        </w:tc>
        <w:tc>
          <w:tcPr>
            <w:tcW w:w="314" w:type="pct"/>
            <w:tcBorders>
              <w:top w:val="single" w:sz="4" w:space="0" w:color="auto"/>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w:t>
            </w:r>
          </w:p>
        </w:tc>
        <w:tc>
          <w:tcPr>
            <w:tcW w:w="3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139</w:t>
            </w:r>
          </w:p>
        </w:tc>
        <w:tc>
          <w:tcPr>
            <w:tcW w:w="314" w:type="pct"/>
            <w:tcBorders>
              <w:top w:val="single" w:sz="4" w:space="0" w:color="auto"/>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3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21</w:t>
            </w:r>
          </w:p>
        </w:tc>
        <w:tc>
          <w:tcPr>
            <w:tcW w:w="466" w:type="pct"/>
            <w:tcBorders>
              <w:top w:val="single" w:sz="4" w:space="0" w:color="auto"/>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9.87</w:t>
            </w:r>
          </w:p>
        </w:tc>
        <w:tc>
          <w:tcPr>
            <w:tcW w:w="466"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12.62</w:t>
            </w:r>
          </w:p>
        </w:tc>
        <w:tc>
          <w:tcPr>
            <w:tcW w:w="466"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7.33</w:t>
            </w:r>
          </w:p>
        </w:tc>
        <w:tc>
          <w:tcPr>
            <w:tcW w:w="466"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r>
      <w:tr w:rsidR="00000000">
        <w:tblPrEx>
          <w:tblCellMar>
            <w:top w:w="0" w:type="dxa"/>
            <w:bottom w:w="0" w:type="dxa"/>
          </w:tblCellMar>
        </w:tblPrEx>
        <w:tc>
          <w:tcPr>
            <w:tcW w:w="35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1993</w:t>
            </w:r>
          </w:p>
        </w:tc>
        <w:tc>
          <w:tcPr>
            <w:tcW w:w="351"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417</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373</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29</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200</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151</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22</w:t>
            </w:r>
          </w:p>
        </w:tc>
        <w:tc>
          <w:tcPr>
            <w:tcW w:w="466"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10.55</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12.66</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8.48</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4.35</w:t>
            </w:r>
          </w:p>
        </w:tc>
      </w:tr>
      <w:tr w:rsidR="00000000">
        <w:tblPrEx>
          <w:tblCellMar>
            <w:top w:w="0" w:type="dxa"/>
            <w:bottom w:w="0" w:type="dxa"/>
          </w:tblCellMar>
        </w:tblPrEx>
        <w:tc>
          <w:tcPr>
            <w:tcW w:w="35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1994</w:t>
            </w:r>
          </w:p>
        </w:tc>
        <w:tc>
          <w:tcPr>
            <w:tcW w:w="351"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435</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391</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w:t>
            </w:r>
            <w:r>
              <w:rPr>
                <w:sz w:val="21"/>
                <w:szCs w:val="24"/>
              </w:rPr>
              <w:t>05</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163</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p>
        </w:tc>
        <w:tc>
          <w:tcPr>
            <w:tcW w:w="466"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10.11</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13.50</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6.32</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4.17</w:t>
            </w:r>
          </w:p>
        </w:tc>
      </w:tr>
      <w:tr w:rsidR="00000000">
        <w:tblPrEx>
          <w:tblCellMar>
            <w:top w:w="0" w:type="dxa"/>
            <w:bottom w:w="0" w:type="dxa"/>
          </w:tblCellMar>
        </w:tblPrEx>
        <w:tc>
          <w:tcPr>
            <w:tcW w:w="35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1995</w:t>
            </w:r>
          </w:p>
        </w:tc>
        <w:tc>
          <w:tcPr>
            <w:tcW w:w="351"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441</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51</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390</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40</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200</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167</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p>
        </w:tc>
        <w:tc>
          <w:tcPr>
            <w:tcW w:w="466"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11.56</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16.67</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5.65</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4.17</w:t>
            </w:r>
          </w:p>
        </w:tc>
      </w:tr>
      <w:tr w:rsidR="00000000">
        <w:tblPrEx>
          <w:tblCellMar>
            <w:top w:w="0" w:type="dxa"/>
            <w:bottom w:w="0" w:type="dxa"/>
          </w:tblCellMar>
        </w:tblPrEx>
        <w:tc>
          <w:tcPr>
            <w:tcW w:w="35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1996</w:t>
            </w:r>
          </w:p>
        </w:tc>
        <w:tc>
          <w:tcPr>
            <w:tcW w:w="351"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449</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57</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392</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37</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206</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163</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p>
        </w:tc>
        <w:tc>
          <w:tcPr>
            <w:tcW w:w="466"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12.69</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15.23</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10.44</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4.17</w:t>
            </w:r>
          </w:p>
        </w:tc>
      </w:tr>
      <w:tr w:rsidR="00000000">
        <w:tblPrEx>
          <w:tblCellMar>
            <w:top w:w="0" w:type="dxa"/>
            <w:bottom w:w="0" w:type="dxa"/>
          </w:tblCellMar>
        </w:tblPrEx>
        <w:tc>
          <w:tcPr>
            <w:tcW w:w="35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1997</w:t>
            </w:r>
          </w:p>
        </w:tc>
        <w:tc>
          <w:tcPr>
            <w:tcW w:w="351"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457</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64</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393</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202</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166</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25</w:t>
            </w:r>
          </w:p>
        </w:tc>
        <w:tc>
          <w:tcPr>
            <w:tcW w:w="466"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14.00</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17.89</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10.75</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r>
      <w:tr w:rsidR="00000000">
        <w:tblPrEx>
          <w:tblCellMar>
            <w:top w:w="0" w:type="dxa"/>
            <w:bottom w:w="0" w:type="dxa"/>
          </w:tblCellMar>
        </w:tblPrEx>
        <w:tc>
          <w:tcPr>
            <w:tcW w:w="35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1998</w:t>
            </w:r>
          </w:p>
        </w:tc>
        <w:tc>
          <w:tcPr>
            <w:tcW w:w="351"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468</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63</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405</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203</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178</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24</w:t>
            </w:r>
          </w:p>
        </w:tc>
        <w:tc>
          <w:tcPr>
            <w:tcW w:w="466"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13.46</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17.8</w:t>
            </w:r>
            <w:r>
              <w:rPr>
                <w:sz w:val="21"/>
                <w:szCs w:val="24"/>
              </w:rPr>
              <w:t>1</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9.18</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4.00</w:t>
            </w:r>
          </w:p>
        </w:tc>
      </w:tr>
      <w:tr w:rsidR="00000000">
        <w:tblPrEx>
          <w:tblCellMar>
            <w:top w:w="0" w:type="dxa"/>
            <w:bottom w:w="0" w:type="dxa"/>
          </w:tblCellMar>
        </w:tblPrEx>
        <w:tc>
          <w:tcPr>
            <w:tcW w:w="351"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1999</w:t>
            </w:r>
          </w:p>
        </w:tc>
        <w:tc>
          <w:tcPr>
            <w:tcW w:w="351"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470</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59</w:t>
            </w:r>
          </w:p>
        </w:tc>
        <w:tc>
          <w:tcPr>
            <w:tcW w:w="27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411</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40</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207</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181</w:t>
            </w:r>
          </w:p>
        </w:tc>
        <w:tc>
          <w:tcPr>
            <w:tcW w:w="314"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w:t>
            </w:r>
          </w:p>
        </w:tc>
        <w:tc>
          <w:tcPr>
            <w:tcW w:w="3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p>
        </w:tc>
        <w:tc>
          <w:tcPr>
            <w:tcW w:w="466" w:type="pct"/>
            <w:tcBorders>
              <w:top w:val="nil"/>
              <w:left w:val="single" w:sz="4" w:space="0" w:color="auto"/>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12.55</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16.19</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8.59</w:t>
            </w:r>
          </w:p>
        </w:tc>
        <w:tc>
          <w:tcPr>
            <w:tcW w:w="4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8.00</w:t>
            </w:r>
          </w:p>
        </w:tc>
      </w:tr>
      <w:tr w:rsidR="00000000">
        <w:tblPrEx>
          <w:tblCellMar>
            <w:top w:w="0" w:type="dxa"/>
            <w:bottom w:w="0" w:type="dxa"/>
          </w:tblCellMar>
        </w:tblPrEx>
        <w:tc>
          <w:tcPr>
            <w:tcW w:w="351"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2000</w:t>
            </w:r>
          </w:p>
        </w:tc>
        <w:tc>
          <w:tcPr>
            <w:tcW w:w="351" w:type="pct"/>
            <w:tcBorders>
              <w:top w:val="nil"/>
              <w:left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477</w:t>
            </w:r>
          </w:p>
        </w:tc>
        <w:tc>
          <w:tcPr>
            <w:tcW w:w="27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66</w:t>
            </w:r>
          </w:p>
        </w:tc>
        <w:tc>
          <w:tcPr>
            <w:tcW w:w="27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411</w:t>
            </w:r>
          </w:p>
        </w:tc>
        <w:tc>
          <w:tcPr>
            <w:tcW w:w="314" w:type="pct"/>
            <w:tcBorders>
              <w:top w:val="nil"/>
              <w:left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45</w:t>
            </w:r>
          </w:p>
        </w:tc>
        <w:tc>
          <w:tcPr>
            <w:tcW w:w="3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210</w:t>
            </w:r>
          </w:p>
        </w:tc>
        <w:tc>
          <w:tcPr>
            <w:tcW w:w="314" w:type="pct"/>
            <w:tcBorders>
              <w:top w:val="nil"/>
              <w:left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w:t>
            </w:r>
          </w:p>
        </w:tc>
        <w:tc>
          <w:tcPr>
            <w:tcW w:w="3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178</w:t>
            </w:r>
          </w:p>
        </w:tc>
        <w:tc>
          <w:tcPr>
            <w:tcW w:w="314" w:type="pct"/>
            <w:tcBorders>
              <w:top w:val="nil"/>
              <w:left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w:t>
            </w:r>
          </w:p>
        </w:tc>
        <w:tc>
          <w:tcPr>
            <w:tcW w:w="3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w:t>
            </w:r>
          </w:p>
        </w:tc>
        <w:tc>
          <w:tcPr>
            <w:tcW w:w="466" w:type="pct"/>
            <w:tcBorders>
              <w:top w:val="nil"/>
              <w:left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13.84</w:t>
            </w:r>
          </w:p>
        </w:tc>
        <w:tc>
          <w:tcPr>
            <w:tcW w:w="466"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17.65</w:t>
            </w:r>
          </w:p>
        </w:tc>
        <w:tc>
          <w:tcPr>
            <w:tcW w:w="466"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9.64</w:t>
            </w:r>
          </w:p>
        </w:tc>
        <w:tc>
          <w:tcPr>
            <w:tcW w:w="466"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8.00</w:t>
            </w:r>
          </w:p>
        </w:tc>
      </w:tr>
    </w:tbl>
    <w:p w:rsidR="00000000" w:rsidRDefault="00B83709">
      <w:pPr>
        <w:pStyle w:val="BodyText2"/>
        <w:framePr w:w="0" w:hRule="auto" w:hSpace="0" w:wrap="auto" w:vAnchor="margin" w:hAnchor="text" w:xAlign="left" w:yAlign="inline"/>
        <w:spacing w:after="24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行政管理人员系指部厅一级政府机构的负责人或副负责人。</w:t>
      </w:r>
    </w:p>
    <w:p w:rsidR="00000000" w:rsidRDefault="00B83709">
      <w:pPr>
        <w:numPr>
          <w:ilvl w:val="0"/>
          <w:numId w:val="1049"/>
        </w:numPr>
        <w:tabs>
          <w:tab w:val="clear" w:pos="360"/>
          <w:tab w:val="num" w:pos="480"/>
        </w:tabs>
        <w:spacing w:after="240" w:line="360" w:lineRule="exact"/>
        <w:rPr>
          <w:szCs w:val="24"/>
        </w:rPr>
      </w:pPr>
      <w:r>
        <w:rPr>
          <w:rFonts w:hint="eastAsia"/>
          <w:szCs w:val="24"/>
        </w:rPr>
        <w:t>外交部人事培训厅的数字显示，在外交界，虽然</w:t>
      </w:r>
      <w:r>
        <w:rPr>
          <w:rFonts w:hint="eastAsia"/>
          <w:szCs w:val="24"/>
        </w:rPr>
        <w:t>3-6</w:t>
      </w:r>
      <w:r>
        <w:rPr>
          <w:rFonts w:hint="eastAsia"/>
          <w:szCs w:val="24"/>
        </w:rPr>
        <w:t>级男女任职人数差别很小（妇女</w:t>
      </w:r>
      <w:r>
        <w:rPr>
          <w:szCs w:val="24"/>
        </w:rPr>
        <w:t>44.2%</w:t>
      </w:r>
      <w:r>
        <w:rPr>
          <w:rFonts w:hint="eastAsia"/>
          <w:szCs w:val="24"/>
        </w:rPr>
        <w:t>；男子</w:t>
      </w:r>
      <w:r>
        <w:rPr>
          <w:szCs w:val="24"/>
        </w:rPr>
        <w:t>55.85%</w:t>
      </w:r>
      <w:r>
        <w:rPr>
          <w:rFonts w:hint="eastAsia"/>
          <w:szCs w:val="24"/>
        </w:rPr>
        <w:t>），但在</w:t>
      </w:r>
      <w:r>
        <w:rPr>
          <w:rFonts w:hint="eastAsia"/>
          <w:szCs w:val="24"/>
        </w:rPr>
        <w:t>7-11</w:t>
      </w:r>
      <w:r>
        <w:rPr>
          <w:rFonts w:hint="eastAsia"/>
          <w:szCs w:val="24"/>
        </w:rPr>
        <w:t>级的主管职位上，男子的比例比妇女高得多（妇女</w:t>
      </w:r>
      <w:r>
        <w:rPr>
          <w:szCs w:val="24"/>
        </w:rPr>
        <w:t>22.7%</w:t>
      </w:r>
      <w:r>
        <w:rPr>
          <w:rFonts w:hint="eastAsia"/>
          <w:szCs w:val="24"/>
        </w:rPr>
        <w:t>，男子</w:t>
      </w:r>
      <w:r>
        <w:rPr>
          <w:szCs w:val="24"/>
        </w:rPr>
        <w:t xml:space="preserve"> 77.3%</w:t>
      </w:r>
      <w:r>
        <w:rPr>
          <w:rFonts w:hint="eastAsia"/>
          <w:szCs w:val="24"/>
        </w:rPr>
        <w:t>）（表</w:t>
      </w:r>
      <w:r>
        <w:rPr>
          <w:rFonts w:hint="eastAsia"/>
          <w:szCs w:val="24"/>
        </w:rPr>
        <w:t>24</w:t>
      </w:r>
      <w:r>
        <w:rPr>
          <w:rFonts w:hint="eastAsia"/>
          <w:szCs w:val="24"/>
        </w:rPr>
        <w:t>）。</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24</w:t>
      </w:r>
      <w:r>
        <w:rPr>
          <w:rFonts w:ascii="SimHei"/>
          <w:color w:val="FF0000"/>
          <w:sz w:val="21"/>
        </w:rPr>
        <w:t xml:space="preserve">. </w:t>
      </w:r>
      <w:r>
        <w:rPr>
          <w:rFonts w:hint="eastAsia"/>
          <w:sz w:val="21"/>
          <w:szCs w:val="24"/>
        </w:rPr>
        <w:t>1997-1998</w:t>
      </w:r>
      <w:r>
        <w:rPr>
          <w:rFonts w:eastAsia="SimSun" w:hint="eastAsia"/>
          <w:sz w:val="21"/>
          <w:szCs w:val="24"/>
        </w:rPr>
        <w:t>年按性别分列的外交领域公务员的人数和比例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8"/>
        <w:gridCol w:w="1438"/>
        <w:gridCol w:w="1438"/>
        <w:gridCol w:w="1439"/>
        <w:gridCol w:w="1437"/>
        <w:gridCol w:w="1437"/>
        <w:gridCol w:w="1439"/>
      </w:tblGrid>
      <w:tr w:rsidR="00000000">
        <w:tblPrEx>
          <w:tblCellMar>
            <w:top w:w="0" w:type="dxa"/>
            <w:bottom w:w="0" w:type="dxa"/>
          </w:tblCellMar>
        </w:tblPrEx>
        <w:trPr>
          <w:cantSplit/>
        </w:trPr>
        <w:tc>
          <w:tcPr>
            <w:tcW w:w="714"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等级</w:t>
            </w:r>
          </w:p>
        </w:tc>
        <w:tc>
          <w:tcPr>
            <w:tcW w:w="2143" w:type="pct"/>
            <w:gridSpan w:val="3"/>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bCs/>
                <w:color w:val="FF0000"/>
                <w:sz w:val="21"/>
                <w:szCs w:val="24"/>
              </w:rPr>
              <w:t>1997</w:t>
            </w:r>
            <w:r>
              <w:rPr>
                <w:rFonts w:hint="eastAsia"/>
                <w:bCs/>
                <w:color w:val="FF0000"/>
                <w:sz w:val="21"/>
                <w:szCs w:val="24"/>
              </w:rPr>
              <w:t>年</w:t>
            </w:r>
          </w:p>
        </w:tc>
        <w:tc>
          <w:tcPr>
            <w:tcW w:w="2143" w:type="pct"/>
            <w:gridSpan w:val="3"/>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bCs/>
                <w:color w:val="FF0000"/>
                <w:sz w:val="21"/>
                <w:szCs w:val="24"/>
              </w:rPr>
              <w:t>1998</w:t>
            </w:r>
            <w:r>
              <w:rPr>
                <w:rFonts w:hint="eastAsia"/>
                <w:bCs/>
                <w:color w:val="FF0000"/>
                <w:sz w:val="21"/>
                <w:szCs w:val="24"/>
              </w:rPr>
              <w:t>年</w:t>
            </w:r>
          </w:p>
        </w:tc>
      </w:tr>
      <w:tr w:rsidR="00000000">
        <w:tblPrEx>
          <w:tblCellMar>
            <w:top w:w="0" w:type="dxa"/>
            <w:bottom w:w="0" w:type="dxa"/>
          </w:tblCellMar>
        </w:tblPrEx>
        <w:trPr>
          <w:cantSplit/>
        </w:trPr>
        <w:tc>
          <w:tcPr>
            <w:tcW w:w="714"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7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7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7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c>
          <w:tcPr>
            <w:tcW w:w="7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7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女</w:t>
            </w:r>
          </w:p>
        </w:tc>
        <w:tc>
          <w:tcPr>
            <w:tcW w:w="7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男</w:t>
            </w:r>
          </w:p>
        </w:tc>
      </w:tr>
      <w:tr w:rsidR="00000000">
        <w:tblPrEx>
          <w:tblCellMar>
            <w:top w:w="0" w:type="dxa"/>
            <w:bottom w:w="0" w:type="dxa"/>
          </w:tblCellMar>
        </w:tblPrEx>
        <w:tc>
          <w:tcPr>
            <w:tcW w:w="7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3-6</w:t>
            </w:r>
          </w:p>
        </w:tc>
        <w:tc>
          <w:tcPr>
            <w:tcW w:w="7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535</w:t>
            </w:r>
          </w:p>
        </w:tc>
        <w:tc>
          <w:tcPr>
            <w:tcW w:w="7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43.5</w:t>
            </w:r>
          </w:p>
        </w:tc>
        <w:tc>
          <w:tcPr>
            <w:tcW w:w="7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56.5</w:t>
            </w:r>
          </w:p>
        </w:tc>
        <w:tc>
          <w:tcPr>
            <w:tcW w:w="7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536</w:t>
            </w:r>
          </w:p>
        </w:tc>
        <w:tc>
          <w:tcPr>
            <w:tcW w:w="7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44.2</w:t>
            </w:r>
          </w:p>
        </w:tc>
        <w:tc>
          <w:tcPr>
            <w:tcW w:w="714"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55.8</w:t>
            </w:r>
          </w:p>
        </w:tc>
      </w:tr>
      <w:tr w:rsidR="00000000">
        <w:tblPrEx>
          <w:tblCellMar>
            <w:top w:w="0" w:type="dxa"/>
            <w:bottom w:w="0" w:type="dxa"/>
          </w:tblCellMar>
        </w:tblPrEx>
        <w:tc>
          <w:tcPr>
            <w:tcW w:w="7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7-11</w:t>
            </w:r>
          </w:p>
        </w:tc>
        <w:tc>
          <w:tcPr>
            <w:tcW w:w="7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365</w:t>
            </w:r>
          </w:p>
        </w:tc>
        <w:tc>
          <w:tcPr>
            <w:tcW w:w="7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21.9</w:t>
            </w:r>
          </w:p>
        </w:tc>
        <w:tc>
          <w:tcPr>
            <w:tcW w:w="7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78.1</w:t>
            </w:r>
          </w:p>
        </w:tc>
        <w:tc>
          <w:tcPr>
            <w:tcW w:w="7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w:t>
            </w:r>
            <w:r>
              <w:rPr>
                <w:sz w:val="21"/>
                <w:szCs w:val="24"/>
              </w:rPr>
              <w:t>87</w:t>
            </w:r>
          </w:p>
        </w:tc>
        <w:tc>
          <w:tcPr>
            <w:tcW w:w="7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22.7</w:t>
            </w:r>
          </w:p>
        </w:tc>
        <w:tc>
          <w:tcPr>
            <w:tcW w:w="714"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77.3</w:t>
            </w:r>
          </w:p>
        </w:tc>
      </w:tr>
    </w:tbl>
    <w:p w:rsidR="00000000" w:rsidRDefault="00B83709">
      <w:pPr>
        <w:pStyle w:val="BodyText2"/>
        <w:framePr w:w="0" w:hRule="auto" w:hSpace="0" w:wrap="auto" w:vAnchor="margin" w:hAnchor="text" w:xAlign="left" w:yAlign="inline"/>
        <w:spacing w:after="24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1998</w:t>
      </w:r>
      <w:r>
        <w:rPr>
          <w:rFonts w:eastAsia="KaiTi_GB2312" w:hint="eastAsia"/>
          <w:bCs/>
          <w:color w:val="0000FF"/>
          <w:sz w:val="21"/>
          <w:szCs w:val="24"/>
        </w:rPr>
        <w:t>年性别统计，国家统计局。</w:t>
      </w:r>
    </w:p>
    <w:p w:rsidR="00000000" w:rsidRDefault="00B83709">
      <w:pPr>
        <w:numPr>
          <w:ilvl w:val="0"/>
          <w:numId w:val="1049"/>
        </w:numPr>
        <w:tabs>
          <w:tab w:val="clear" w:pos="360"/>
          <w:tab w:val="num" w:pos="480"/>
        </w:tabs>
        <w:spacing w:after="240" w:line="360" w:lineRule="exact"/>
        <w:rPr>
          <w:szCs w:val="24"/>
        </w:rPr>
      </w:pPr>
      <w:r>
        <w:rPr>
          <w:rFonts w:hint="eastAsia"/>
          <w:szCs w:val="24"/>
        </w:rPr>
        <w:t>工人除薪资外，还领取其他现金和实物福利。私营部门工人除别的外，在奖金、加班费、食品或餐费方面领取的福利更多。政府工作人员在现金、住房或租金方面领取的福利较多。无论是私营部门还是公营部门雇员，凡在城市地区工作的，领取的福利比非城市地区雇员的多（表</w:t>
      </w:r>
      <w:r>
        <w:rPr>
          <w:rFonts w:hint="eastAsia"/>
          <w:szCs w:val="24"/>
        </w:rPr>
        <w:t>25</w:t>
      </w:r>
      <w:r>
        <w:rPr>
          <w:rFonts w:hint="eastAsia"/>
          <w:szCs w:val="24"/>
        </w:rPr>
        <w:t>）。</w:t>
      </w:r>
    </w:p>
    <w:p w:rsidR="00000000" w:rsidRDefault="00B83709">
      <w:pPr>
        <w:pStyle w:val="BodyText2"/>
        <w:framePr w:w="0" w:hRule="auto" w:hSpace="0" w:wrap="auto" w:vAnchor="margin" w:hAnchor="text" w:xAlign="left" w:yAlign="inline"/>
        <w:spacing w:after="120" w:line="360" w:lineRule="exact"/>
        <w:jc w:val="both"/>
        <w:rPr>
          <w:rFonts w:hint="eastAsia"/>
          <w:sz w:val="21"/>
          <w:szCs w:val="24"/>
        </w:rPr>
      </w:pPr>
      <w:r>
        <w:rPr>
          <w:rFonts w:ascii="SimHei" w:hint="eastAsia"/>
          <w:color w:val="FF0000"/>
          <w:sz w:val="21"/>
        </w:rPr>
        <w:t>表</w:t>
      </w:r>
      <w:r>
        <w:rPr>
          <w:rFonts w:ascii="SimHei" w:hint="eastAsia"/>
          <w:color w:val="FF0000"/>
          <w:sz w:val="21"/>
        </w:rPr>
        <w:t>25</w:t>
      </w:r>
      <w:r>
        <w:rPr>
          <w:rFonts w:ascii="SimHei"/>
          <w:color w:val="FF0000"/>
          <w:sz w:val="21"/>
        </w:rPr>
        <w:t>.</w:t>
      </w:r>
      <w:r>
        <w:rPr>
          <w:sz w:val="21"/>
          <w:szCs w:val="24"/>
        </w:rPr>
        <w:t xml:space="preserve"> </w:t>
      </w:r>
      <w:r>
        <w:rPr>
          <w:rFonts w:eastAsia="SimSun" w:hint="eastAsia"/>
          <w:sz w:val="21"/>
          <w:szCs w:val="24"/>
        </w:rPr>
        <w:t>按性别和居住地区分列的私营和公营部门雇员领取福利的人数</w:t>
      </w:r>
      <w:r>
        <w:rPr>
          <w:rFonts w:eastAsia="SimSun" w:hint="eastAsia"/>
          <w:sz w:val="21"/>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7"/>
        <w:gridCol w:w="1367"/>
        <w:gridCol w:w="932"/>
        <w:gridCol w:w="932"/>
        <w:gridCol w:w="1035"/>
        <w:gridCol w:w="932"/>
        <w:gridCol w:w="1035"/>
        <w:gridCol w:w="1242"/>
        <w:gridCol w:w="934"/>
      </w:tblGrid>
      <w:tr w:rsidR="00000000">
        <w:tblPrEx>
          <w:tblCellMar>
            <w:top w:w="0" w:type="dxa"/>
            <w:bottom w:w="0" w:type="dxa"/>
          </w:tblCellMar>
        </w:tblPrEx>
        <w:trPr>
          <w:cantSplit/>
        </w:trPr>
        <w:tc>
          <w:tcPr>
            <w:tcW w:w="823"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18"/>
                <w:szCs w:val="24"/>
              </w:rPr>
            </w:pPr>
            <w:r>
              <w:rPr>
                <w:rFonts w:hint="eastAsia"/>
                <w:bCs/>
                <w:color w:val="FF0000"/>
                <w:sz w:val="18"/>
                <w:szCs w:val="24"/>
              </w:rPr>
              <w:t>行政区和性别</w:t>
            </w:r>
          </w:p>
        </w:tc>
        <w:tc>
          <w:tcPr>
            <w:tcW w:w="679"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雇员人数</w:t>
            </w:r>
          </w:p>
        </w:tc>
        <w:tc>
          <w:tcPr>
            <w:tcW w:w="3498" w:type="pct"/>
            <w:gridSpan w:val="7"/>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雇员领取额外福利的人数</w:t>
            </w:r>
          </w:p>
        </w:tc>
      </w:tr>
      <w:tr w:rsidR="00000000">
        <w:tblPrEx>
          <w:tblCellMar>
            <w:top w:w="0" w:type="dxa"/>
            <w:bottom w:w="0" w:type="dxa"/>
          </w:tblCellMar>
        </w:tblPrEx>
        <w:trPr>
          <w:cantSplit/>
        </w:trPr>
        <w:tc>
          <w:tcPr>
            <w:tcW w:w="823"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p>
        </w:tc>
        <w:tc>
          <w:tcPr>
            <w:tcW w:w="679"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Cs/>
                <w:color w:val="FF0000"/>
                <w:sz w:val="18"/>
                <w:szCs w:val="24"/>
              </w:rPr>
            </w:pPr>
          </w:p>
        </w:tc>
        <w:tc>
          <w:tcPr>
            <w:tcW w:w="463"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奖金</w:t>
            </w:r>
          </w:p>
        </w:tc>
        <w:tc>
          <w:tcPr>
            <w:tcW w:w="463"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bCs/>
                <w:color w:val="FF0000"/>
                <w:sz w:val="18"/>
                <w:szCs w:val="24"/>
              </w:rPr>
            </w:pPr>
            <w:r>
              <w:rPr>
                <w:bCs/>
                <w:color w:val="FF0000"/>
                <w:sz w:val="18"/>
                <w:szCs w:val="24"/>
              </w:rPr>
              <w:t>OT</w:t>
            </w:r>
          </w:p>
        </w:tc>
        <w:tc>
          <w:tcPr>
            <w:tcW w:w="514"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其他现金</w:t>
            </w:r>
          </w:p>
        </w:tc>
        <w:tc>
          <w:tcPr>
            <w:tcW w:w="463"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食品</w:t>
            </w:r>
          </w:p>
        </w:tc>
        <w:tc>
          <w:tcPr>
            <w:tcW w:w="514"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衣服</w:t>
            </w:r>
          </w:p>
        </w:tc>
        <w:tc>
          <w:tcPr>
            <w:tcW w:w="617"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住房</w:t>
            </w:r>
          </w:p>
        </w:tc>
        <w:tc>
          <w:tcPr>
            <w:tcW w:w="463"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其他</w:t>
            </w:r>
          </w:p>
        </w:tc>
      </w:tr>
      <w:tr w:rsidR="00000000">
        <w:tblPrEx>
          <w:tblCellMar>
            <w:top w:w="0" w:type="dxa"/>
            <w:bottom w:w="0" w:type="dxa"/>
          </w:tblCellMar>
        </w:tblPrEx>
        <w:tc>
          <w:tcPr>
            <w:tcW w:w="823"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r>
              <w:rPr>
                <w:rFonts w:hint="eastAsia"/>
                <w:bCs/>
                <w:color w:val="FF0000"/>
                <w:sz w:val="18"/>
                <w:szCs w:val="24"/>
              </w:rPr>
              <w:t>总数</w:t>
            </w:r>
          </w:p>
        </w:tc>
        <w:tc>
          <w:tcPr>
            <w:tcW w:w="679" w:type="pct"/>
            <w:tcBorders>
              <w:top w:val="single" w:sz="4" w:space="0" w:color="auto"/>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b/>
                <w:color w:val="FF0000"/>
                <w:sz w:val="18"/>
                <w:szCs w:val="24"/>
              </w:rPr>
            </w:pPr>
            <w:r>
              <w:rPr>
                <w:b/>
                <w:color w:val="FF0000"/>
                <w:sz w:val="18"/>
                <w:szCs w:val="24"/>
              </w:rPr>
              <w:t>13 52</w:t>
            </w:r>
            <w:r>
              <w:rPr>
                <w:b/>
                <w:color w:val="FF0000"/>
                <w:sz w:val="18"/>
                <w:szCs w:val="24"/>
              </w:rPr>
              <w:t>7.9</w:t>
            </w:r>
          </w:p>
        </w:tc>
        <w:tc>
          <w:tcPr>
            <w:tcW w:w="463"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1 786.8</w:t>
            </w:r>
          </w:p>
        </w:tc>
        <w:tc>
          <w:tcPr>
            <w:tcW w:w="463"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233.0</w:t>
            </w:r>
          </w:p>
        </w:tc>
        <w:tc>
          <w:tcPr>
            <w:tcW w:w="514"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3</w:t>
            </w:r>
            <w:r>
              <w:rPr>
                <w:rFonts w:hint="eastAsia"/>
                <w:b/>
                <w:color w:val="FF0000"/>
                <w:sz w:val="18"/>
                <w:szCs w:val="24"/>
              </w:rPr>
              <w:t xml:space="preserve"> </w:t>
            </w:r>
            <w:r>
              <w:rPr>
                <w:b/>
                <w:color w:val="FF0000"/>
                <w:sz w:val="18"/>
                <w:szCs w:val="24"/>
              </w:rPr>
              <w:t>283.0</w:t>
            </w:r>
          </w:p>
        </w:tc>
        <w:tc>
          <w:tcPr>
            <w:tcW w:w="463"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540.4</w:t>
            </w:r>
          </w:p>
        </w:tc>
        <w:tc>
          <w:tcPr>
            <w:tcW w:w="514"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166.2</w:t>
            </w:r>
          </w:p>
        </w:tc>
        <w:tc>
          <w:tcPr>
            <w:tcW w:w="61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234.9</w:t>
            </w:r>
          </w:p>
        </w:tc>
        <w:tc>
          <w:tcPr>
            <w:tcW w:w="463"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570.6</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18"/>
                <w:szCs w:val="24"/>
              </w:rPr>
            </w:pPr>
            <w:r>
              <w:rPr>
                <w:rFonts w:eastAsia="SimSun" w:hint="eastAsia"/>
                <w:sz w:val="18"/>
                <w:szCs w:val="24"/>
              </w:rPr>
              <w:t>男性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7 536.2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955.2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616.6</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w:t>
            </w:r>
            <w:r>
              <w:rPr>
                <w:rFonts w:hint="eastAsia"/>
                <w:sz w:val="18"/>
                <w:szCs w:val="24"/>
              </w:rPr>
              <w:t xml:space="preserve"> </w:t>
            </w:r>
            <w:r>
              <w:rPr>
                <w:sz w:val="18"/>
                <w:szCs w:val="24"/>
              </w:rPr>
              <w:t>791.4</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699.6</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596.8</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757.0</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276.5</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18"/>
                <w:szCs w:val="24"/>
              </w:rPr>
            </w:pPr>
            <w:r>
              <w:rPr>
                <w:rFonts w:eastAsia="SimSun" w:hint="eastAsia"/>
                <w:sz w:val="18"/>
                <w:szCs w:val="24"/>
              </w:rPr>
              <w:t>女性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5 991.7</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831.6</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616.4</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w:t>
            </w:r>
            <w:r>
              <w:rPr>
                <w:rFonts w:hint="eastAsia"/>
                <w:sz w:val="18"/>
                <w:szCs w:val="24"/>
              </w:rPr>
              <w:t xml:space="preserve"> </w:t>
            </w:r>
            <w:r>
              <w:rPr>
                <w:sz w:val="18"/>
                <w:szCs w:val="24"/>
              </w:rPr>
              <w:t>492.0</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840.8</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569.4</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477.9</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294.1</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r>
              <w:rPr>
                <w:rFonts w:hint="eastAsia"/>
                <w:bCs/>
                <w:color w:val="FF0000"/>
                <w:sz w:val="18"/>
                <w:szCs w:val="24"/>
              </w:rPr>
              <w:t>私营部门</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b/>
                <w:color w:val="FF0000"/>
                <w:sz w:val="18"/>
                <w:szCs w:val="24"/>
              </w:rPr>
            </w:pPr>
            <w:r>
              <w:rPr>
                <w:b/>
                <w:color w:val="FF0000"/>
                <w:sz w:val="18"/>
                <w:szCs w:val="24"/>
              </w:rPr>
              <w:t>10 677.2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1 593.5</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038.6</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2</w:t>
            </w:r>
            <w:r>
              <w:rPr>
                <w:rFonts w:hint="eastAsia"/>
                <w:b/>
                <w:color w:val="FF0000"/>
                <w:sz w:val="18"/>
                <w:szCs w:val="24"/>
              </w:rPr>
              <w:t xml:space="preserve"> </w:t>
            </w:r>
            <w:r>
              <w:rPr>
                <w:b/>
                <w:color w:val="FF0000"/>
                <w:sz w:val="18"/>
                <w:szCs w:val="24"/>
              </w:rPr>
              <w:t>249.9</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509.4</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040.0</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841.3</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507.4</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男性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5 880.7</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828.6</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w:t>
            </w:r>
            <w:r>
              <w:rPr>
                <w:sz w:val="18"/>
                <w:szCs w:val="24"/>
              </w:rPr>
              <w:t>06.9</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w:t>
            </w:r>
            <w:r>
              <w:rPr>
                <w:rFonts w:hint="eastAsia"/>
                <w:sz w:val="18"/>
                <w:szCs w:val="24"/>
              </w:rPr>
              <w:t xml:space="preserve"> </w:t>
            </w:r>
            <w:r>
              <w:rPr>
                <w:sz w:val="18"/>
                <w:szCs w:val="24"/>
              </w:rPr>
              <w:t>147.1</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688.7</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500.0</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480.5</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230.4</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女性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4 796.5</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764.9</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531.7</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w:t>
            </w:r>
            <w:r>
              <w:rPr>
                <w:rFonts w:hint="eastAsia"/>
                <w:sz w:val="18"/>
                <w:szCs w:val="24"/>
              </w:rPr>
              <w:t xml:space="preserve"> </w:t>
            </w:r>
            <w:r>
              <w:rPr>
                <w:sz w:val="18"/>
                <w:szCs w:val="24"/>
              </w:rPr>
              <w:t>102.8</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820.7</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540.0</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360.8</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277.0</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政府部门</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2 850.7</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193.3</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194</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w:t>
            </w:r>
            <w:r>
              <w:rPr>
                <w:rFonts w:hint="eastAsia"/>
                <w:sz w:val="18"/>
                <w:szCs w:val="24"/>
              </w:rPr>
              <w:t xml:space="preserve"> </w:t>
            </w:r>
            <w:r>
              <w:rPr>
                <w:sz w:val="18"/>
                <w:szCs w:val="24"/>
              </w:rPr>
              <w:t>033.5</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31.0</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126.2</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393.6</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63.2</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男性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1 655.6</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126.6</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109.7</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644.3</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10.9</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96.8</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276.5</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46.1</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女性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1 195.2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66.7</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84.7</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389.2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20.1</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29.4</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117.1</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17.1</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18"/>
                <w:szCs w:val="24"/>
              </w:rPr>
            </w:pPr>
            <w:r>
              <w:rPr>
                <w:rFonts w:hint="eastAsia"/>
                <w:bCs/>
                <w:color w:val="FF0000"/>
                <w:sz w:val="18"/>
                <w:szCs w:val="24"/>
              </w:rPr>
              <w:t>城市地区私营部门</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b/>
                <w:color w:val="FF0000"/>
                <w:sz w:val="18"/>
                <w:szCs w:val="24"/>
              </w:rPr>
            </w:pPr>
            <w:r>
              <w:rPr>
                <w:b/>
                <w:color w:val="FF0000"/>
                <w:sz w:val="18"/>
                <w:szCs w:val="24"/>
              </w:rPr>
              <w:t>4 723.2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1 071.3</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511.3</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314.7</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772.6</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589.4</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619.3</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177.7</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18"/>
                <w:szCs w:val="24"/>
              </w:rPr>
            </w:pPr>
            <w:r>
              <w:rPr>
                <w:rFonts w:eastAsia="SimSun" w:hint="eastAsia"/>
                <w:sz w:val="18"/>
                <w:szCs w:val="24"/>
              </w:rPr>
              <w:t>男性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2 511.7</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561.7</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271.6</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690.8</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331.2</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285.5</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322.3</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94.3</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sz w:val="18"/>
                <w:szCs w:val="24"/>
              </w:rPr>
            </w:pPr>
            <w:r>
              <w:rPr>
                <w:rFonts w:eastAsia="SimSun" w:hint="eastAsia"/>
                <w:sz w:val="18"/>
                <w:szCs w:val="24"/>
              </w:rPr>
              <w:t>女性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2 211.5</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509.6</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239.7</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623.9</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441.4</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303.9</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297.0</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83.4</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r>
              <w:rPr>
                <w:rFonts w:hint="eastAsia"/>
                <w:bCs/>
                <w:color w:val="FF0000"/>
                <w:sz w:val="18"/>
                <w:szCs w:val="24"/>
              </w:rPr>
              <w:t>非城市地区私营部门</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b/>
                <w:color w:val="FF0000"/>
                <w:sz w:val="18"/>
                <w:szCs w:val="24"/>
              </w:rPr>
            </w:pPr>
            <w:r>
              <w:rPr>
                <w:b/>
                <w:color w:val="FF0000"/>
                <w:sz w:val="18"/>
                <w:szCs w:val="24"/>
              </w:rPr>
              <w:t>5 954.0</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522.2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527.3</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935.2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736.8</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450.6</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222.0</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329.7</w:t>
            </w:r>
          </w:p>
        </w:tc>
      </w:tr>
      <w:tr w:rsidR="00000000">
        <w:tblPrEx>
          <w:tblCellMar>
            <w:top w:w="0" w:type="dxa"/>
            <w:bottom w:w="0" w:type="dxa"/>
          </w:tblCellMar>
        </w:tblPrEx>
        <w:tc>
          <w:tcPr>
            <w:tcW w:w="82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男性</w:t>
            </w:r>
          </w:p>
        </w:tc>
        <w:tc>
          <w:tcPr>
            <w:tcW w:w="679"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3 369.0</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266.9</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235.3</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456.3</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357.</w:t>
            </w:r>
            <w:r>
              <w:rPr>
                <w:sz w:val="18"/>
                <w:szCs w:val="24"/>
              </w:rPr>
              <w:t>5</w:t>
            </w:r>
          </w:p>
        </w:tc>
        <w:tc>
          <w:tcPr>
            <w:tcW w:w="514"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214.5</w:t>
            </w:r>
          </w:p>
        </w:tc>
        <w:tc>
          <w:tcPr>
            <w:tcW w:w="6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158.2</w:t>
            </w:r>
          </w:p>
        </w:tc>
        <w:tc>
          <w:tcPr>
            <w:tcW w:w="46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136.1</w:t>
            </w:r>
          </w:p>
        </w:tc>
      </w:tr>
      <w:tr w:rsidR="00000000">
        <w:tblPrEx>
          <w:tblCellMar>
            <w:top w:w="0" w:type="dxa"/>
            <w:bottom w:w="0" w:type="dxa"/>
          </w:tblCellMar>
        </w:tblPrEx>
        <w:tc>
          <w:tcPr>
            <w:tcW w:w="823"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女性</w:t>
            </w:r>
          </w:p>
        </w:tc>
        <w:tc>
          <w:tcPr>
            <w:tcW w:w="679"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137" w:right="31680"/>
              <w:jc w:val="right"/>
              <w:rPr>
                <w:sz w:val="18"/>
                <w:szCs w:val="24"/>
              </w:rPr>
            </w:pPr>
            <w:r>
              <w:rPr>
                <w:sz w:val="18"/>
                <w:szCs w:val="24"/>
              </w:rPr>
              <w:t>2 585.0</w:t>
            </w:r>
          </w:p>
        </w:tc>
        <w:tc>
          <w:tcPr>
            <w:tcW w:w="463"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255.3</w:t>
            </w:r>
          </w:p>
        </w:tc>
        <w:tc>
          <w:tcPr>
            <w:tcW w:w="463"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292.0</w:t>
            </w:r>
          </w:p>
        </w:tc>
        <w:tc>
          <w:tcPr>
            <w:tcW w:w="5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478.9</w:t>
            </w:r>
          </w:p>
        </w:tc>
        <w:tc>
          <w:tcPr>
            <w:tcW w:w="463"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379.3</w:t>
            </w:r>
          </w:p>
        </w:tc>
        <w:tc>
          <w:tcPr>
            <w:tcW w:w="514"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236.1</w:t>
            </w:r>
          </w:p>
        </w:tc>
        <w:tc>
          <w:tcPr>
            <w:tcW w:w="6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63.8</w:t>
            </w:r>
          </w:p>
        </w:tc>
        <w:tc>
          <w:tcPr>
            <w:tcW w:w="463"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193.6</w:t>
            </w:r>
          </w:p>
        </w:tc>
      </w:tr>
    </w:tbl>
    <w:p w:rsidR="00000000" w:rsidRDefault="00B83709">
      <w:pPr>
        <w:pStyle w:val="BodyText2"/>
        <w:framePr w:w="0" w:hRule="auto" w:hSpace="0" w:wrap="auto" w:vAnchor="margin" w:hAnchor="text" w:xAlign="left" w:yAlign="inline"/>
        <w:spacing w:beforeLines="50" w:before="120" w:after="120" w:line="360" w:lineRule="exact"/>
        <w:jc w:val="both"/>
        <w:rPr>
          <w:rFonts w:hint="eastAsia"/>
          <w:sz w:val="21"/>
          <w:szCs w:val="24"/>
        </w:rPr>
      </w:pPr>
      <w:r>
        <w:rPr>
          <w:rFonts w:ascii="SimHei" w:hint="eastAsia"/>
          <w:color w:val="FF0000"/>
          <w:sz w:val="21"/>
        </w:rPr>
        <w:t>表</w:t>
      </w:r>
      <w:r>
        <w:rPr>
          <w:rFonts w:ascii="SimHei" w:hint="eastAsia"/>
          <w:color w:val="FF0000"/>
          <w:sz w:val="21"/>
        </w:rPr>
        <w:t>25</w:t>
      </w:r>
      <w:r>
        <w:rPr>
          <w:rFonts w:ascii="SimHei"/>
          <w:color w:val="FF0000"/>
          <w:sz w:val="21"/>
        </w:rPr>
        <w:t xml:space="preserve">. </w:t>
      </w:r>
      <w:r>
        <w:rPr>
          <w:rFonts w:eastAsia="SimSun" w:hint="eastAsia"/>
          <w:sz w:val="21"/>
          <w:szCs w:val="24"/>
        </w:rPr>
        <w:t>按性别和居住地区分列的私营和公营部门雇员领取福利的人数</w:t>
      </w:r>
      <w:r>
        <w:rPr>
          <w:rFonts w:eastAsia="KaiTi_GB2312" w:hint="eastAsia"/>
          <w:color w:val="0000FF"/>
          <w:sz w:val="21"/>
          <w:szCs w:val="24"/>
        </w:rPr>
        <w:t>（续）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1076"/>
        <w:gridCol w:w="1010"/>
        <w:gridCol w:w="1011"/>
        <w:gridCol w:w="1013"/>
        <w:gridCol w:w="1011"/>
        <w:gridCol w:w="1013"/>
        <w:gridCol w:w="1011"/>
        <w:gridCol w:w="1013"/>
      </w:tblGrid>
      <w:tr w:rsidR="00000000">
        <w:tblPrEx>
          <w:tblCellMar>
            <w:top w:w="0" w:type="dxa"/>
            <w:bottom w:w="0" w:type="dxa"/>
          </w:tblCellMar>
        </w:tblPrEx>
        <w:trPr>
          <w:cantSplit/>
        </w:trPr>
        <w:tc>
          <w:tcPr>
            <w:tcW w:w="948"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r>
              <w:rPr>
                <w:rFonts w:hint="eastAsia"/>
                <w:bCs/>
                <w:color w:val="FF0000"/>
                <w:sz w:val="18"/>
                <w:szCs w:val="24"/>
              </w:rPr>
              <w:t>行政区和性别</w:t>
            </w:r>
          </w:p>
        </w:tc>
        <w:tc>
          <w:tcPr>
            <w:tcW w:w="535" w:type="pct"/>
            <w:vMerge w:val="restart"/>
            <w:tcBorders>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rFonts w:hint="eastAsia"/>
                <w:bCs/>
                <w:color w:val="FF0000"/>
                <w:sz w:val="18"/>
                <w:szCs w:val="24"/>
              </w:rPr>
            </w:pPr>
            <w:r>
              <w:rPr>
                <w:rFonts w:hint="eastAsia"/>
                <w:bCs/>
                <w:color w:val="FF0000"/>
                <w:sz w:val="18"/>
                <w:szCs w:val="24"/>
              </w:rPr>
              <w:t>雇员人数</w:t>
            </w:r>
          </w:p>
        </w:tc>
        <w:tc>
          <w:tcPr>
            <w:tcW w:w="3517" w:type="pct"/>
            <w:gridSpan w:val="7"/>
            <w:tcBorders>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雇员领取额外福利的人数</w:t>
            </w:r>
          </w:p>
        </w:tc>
      </w:tr>
      <w:tr w:rsidR="00000000">
        <w:tblPrEx>
          <w:tblCellMar>
            <w:top w:w="0" w:type="dxa"/>
            <w:bottom w:w="0" w:type="dxa"/>
          </w:tblCellMar>
        </w:tblPrEx>
        <w:trPr>
          <w:cantSplit/>
        </w:trPr>
        <w:tc>
          <w:tcPr>
            <w:tcW w:w="948"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p>
        </w:tc>
        <w:tc>
          <w:tcPr>
            <w:tcW w:w="535"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p>
        </w:tc>
        <w:tc>
          <w:tcPr>
            <w:tcW w:w="502"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奖金</w:t>
            </w:r>
          </w:p>
        </w:tc>
        <w:tc>
          <w:tcPr>
            <w:tcW w:w="502"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bCs/>
                <w:color w:val="FF0000"/>
                <w:sz w:val="18"/>
                <w:szCs w:val="24"/>
              </w:rPr>
            </w:pPr>
            <w:r>
              <w:rPr>
                <w:bCs/>
                <w:color w:val="FF0000"/>
                <w:sz w:val="18"/>
                <w:szCs w:val="24"/>
              </w:rPr>
              <w:t>OT</w:t>
            </w:r>
          </w:p>
        </w:tc>
        <w:tc>
          <w:tcPr>
            <w:tcW w:w="503"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其他现金</w:t>
            </w:r>
          </w:p>
        </w:tc>
        <w:tc>
          <w:tcPr>
            <w:tcW w:w="502"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食品</w:t>
            </w:r>
          </w:p>
        </w:tc>
        <w:tc>
          <w:tcPr>
            <w:tcW w:w="503"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衣服</w:t>
            </w:r>
          </w:p>
        </w:tc>
        <w:tc>
          <w:tcPr>
            <w:tcW w:w="502"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住房</w:t>
            </w:r>
          </w:p>
        </w:tc>
        <w:tc>
          <w:tcPr>
            <w:tcW w:w="503"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18"/>
                <w:szCs w:val="24"/>
              </w:rPr>
            </w:pPr>
            <w:r>
              <w:rPr>
                <w:rFonts w:hint="eastAsia"/>
                <w:bCs/>
                <w:color w:val="FF0000"/>
                <w:sz w:val="18"/>
                <w:szCs w:val="24"/>
              </w:rPr>
              <w:t>其他</w:t>
            </w:r>
          </w:p>
        </w:tc>
      </w:tr>
      <w:tr w:rsidR="00000000">
        <w:tblPrEx>
          <w:tblCellMar>
            <w:top w:w="0" w:type="dxa"/>
            <w:bottom w:w="0" w:type="dxa"/>
          </w:tblCellMar>
        </w:tblPrEx>
        <w:tc>
          <w:tcPr>
            <w:tcW w:w="9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18"/>
                <w:szCs w:val="24"/>
              </w:rPr>
            </w:pPr>
            <w:r>
              <w:rPr>
                <w:rFonts w:hint="eastAsia"/>
                <w:bCs/>
                <w:color w:val="FF0000"/>
                <w:sz w:val="18"/>
                <w:szCs w:val="24"/>
              </w:rPr>
              <w:t>城市地区公营部门</w:t>
            </w:r>
          </w:p>
        </w:tc>
        <w:tc>
          <w:tcPr>
            <w:tcW w:w="53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566.0</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157.5</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126.4</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603.2</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17.8</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91.2</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240.6</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34.4</w:t>
            </w:r>
          </w:p>
        </w:tc>
      </w:tr>
      <w:tr w:rsidR="00000000">
        <w:tblPrEx>
          <w:tblCellMar>
            <w:top w:w="0" w:type="dxa"/>
            <w:bottom w:w="0" w:type="dxa"/>
          </w:tblCellMar>
        </w:tblPrEx>
        <w:tc>
          <w:tcPr>
            <w:tcW w:w="9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男性</w:t>
            </w:r>
          </w:p>
        </w:tc>
        <w:tc>
          <w:tcPr>
            <w:tcW w:w="53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857.5</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100.7</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72.4</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365.5</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6.4</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73.9</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178</w:t>
            </w:r>
            <w:r>
              <w:rPr>
                <w:sz w:val="18"/>
                <w:szCs w:val="24"/>
              </w:rPr>
              <w:t>.3</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26.1</w:t>
            </w:r>
          </w:p>
        </w:tc>
      </w:tr>
      <w:tr w:rsidR="00000000">
        <w:tblPrEx>
          <w:tblCellMar>
            <w:top w:w="0" w:type="dxa"/>
            <w:bottom w:w="0" w:type="dxa"/>
          </w:tblCellMar>
        </w:tblPrEx>
        <w:tc>
          <w:tcPr>
            <w:tcW w:w="9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女性</w:t>
            </w:r>
          </w:p>
        </w:tc>
        <w:tc>
          <w:tcPr>
            <w:tcW w:w="53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708.5</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56.8</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54.0</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237.7</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11.4</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17.3</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62.3</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8.3</w:t>
            </w:r>
          </w:p>
        </w:tc>
      </w:tr>
      <w:tr w:rsidR="00000000">
        <w:tblPrEx>
          <w:tblCellMar>
            <w:top w:w="0" w:type="dxa"/>
            <w:bottom w:w="0" w:type="dxa"/>
          </w:tblCellMar>
        </w:tblPrEx>
        <w:tc>
          <w:tcPr>
            <w:tcW w:w="9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Cs/>
                <w:color w:val="FF0000"/>
                <w:sz w:val="18"/>
                <w:szCs w:val="24"/>
              </w:rPr>
            </w:pPr>
            <w:r>
              <w:rPr>
                <w:rFonts w:hint="eastAsia"/>
                <w:bCs/>
                <w:color w:val="FF0000"/>
                <w:sz w:val="18"/>
                <w:szCs w:val="24"/>
              </w:rPr>
              <w:t xml:space="preserve">非城市地区公营部门　</w:t>
            </w:r>
          </w:p>
        </w:tc>
        <w:tc>
          <w:tcPr>
            <w:tcW w:w="53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w:t>
            </w:r>
            <w:r>
              <w:rPr>
                <w:rFonts w:hint="eastAsia"/>
                <w:b/>
                <w:color w:val="FF0000"/>
                <w:sz w:val="18"/>
                <w:szCs w:val="24"/>
              </w:rPr>
              <w:t xml:space="preserve"> </w:t>
            </w:r>
            <w:r>
              <w:rPr>
                <w:b/>
                <w:color w:val="FF0000"/>
                <w:sz w:val="18"/>
                <w:szCs w:val="24"/>
              </w:rPr>
              <w:t>284.7</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35.8</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68.0</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430.3</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13.2</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35.0</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153.0</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b/>
                <w:color w:val="FF0000"/>
                <w:sz w:val="18"/>
                <w:szCs w:val="24"/>
              </w:rPr>
            </w:pPr>
            <w:r>
              <w:rPr>
                <w:b/>
                <w:color w:val="FF0000"/>
                <w:sz w:val="18"/>
                <w:szCs w:val="24"/>
              </w:rPr>
              <w:t>28.8</w:t>
            </w:r>
          </w:p>
        </w:tc>
      </w:tr>
      <w:tr w:rsidR="00000000">
        <w:tblPrEx>
          <w:tblCellMar>
            <w:top w:w="0" w:type="dxa"/>
            <w:bottom w:w="0" w:type="dxa"/>
          </w:tblCellMar>
        </w:tblPrEx>
        <w:tc>
          <w:tcPr>
            <w:tcW w:w="948"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男性</w:t>
            </w:r>
          </w:p>
        </w:tc>
        <w:tc>
          <w:tcPr>
            <w:tcW w:w="535"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798.0</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25.9</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37.3</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278.8</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4.5</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22.9</w:t>
            </w:r>
          </w:p>
        </w:tc>
        <w:tc>
          <w:tcPr>
            <w:tcW w:w="50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98.2</w:t>
            </w:r>
          </w:p>
        </w:tc>
        <w:tc>
          <w:tcPr>
            <w:tcW w:w="503"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20.0</w:t>
            </w:r>
          </w:p>
        </w:tc>
      </w:tr>
      <w:tr w:rsidR="00000000">
        <w:tblPrEx>
          <w:tblCellMar>
            <w:top w:w="0" w:type="dxa"/>
            <w:bottom w:w="0" w:type="dxa"/>
          </w:tblCellMar>
        </w:tblPrEx>
        <w:tc>
          <w:tcPr>
            <w:tcW w:w="948"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18"/>
                <w:szCs w:val="24"/>
              </w:rPr>
            </w:pPr>
            <w:r>
              <w:rPr>
                <w:rFonts w:eastAsia="SimSun" w:hint="eastAsia"/>
                <w:sz w:val="18"/>
                <w:szCs w:val="24"/>
              </w:rPr>
              <w:t>女性</w:t>
            </w:r>
          </w:p>
        </w:tc>
        <w:tc>
          <w:tcPr>
            <w:tcW w:w="535"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486.7</w:t>
            </w:r>
          </w:p>
        </w:tc>
        <w:tc>
          <w:tcPr>
            <w:tcW w:w="502"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9.9</w:t>
            </w:r>
          </w:p>
        </w:tc>
        <w:tc>
          <w:tcPr>
            <w:tcW w:w="502"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30.7</w:t>
            </w:r>
          </w:p>
        </w:tc>
        <w:tc>
          <w:tcPr>
            <w:tcW w:w="503"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151.5</w:t>
            </w:r>
          </w:p>
        </w:tc>
        <w:tc>
          <w:tcPr>
            <w:tcW w:w="502"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8.7</w:t>
            </w:r>
          </w:p>
        </w:tc>
        <w:tc>
          <w:tcPr>
            <w:tcW w:w="503"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12.1</w:t>
            </w:r>
          </w:p>
        </w:tc>
        <w:tc>
          <w:tcPr>
            <w:tcW w:w="502"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54.8</w:t>
            </w:r>
          </w:p>
        </w:tc>
        <w:tc>
          <w:tcPr>
            <w:tcW w:w="503"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right"/>
              <w:rPr>
                <w:sz w:val="18"/>
                <w:szCs w:val="24"/>
              </w:rPr>
            </w:pPr>
            <w:r>
              <w:rPr>
                <w:sz w:val="18"/>
                <w:szCs w:val="24"/>
              </w:rPr>
              <w:t>8.8</w:t>
            </w:r>
          </w:p>
        </w:tc>
      </w:tr>
    </w:tbl>
    <w:p w:rsidR="00000000" w:rsidRDefault="00B83709">
      <w:pPr>
        <w:pStyle w:val="BodyText2"/>
        <w:framePr w:w="0" w:hRule="auto" w:hSpace="0" w:wrap="auto" w:vAnchor="margin" w:hAnchor="text" w:xAlign="left" w:yAlign="inline"/>
        <w:spacing w:after="120" w:line="360" w:lineRule="exact"/>
        <w:jc w:val="both"/>
        <w:rPr>
          <w:rFonts w:eastAsia="KaiTi_GB2312" w:hint="eastAsia"/>
          <w:color w:val="0000FF"/>
          <w:sz w:val="21"/>
          <w:szCs w:val="24"/>
        </w:rPr>
      </w:pPr>
      <w:r>
        <w:rPr>
          <w:rFonts w:eastAsia="KaiTi_GB2312" w:hint="eastAsia"/>
          <w:b/>
          <w:color w:val="0000FF"/>
          <w:sz w:val="21"/>
          <w:szCs w:val="24"/>
        </w:rPr>
        <w:t>资料来源：</w:t>
      </w:r>
      <w:r>
        <w:rPr>
          <w:rFonts w:eastAsia="KaiTi_GB2312" w:hint="eastAsia"/>
          <w:bCs/>
          <w:color w:val="0000FF"/>
          <w:sz w:val="21"/>
          <w:szCs w:val="24"/>
        </w:rPr>
        <w:t>第三季度人口工作条件调查报告：</w:t>
      </w:r>
      <w:r>
        <w:rPr>
          <w:rFonts w:eastAsia="KaiTi_GB2312" w:hint="eastAsia"/>
          <w:bCs/>
          <w:color w:val="0000FF"/>
          <w:sz w:val="21"/>
          <w:szCs w:val="24"/>
        </w:rPr>
        <w:t>2001</w:t>
      </w:r>
      <w:r>
        <w:rPr>
          <w:rFonts w:eastAsia="KaiTi_GB2312" w:hint="eastAsia"/>
          <w:bCs/>
          <w:color w:val="0000FF"/>
          <w:sz w:val="21"/>
          <w:szCs w:val="24"/>
        </w:rPr>
        <w:t>年</w:t>
      </w:r>
      <w:r>
        <w:rPr>
          <w:rFonts w:eastAsia="KaiTi_GB2312" w:hint="eastAsia"/>
          <w:bCs/>
          <w:color w:val="0000FF"/>
          <w:sz w:val="21"/>
          <w:szCs w:val="24"/>
        </w:rPr>
        <w:t>7</w:t>
      </w:r>
      <w:r>
        <w:rPr>
          <w:rFonts w:eastAsia="KaiTi_GB2312" w:hint="eastAsia"/>
          <w:bCs/>
          <w:color w:val="0000FF"/>
          <w:sz w:val="21"/>
          <w:szCs w:val="24"/>
        </w:rPr>
        <w:t>－</w:t>
      </w:r>
      <w:r>
        <w:rPr>
          <w:rFonts w:eastAsia="KaiTi_GB2312" w:hint="eastAsia"/>
          <w:bCs/>
          <w:color w:val="0000FF"/>
          <w:sz w:val="21"/>
          <w:szCs w:val="24"/>
        </w:rPr>
        <w:t>9</w:t>
      </w:r>
      <w:r>
        <w:rPr>
          <w:rFonts w:eastAsia="KaiTi_GB2312" w:hint="eastAsia"/>
          <w:bCs/>
          <w:color w:val="0000FF"/>
          <w:sz w:val="21"/>
          <w:szCs w:val="24"/>
        </w:rPr>
        <w:t>月，国家统计局。</w:t>
      </w:r>
    </w:p>
    <w:p w:rsidR="00000000" w:rsidRDefault="00B83709">
      <w:pPr>
        <w:pStyle w:val="BodyText2"/>
        <w:framePr w:w="0" w:hRule="auto" w:hSpace="0" w:wrap="auto" w:vAnchor="margin" w:hAnchor="text" w:xAlign="left" w:yAlign="inline"/>
        <w:spacing w:after="120" w:line="360" w:lineRule="exact"/>
        <w:jc w:val="both"/>
        <w:rPr>
          <w:rFonts w:eastAsia="KaiTi_GB2312" w:hint="eastAsia"/>
          <w:color w:val="0000FF"/>
          <w:sz w:val="21"/>
          <w:szCs w:val="24"/>
        </w:rPr>
      </w:pPr>
      <w:r>
        <w:rPr>
          <w:rFonts w:eastAsia="KaiTi_GB2312" w:hint="eastAsia"/>
          <w:b/>
          <w:color w:val="0000FF"/>
          <w:sz w:val="21"/>
          <w:szCs w:val="24"/>
        </w:rPr>
        <w:t>注：</w:t>
      </w:r>
      <w:r>
        <w:rPr>
          <w:rFonts w:eastAsia="KaiTi_GB2312"/>
          <w:color w:val="0000FF"/>
          <w:sz w:val="21"/>
          <w:szCs w:val="24"/>
        </w:rPr>
        <w:t xml:space="preserve">1. </w:t>
      </w:r>
      <w:r>
        <w:rPr>
          <w:rFonts w:eastAsia="KaiTi_GB2312" w:hint="eastAsia"/>
          <w:color w:val="0000FF"/>
          <w:sz w:val="21"/>
          <w:szCs w:val="24"/>
        </w:rPr>
        <w:t>雇员人数不包括不能提供额外福利</w:t>
      </w:r>
      <w:r>
        <w:rPr>
          <w:rFonts w:eastAsia="KaiTi_GB2312" w:hint="eastAsia"/>
          <w:color w:val="0000FF"/>
          <w:sz w:val="21"/>
          <w:szCs w:val="24"/>
        </w:rPr>
        <w:t>资料的雇员。</w:t>
      </w:r>
    </w:p>
    <w:p w:rsidR="00000000" w:rsidRDefault="00B83709" w:rsidP="00B83709">
      <w:pPr>
        <w:pStyle w:val="BodyText2"/>
        <w:framePr w:w="0" w:hRule="auto" w:hSpace="0" w:wrap="auto" w:vAnchor="margin" w:hAnchor="text" w:xAlign="left" w:yAlign="inline"/>
        <w:tabs>
          <w:tab w:val="left" w:pos="720"/>
        </w:tabs>
        <w:spacing w:after="240" w:line="360" w:lineRule="exact"/>
        <w:ind w:firstLineChars="200" w:firstLine="31680"/>
        <w:jc w:val="both"/>
        <w:rPr>
          <w:sz w:val="21"/>
          <w:szCs w:val="24"/>
        </w:rPr>
      </w:pPr>
      <w:r>
        <w:rPr>
          <w:rFonts w:eastAsia="KaiTi_GB2312" w:hint="eastAsia"/>
          <w:color w:val="0000FF"/>
          <w:sz w:val="21"/>
          <w:szCs w:val="24"/>
        </w:rPr>
        <w:t>2</w:t>
      </w:r>
      <w:r>
        <w:rPr>
          <w:rFonts w:eastAsia="KaiTi_GB2312"/>
          <w:color w:val="0000FF"/>
          <w:sz w:val="21"/>
          <w:szCs w:val="24"/>
        </w:rPr>
        <w:t xml:space="preserve">.  </w:t>
      </w:r>
      <w:r>
        <w:rPr>
          <w:rFonts w:eastAsia="KaiTi_GB2312" w:hint="eastAsia"/>
          <w:color w:val="0000FF"/>
          <w:sz w:val="21"/>
          <w:szCs w:val="24"/>
        </w:rPr>
        <w:t>一名雇员可能领取一份以上福利。</w:t>
      </w:r>
    </w:p>
    <w:p w:rsidR="00000000" w:rsidRDefault="00B83709">
      <w:pPr>
        <w:numPr>
          <w:ilvl w:val="0"/>
          <w:numId w:val="1049"/>
        </w:numPr>
        <w:tabs>
          <w:tab w:val="clear" w:pos="360"/>
          <w:tab w:val="num" w:pos="480"/>
        </w:tabs>
        <w:spacing w:after="240" w:line="360" w:lineRule="exact"/>
        <w:rPr>
          <w:szCs w:val="24"/>
        </w:rPr>
      </w:pPr>
      <w:r>
        <w:rPr>
          <w:rFonts w:hint="eastAsia"/>
          <w:szCs w:val="24"/>
        </w:rPr>
        <w:t>男女在额外福利方面不存在实质差别。一般来说，妇女领取与男子相同的现金和其他福利。</w:t>
      </w:r>
    </w:p>
    <w:p w:rsidR="00000000" w:rsidRDefault="00B83709">
      <w:pPr>
        <w:numPr>
          <w:ilvl w:val="0"/>
          <w:numId w:val="1049"/>
        </w:numPr>
        <w:tabs>
          <w:tab w:val="clear" w:pos="360"/>
          <w:tab w:val="num" w:pos="480"/>
        </w:tabs>
        <w:spacing w:after="240" w:line="360" w:lineRule="exact"/>
        <w:rPr>
          <w:szCs w:val="24"/>
        </w:rPr>
      </w:pPr>
      <w:r>
        <w:rPr>
          <w:rFonts w:hint="eastAsia"/>
          <w:szCs w:val="24"/>
        </w:rPr>
        <w:t>泰国</w:t>
      </w:r>
      <w:r>
        <w:rPr>
          <w:szCs w:val="24"/>
        </w:rPr>
        <w:t>69.6%</w:t>
      </w:r>
      <w:r>
        <w:rPr>
          <w:rFonts w:hint="eastAsia"/>
          <w:szCs w:val="24"/>
        </w:rPr>
        <w:t>的劳动力在非正规部门工作。非正规部门包括分包、制造商品或为雇主或与完成分派的某些任务的工人签署协议的任何人提供服务。分包商有权不经雇主同意选择其工作场所，因此，这类工作大多在家庭完成。但是，分包商在社会上被视为缺乏权利及其他保护手段的处境不利群体。尽管分包制度对国家经济发展具有重要作用，但不受适用于雇主的法律规章制度的保护。</w:t>
      </w:r>
    </w:p>
    <w:p w:rsidR="00000000" w:rsidRDefault="00B83709">
      <w:pPr>
        <w:spacing w:after="240" w:line="360" w:lineRule="exact"/>
        <w:rPr>
          <w:rFonts w:eastAsia="SimHei" w:hint="eastAsia"/>
          <w:color w:val="FF0000"/>
        </w:rPr>
      </w:pPr>
      <w:r>
        <w:rPr>
          <w:rFonts w:eastAsia="SimHei" w:hint="eastAsia"/>
          <w:color w:val="FF0000"/>
        </w:rPr>
        <w:t>家庭佣工的类别和扩充</w:t>
      </w:r>
    </w:p>
    <w:p w:rsidR="00000000" w:rsidRDefault="00B83709">
      <w:pPr>
        <w:numPr>
          <w:ilvl w:val="0"/>
          <w:numId w:val="1049"/>
        </w:numPr>
        <w:tabs>
          <w:tab w:val="clear" w:pos="360"/>
          <w:tab w:val="num" w:pos="480"/>
        </w:tabs>
        <w:spacing w:after="240" w:line="360" w:lineRule="exact"/>
        <w:rPr>
          <w:szCs w:val="24"/>
        </w:rPr>
      </w:pPr>
      <w:r>
        <w:rPr>
          <w:rFonts w:hint="eastAsia"/>
          <w:szCs w:val="24"/>
        </w:rPr>
        <w:t>国家统计局</w:t>
      </w:r>
      <w:r>
        <w:rPr>
          <w:rFonts w:hint="eastAsia"/>
          <w:szCs w:val="24"/>
        </w:rPr>
        <w:t>2</w:t>
      </w:r>
      <w:r>
        <w:rPr>
          <w:rFonts w:hint="eastAsia"/>
          <w:szCs w:val="24"/>
        </w:rPr>
        <w:t>002</w:t>
      </w:r>
      <w:r>
        <w:rPr>
          <w:rFonts w:hint="eastAsia"/>
          <w:szCs w:val="24"/>
        </w:rPr>
        <w:t>年进行的家庭佣工调查结果显示，泰国</w:t>
      </w:r>
      <w:r>
        <w:rPr>
          <w:rFonts w:hint="eastAsia"/>
          <w:szCs w:val="24"/>
        </w:rPr>
        <w:t>15</w:t>
      </w:r>
      <w:r>
        <w:rPr>
          <w:rFonts w:hint="eastAsia"/>
          <w:szCs w:val="24"/>
        </w:rPr>
        <w:t>岁以上的劳动力总数是</w:t>
      </w:r>
      <w:r>
        <w:rPr>
          <w:szCs w:val="24"/>
        </w:rPr>
        <w:t>33</w:t>
      </w:r>
      <w:r>
        <w:rPr>
          <w:rFonts w:hint="eastAsia"/>
          <w:szCs w:val="24"/>
        </w:rPr>
        <w:t xml:space="preserve"> </w:t>
      </w:r>
      <w:r>
        <w:rPr>
          <w:szCs w:val="24"/>
        </w:rPr>
        <w:t>735</w:t>
      </w:r>
      <w:r>
        <w:rPr>
          <w:rFonts w:hint="eastAsia"/>
          <w:szCs w:val="24"/>
        </w:rPr>
        <w:t xml:space="preserve"> </w:t>
      </w:r>
      <w:r>
        <w:rPr>
          <w:szCs w:val="24"/>
        </w:rPr>
        <w:t>300</w:t>
      </w:r>
      <w:r>
        <w:rPr>
          <w:rFonts w:hint="eastAsia"/>
          <w:szCs w:val="24"/>
        </w:rPr>
        <w:t>人，</w:t>
      </w:r>
      <w:r>
        <w:rPr>
          <w:szCs w:val="24"/>
        </w:rPr>
        <w:t xml:space="preserve"> </w:t>
      </w:r>
      <w:r>
        <w:rPr>
          <w:rFonts w:hint="eastAsia"/>
          <w:szCs w:val="24"/>
        </w:rPr>
        <w:t>其中，家庭佣工为</w:t>
      </w:r>
      <w:r>
        <w:rPr>
          <w:szCs w:val="24"/>
        </w:rPr>
        <w:t>592</w:t>
      </w:r>
      <w:r>
        <w:rPr>
          <w:rFonts w:hint="eastAsia"/>
          <w:szCs w:val="24"/>
        </w:rPr>
        <w:t xml:space="preserve"> </w:t>
      </w:r>
      <w:r>
        <w:rPr>
          <w:szCs w:val="24"/>
        </w:rPr>
        <w:t>235</w:t>
      </w:r>
      <w:r>
        <w:rPr>
          <w:rFonts w:hint="eastAsia"/>
          <w:szCs w:val="24"/>
        </w:rPr>
        <w:t>人，可分为三类。</w:t>
      </w:r>
    </w:p>
    <w:p w:rsidR="00000000" w:rsidRDefault="00B83709" w:rsidP="00B83709">
      <w:pPr>
        <w:spacing w:after="240" w:line="360" w:lineRule="exact"/>
        <w:ind w:firstLineChars="200" w:firstLine="31680"/>
        <w:rPr>
          <w:szCs w:val="24"/>
        </w:rPr>
      </w:pPr>
      <w:r>
        <w:rPr>
          <w:rFonts w:hint="eastAsia"/>
          <w:bCs/>
          <w:szCs w:val="24"/>
        </w:rPr>
        <w:t>（</w:t>
      </w:r>
      <w:r>
        <w:rPr>
          <w:rFonts w:hint="eastAsia"/>
          <w:bCs/>
          <w:szCs w:val="24"/>
        </w:rPr>
        <w:t>1</w:t>
      </w:r>
      <w:r>
        <w:rPr>
          <w:rFonts w:hint="eastAsia"/>
          <w:bCs/>
          <w:szCs w:val="24"/>
        </w:rPr>
        <w:t>）</w:t>
      </w:r>
      <w:r>
        <w:rPr>
          <w:rFonts w:hint="eastAsia"/>
          <w:bCs/>
          <w:color w:val="FF0000"/>
          <w:szCs w:val="24"/>
        </w:rPr>
        <w:t>合同工</w:t>
      </w:r>
      <w:r>
        <w:rPr>
          <w:rFonts w:hint="eastAsia"/>
          <w:bCs/>
          <w:szCs w:val="24"/>
        </w:rPr>
        <w:t>系指直接从雇主那里获得工作且可亲自完成工作或将工作转交他人完成的工人。</w:t>
      </w:r>
      <w:r>
        <w:rPr>
          <w:rFonts w:hint="eastAsia"/>
          <w:szCs w:val="24"/>
        </w:rPr>
        <w:t>这是家庭佣工的一个主要类别，有</w:t>
      </w:r>
      <w:r>
        <w:rPr>
          <w:szCs w:val="24"/>
        </w:rPr>
        <w:t>473</w:t>
      </w:r>
      <w:r>
        <w:rPr>
          <w:rFonts w:hint="eastAsia"/>
          <w:szCs w:val="24"/>
        </w:rPr>
        <w:t xml:space="preserve"> </w:t>
      </w:r>
      <w:r>
        <w:rPr>
          <w:szCs w:val="24"/>
        </w:rPr>
        <w:t>565</w:t>
      </w:r>
      <w:r>
        <w:rPr>
          <w:rFonts w:hint="eastAsia"/>
          <w:szCs w:val="24"/>
        </w:rPr>
        <w:t>人，占家庭佣工总数的</w:t>
      </w:r>
      <w:r>
        <w:rPr>
          <w:szCs w:val="24"/>
        </w:rPr>
        <w:t>80%</w:t>
      </w:r>
      <w:r>
        <w:rPr>
          <w:rFonts w:hint="eastAsia"/>
          <w:szCs w:val="24"/>
        </w:rPr>
        <w:t>。</w:t>
      </w:r>
    </w:p>
    <w:p w:rsidR="00000000" w:rsidRDefault="00B83709" w:rsidP="00B83709">
      <w:pPr>
        <w:spacing w:after="240" w:line="360" w:lineRule="exact"/>
        <w:ind w:firstLineChars="200" w:firstLine="31680"/>
        <w:rPr>
          <w:szCs w:val="24"/>
        </w:rPr>
      </w:pPr>
      <w:r>
        <w:rPr>
          <w:rFonts w:hint="eastAsia"/>
          <w:bCs/>
          <w:szCs w:val="24"/>
        </w:rPr>
        <w:t>（</w:t>
      </w:r>
      <w:r>
        <w:rPr>
          <w:rFonts w:hint="eastAsia"/>
          <w:bCs/>
          <w:szCs w:val="24"/>
        </w:rPr>
        <w:t>2</w:t>
      </w:r>
      <w:r>
        <w:rPr>
          <w:rFonts w:hint="eastAsia"/>
          <w:bCs/>
          <w:szCs w:val="24"/>
        </w:rPr>
        <w:t>）</w:t>
      </w:r>
      <w:r>
        <w:rPr>
          <w:rFonts w:hint="eastAsia"/>
          <w:bCs/>
          <w:color w:val="FF0000"/>
          <w:szCs w:val="24"/>
        </w:rPr>
        <w:t>无报酬家庭佣工</w:t>
      </w:r>
      <w:r>
        <w:rPr>
          <w:rFonts w:hint="eastAsia"/>
          <w:bCs/>
          <w:szCs w:val="24"/>
        </w:rPr>
        <w:t>指合同工的助手，他们与合同工生活在同一家庭。</w:t>
      </w:r>
      <w:r>
        <w:rPr>
          <w:rFonts w:hint="eastAsia"/>
          <w:szCs w:val="24"/>
        </w:rPr>
        <w:t>这些工人的总数为</w:t>
      </w:r>
      <w:r>
        <w:rPr>
          <w:szCs w:val="24"/>
        </w:rPr>
        <w:t>115</w:t>
      </w:r>
      <w:r>
        <w:rPr>
          <w:rFonts w:hint="eastAsia"/>
          <w:szCs w:val="24"/>
        </w:rPr>
        <w:t xml:space="preserve"> </w:t>
      </w:r>
      <w:r>
        <w:rPr>
          <w:szCs w:val="24"/>
        </w:rPr>
        <w:t>699</w:t>
      </w:r>
      <w:r>
        <w:rPr>
          <w:rFonts w:hint="eastAsia"/>
          <w:szCs w:val="24"/>
        </w:rPr>
        <w:t>人，占家庭佣工总数的</w:t>
      </w:r>
      <w:r>
        <w:rPr>
          <w:szCs w:val="24"/>
        </w:rPr>
        <w:t>19.5%</w:t>
      </w:r>
      <w:r>
        <w:rPr>
          <w:rFonts w:hint="eastAsia"/>
          <w:szCs w:val="24"/>
        </w:rPr>
        <w:t>。</w:t>
      </w:r>
    </w:p>
    <w:p w:rsidR="00000000" w:rsidRDefault="00B83709" w:rsidP="00B83709">
      <w:pPr>
        <w:spacing w:after="240" w:line="360" w:lineRule="exact"/>
        <w:ind w:firstLineChars="200" w:firstLine="31680"/>
        <w:rPr>
          <w:b/>
          <w:szCs w:val="24"/>
        </w:rPr>
      </w:pPr>
      <w:r>
        <w:rPr>
          <w:rFonts w:hint="eastAsia"/>
          <w:bCs/>
          <w:szCs w:val="24"/>
        </w:rPr>
        <w:t>（</w:t>
      </w:r>
      <w:r>
        <w:rPr>
          <w:rFonts w:hint="eastAsia"/>
          <w:bCs/>
          <w:szCs w:val="24"/>
        </w:rPr>
        <w:t>3</w:t>
      </w:r>
      <w:r>
        <w:rPr>
          <w:rFonts w:hint="eastAsia"/>
          <w:bCs/>
          <w:szCs w:val="24"/>
        </w:rPr>
        <w:t>）</w:t>
      </w:r>
      <w:r>
        <w:rPr>
          <w:rFonts w:hint="eastAsia"/>
          <w:bCs/>
          <w:color w:val="FF0000"/>
          <w:spacing w:val="2"/>
          <w:szCs w:val="24"/>
        </w:rPr>
        <w:t>分包商</w:t>
      </w:r>
      <w:r>
        <w:rPr>
          <w:rFonts w:hint="eastAsia"/>
          <w:bCs/>
          <w:spacing w:val="2"/>
          <w:szCs w:val="24"/>
        </w:rPr>
        <w:t>指从雇主那里获得工作但不亲自完成工作，而是将工作转包给他人的人。这些工人总共有</w:t>
      </w:r>
      <w:r>
        <w:rPr>
          <w:szCs w:val="24"/>
        </w:rPr>
        <w:t>2</w:t>
      </w:r>
      <w:r>
        <w:rPr>
          <w:rFonts w:hint="eastAsia"/>
          <w:szCs w:val="24"/>
        </w:rPr>
        <w:t xml:space="preserve"> </w:t>
      </w:r>
      <w:r>
        <w:rPr>
          <w:szCs w:val="24"/>
        </w:rPr>
        <w:t>971</w:t>
      </w:r>
      <w:r>
        <w:rPr>
          <w:rFonts w:hint="eastAsia"/>
          <w:szCs w:val="24"/>
        </w:rPr>
        <w:t>人，占家庭劳力的</w:t>
      </w:r>
      <w:r>
        <w:rPr>
          <w:szCs w:val="24"/>
        </w:rPr>
        <w:t>0.5%</w:t>
      </w:r>
      <w:r>
        <w:rPr>
          <w:rFonts w:hint="eastAsia"/>
          <w:szCs w:val="24"/>
        </w:rPr>
        <w:t>（见图</w:t>
      </w:r>
      <w:r>
        <w:rPr>
          <w:rFonts w:hint="eastAsia"/>
          <w:szCs w:val="24"/>
        </w:rPr>
        <w:t>1</w:t>
      </w:r>
      <w:r>
        <w:rPr>
          <w:rFonts w:hint="eastAsia"/>
          <w:szCs w:val="24"/>
        </w:rPr>
        <w:t>）。</w:t>
      </w:r>
    </w:p>
    <w:p w:rsidR="00000000" w:rsidRDefault="00B83709">
      <w:pPr>
        <w:spacing w:after="240" w:line="360" w:lineRule="exact"/>
        <w:rPr>
          <w:b/>
          <w:szCs w:val="24"/>
        </w:rPr>
      </w:pPr>
      <w:r>
        <w:rPr>
          <w:b/>
          <w:szCs w:val="24"/>
        </w:rPr>
        <w:pict>
          <v:shape id="_x0000_s1082" type="#_x0000_t202" style="position:absolute;left:0;text-align:left;margin-left:76.05pt;margin-top:.7pt;width:301.7pt;height:237.75pt;z-index:4">
            <v:textbox style="mso-next-textbox:#_x0000_s1082">
              <w:txbxContent>
                <w:bookmarkStart w:id="1" w:name="_MON_1152530083"/>
                <w:bookmarkStart w:id="2" w:name="_MON_1158041194"/>
                <w:bookmarkStart w:id="3" w:name="_MON_1158252578"/>
                <w:bookmarkStart w:id="4" w:name="_MON_1158267130"/>
                <w:bookmarkStart w:id="5" w:name="_MON_1158267205"/>
                <w:bookmarkStart w:id="6" w:name="_MON_1158267214"/>
                <w:bookmarkStart w:id="7" w:name="_MON_1160810416"/>
                <w:bookmarkEnd w:id="1"/>
                <w:bookmarkEnd w:id="2"/>
                <w:bookmarkEnd w:id="3"/>
                <w:bookmarkEnd w:id="4"/>
                <w:bookmarkEnd w:id="5"/>
                <w:bookmarkEnd w:id="6"/>
                <w:bookmarkEnd w:id="7"/>
                <w:p w:rsidR="00000000" w:rsidRDefault="00B83709">
                  <w:r>
                    <w:object w:dxaOrig="5731" w:dyaOrig="4381">
                      <v:shape id="_x0000_i1028" type="#_x0000_t75" style="width:286.5pt;height:229.5pt" o:ole="" fillcolor="window">
                        <v:imagedata r:id="rId15" o:title=""/>
                      </v:shape>
                      <o:OLEObject Type="Embed" ProgID="Word.Picture.8" ShapeID="_x0000_i1028" DrawAspect="Content" ObjectID="_1444050663" r:id="rId16"/>
                    </w:object>
                  </w:r>
                </w:p>
              </w:txbxContent>
            </v:textbox>
          </v:shape>
        </w:pict>
      </w:r>
    </w:p>
    <w:p w:rsidR="00000000" w:rsidRDefault="00B83709">
      <w:pPr>
        <w:spacing w:after="240" w:line="360" w:lineRule="exact"/>
        <w:rPr>
          <w:b/>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szCs w:val="24"/>
        </w:rPr>
      </w:pPr>
    </w:p>
    <w:p w:rsidR="00000000" w:rsidRDefault="00B83709">
      <w:pPr>
        <w:numPr>
          <w:ilvl w:val="0"/>
          <w:numId w:val="1049"/>
        </w:numPr>
        <w:tabs>
          <w:tab w:val="clear" w:pos="360"/>
          <w:tab w:val="num" w:pos="480"/>
        </w:tabs>
        <w:spacing w:after="240" w:line="360" w:lineRule="exact"/>
        <w:rPr>
          <w:szCs w:val="24"/>
        </w:rPr>
      </w:pPr>
      <w:r>
        <w:rPr>
          <w:rFonts w:hint="eastAsia"/>
          <w:szCs w:val="24"/>
        </w:rPr>
        <w:t>生活在非城市地区的家庭佣工的比例比城市地区的比例高得多。非城市地区家庭佣工的人数为</w:t>
      </w:r>
      <w:r>
        <w:rPr>
          <w:szCs w:val="24"/>
        </w:rPr>
        <w:t>420 615</w:t>
      </w:r>
      <w:r>
        <w:rPr>
          <w:rFonts w:hint="eastAsia"/>
          <w:szCs w:val="24"/>
        </w:rPr>
        <w:t>人，占劳动力总数的</w:t>
      </w:r>
      <w:r>
        <w:rPr>
          <w:szCs w:val="24"/>
        </w:rPr>
        <w:t>71.0%</w:t>
      </w:r>
      <w:r>
        <w:rPr>
          <w:rFonts w:hint="eastAsia"/>
          <w:szCs w:val="24"/>
        </w:rPr>
        <w:t>，而城市地区的家庭佣工为</w:t>
      </w:r>
      <w:r>
        <w:rPr>
          <w:szCs w:val="24"/>
        </w:rPr>
        <w:t>171 620</w:t>
      </w:r>
      <w:r>
        <w:rPr>
          <w:rFonts w:hint="eastAsia"/>
          <w:szCs w:val="24"/>
        </w:rPr>
        <w:t>人，占</w:t>
      </w:r>
      <w:r>
        <w:rPr>
          <w:szCs w:val="24"/>
        </w:rPr>
        <w:t>29.0%</w:t>
      </w:r>
      <w:r>
        <w:rPr>
          <w:rFonts w:hint="eastAsia"/>
          <w:szCs w:val="24"/>
        </w:rPr>
        <w:t>。按地区划分，泰国东北部的家庭佣工最多（</w:t>
      </w:r>
      <w:r>
        <w:rPr>
          <w:szCs w:val="24"/>
        </w:rPr>
        <w:t>185 771</w:t>
      </w:r>
      <w:r>
        <w:rPr>
          <w:rFonts w:hint="eastAsia"/>
          <w:szCs w:val="24"/>
        </w:rPr>
        <w:t>人，占</w:t>
      </w:r>
      <w:r>
        <w:rPr>
          <w:szCs w:val="24"/>
        </w:rPr>
        <w:t>31.4%</w:t>
      </w:r>
      <w:r>
        <w:rPr>
          <w:rFonts w:hint="eastAsia"/>
          <w:szCs w:val="24"/>
        </w:rPr>
        <w:t>），其次是中部地区（</w:t>
      </w:r>
      <w:r>
        <w:rPr>
          <w:szCs w:val="24"/>
        </w:rPr>
        <w:t>124 366</w:t>
      </w:r>
      <w:r>
        <w:rPr>
          <w:rFonts w:hint="eastAsia"/>
          <w:szCs w:val="24"/>
        </w:rPr>
        <w:t>人，占</w:t>
      </w:r>
      <w:r>
        <w:rPr>
          <w:szCs w:val="24"/>
        </w:rPr>
        <w:t>21.0%</w:t>
      </w:r>
      <w:r>
        <w:rPr>
          <w:rFonts w:hint="eastAsia"/>
          <w:szCs w:val="24"/>
        </w:rPr>
        <w:t>）、北部地区（</w:t>
      </w:r>
      <w:r>
        <w:rPr>
          <w:szCs w:val="24"/>
        </w:rPr>
        <w:t>110 882</w:t>
      </w:r>
      <w:r>
        <w:rPr>
          <w:rFonts w:hint="eastAsia"/>
          <w:szCs w:val="24"/>
        </w:rPr>
        <w:t>人，占</w:t>
      </w:r>
      <w:r>
        <w:rPr>
          <w:szCs w:val="24"/>
        </w:rPr>
        <w:t>18.7%</w:t>
      </w:r>
      <w:r>
        <w:rPr>
          <w:rFonts w:hint="eastAsia"/>
          <w:szCs w:val="24"/>
        </w:rPr>
        <w:t>）、曼谷（</w:t>
      </w:r>
      <w:r>
        <w:rPr>
          <w:szCs w:val="24"/>
        </w:rPr>
        <w:t>98 630</w:t>
      </w:r>
      <w:r>
        <w:rPr>
          <w:rFonts w:hint="eastAsia"/>
          <w:szCs w:val="24"/>
        </w:rPr>
        <w:t>人，占</w:t>
      </w:r>
      <w:r>
        <w:rPr>
          <w:szCs w:val="24"/>
        </w:rPr>
        <w:t>16.6%</w:t>
      </w:r>
      <w:r>
        <w:rPr>
          <w:rFonts w:hint="eastAsia"/>
          <w:szCs w:val="24"/>
        </w:rPr>
        <w:t>）以及南部地区（</w:t>
      </w:r>
      <w:r>
        <w:rPr>
          <w:szCs w:val="24"/>
        </w:rPr>
        <w:t>72 586</w:t>
      </w:r>
      <w:r>
        <w:rPr>
          <w:rFonts w:hint="eastAsia"/>
          <w:szCs w:val="24"/>
        </w:rPr>
        <w:t>人，占</w:t>
      </w:r>
      <w:r>
        <w:rPr>
          <w:szCs w:val="24"/>
        </w:rPr>
        <w:t>12.3%</w:t>
      </w:r>
      <w:r>
        <w:rPr>
          <w:rFonts w:hint="eastAsia"/>
          <w:szCs w:val="24"/>
        </w:rPr>
        <w:t>）（表</w:t>
      </w:r>
      <w:r>
        <w:rPr>
          <w:rFonts w:hint="eastAsia"/>
          <w:szCs w:val="24"/>
        </w:rPr>
        <w:t>26</w:t>
      </w:r>
      <w:r>
        <w:rPr>
          <w:rFonts w:hint="eastAsia"/>
          <w:szCs w:val="24"/>
        </w:rPr>
        <w:t>）。</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2</w:t>
      </w:r>
      <w:r>
        <w:rPr>
          <w:rFonts w:ascii="SimHei" w:hint="eastAsia"/>
          <w:color w:val="FF0000"/>
          <w:sz w:val="21"/>
        </w:rPr>
        <w:t>6</w:t>
      </w:r>
      <w:r>
        <w:rPr>
          <w:rFonts w:ascii="SimHei"/>
          <w:color w:val="FF0000"/>
          <w:sz w:val="21"/>
        </w:rPr>
        <w:t xml:space="preserve">. </w:t>
      </w:r>
      <w:r>
        <w:rPr>
          <w:rFonts w:eastAsia="SimSun" w:hint="eastAsia"/>
          <w:sz w:val="21"/>
          <w:szCs w:val="24"/>
        </w:rPr>
        <w:t>按行政区和地区分列的家庭工人所占比例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9"/>
        <w:gridCol w:w="1945"/>
        <w:gridCol w:w="1806"/>
        <w:gridCol w:w="2013"/>
        <w:gridCol w:w="2013"/>
      </w:tblGrid>
      <w:tr w:rsidR="00000000">
        <w:tblPrEx>
          <w:tblCellMar>
            <w:top w:w="0" w:type="dxa"/>
            <w:bottom w:w="0" w:type="dxa"/>
          </w:tblCellMar>
        </w:tblPrEx>
        <w:trPr>
          <w:cantSplit/>
        </w:trPr>
        <w:tc>
          <w:tcPr>
            <w:tcW w:w="5000" w:type="pct"/>
            <w:gridSpan w:val="5"/>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家庭佣工</w:t>
            </w:r>
          </w:p>
        </w:tc>
      </w:tr>
      <w:tr w:rsidR="00000000">
        <w:tblPrEx>
          <w:tblCellMar>
            <w:top w:w="0" w:type="dxa"/>
            <w:bottom w:w="0" w:type="dxa"/>
          </w:tblCellMar>
        </w:tblPrEx>
        <w:tc>
          <w:tcPr>
            <w:tcW w:w="113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 xml:space="preserve">地区和行政区　</w:t>
            </w:r>
          </w:p>
        </w:tc>
        <w:tc>
          <w:tcPr>
            <w:tcW w:w="966" w:type="pct"/>
            <w:tcBorders>
              <w:top w:val="nil"/>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89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合同工</w:t>
            </w:r>
          </w:p>
        </w:tc>
        <w:tc>
          <w:tcPr>
            <w:tcW w:w="1000"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无报酬家庭佣工</w:t>
            </w:r>
          </w:p>
        </w:tc>
        <w:tc>
          <w:tcPr>
            <w:tcW w:w="1000"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分包商</w:t>
            </w:r>
          </w:p>
        </w:tc>
      </w:tr>
      <w:tr w:rsidR="00000000">
        <w:tblPrEx>
          <w:tblCellMar>
            <w:top w:w="0" w:type="dxa"/>
            <w:bottom w:w="0" w:type="dxa"/>
          </w:tblCellMar>
        </w:tblPrEx>
        <w:tc>
          <w:tcPr>
            <w:tcW w:w="113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泰王国全国</w:t>
            </w:r>
          </w:p>
        </w:tc>
        <w:tc>
          <w:tcPr>
            <w:tcW w:w="966"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100</w:t>
            </w:r>
          </w:p>
        </w:tc>
        <w:tc>
          <w:tcPr>
            <w:tcW w:w="89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100</w:t>
            </w:r>
          </w:p>
        </w:tc>
        <w:tc>
          <w:tcPr>
            <w:tcW w:w="1000"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100</w:t>
            </w:r>
          </w:p>
        </w:tc>
        <w:tc>
          <w:tcPr>
            <w:tcW w:w="1000"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100</w:t>
            </w:r>
          </w:p>
        </w:tc>
      </w:tr>
      <w:tr w:rsidR="00000000">
        <w:tblPrEx>
          <w:tblCellMar>
            <w:top w:w="0" w:type="dxa"/>
            <w:bottom w:w="0" w:type="dxa"/>
          </w:tblCellMar>
        </w:tblPrEx>
        <w:tc>
          <w:tcPr>
            <w:tcW w:w="11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
                <w:color w:val="FF0000"/>
                <w:sz w:val="21"/>
                <w:szCs w:val="24"/>
              </w:rPr>
            </w:pPr>
          </w:p>
        </w:tc>
        <w:tc>
          <w:tcPr>
            <w:tcW w:w="9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(592</w:t>
            </w:r>
            <w:r>
              <w:rPr>
                <w:rFonts w:hint="eastAsia"/>
                <w:b/>
                <w:color w:val="FF0000"/>
                <w:sz w:val="21"/>
                <w:szCs w:val="24"/>
              </w:rPr>
              <w:t xml:space="preserve"> </w:t>
            </w:r>
            <w:r>
              <w:rPr>
                <w:b/>
                <w:color w:val="FF0000"/>
                <w:sz w:val="21"/>
                <w:szCs w:val="24"/>
              </w:rPr>
              <w:t>235)</w:t>
            </w:r>
          </w:p>
        </w:tc>
        <w:tc>
          <w:tcPr>
            <w:tcW w:w="89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(473</w:t>
            </w:r>
            <w:r>
              <w:rPr>
                <w:rFonts w:hint="eastAsia"/>
                <w:b/>
                <w:color w:val="FF0000"/>
                <w:sz w:val="21"/>
                <w:szCs w:val="24"/>
              </w:rPr>
              <w:t xml:space="preserve"> </w:t>
            </w:r>
            <w:r>
              <w:rPr>
                <w:b/>
                <w:color w:val="FF0000"/>
                <w:sz w:val="21"/>
                <w:szCs w:val="24"/>
              </w:rPr>
              <w:t>565)</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(115</w:t>
            </w:r>
            <w:r>
              <w:rPr>
                <w:rFonts w:hint="eastAsia"/>
                <w:b/>
                <w:color w:val="FF0000"/>
                <w:sz w:val="21"/>
                <w:szCs w:val="24"/>
              </w:rPr>
              <w:t xml:space="preserve"> </w:t>
            </w:r>
            <w:r>
              <w:rPr>
                <w:b/>
                <w:color w:val="FF0000"/>
                <w:sz w:val="21"/>
                <w:szCs w:val="24"/>
              </w:rPr>
              <w:t>699)</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(2</w:t>
            </w:r>
            <w:r>
              <w:rPr>
                <w:rFonts w:hint="eastAsia"/>
                <w:b/>
                <w:color w:val="FF0000"/>
                <w:sz w:val="21"/>
                <w:szCs w:val="24"/>
              </w:rPr>
              <w:t xml:space="preserve"> </w:t>
            </w:r>
            <w:r>
              <w:rPr>
                <w:b/>
                <w:color w:val="FF0000"/>
                <w:sz w:val="21"/>
                <w:szCs w:val="24"/>
              </w:rPr>
              <w:t>971)</w:t>
            </w:r>
          </w:p>
        </w:tc>
      </w:tr>
      <w:tr w:rsidR="00000000">
        <w:tblPrEx>
          <w:tblCellMar>
            <w:top w:w="0" w:type="dxa"/>
            <w:bottom w:w="0" w:type="dxa"/>
          </w:tblCellMar>
        </w:tblPrEx>
        <w:tc>
          <w:tcPr>
            <w:tcW w:w="11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城市地区</w:t>
            </w:r>
          </w:p>
        </w:tc>
        <w:tc>
          <w:tcPr>
            <w:tcW w:w="9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29.0</w:t>
            </w:r>
          </w:p>
        </w:tc>
        <w:tc>
          <w:tcPr>
            <w:tcW w:w="89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26.8</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37.4</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41.1</w:t>
            </w:r>
          </w:p>
        </w:tc>
      </w:tr>
      <w:tr w:rsidR="00000000">
        <w:tblPrEx>
          <w:tblCellMar>
            <w:top w:w="0" w:type="dxa"/>
            <w:bottom w:w="0" w:type="dxa"/>
          </w:tblCellMar>
        </w:tblPrEx>
        <w:tc>
          <w:tcPr>
            <w:tcW w:w="11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非城市地区</w:t>
            </w:r>
          </w:p>
        </w:tc>
        <w:tc>
          <w:tcPr>
            <w:tcW w:w="9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71.0</w:t>
            </w:r>
          </w:p>
        </w:tc>
        <w:tc>
          <w:tcPr>
            <w:tcW w:w="89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73.2</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62.6</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58.9</w:t>
            </w:r>
          </w:p>
        </w:tc>
      </w:tr>
      <w:tr w:rsidR="00000000">
        <w:tblPrEx>
          <w:tblCellMar>
            <w:top w:w="0" w:type="dxa"/>
            <w:bottom w:w="0" w:type="dxa"/>
          </w:tblCellMar>
        </w:tblPrEx>
        <w:tc>
          <w:tcPr>
            <w:tcW w:w="11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曼谷</w:t>
            </w:r>
          </w:p>
        </w:tc>
        <w:tc>
          <w:tcPr>
            <w:tcW w:w="9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16.6</w:t>
            </w:r>
          </w:p>
        </w:tc>
        <w:tc>
          <w:tcPr>
            <w:tcW w:w="89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14.4</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25.8</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27.7</w:t>
            </w:r>
          </w:p>
        </w:tc>
      </w:tr>
      <w:tr w:rsidR="00000000">
        <w:tblPrEx>
          <w:tblCellMar>
            <w:top w:w="0" w:type="dxa"/>
            <w:bottom w:w="0" w:type="dxa"/>
          </w:tblCellMar>
        </w:tblPrEx>
        <w:tc>
          <w:tcPr>
            <w:tcW w:w="11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中部地区</w:t>
            </w:r>
          </w:p>
        </w:tc>
        <w:tc>
          <w:tcPr>
            <w:tcW w:w="9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21.0</w:t>
            </w:r>
          </w:p>
        </w:tc>
        <w:tc>
          <w:tcPr>
            <w:tcW w:w="89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20.1</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24.6</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20.1</w:t>
            </w:r>
          </w:p>
        </w:tc>
      </w:tr>
      <w:tr w:rsidR="00000000">
        <w:tblPrEx>
          <w:tblCellMar>
            <w:top w:w="0" w:type="dxa"/>
            <w:bottom w:w="0" w:type="dxa"/>
          </w:tblCellMar>
        </w:tblPrEx>
        <w:tc>
          <w:tcPr>
            <w:tcW w:w="11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北部地区</w:t>
            </w:r>
          </w:p>
        </w:tc>
        <w:tc>
          <w:tcPr>
            <w:tcW w:w="9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18.7</w:t>
            </w:r>
          </w:p>
        </w:tc>
        <w:tc>
          <w:tcPr>
            <w:tcW w:w="89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20.1</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12.9</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20.0</w:t>
            </w:r>
          </w:p>
        </w:tc>
      </w:tr>
      <w:tr w:rsidR="00000000">
        <w:tblPrEx>
          <w:tblCellMar>
            <w:top w:w="0" w:type="dxa"/>
            <w:bottom w:w="0" w:type="dxa"/>
          </w:tblCellMar>
        </w:tblPrEx>
        <w:tc>
          <w:tcPr>
            <w:tcW w:w="113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东北部地区</w:t>
            </w:r>
          </w:p>
        </w:tc>
        <w:tc>
          <w:tcPr>
            <w:tcW w:w="966"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31</w:t>
            </w:r>
            <w:r>
              <w:rPr>
                <w:sz w:val="21"/>
                <w:szCs w:val="24"/>
              </w:rPr>
              <w:t>.4</w:t>
            </w:r>
          </w:p>
        </w:tc>
        <w:tc>
          <w:tcPr>
            <w:tcW w:w="89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33.0</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25.1</w:t>
            </w:r>
          </w:p>
        </w:tc>
        <w:tc>
          <w:tcPr>
            <w:tcW w:w="100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24.3</w:t>
            </w:r>
          </w:p>
        </w:tc>
      </w:tr>
      <w:tr w:rsidR="00000000">
        <w:tblPrEx>
          <w:tblCellMar>
            <w:top w:w="0" w:type="dxa"/>
            <w:bottom w:w="0" w:type="dxa"/>
          </w:tblCellMar>
        </w:tblPrEx>
        <w:tc>
          <w:tcPr>
            <w:tcW w:w="1137"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南部地区</w:t>
            </w:r>
          </w:p>
        </w:tc>
        <w:tc>
          <w:tcPr>
            <w:tcW w:w="966"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12.3</w:t>
            </w:r>
          </w:p>
        </w:tc>
        <w:tc>
          <w:tcPr>
            <w:tcW w:w="897"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12.4</w:t>
            </w:r>
          </w:p>
        </w:tc>
        <w:tc>
          <w:tcPr>
            <w:tcW w:w="1000"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11.6</w:t>
            </w:r>
          </w:p>
        </w:tc>
        <w:tc>
          <w:tcPr>
            <w:tcW w:w="1000"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7.9</w:t>
            </w:r>
          </w:p>
        </w:tc>
      </w:tr>
    </w:tbl>
    <w:p w:rsidR="00000000" w:rsidRDefault="00B83709">
      <w:pPr>
        <w:spacing w:beforeLines="100" w:before="240" w:after="240" w:line="360" w:lineRule="exact"/>
        <w:rPr>
          <w:rFonts w:eastAsia="SimHei" w:hint="eastAsia"/>
          <w:color w:val="FF0000"/>
        </w:rPr>
      </w:pPr>
      <w:r>
        <w:rPr>
          <w:rFonts w:eastAsia="SimHei" w:hint="eastAsia"/>
          <w:color w:val="FF0000"/>
        </w:rPr>
        <w:t>家庭佣工的特点</w:t>
      </w:r>
    </w:p>
    <w:p w:rsidR="00000000" w:rsidRDefault="00B83709">
      <w:pPr>
        <w:numPr>
          <w:ilvl w:val="0"/>
          <w:numId w:val="1049"/>
        </w:numPr>
        <w:tabs>
          <w:tab w:val="clear" w:pos="360"/>
          <w:tab w:val="num" w:pos="480"/>
        </w:tabs>
        <w:spacing w:after="240" w:line="360" w:lineRule="exact"/>
        <w:rPr>
          <w:szCs w:val="24"/>
        </w:rPr>
      </w:pPr>
      <w:r>
        <w:rPr>
          <w:rFonts w:hint="eastAsia"/>
          <w:szCs w:val="24"/>
        </w:rPr>
        <w:t>大多数家庭工作在家庭内部或家庭附近完成，由于家庭工作的这种特殊性，妇女充当家庭佣工的比男子多（妇女占</w:t>
      </w:r>
      <w:r>
        <w:rPr>
          <w:szCs w:val="24"/>
        </w:rPr>
        <w:t>78.1%</w:t>
      </w:r>
      <w:r>
        <w:rPr>
          <w:rFonts w:hint="eastAsia"/>
          <w:szCs w:val="24"/>
        </w:rPr>
        <w:t>；男子占</w:t>
      </w:r>
      <w:r>
        <w:rPr>
          <w:szCs w:val="24"/>
        </w:rPr>
        <w:t>21.9%</w:t>
      </w:r>
      <w:r>
        <w:rPr>
          <w:rFonts w:hint="eastAsia"/>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家庭佣工的年龄依其类别的不同而各异。大多数家庭佣工介于</w:t>
      </w:r>
      <w:r>
        <w:rPr>
          <w:rFonts w:hint="eastAsia"/>
          <w:szCs w:val="24"/>
        </w:rPr>
        <w:t>25-49</w:t>
      </w:r>
      <w:r>
        <w:rPr>
          <w:rFonts w:hint="eastAsia"/>
          <w:szCs w:val="24"/>
        </w:rPr>
        <w:t>岁之间，其助手可能包括童工（比其他两类多）以及</w:t>
      </w:r>
      <w:r>
        <w:rPr>
          <w:rFonts w:hint="eastAsia"/>
          <w:szCs w:val="24"/>
        </w:rPr>
        <w:t>15-39</w:t>
      </w:r>
      <w:r>
        <w:rPr>
          <w:rFonts w:hint="eastAsia"/>
          <w:szCs w:val="24"/>
        </w:rPr>
        <w:t>岁的人（表</w:t>
      </w:r>
      <w:r>
        <w:rPr>
          <w:rFonts w:hint="eastAsia"/>
          <w:szCs w:val="24"/>
        </w:rPr>
        <w:t>27</w:t>
      </w:r>
      <w:r>
        <w:rPr>
          <w:rFonts w:hint="eastAsia"/>
          <w:szCs w:val="24"/>
        </w:rPr>
        <w:t>）。分包商是</w:t>
      </w:r>
      <w:r>
        <w:rPr>
          <w:rFonts w:hint="eastAsia"/>
          <w:szCs w:val="24"/>
        </w:rPr>
        <w:t>30-49</w:t>
      </w:r>
      <w:r>
        <w:rPr>
          <w:rFonts w:hint="eastAsia"/>
          <w:szCs w:val="24"/>
        </w:rPr>
        <w:t>岁间的成年人，他们有能力处理任务和做出决策。</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27</w:t>
      </w:r>
      <w:r>
        <w:rPr>
          <w:rFonts w:ascii="SimHei"/>
          <w:color w:val="FF0000"/>
          <w:sz w:val="21"/>
        </w:rPr>
        <w:t>.</w:t>
      </w:r>
      <w:r>
        <w:rPr>
          <w:rFonts w:ascii="SimSun" w:eastAsia="SimSun" w:hAnsi="SimSun"/>
          <w:color w:val="FF0000"/>
          <w:sz w:val="21"/>
        </w:rPr>
        <w:t xml:space="preserve"> </w:t>
      </w:r>
      <w:r>
        <w:rPr>
          <w:rFonts w:ascii="SimSun" w:eastAsia="SimSun" w:hAnsi="SimSun" w:hint="eastAsia"/>
          <w:sz w:val="21"/>
          <w:szCs w:val="24"/>
        </w:rPr>
        <w:t>按工人性别、年龄和类型分列的</w:t>
      </w:r>
      <w:r>
        <w:rPr>
          <w:rFonts w:ascii="SimSun" w:eastAsia="SimSun" w:hAnsi="SimSun" w:hint="eastAsia"/>
          <w:sz w:val="21"/>
          <w:szCs w:val="24"/>
        </w:rPr>
        <w:t>15</w:t>
      </w:r>
      <w:r>
        <w:rPr>
          <w:rFonts w:ascii="SimSun" w:eastAsia="SimSun" w:hAnsi="SimSun" w:hint="eastAsia"/>
          <w:sz w:val="21"/>
          <w:szCs w:val="24"/>
        </w:rPr>
        <w:t>岁以上家庭佣工的比例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2"/>
        <w:gridCol w:w="1846"/>
        <w:gridCol w:w="1846"/>
        <w:gridCol w:w="1846"/>
        <w:gridCol w:w="1846"/>
      </w:tblGrid>
      <w:tr w:rsidR="00000000">
        <w:tblPrEx>
          <w:tblCellMar>
            <w:top w:w="0" w:type="dxa"/>
            <w:bottom w:w="0" w:type="dxa"/>
          </w:tblCellMar>
        </w:tblPrEx>
        <w:trPr>
          <w:cantSplit/>
          <w:tblHeader/>
        </w:trPr>
        <w:tc>
          <w:tcPr>
            <w:tcW w:w="1332" w:type="pct"/>
            <w:vMerge w:val="restart"/>
            <w:tcBorders>
              <w:top w:val="single" w:sz="4" w:space="0" w:color="auto"/>
              <w:left w:val="nil"/>
              <w:bottom w:val="nil"/>
              <w:right w:val="nil"/>
            </w:tcBorders>
            <w:vAlign w:val="center"/>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r>
              <w:rPr>
                <w:rFonts w:hint="eastAsia"/>
                <w:bCs/>
                <w:color w:val="FF0000"/>
                <w:sz w:val="21"/>
                <w:szCs w:val="24"/>
              </w:rPr>
              <w:t>特点</w:t>
            </w:r>
          </w:p>
        </w:tc>
        <w:tc>
          <w:tcPr>
            <w:tcW w:w="3668" w:type="pct"/>
            <w:gridSpan w:val="4"/>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家</w:t>
            </w:r>
            <w:r>
              <w:rPr>
                <w:rFonts w:hint="eastAsia"/>
                <w:bCs/>
                <w:color w:val="FF0000"/>
                <w:sz w:val="21"/>
                <w:szCs w:val="24"/>
              </w:rPr>
              <w:t>庭佣工</w:t>
            </w:r>
          </w:p>
        </w:tc>
      </w:tr>
      <w:tr w:rsidR="00000000">
        <w:tblPrEx>
          <w:tblCellMar>
            <w:top w:w="0" w:type="dxa"/>
            <w:bottom w:w="0" w:type="dxa"/>
          </w:tblCellMar>
        </w:tblPrEx>
        <w:trPr>
          <w:cantSplit/>
          <w:tblHeader/>
        </w:trPr>
        <w:tc>
          <w:tcPr>
            <w:tcW w:w="1332" w:type="pct"/>
            <w:vMerge/>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p>
        </w:tc>
        <w:tc>
          <w:tcPr>
            <w:tcW w:w="917" w:type="pct"/>
            <w:tcBorders>
              <w:top w:val="single" w:sz="4" w:space="0" w:color="auto"/>
              <w:left w:val="nil"/>
              <w:bottom w:val="single" w:sz="4" w:space="0" w:color="auto"/>
              <w:right w:val="nil"/>
            </w:tcBorders>
            <w:vAlign w:val="center"/>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91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合同工</w:t>
            </w:r>
          </w:p>
        </w:tc>
        <w:tc>
          <w:tcPr>
            <w:tcW w:w="91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无报酬家庭佣工</w:t>
            </w:r>
          </w:p>
        </w:tc>
        <w:tc>
          <w:tcPr>
            <w:tcW w:w="917"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分包商</w:t>
            </w:r>
          </w:p>
        </w:tc>
      </w:tr>
      <w:tr w:rsidR="00000000">
        <w:tblPrEx>
          <w:tblCellMar>
            <w:top w:w="0" w:type="dxa"/>
            <w:bottom w:w="0" w:type="dxa"/>
          </w:tblCellMar>
        </w:tblPrEx>
        <w:tc>
          <w:tcPr>
            <w:tcW w:w="1332"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Cs/>
                <w:color w:val="FF0000"/>
                <w:sz w:val="21"/>
                <w:szCs w:val="24"/>
              </w:rPr>
            </w:pPr>
            <w:r>
              <w:rPr>
                <w:rFonts w:hint="eastAsia"/>
                <w:bCs/>
                <w:color w:val="FF0000"/>
                <w:sz w:val="21"/>
                <w:szCs w:val="24"/>
              </w:rPr>
              <w:t>数量</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592</w:t>
            </w:r>
            <w:r>
              <w:rPr>
                <w:rFonts w:hint="eastAsia"/>
                <w:b/>
                <w:color w:val="FF0000"/>
                <w:sz w:val="21"/>
                <w:szCs w:val="24"/>
              </w:rPr>
              <w:t xml:space="preserve"> </w:t>
            </w:r>
            <w:r>
              <w:rPr>
                <w:b/>
                <w:color w:val="FF0000"/>
                <w:sz w:val="21"/>
                <w:szCs w:val="24"/>
              </w:rPr>
              <w:t>235</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473</w:t>
            </w:r>
            <w:r>
              <w:rPr>
                <w:rFonts w:hint="eastAsia"/>
                <w:b/>
                <w:color w:val="FF0000"/>
                <w:sz w:val="21"/>
                <w:szCs w:val="24"/>
              </w:rPr>
              <w:t xml:space="preserve"> </w:t>
            </w:r>
            <w:r>
              <w:rPr>
                <w:b/>
                <w:color w:val="FF0000"/>
                <w:sz w:val="21"/>
                <w:szCs w:val="24"/>
              </w:rPr>
              <w:t>565</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115</w:t>
            </w:r>
            <w:r>
              <w:rPr>
                <w:rFonts w:hint="eastAsia"/>
                <w:b/>
                <w:color w:val="FF0000"/>
                <w:sz w:val="21"/>
                <w:szCs w:val="24"/>
              </w:rPr>
              <w:t xml:space="preserve"> </w:t>
            </w:r>
            <w:r>
              <w:rPr>
                <w:b/>
                <w:color w:val="FF0000"/>
                <w:sz w:val="21"/>
                <w:szCs w:val="24"/>
              </w:rPr>
              <w:t>699</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2</w:t>
            </w:r>
            <w:r>
              <w:rPr>
                <w:rFonts w:hint="eastAsia"/>
                <w:b/>
                <w:color w:val="FF0000"/>
                <w:sz w:val="21"/>
                <w:szCs w:val="24"/>
              </w:rPr>
              <w:t xml:space="preserve"> </w:t>
            </w:r>
            <w:r>
              <w:rPr>
                <w:b/>
                <w:color w:val="FF0000"/>
                <w:sz w:val="21"/>
                <w:szCs w:val="24"/>
              </w:rPr>
              <w:t>971</w:t>
            </w:r>
          </w:p>
        </w:tc>
      </w:tr>
      <w:tr w:rsidR="00000000">
        <w:tblPrEx>
          <w:tblCellMar>
            <w:top w:w="0" w:type="dxa"/>
            <w:bottom w:w="0" w:type="dxa"/>
          </w:tblCellMar>
        </w:tblPrEx>
        <w:trPr>
          <w:cantSplit/>
        </w:trPr>
        <w:tc>
          <w:tcPr>
            <w:tcW w:w="5000" w:type="pct"/>
            <w:gridSpan w:val="5"/>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性别</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男性</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21.9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19.6</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30.7</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28.1</w:t>
            </w:r>
          </w:p>
        </w:tc>
      </w:tr>
      <w:tr w:rsidR="00000000">
        <w:tblPrEx>
          <w:tblCellMar>
            <w:top w:w="0" w:type="dxa"/>
            <w:bottom w:w="0" w:type="dxa"/>
          </w:tblCellMar>
        </w:tblPrEx>
        <w:tc>
          <w:tcPr>
            <w:tcW w:w="13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hint="eastAsia"/>
                <w:sz w:val="21"/>
                <w:szCs w:val="24"/>
              </w:rPr>
              <w:t>女性</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78.1</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80.4</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69.3</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71.9</w:t>
            </w:r>
          </w:p>
        </w:tc>
      </w:tr>
      <w:tr w:rsidR="00000000">
        <w:tblPrEx>
          <w:tblCellMar>
            <w:top w:w="0" w:type="dxa"/>
            <w:bottom w:w="0" w:type="dxa"/>
          </w:tblCellMar>
        </w:tblPrEx>
        <w:trPr>
          <w:cantSplit/>
        </w:trPr>
        <w:tc>
          <w:tcPr>
            <w:tcW w:w="5000" w:type="pct"/>
            <w:gridSpan w:val="5"/>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年龄</w:t>
            </w:r>
          </w:p>
        </w:tc>
      </w:tr>
      <w:tr w:rsidR="00000000">
        <w:tblPrEx>
          <w:tblCellMar>
            <w:top w:w="0" w:type="dxa"/>
            <w:bottom w:w="0" w:type="dxa"/>
          </w:tblCellMar>
        </w:tblPrEx>
        <w:tc>
          <w:tcPr>
            <w:tcW w:w="1332"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15-19</w:t>
            </w:r>
            <w:r>
              <w:rPr>
                <w:rFonts w:eastAsia="SimSun" w:hint="eastAsia"/>
                <w:sz w:val="21"/>
                <w:szCs w:val="24"/>
              </w:rPr>
              <w:t>岁</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4.4</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2.7</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11.2</w:t>
            </w:r>
          </w:p>
        </w:tc>
        <w:tc>
          <w:tcPr>
            <w:tcW w:w="91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20-24</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7.2</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12.6</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4.0</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25-29</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4.6</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30-34</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17.5</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17.7</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16.8</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17.9</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35-39</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16.3</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17.4</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23.2</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40-44</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12</w:t>
            </w:r>
            <w:r>
              <w:rPr>
                <w:sz w:val="21"/>
                <w:szCs w:val="24"/>
              </w:rPr>
              <w:t>.9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13.7</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9.6</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18.2</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45-49</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10.5</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11.1</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7.8</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18.1</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50-54</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6.4</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6.7</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5.1</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8.0</w:t>
            </w:r>
          </w:p>
        </w:tc>
      </w:tr>
      <w:tr w:rsidR="00000000">
        <w:tblPrEx>
          <w:tblCellMar>
            <w:top w:w="0" w:type="dxa"/>
            <w:bottom w:w="0" w:type="dxa"/>
          </w:tblCellMar>
        </w:tblPrEx>
        <w:tc>
          <w:tcPr>
            <w:tcW w:w="1332"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55-59</w:t>
            </w:r>
            <w:r>
              <w:rPr>
                <w:rFonts w:eastAsia="SimSun" w:hint="eastAsia"/>
                <w:sz w:val="21"/>
                <w:szCs w:val="24"/>
              </w:rPr>
              <w:t>岁</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3.9</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4.0</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3.5</w:t>
            </w:r>
          </w:p>
        </w:tc>
        <w:tc>
          <w:tcPr>
            <w:tcW w:w="91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1.8</w:t>
            </w:r>
          </w:p>
        </w:tc>
      </w:tr>
      <w:tr w:rsidR="00000000">
        <w:tblPrEx>
          <w:tblCellMar>
            <w:top w:w="0" w:type="dxa"/>
            <w:bottom w:w="0" w:type="dxa"/>
          </w:tblCellMar>
        </w:tblPrEx>
        <w:tc>
          <w:tcPr>
            <w:tcW w:w="1332"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eastAsia="SimSun" w:hint="eastAsia"/>
                <w:sz w:val="21"/>
                <w:szCs w:val="24"/>
              </w:rPr>
            </w:pPr>
            <w:r>
              <w:rPr>
                <w:rFonts w:eastAsia="SimSun"/>
                <w:sz w:val="21"/>
                <w:szCs w:val="24"/>
              </w:rPr>
              <w:t>60</w:t>
            </w:r>
            <w:r>
              <w:rPr>
                <w:rFonts w:eastAsia="SimSun" w:hint="eastAsia"/>
                <w:sz w:val="21"/>
                <w:szCs w:val="24"/>
              </w:rPr>
              <w:t>岁以上</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7.0</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6.9</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7.6</w:t>
            </w:r>
          </w:p>
        </w:tc>
        <w:tc>
          <w:tcPr>
            <w:tcW w:w="91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4.2</w:t>
            </w:r>
          </w:p>
        </w:tc>
      </w:tr>
    </w:tbl>
    <w:p w:rsidR="00000000" w:rsidRDefault="00B83709">
      <w:pPr>
        <w:spacing w:after="240" w:line="360" w:lineRule="exact"/>
        <w:rPr>
          <w:rFonts w:hint="eastAsia"/>
          <w:szCs w:val="24"/>
        </w:rPr>
      </w:pPr>
      <w:r>
        <w:rPr>
          <w:noProof/>
          <w:sz w:val="20"/>
          <w:szCs w:val="24"/>
        </w:rPr>
        <w:pict>
          <v:shape id="_x0000_s1085" type="#_x0000_t202" style="position:absolute;left:0;text-align:left;margin-left:41.2pt;margin-top:13.7pt;width:438.8pt;height:245.3pt;z-index:5;mso-position-horizontal-relative:text;mso-position-vertical-relative:text">
            <v:textbox style="mso-next-textbox:#_x0000_s1085" inset="0,0,0,0">
              <w:txbxContent>
                <w:bookmarkStart w:id="8" w:name="_MON_1152531292"/>
                <w:bookmarkStart w:id="9" w:name="_MON_1152532723"/>
                <w:bookmarkStart w:id="10" w:name="_MON_1158252724"/>
                <w:bookmarkStart w:id="11" w:name="_MON_1158252914"/>
                <w:bookmarkStart w:id="12" w:name="_MON_1158267612"/>
                <w:bookmarkStart w:id="13" w:name="_MON_1160810415"/>
                <w:bookmarkEnd w:id="8"/>
                <w:bookmarkEnd w:id="9"/>
                <w:bookmarkEnd w:id="10"/>
                <w:bookmarkEnd w:id="11"/>
                <w:bookmarkEnd w:id="12"/>
                <w:bookmarkEnd w:id="13"/>
                <w:p w:rsidR="00000000" w:rsidRDefault="00B83709">
                  <w:pPr>
                    <w:jc w:val="center"/>
                  </w:pPr>
                  <w:r>
                    <w:object w:dxaOrig="8761" w:dyaOrig="4891">
                      <v:shape id="_x0000_i1026" type="#_x0000_t75" style="width:438pt;height:244.5pt" o:ole="" fillcolor="window">
                        <v:imagedata r:id="rId17" o:title=""/>
                      </v:shape>
                      <o:OLEObject Type="Embed" ProgID="Word.Picture.8" ShapeID="_x0000_i1026" DrawAspect="Content" ObjectID="_1444050662" r:id="rId18"/>
                    </w:object>
                  </w:r>
                </w:p>
              </w:txbxContent>
            </v:textbox>
            <w10:wrap type="square"/>
          </v:shape>
        </w:pict>
      </w:r>
    </w:p>
    <w:p w:rsidR="00000000" w:rsidRDefault="00B83709">
      <w:pPr>
        <w:spacing w:after="240" w:line="360" w:lineRule="exact"/>
        <w:rPr>
          <w:rFonts w:hint="eastAsia"/>
          <w:szCs w:val="24"/>
        </w:rPr>
      </w:pPr>
    </w:p>
    <w:p w:rsidR="00000000" w:rsidRDefault="00B83709">
      <w:pPr>
        <w:pStyle w:val="Date"/>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spacing w:after="240" w:line="360" w:lineRule="exact"/>
        <w:rPr>
          <w:rFonts w:hint="eastAsia"/>
          <w:szCs w:val="24"/>
        </w:rPr>
      </w:pPr>
    </w:p>
    <w:p w:rsidR="00000000" w:rsidRDefault="00B83709">
      <w:pPr>
        <w:numPr>
          <w:ilvl w:val="0"/>
          <w:numId w:val="1049"/>
        </w:numPr>
        <w:tabs>
          <w:tab w:val="clear" w:pos="360"/>
          <w:tab w:val="num" w:pos="480"/>
        </w:tabs>
        <w:spacing w:after="240" w:line="360" w:lineRule="exact"/>
        <w:rPr>
          <w:szCs w:val="24"/>
        </w:rPr>
      </w:pPr>
      <w:r>
        <w:rPr>
          <w:rFonts w:hint="eastAsia"/>
          <w:szCs w:val="24"/>
        </w:rPr>
        <w:t>在学历方面，大多数合同工和无报酬家庭佣工具有小学学历（分别占</w:t>
      </w:r>
      <w:r>
        <w:rPr>
          <w:rFonts w:hint="eastAsia"/>
          <w:szCs w:val="24"/>
        </w:rPr>
        <w:t>80.2%</w:t>
      </w:r>
      <w:r>
        <w:rPr>
          <w:rFonts w:hint="eastAsia"/>
          <w:szCs w:val="24"/>
        </w:rPr>
        <w:t>和</w:t>
      </w:r>
      <w:r>
        <w:rPr>
          <w:rFonts w:hint="eastAsia"/>
          <w:szCs w:val="24"/>
        </w:rPr>
        <w:t>71.9%</w:t>
      </w:r>
      <w:r>
        <w:rPr>
          <w:rFonts w:hint="eastAsia"/>
          <w:szCs w:val="24"/>
        </w:rPr>
        <w:t>），而分包商有</w:t>
      </w:r>
      <w:r>
        <w:rPr>
          <w:szCs w:val="24"/>
        </w:rPr>
        <w:t>56.1%</w:t>
      </w:r>
      <w:r>
        <w:rPr>
          <w:rFonts w:hint="eastAsia"/>
          <w:szCs w:val="24"/>
        </w:rPr>
        <w:t>和</w:t>
      </w:r>
      <w:r>
        <w:rPr>
          <w:szCs w:val="24"/>
        </w:rPr>
        <w:t>38.6%</w:t>
      </w:r>
      <w:r>
        <w:rPr>
          <w:rFonts w:hint="eastAsia"/>
          <w:szCs w:val="24"/>
        </w:rPr>
        <w:t>分别具有小学和中学学历（图</w:t>
      </w:r>
      <w:r>
        <w:rPr>
          <w:rFonts w:hint="eastAsia"/>
          <w:szCs w:val="24"/>
        </w:rPr>
        <w:t>2</w:t>
      </w:r>
      <w:r>
        <w:rPr>
          <w:rFonts w:hint="eastAsia"/>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目前，在家里从事的工作在农业、工业和贸易领域日渐多样化。但大多数在家里从事的工作仍然由制造业提供，制造业的家</w:t>
      </w:r>
      <w:r>
        <w:rPr>
          <w:rFonts w:hint="eastAsia"/>
          <w:szCs w:val="24"/>
        </w:rPr>
        <w:t>庭佣工有</w:t>
      </w:r>
      <w:r>
        <w:rPr>
          <w:szCs w:val="24"/>
        </w:rPr>
        <w:t>458</w:t>
      </w:r>
      <w:r>
        <w:rPr>
          <w:rFonts w:hint="eastAsia"/>
          <w:szCs w:val="24"/>
        </w:rPr>
        <w:t xml:space="preserve"> </w:t>
      </w:r>
      <w:r>
        <w:rPr>
          <w:szCs w:val="24"/>
        </w:rPr>
        <w:t>018</w:t>
      </w:r>
      <w:r>
        <w:rPr>
          <w:rFonts w:hint="eastAsia"/>
          <w:szCs w:val="24"/>
        </w:rPr>
        <w:t>人，占在家里从事的工作劳动力总数的</w:t>
      </w:r>
      <w:r>
        <w:rPr>
          <w:szCs w:val="24"/>
        </w:rPr>
        <w:t xml:space="preserve"> 77.3%</w:t>
      </w:r>
      <w:r>
        <w:rPr>
          <w:rFonts w:hint="eastAsia"/>
          <w:szCs w:val="24"/>
        </w:rPr>
        <w:t>（表</w:t>
      </w:r>
      <w:r>
        <w:rPr>
          <w:rFonts w:hint="eastAsia"/>
          <w:szCs w:val="24"/>
        </w:rPr>
        <w:t>28</w:t>
      </w:r>
      <w:r>
        <w:rPr>
          <w:rFonts w:hint="eastAsia"/>
          <w:szCs w:val="24"/>
        </w:rPr>
        <w:t>）。产生这种情形的一个原因是，这个部门主要生产消费品，其生产线可分为若干步骤，可以转包。服装和纺织品是最常转包的产品（占家庭佣工总数的</w:t>
      </w:r>
      <w:r>
        <w:rPr>
          <w:szCs w:val="24"/>
        </w:rPr>
        <w:t>43.7%</w:t>
      </w:r>
      <w:r>
        <w:rPr>
          <w:rFonts w:hint="eastAsia"/>
          <w:szCs w:val="24"/>
        </w:rPr>
        <w:t>），而其他产品包括木材和纸制品、珠宝、烟草和皮革制品、食品和饮料、家具、化学制品、橡胶和塑料制品等。</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28</w:t>
      </w:r>
      <w:r>
        <w:rPr>
          <w:rFonts w:ascii="SimHei"/>
          <w:color w:val="FF0000"/>
          <w:sz w:val="21"/>
        </w:rPr>
        <w:t xml:space="preserve">. </w:t>
      </w:r>
      <w:r>
        <w:rPr>
          <w:rFonts w:ascii="SimSun" w:eastAsia="SimSun" w:hAnsi="SimSun" w:hint="eastAsia"/>
          <w:bCs/>
          <w:sz w:val="21"/>
          <w:szCs w:val="24"/>
        </w:rPr>
        <w:t>按行业类别分列的</w:t>
      </w:r>
      <w:r>
        <w:rPr>
          <w:rFonts w:ascii="SimSun" w:eastAsia="SimSun" w:hAnsi="SimSun" w:hint="eastAsia"/>
          <w:bCs/>
          <w:sz w:val="21"/>
          <w:szCs w:val="24"/>
        </w:rPr>
        <w:t>15</w:t>
      </w:r>
      <w:r>
        <w:rPr>
          <w:rFonts w:ascii="SimSun" w:eastAsia="SimSun" w:hAnsi="SimSun" w:hint="eastAsia"/>
          <w:bCs/>
          <w:sz w:val="21"/>
          <w:szCs w:val="24"/>
        </w:rPr>
        <w:t>岁以上家庭</w:t>
      </w:r>
      <w:r>
        <w:rPr>
          <w:rFonts w:ascii="SimSun" w:eastAsia="SimSun" w:hAnsi="SimSun" w:hint="eastAsia"/>
          <w:sz w:val="21"/>
          <w:szCs w:val="24"/>
        </w:rPr>
        <w:t>佣工</w:t>
      </w:r>
      <w:r>
        <w:rPr>
          <w:rFonts w:ascii="SimSun" w:eastAsia="SimSun" w:hAnsi="SimSun" w:hint="eastAsia"/>
          <w:bCs/>
          <w:sz w:val="21"/>
          <w:szCs w:val="24"/>
        </w:rPr>
        <w:t>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3356"/>
        <w:gridCol w:w="3354"/>
      </w:tblGrid>
      <w:tr w:rsidR="00000000">
        <w:tblPrEx>
          <w:tblCellMar>
            <w:top w:w="0" w:type="dxa"/>
            <w:bottom w:w="0" w:type="dxa"/>
          </w:tblCellMar>
        </w:tblPrEx>
        <w:tc>
          <w:tcPr>
            <w:tcW w:w="1667"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行业</w:t>
            </w:r>
          </w:p>
        </w:tc>
        <w:tc>
          <w:tcPr>
            <w:tcW w:w="1667"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人数</w:t>
            </w:r>
          </w:p>
        </w:tc>
        <w:tc>
          <w:tcPr>
            <w:tcW w:w="1667"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比例</w:t>
            </w:r>
          </w:p>
        </w:tc>
      </w:tr>
      <w:tr w:rsidR="00000000">
        <w:tblPrEx>
          <w:tblCellMar>
            <w:top w:w="0" w:type="dxa"/>
            <w:bottom w:w="0" w:type="dxa"/>
          </w:tblCellMar>
        </w:tblPrEx>
        <w:tc>
          <w:tcPr>
            <w:tcW w:w="166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总数</w:t>
            </w:r>
          </w:p>
        </w:tc>
        <w:tc>
          <w:tcPr>
            <w:tcW w:w="1667" w:type="pct"/>
            <w:tcBorders>
              <w:top w:val="single" w:sz="4" w:space="0" w:color="auto"/>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b/>
                <w:color w:val="FF0000"/>
                <w:sz w:val="21"/>
                <w:szCs w:val="24"/>
              </w:rPr>
            </w:pPr>
            <w:r>
              <w:rPr>
                <w:b/>
                <w:color w:val="FF0000"/>
                <w:sz w:val="21"/>
                <w:szCs w:val="24"/>
              </w:rPr>
              <w:t>592 235</w:t>
            </w:r>
          </w:p>
        </w:tc>
        <w:tc>
          <w:tcPr>
            <w:tcW w:w="1667"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b/>
                <w:color w:val="FF0000"/>
                <w:sz w:val="21"/>
                <w:szCs w:val="24"/>
              </w:rPr>
            </w:pPr>
            <w:r>
              <w:rPr>
                <w:b/>
                <w:color w:val="FF0000"/>
                <w:sz w:val="21"/>
                <w:szCs w:val="24"/>
              </w:rPr>
              <w:t>100.0</w:t>
            </w:r>
          </w:p>
        </w:tc>
      </w:tr>
      <w:tr w:rsidR="00000000">
        <w:tblPrEx>
          <w:tblCellMar>
            <w:top w:w="0" w:type="dxa"/>
            <w:bottom w:w="0" w:type="dxa"/>
          </w:tblCellMar>
        </w:tblPrEx>
        <w:tc>
          <w:tcPr>
            <w:tcW w:w="1667" w:type="pct"/>
            <w:tcBorders>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hint="eastAsia"/>
                <w:sz w:val="21"/>
                <w:szCs w:val="24"/>
              </w:rPr>
              <w:t>农业</w:t>
            </w:r>
          </w:p>
        </w:tc>
        <w:tc>
          <w:tcPr>
            <w:tcW w:w="1667" w:type="pct"/>
            <w:tcBorders>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11 645</w:t>
            </w:r>
          </w:p>
        </w:tc>
        <w:tc>
          <w:tcPr>
            <w:tcW w:w="1667" w:type="pct"/>
            <w:tcBorders>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2.0</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hint="eastAsia"/>
                <w:sz w:val="21"/>
                <w:szCs w:val="24"/>
              </w:rPr>
              <w:t>批发和零售</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119 633</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20.2</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hint="eastAsia"/>
                <w:sz w:val="21"/>
                <w:szCs w:val="24"/>
              </w:rPr>
              <w:t>房地产</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 xml:space="preserve">1 </w:t>
            </w:r>
            <w:r>
              <w:rPr>
                <w:sz w:val="21"/>
                <w:szCs w:val="24"/>
              </w:rPr>
              <w:t>545</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0.3</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hint="eastAsia"/>
                <w:sz w:val="21"/>
                <w:szCs w:val="24"/>
              </w:rPr>
              <w:t>制造业</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458 018</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77.3</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食品和饮料</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20 969</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3.5</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烟草和皮革</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26 358</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4.5</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服装和纺织品</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258 998</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43.7</w:t>
            </w:r>
          </w:p>
        </w:tc>
      </w:tr>
      <w:tr w:rsidR="00000000">
        <w:tblPrEx>
          <w:tblCellMar>
            <w:top w:w="0" w:type="dxa"/>
            <w:bottom w:w="0" w:type="dxa"/>
          </w:tblCellMar>
        </w:tblPrEx>
        <w:tc>
          <w:tcPr>
            <w:tcW w:w="166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木材和纸张</w:t>
            </w:r>
          </w:p>
        </w:tc>
        <w:tc>
          <w:tcPr>
            <w:tcW w:w="1667" w:type="pct"/>
            <w:tcBorders>
              <w:top w:val="nil"/>
              <w:left w:val="nil"/>
              <w:bottom w:val="single" w:sz="4" w:space="0" w:color="auto"/>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42 643</w:t>
            </w:r>
          </w:p>
        </w:tc>
        <w:tc>
          <w:tcPr>
            <w:tcW w:w="1667" w:type="pct"/>
            <w:tcBorders>
              <w:top w:val="nil"/>
              <w:left w:val="nil"/>
              <w:bottom w:val="single" w:sz="4" w:space="0" w:color="auto"/>
              <w:right w:val="nil"/>
            </w:tcBorders>
          </w:tcPr>
          <w:p w:rsidR="00000000" w:rsidRDefault="00B83709">
            <w:pPr>
              <w:pStyle w:val="BodyText2"/>
              <w:framePr w:w="0" w:hRule="auto" w:hSpace="0" w:wrap="auto" w:vAnchor="margin" w:hAnchor="text" w:xAlign="left" w:yAlign="inline"/>
              <w:tabs>
                <w:tab w:val="decimal" w:pos="1688"/>
              </w:tabs>
              <w:spacing w:line="360" w:lineRule="exact"/>
              <w:jc w:val="both"/>
              <w:rPr>
                <w:sz w:val="21"/>
                <w:szCs w:val="24"/>
              </w:rPr>
            </w:pPr>
            <w:r>
              <w:rPr>
                <w:sz w:val="21"/>
                <w:szCs w:val="24"/>
              </w:rPr>
              <w:t>7.2</w:t>
            </w:r>
          </w:p>
        </w:tc>
      </w:tr>
    </w:tbl>
    <w:p w:rsidR="00000000" w:rsidRDefault="00B83709">
      <w:pPr>
        <w:pStyle w:val="BodyText2"/>
        <w:framePr w:w="0" w:hRule="auto" w:hSpace="0" w:wrap="auto" w:vAnchor="margin" w:hAnchor="text" w:xAlign="left" w:yAlign="inline"/>
        <w:spacing w:beforeLines="50" w:before="120" w:after="240" w:line="360" w:lineRule="exact"/>
        <w:jc w:val="both"/>
        <w:rPr>
          <w:rFonts w:hint="eastAsia"/>
          <w:sz w:val="21"/>
          <w:szCs w:val="24"/>
        </w:rPr>
      </w:pPr>
      <w:r>
        <w:rPr>
          <w:rFonts w:ascii="SimHei" w:hint="eastAsia"/>
          <w:color w:val="FF0000"/>
          <w:sz w:val="21"/>
        </w:rPr>
        <w:t>表</w:t>
      </w:r>
      <w:r>
        <w:rPr>
          <w:rFonts w:ascii="SimHei"/>
          <w:color w:val="FF0000"/>
          <w:sz w:val="21"/>
        </w:rPr>
        <w:t>28.</w:t>
      </w:r>
      <w:r>
        <w:rPr>
          <w:b/>
          <w:sz w:val="21"/>
          <w:szCs w:val="24"/>
        </w:rPr>
        <w:t xml:space="preserve"> </w:t>
      </w:r>
      <w:r>
        <w:rPr>
          <w:rFonts w:ascii="SimSun" w:eastAsia="SimSun" w:hAnsi="SimSun" w:hint="eastAsia"/>
          <w:bCs/>
          <w:sz w:val="21"/>
          <w:szCs w:val="24"/>
        </w:rPr>
        <w:t>按行业类别分列的</w:t>
      </w:r>
      <w:r>
        <w:rPr>
          <w:rFonts w:ascii="SimSun" w:eastAsia="SimSun" w:hAnsi="SimSun" w:hint="eastAsia"/>
          <w:bCs/>
          <w:sz w:val="21"/>
          <w:szCs w:val="24"/>
        </w:rPr>
        <w:t>15</w:t>
      </w:r>
      <w:r>
        <w:rPr>
          <w:rFonts w:ascii="SimSun" w:eastAsia="SimSun" w:hAnsi="SimSun" w:hint="eastAsia"/>
          <w:bCs/>
          <w:sz w:val="21"/>
          <w:szCs w:val="24"/>
        </w:rPr>
        <w:t>岁以上家庭</w:t>
      </w:r>
      <w:r>
        <w:rPr>
          <w:rFonts w:ascii="SimSun" w:eastAsia="SimSun" w:hAnsi="SimSun" w:hint="eastAsia"/>
          <w:sz w:val="21"/>
          <w:szCs w:val="24"/>
        </w:rPr>
        <w:t>佣工</w:t>
      </w:r>
      <w:r>
        <w:rPr>
          <w:rFonts w:ascii="SimSun" w:eastAsia="SimSun" w:hAnsi="SimSun" w:hint="eastAsia"/>
          <w:bCs/>
          <w:sz w:val="21"/>
          <w:szCs w:val="24"/>
        </w:rPr>
        <w:t>的比例</w:t>
      </w:r>
      <w:r>
        <w:rPr>
          <w:rFonts w:eastAsia="KaiTi_GB2312" w:hint="eastAsia"/>
          <w:bCs/>
          <w:color w:val="0000FF"/>
          <w:sz w:val="21"/>
          <w:szCs w:val="24"/>
        </w:rPr>
        <w:t>（续）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3356"/>
        <w:gridCol w:w="3354"/>
      </w:tblGrid>
      <w:tr w:rsidR="00000000">
        <w:tblPrEx>
          <w:tblCellMar>
            <w:top w:w="0" w:type="dxa"/>
            <w:bottom w:w="0" w:type="dxa"/>
          </w:tblCellMar>
        </w:tblPrEx>
        <w:tc>
          <w:tcPr>
            <w:tcW w:w="1667"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行业</w:t>
            </w:r>
          </w:p>
        </w:tc>
        <w:tc>
          <w:tcPr>
            <w:tcW w:w="1667"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人数</w:t>
            </w:r>
          </w:p>
        </w:tc>
        <w:tc>
          <w:tcPr>
            <w:tcW w:w="1667"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比例</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化学品、橡胶和塑料</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5 613</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0.9</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陶瓷、橡胶和塑料</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1 261</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0.2</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金属</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3 259</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0.6</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机器和电气产品</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1 798</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0.3</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珠宝</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35 363</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6.0</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家具</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5 8</w:t>
            </w:r>
            <w:r>
              <w:rPr>
                <w:sz w:val="21"/>
                <w:szCs w:val="24"/>
              </w:rPr>
              <w:t>59</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玩具</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3 570</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0.6</w:t>
            </w:r>
          </w:p>
        </w:tc>
      </w:tr>
      <w:tr w:rsidR="00000000">
        <w:tblPrEx>
          <w:tblCellMar>
            <w:top w:w="0" w:type="dxa"/>
            <w:bottom w:w="0" w:type="dxa"/>
          </w:tblCellMar>
        </w:tblPrEx>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hint="eastAsia"/>
                <w:sz w:val="21"/>
                <w:szCs w:val="24"/>
              </w:rPr>
            </w:pPr>
            <w:r>
              <w:rPr>
                <w:rFonts w:ascii="SimSun" w:eastAsia="SimSun" w:hAnsi="SimSun"/>
                <w:sz w:val="21"/>
                <w:szCs w:val="24"/>
              </w:rPr>
              <w:t xml:space="preserve">- </w:t>
            </w:r>
            <w:r>
              <w:rPr>
                <w:rFonts w:ascii="SimSun" w:eastAsia="SimSun" w:hAnsi="SimSun" w:hint="eastAsia"/>
                <w:sz w:val="21"/>
                <w:szCs w:val="24"/>
              </w:rPr>
              <w:t>其他产品</w:t>
            </w:r>
          </w:p>
        </w:tc>
        <w:tc>
          <w:tcPr>
            <w:tcW w:w="1667" w:type="pct"/>
            <w:tcBorders>
              <w:top w:val="nil"/>
              <w:left w:val="nil"/>
              <w:bottom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52 327</w:t>
            </w:r>
          </w:p>
        </w:tc>
        <w:tc>
          <w:tcPr>
            <w:tcW w:w="1667"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8.8</w:t>
            </w:r>
          </w:p>
        </w:tc>
      </w:tr>
      <w:tr w:rsidR="00000000">
        <w:tblPrEx>
          <w:tblCellMar>
            <w:top w:w="0" w:type="dxa"/>
            <w:bottom w:w="0" w:type="dxa"/>
          </w:tblCellMar>
        </w:tblPrEx>
        <w:tc>
          <w:tcPr>
            <w:tcW w:w="1667"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both"/>
              <w:rPr>
                <w:rFonts w:ascii="SimSun" w:eastAsia="SimSun" w:hAnsi="SimSun"/>
                <w:sz w:val="21"/>
                <w:szCs w:val="24"/>
              </w:rPr>
            </w:pPr>
            <w:r>
              <w:rPr>
                <w:rFonts w:ascii="SimSun" w:eastAsia="SimSun" w:hAnsi="SimSun"/>
                <w:sz w:val="21"/>
                <w:szCs w:val="24"/>
              </w:rPr>
              <w:t xml:space="preserve">- </w:t>
            </w:r>
            <w:r>
              <w:rPr>
                <w:rFonts w:ascii="SimSun" w:eastAsia="SimSun" w:hAnsi="SimSun" w:hint="eastAsia"/>
                <w:sz w:val="21"/>
                <w:szCs w:val="24"/>
              </w:rPr>
              <w:t>其他</w:t>
            </w:r>
            <w:r>
              <w:rPr>
                <w:rFonts w:ascii="SimSun" w:eastAsia="SimSun" w:hAnsi="SimSun"/>
                <w:sz w:val="21"/>
                <w:szCs w:val="24"/>
              </w:rPr>
              <w:t>*</w:t>
            </w:r>
          </w:p>
        </w:tc>
        <w:tc>
          <w:tcPr>
            <w:tcW w:w="1667" w:type="pct"/>
            <w:tcBorders>
              <w:top w:val="nil"/>
              <w:left w:val="nil"/>
              <w:right w:val="nil"/>
            </w:tcBorders>
          </w:tcPr>
          <w:p w:rsidR="00000000" w:rsidRDefault="00B83709" w:rsidP="00B83709">
            <w:pPr>
              <w:pStyle w:val="BodyText2"/>
              <w:framePr w:w="0" w:hRule="auto" w:hSpace="0" w:wrap="auto" w:vAnchor="margin" w:hAnchor="text" w:xAlign="left" w:yAlign="inline"/>
              <w:spacing w:line="360" w:lineRule="exact"/>
              <w:ind w:rightChars="579" w:right="31680"/>
              <w:jc w:val="right"/>
              <w:rPr>
                <w:sz w:val="21"/>
                <w:szCs w:val="24"/>
              </w:rPr>
            </w:pPr>
            <w:r>
              <w:rPr>
                <w:sz w:val="21"/>
                <w:szCs w:val="24"/>
              </w:rPr>
              <w:t>1 394</w:t>
            </w:r>
          </w:p>
        </w:tc>
        <w:tc>
          <w:tcPr>
            <w:tcW w:w="1667" w:type="pct"/>
            <w:tcBorders>
              <w:top w:val="nil"/>
              <w:left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0.2</w:t>
            </w:r>
          </w:p>
        </w:tc>
      </w:tr>
    </w:tbl>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sz w:val="21"/>
          <w:szCs w:val="24"/>
        </w:rPr>
        <w:t>*</w:t>
      </w:r>
      <w:r>
        <w:rPr>
          <w:rFonts w:hint="eastAsia"/>
          <w:sz w:val="21"/>
          <w:szCs w:val="24"/>
        </w:rPr>
        <w:t xml:space="preserve"> </w:t>
      </w:r>
      <w:r>
        <w:rPr>
          <w:rFonts w:eastAsia="SimSun" w:hint="eastAsia"/>
          <w:sz w:val="21"/>
          <w:szCs w:val="24"/>
        </w:rPr>
        <w:t>包括电气业、天然气、供水、建筑、饭店和餐馆、交通运输、政府行政机构、社区和社会活动。</w:t>
      </w:r>
    </w:p>
    <w:p w:rsidR="00000000" w:rsidRDefault="00B83709">
      <w:pPr>
        <w:spacing w:after="240" w:line="360" w:lineRule="exact"/>
        <w:rPr>
          <w:rFonts w:eastAsia="SimHei" w:hint="eastAsia"/>
          <w:color w:val="FF0000"/>
        </w:rPr>
      </w:pPr>
      <w:r>
        <w:rPr>
          <w:rFonts w:eastAsia="SimHei" w:hint="eastAsia"/>
          <w:color w:val="FF0000"/>
        </w:rPr>
        <w:t>家庭佣工的收入</w:t>
      </w:r>
    </w:p>
    <w:p w:rsidR="00000000" w:rsidRDefault="00B83709">
      <w:pPr>
        <w:numPr>
          <w:ilvl w:val="0"/>
          <w:numId w:val="1049"/>
        </w:numPr>
        <w:tabs>
          <w:tab w:val="clear" w:pos="360"/>
          <w:tab w:val="num" w:pos="480"/>
        </w:tabs>
        <w:spacing w:after="240" w:line="360" w:lineRule="exact"/>
        <w:rPr>
          <w:szCs w:val="24"/>
        </w:rPr>
      </w:pPr>
      <w:r>
        <w:rPr>
          <w:rFonts w:hint="eastAsia"/>
          <w:szCs w:val="24"/>
        </w:rPr>
        <w:t>家庭佣工的收入指从一切类型家庭工作中获得的收入或补偿。大多数家庭佣工（</w:t>
      </w:r>
      <w:r>
        <w:rPr>
          <w:szCs w:val="24"/>
        </w:rPr>
        <w:t>70.4%</w:t>
      </w:r>
      <w:r>
        <w:rPr>
          <w:rFonts w:hint="eastAsia"/>
          <w:szCs w:val="24"/>
        </w:rPr>
        <w:t>）收入较低，每年不到</w:t>
      </w:r>
      <w:r>
        <w:rPr>
          <w:szCs w:val="24"/>
        </w:rPr>
        <w:t>30</w:t>
      </w:r>
      <w:r>
        <w:rPr>
          <w:rFonts w:hint="eastAsia"/>
          <w:szCs w:val="24"/>
        </w:rPr>
        <w:t xml:space="preserve"> </w:t>
      </w:r>
      <w:r>
        <w:rPr>
          <w:szCs w:val="24"/>
        </w:rPr>
        <w:t>001</w:t>
      </w:r>
      <w:r>
        <w:rPr>
          <w:rFonts w:hint="eastAsia"/>
          <w:szCs w:val="24"/>
        </w:rPr>
        <w:t>铢；</w:t>
      </w:r>
      <w:r>
        <w:rPr>
          <w:szCs w:val="24"/>
        </w:rPr>
        <w:t>70.5%</w:t>
      </w:r>
      <w:r>
        <w:rPr>
          <w:rFonts w:hint="eastAsia"/>
          <w:szCs w:val="24"/>
        </w:rPr>
        <w:t>的合同工年收入不及这一数字，而</w:t>
      </w:r>
      <w:r>
        <w:rPr>
          <w:szCs w:val="24"/>
        </w:rPr>
        <w:t>29.5%</w:t>
      </w:r>
      <w:r>
        <w:rPr>
          <w:rFonts w:hint="eastAsia"/>
          <w:szCs w:val="24"/>
        </w:rPr>
        <w:t>的年收入在</w:t>
      </w:r>
      <w:r>
        <w:rPr>
          <w:szCs w:val="24"/>
        </w:rPr>
        <w:t>30</w:t>
      </w:r>
      <w:r>
        <w:rPr>
          <w:rFonts w:hint="eastAsia"/>
          <w:szCs w:val="24"/>
        </w:rPr>
        <w:t xml:space="preserve"> </w:t>
      </w:r>
      <w:r>
        <w:rPr>
          <w:szCs w:val="24"/>
        </w:rPr>
        <w:t>000</w:t>
      </w:r>
      <w:r>
        <w:rPr>
          <w:rFonts w:hint="eastAsia"/>
          <w:szCs w:val="24"/>
        </w:rPr>
        <w:t>铢以上。分包商有</w:t>
      </w:r>
      <w:r>
        <w:rPr>
          <w:szCs w:val="24"/>
        </w:rPr>
        <w:t>57.6%</w:t>
      </w:r>
      <w:r>
        <w:rPr>
          <w:rFonts w:hint="eastAsia"/>
          <w:szCs w:val="24"/>
        </w:rPr>
        <w:t>的年收入不到</w:t>
      </w:r>
      <w:r>
        <w:rPr>
          <w:szCs w:val="24"/>
        </w:rPr>
        <w:t>30</w:t>
      </w:r>
      <w:r>
        <w:rPr>
          <w:rFonts w:hint="eastAsia"/>
          <w:szCs w:val="24"/>
        </w:rPr>
        <w:t xml:space="preserve"> </w:t>
      </w:r>
      <w:r>
        <w:rPr>
          <w:szCs w:val="24"/>
        </w:rPr>
        <w:t>001</w:t>
      </w:r>
      <w:r>
        <w:rPr>
          <w:rFonts w:hint="eastAsia"/>
          <w:szCs w:val="24"/>
        </w:rPr>
        <w:t>铢，但</w:t>
      </w:r>
      <w:r>
        <w:rPr>
          <w:szCs w:val="24"/>
        </w:rPr>
        <w:t>42.4%</w:t>
      </w:r>
      <w:r>
        <w:rPr>
          <w:rFonts w:hint="eastAsia"/>
          <w:szCs w:val="24"/>
        </w:rPr>
        <w:t>的年收入高于这一数字。考虑到每个</w:t>
      </w:r>
      <w:r>
        <w:rPr>
          <w:rFonts w:hint="eastAsia"/>
          <w:szCs w:val="24"/>
        </w:rPr>
        <w:t>家庭佣工类别的平均收入，分包商的平均年收入几乎是合同工的两倍。分包商平均收入是</w:t>
      </w:r>
      <w:r>
        <w:rPr>
          <w:szCs w:val="24"/>
        </w:rPr>
        <w:t>61</w:t>
      </w:r>
      <w:r>
        <w:rPr>
          <w:rFonts w:hint="eastAsia"/>
          <w:szCs w:val="24"/>
        </w:rPr>
        <w:t xml:space="preserve"> </w:t>
      </w:r>
      <w:r>
        <w:rPr>
          <w:szCs w:val="24"/>
        </w:rPr>
        <w:t>231</w:t>
      </w:r>
      <w:r>
        <w:rPr>
          <w:rFonts w:hint="eastAsia"/>
          <w:szCs w:val="24"/>
        </w:rPr>
        <w:t>铢，合同工为</w:t>
      </w:r>
      <w:r>
        <w:rPr>
          <w:szCs w:val="24"/>
        </w:rPr>
        <w:t>34</w:t>
      </w:r>
      <w:r>
        <w:rPr>
          <w:rFonts w:hint="eastAsia"/>
          <w:szCs w:val="24"/>
        </w:rPr>
        <w:t xml:space="preserve"> </w:t>
      </w:r>
      <w:r>
        <w:rPr>
          <w:szCs w:val="24"/>
        </w:rPr>
        <w:t>337</w:t>
      </w:r>
      <w:r>
        <w:rPr>
          <w:rFonts w:hint="eastAsia"/>
          <w:szCs w:val="24"/>
        </w:rPr>
        <w:t>铢（表</w:t>
      </w:r>
      <w:r>
        <w:rPr>
          <w:rFonts w:hint="eastAsia"/>
          <w:szCs w:val="24"/>
        </w:rPr>
        <w:t>29</w:t>
      </w:r>
      <w:r>
        <w:rPr>
          <w:rFonts w:hint="eastAsia"/>
          <w:szCs w:val="24"/>
        </w:rPr>
        <w:t>）。</w:t>
      </w:r>
    </w:p>
    <w:p w:rsidR="00000000" w:rsidRDefault="00B83709">
      <w:pPr>
        <w:pStyle w:val="BodyText2"/>
        <w:framePr w:w="0" w:hRule="auto" w:hSpace="0" w:wrap="auto" w:vAnchor="margin" w:hAnchor="text" w:xAlign="left" w:yAlign="inline"/>
        <w:spacing w:after="240" w:line="360" w:lineRule="exact"/>
        <w:jc w:val="both"/>
        <w:rPr>
          <w:rFonts w:hint="eastAsia"/>
          <w:sz w:val="21"/>
          <w:szCs w:val="24"/>
        </w:rPr>
      </w:pPr>
      <w:r>
        <w:rPr>
          <w:rFonts w:ascii="SimHei" w:hint="eastAsia"/>
          <w:color w:val="FF0000"/>
          <w:sz w:val="21"/>
        </w:rPr>
        <w:t>表</w:t>
      </w:r>
      <w:r>
        <w:rPr>
          <w:rFonts w:ascii="SimHei" w:hint="eastAsia"/>
          <w:color w:val="FF0000"/>
          <w:sz w:val="21"/>
        </w:rPr>
        <w:t>29</w:t>
      </w:r>
      <w:r>
        <w:rPr>
          <w:rFonts w:ascii="SimHei"/>
          <w:color w:val="FF0000"/>
          <w:sz w:val="21"/>
        </w:rPr>
        <w:t xml:space="preserve">. </w:t>
      </w:r>
      <w:r>
        <w:rPr>
          <w:rFonts w:eastAsia="SimSun" w:hint="eastAsia"/>
          <w:bCs/>
          <w:sz w:val="21"/>
          <w:szCs w:val="24"/>
        </w:rPr>
        <w:t>按收入分类的合同工和分包商的比例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000000">
        <w:tblPrEx>
          <w:tblCellMar>
            <w:top w:w="0" w:type="dxa"/>
            <w:bottom w:w="0" w:type="dxa"/>
          </w:tblCellMar>
        </w:tblPrEx>
        <w:tc>
          <w:tcPr>
            <w:tcW w:w="1250"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收入（铢）</w:t>
            </w:r>
          </w:p>
        </w:tc>
        <w:tc>
          <w:tcPr>
            <w:tcW w:w="1250"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总数</w:t>
            </w:r>
          </w:p>
        </w:tc>
        <w:tc>
          <w:tcPr>
            <w:tcW w:w="1250"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合同工</w:t>
            </w:r>
          </w:p>
        </w:tc>
        <w:tc>
          <w:tcPr>
            <w:tcW w:w="1250" w:type="pct"/>
            <w:tcBorders>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rFonts w:hint="eastAsia"/>
                <w:bCs/>
                <w:color w:val="FF0000"/>
                <w:sz w:val="21"/>
                <w:szCs w:val="24"/>
              </w:rPr>
            </w:pPr>
            <w:r>
              <w:rPr>
                <w:rFonts w:hint="eastAsia"/>
                <w:bCs/>
                <w:color w:val="FF0000"/>
                <w:sz w:val="21"/>
                <w:szCs w:val="24"/>
              </w:rPr>
              <w:t>分包商</w:t>
            </w:r>
          </w:p>
        </w:tc>
      </w:tr>
      <w:tr w:rsidR="00000000">
        <w:tblPrEx>
          <w:tblCellMar>
            <w:top w:w="0" w:type="dxa"/>
            <w:bottom w:w="0" w:type="dxa"/>
          </w:tblCellMar>
        </w:tblPrEx>
        <w:tc>
          <w:tcPr>
            <w:tcW w:w="1250"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总数</w:t>
            </w:r>
          </w:p>
        </w:tc>
        <w:tc>
          <w:tcPr>
            <w:tcW w:w="1250"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100.0</w:t>
            </w:r>
          </w:p>
        </w:tc>
        <w:tc>
          <w:tcPr>
            <w:tcW w:w="1250"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100.0</w:t>
            </w:r>
          </w:p>
        </w:tc>
        <w:tc>
          <w:tcPr>
            <w:tcW w:w="1250" w:type="pct"/>
            <w:tcBorders>
              <w:top w:val="single" w:sz="4" w:space="0" w:color="auto"/>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100.0</w:t>
            </w:r>
          </w:p>
        </w:tc>
      </w:tr>
      <w:tr w:rsidR="00000000">
        <w:tblPrEx>
          <w:tblCellMar>
            <w:top w:w="0" w:type="dxa"/>
            <w:bottom w:w="0" w:type="dxa"/>
          </w:tblCellMar>
        </w:tblPrEx>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b/>
                <w:color w:val="FF0000"/>
                <w:sz w:val="21"/>
                <w:szCs w:val="24"/>
              </w:rPr>
            </w:pPr>
          </w:p>
        </w:tc>
        <w:tc>
          <w:tcPr>
            <w:tcW w:w="1250"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(476</w:t>
            </w:r>
            <w:r>
              <w:rPr>
                <w:rFonts w:hint="eastAsia"/>
                <w:b/>
                <w:color w:val="FF0000"/>
                <w:sz w:val="21"/>
                <w:szCs w:val="24"/>
              </w:rPr>
              <w:t xml:space="preserve"> </w:t>
            </w:r>
            <w:r>
              <w:rPr>
                <w:b/>
                <w:color w:val="FF0000"/>
                <w:sz w:val="21"/>
                <w:szCs w:val="24"/>
              </w:rPr>
              <w:t>536)</w:t>
            </w:r>
          </w:p>
        </w:tc>
        <w:tc>
          <w:tcPr>
            <w:tcW w:w="1250"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(473</w:t>
            </w:r>
            <w:r>
              <w:rPr>
                <w:rFonts w:hint="eastAsia"/>
                <w:b/>
                <w:color w:val="FF0000"/>
                <w:sz w:val="21"/>
                <w:szCs w:val="24"/>
              </w:rPr>
              <w:t xml:space="preserve"> </w:t>
            </w:r>
            <w:r>
              <w:rPr>
                <w:b/>
                <w:color w:val="FF0000"/>
                <w:sz w:val="21"/>
                <w:szCs w:val="24"/>
              </w:rPr>
              <w:t>565)</w:t>
            </w:r>
          </w:p>
        </w:tc>
        <w:tc>
          <w:tcPr>
            <w:tcW w:w="1250" w:type="pct"/>
            <w:tcBorders>
              <w:top w:val="single" w:sz="4" w:space="0" w:color="auto"/>
              <w:left w:val="nil"/>
              <w:bottom w:val="single" w:sz="4" w:space="0" w:color="auto"/>
              <w:right w:val="nil"/>
            </w:tcBorders>
          </w:tcPr>
          <w:p w:rsidR="00000000" w:rsidRDefault="00B83709">
            <w:pPr>
              <w:pStyle w:val="BodyText2"/>
              <w:framePr w:w="0" w:hRule="auto" w:hSpace="0" w:wrap="auto" w:vAnchor="margin" w:hAnchor="text" w:xAlign="left" w:yAlign="inline"/>
              <w:spacing w:line="360" w:lineRule="exact"/>
              <w:jc w:val="center"/>
              <w:rPr>
                <w:b/>
                <w:color w:val="FF0000"/>
                <w:sz w:val="21"/>
                <w:szCs w:val="24"/>
              </w:rPr>
            </w:pPr>
            <w:r>
              <w:rPr>
                <w:b/>
                <w:color w:val="FF0000"/>
                <w:sz w:val="21"/>
                <w:szCs w:val="24"/>
              </w:rPr>
              <w:t>(2</w:t>
            </w:r>
            <w:r>
              <w:rPr>
                <w:rFonts w:hint="eastAsia"/>
                <w:b/>
                <w:color w:val="FF0000"/>
                <w:sz w:val="21"/>
                <w:szCs w:val="24"/>
              </w:rPr>
              <w:t xml:space="preserve"> </w:t>
            </w:r>
            <w:r>
              <w:rPr>
                <w:b/>
                <w:color w:val="FF0000"/>
                <w:sz w:val="21"/>
                <w:szCs w:val="24"/>
              </w:rPr>
              <w:t>971)</w:t>
            </w:r>
          </w:p>
        </w:tc>
      </w:tr>
      <w:tr w:rsidR="00000000">
        <w:tblPrEx>
          <w:tblCellMar>
            <w:top w:w="0" w:type="dxa"/>
            <w:bottom w:w="0" w:type="dxa"/>
          </w:tblCellMar>
        </w:tblPrEx>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rFonts w:eastAsia="SimSun" w:hint="eastAsia"/>
                <w:sz w:val="21"/>
                <w:szCs w:val="24"/>
              </w:rPr>
              <w:t>不到</w:t>
            </w:r>
            <w:r>
              <w:rPr>
                <w:sz w:val="21"/>
                <w:szCs w:val="24"/>
              </w:rPr>
              <w:t>10</w:t>
            </w:r>
            <w:r>
              <w:rPr>
                <w:rFonts w:hint="eastAsia"/>
                <w:sz w:val="21"/>
                <w:szCs w:val="24"/>
              </w:rPr>
              <w:t xml:space="preserve"> </w:t>
            </w:r>
            <w:r>
              <w:rPr>
                <w:sz w:val="21"/>
                <w:szCs w:val="24"/>
              </w:rPr>
              <w:t>000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38.4</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38.4</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29.6</w:t>
            </w:r>
          </w:p>
        </w:tc>
      </w:tr>
      <w:tr w:rsidR="00000000">
        <w:tblPrEx>
          <w:tblCellMar>
            <w:top w:w="0" w:type="dxa"/>
            <w:bottom w:w="0" w:type="dxa"/>
          </w:tblCellMar>
        </w:tblPrEx>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10</w:t>
            </w:r>
            <w:r>
              <w:rPr>
                <w:rFonts w:hint="eastAsia"/>
                <w:sz w:val="21"/>
                <w:szCs w:val="24"/>
              </w:rPr>
              <w:t xml:space="preserve"> </w:t>
            </w:r>
            <w:r>
              <w:rPr>
                <w:sz w:val="21"/>
                <w:szCs w:val="24"/>
              </w:rPr>
              <w:t>000</w:t>
            </w:r>
            <w:r>
              <w:rPr>
                <w:rFonts w:hint="eastAsia"/>
                <w:sz w:val="21"/>
                <w:szCs w:val="24"/>
              </w:rPr>
              <w:t>-</w:t>
            </w:r>
            <w:r>
              <w:rPr>
                <w:sz w:val="21"/>
                <w:szCs w:val="24"/>
              </w:rPr>
              <w:t>30</w:t>
            </w:r>
            <w:r>
              <w:rPr>
                <w:rFonts w:hint="eastAsia"/>
                <w:sz w:val="21"/>
                <w:szCs w:val="24"/>
              </w:rPr>
              <w:t xml:space="preserve"> </w:t>
            </w:r>
            <w:r>
              <w:rPr>
                <w:sz w:val="21"/>
                <w:szCs w:val="24"/>
              </w:rPr>
              <w:t>000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32.1</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28.0</w:t>
            </w:r>
          </w:p>
        </w:tc>
      </w:tr>
      <w:tr w:rsidR="00000000">
        <w:tblPrEx>
          <w:tblCellMar>
            <w:top w:w="0" w:type="dxa"/>
            <w:bottom w:w="0" w:type="dxa"/>
          </w:tblCellMar>
        </w:tblPrEx>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30</w:t>
            </w:r>
            <w:r>
              <w:rPr>
                <w:rFonts w:hint="eastAsia"/>
                <w:sz w:val="21"/>
                <w:szCs w:val="24"/>
              </w:rPr>
              <w:t xml:space="preserve"> </w:t>
            </w:r>
            <w:r>
              <w:rPr>
                <w:sz w:val="21"/>
                <w:szCs w:val="24"/>
              </w:rPr>
              <w:t>001</w:t>
            </w:r>
            <w:r>
              <w:rPr>
                <w:rFonts w:hint="eastAsia"/>
                <w:sz w:val="21"/>
                <w:szCs w:val="24"/>
              </w:rPr>
              <w:t>-</w:t>
            </w:r>
            <w:r>
              <w:rPr>
                <w:sz w:val="21"/>
                <w:szCs w:val="24"/>
              </w:rPr>
              <w:t>50</w:t>
            </w:r>
            <w:r>
              <w:rPr>
                <w:rFonts w:hint="eastAsia"/>
                <w:sz w:val="21"/>
                <w:szCs w:val="24"/>
              </w:rPr>
              <w:t xml:space="preserve"> </w:t>
            </w:r>
            <w:r>
              <w:rPr>
                <w:sz w:val="21"/>
                <w:szCs w:val="24"/>
              </w:rPr>
              <w:t>000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14.4</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14.4</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13.6</w:t>
            </w:r>
          </w:p>
        </w:tc>
      </w:tr>
      <w:tr w:rsidR="00000000">
        <w:tblPrEx>
          <w:tblCellMar>
            <w:top w:w="0" w:type="dxa"/>
            <w:bottom w:w="0" w:type="dxa"/>
          </w:tblCellMar>
        </w:tblPrEx>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50 001</w:t>
            </w:r>
            <w:r>
              <w:rPr>
                <w:rFonts w:hint="eastAsia"/>
                <w:sz w:val="21"/>
                <w:szCs w:val="24"/>
              </w:rPr>
              <w:t>-</w:t>
            </w:r>
            <w:r>
              <w:rPr>
                <w:sz w:val="21"/>
                <w:szCs w:val="24"/>
              </w:rPr>
              <w:t>100 000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8.8</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8.8</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16.8</w:t>
            </w:r>
          </w:p>
        </w:tc>
      </w:tr>
      <w:tr w:rsidR="00000000">
        <w:tblPrEx>
          <w:tblCellMar>
            <w:top w:w="0" w:type="dxa"/>
            <w:bottom w:w="0" w:type="dxa"/>
          </w:tblCellMar>
        </w:tblPrEx>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sz w:val="21"/>
                <w:szCs w:val="24"/>
              </w:rPr>
            </w:pPr>
            <w:r>
              <w:rPr>
                <w:sz w:val="21"/>
                <w:szCs w:val="24"/>
              </w:rPr>
              <w:t>100 001</w:t>
            </w:r>
            <w:r>
              <w:rPr>
                <w:rFonts w:hint="eastAsia"/>
                <w:sz w:val="21"/>
                <w:szCs w:val="24"/>
              </w:rPr>
              <w:t>-</w:t>
            </w:r>
            <w:r>
              <w:rPr>
                <w:sz w:val="21"/>
                <w:szCs w:val="24"/>
              </w:rPr>
              <w:t>300 000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5.4</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5.3</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5.8</w:t>
            </w:r>
          </w:p>
        </w:tc>
      </w:tr>
      <w:tr w:rsidR="00000000">
        <w:tblPrEx>
          <w:tblCellMar>
            <w:top w:w="0" w:type="dxa"/>
            <w:bottom w:w="0" w:type="dxa"/>
          </w:tblCellMar>
        </w:tblPrEx>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both"/>
              <w:rPr>
                <w:rFonts w:hint="eastAsia"/>
                <w:sz w:val="21"/>
                <w:szCs w:val="24"/>
              </w:rPr>
            </w:pPr>
            <w:r>
              <w:rPr>
                <w:sz w:val="21"/>
                <w:szCs w:val="24"/>
              </w:rPr>
              <w:t>300 001</w:t>
            </w:r>
            <w:r>
              <w:rPr>
                <w:rFonts w:eastAsia="SimSun" w:hint="eastAsia"/>
                <w:sz w:val="21"/>
                <w:szCs w:val="24"/>
              </w:rPr>
              <w:t>以上</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1.0</w:t>
            </w:r>
          </w:p>
        </w:tc>
        <w:tc>
          <w:tcPr>
            <w:tcW w:w="1250" w:type="pct"/>
            <w:tcBorders>
              <w:top w:val="nil"/>
              <w:left w:val="nil"/>
              <w:bottom w:val="nil"/>
              <w:right w:val="nil"/>
            </w:tcBorders>
          </w:tcPr>
          <w:p w:rsidR="00000000" w:rsidRDefault="00B83709">
            <w:pPr>
              <w:pStyle w:val="BodyText2"/>
              <w:framePr w:w="0" w:hRule="auto" w:hSpace="0" w:wrap="auto" w:vAnchor="margin" w:hAnchor="text" w:xAlign="left" w:yAlign="inline"/>
              <w:spacing w:line="360" w:lineRule="exact"/>
              <w:jc w:val="center"/>
              <w:rPr>
                <w:sz w:val="21"/>
                <w:szCs w:val="24"/>
              </w:rPr>
            </w:pPr>
            <w:r>
              <w:rPr>
                <w:sz w:val="21"/>
                <w:szCs w:val="24"/>
              </w:rPr>
              <w:t>6.2</w:t>
            </w:r>
          </w:p>
        </w:tc>
      </w:tr>
      <w:tr w:rsidR="00000000">
        <w:tblPrEx>
          <w:tblCellMar>
            <w:top w:w="0" w:type="dxa"/>
            <w:bottom w:w="0" w:type="dxa"/>
          </w:tblCellMar>
        </w:tblPrEx>
        <w:tc>
          <w:tcPr>
            <w:tcW w:w="1250" w:type="pct"/>
            <w:tcBorders>
              <w:top w:val="single" w:sz="4" w:space="0" w:color="auto"/>
              <w:left w:val="nil"/>
              <w:right w:val="nil"/>
            </w:tcBorders>
          </w:tcPr>
          <w:p w:rsidR="00000000" w:rsidRDefault="00B83709">
            <w:pPr>
              <w:pStyle w:val="BodyText2"/>
              <w:framePr w:w="0" w:hRule="auto" w:hSpace="0" w:wrap="auto" w:vAnchor="margin" w:hAnchor="text" w:xAlign="left" w:yAlign="inline"/>
              <w:spacing w:line="360" w:lineRule="exact"/>
              <w:jc w:val="both"/>
              <w:rPr>
                <w:rFonts w:hint="eastAsia"/>
                <w:bCs/>
                <w:color w:val="FF0000"/>
                <w:sz w:val="21"/>
                <w:szCs w:val="24"/>
              </w:rPr>
            </w:pPr>
            <w:r>
              <w:rPr>
                <w:rFonts w:hint="eastAsia"/>
                <w:bCs/>
                <w:color w:val="FF0000"/>
                <w:sz w:val="21"/>
                <w:szCs w:val="24"/>
              </w:rPr>
              <w:t>平均收入</w:t>
            </w:r>
          </w:p>
        </w:tc>
        <w:tc>
          <w:tcPr>
            <w:tcW w:w="1250" w:type="pct"/>
            <w:tcBorders>
              <w:top w:val="single" w:sz="4" w:space="0" w:color="auto"/>
              <w:left w:val="nil"/>
              <w:right w:val="nil"/>
            </w:tcBorders>
          </w:tcPr>
          <w:p w:rsidR="00000000" w:rsidRDefault="00B83709">
            <w:pPr>
              <w:pStyle w:val="BodyText2"/>
              <w:framePr w:w="0" w:hRule="auto" w:hSpace="0" w:wrap="auto" w:vAnchor="margin" w:hAnchor="text" w:xAlign="left" w:yAlign="inline"/>
              <w:spacing w:line="360" w:lineRule="exact"/>
              <w:jc w:val="center"/>
              <w:rPr>
                <w:b/>
                <w:sz w:val="21"/>
                <w:szCs w:val="24"/>
              </w:rPr>
            </w:pPr>
            <w:r>
              <w:rPr>
                <w:b/>
                <w:sz w:val="21"/>
                <w:szCs w:val="24"/>
              </w:rPr>
              <w:t>34 504</w:t>
            </w:r>
          </w:p>
        </w:tc>
        <w:tc>
          <w:tcPr>
            <w:tcW w:w="1250" w:type="pct"/>
            <w:tcBorders>
              <w:top w:val="single" w:sz="4" w:space="0" w:color="auto"/>
              <w:left w:val="nil"/>
              <w:right w:val="nil"/>
            </w:tcBorders>
          </w:tcPr>
          <w:p w:rsidR="00000000" w:rsidRDefault="00B83709">
            <w:pPr>
              <w:pStyle w:val="BodyText2"/>
              <w:framePr w:w="0" w:hRule="auto" w:hSpace="0" w:wrap="auto" w:vAnchor="margin" w:hAnchor="text" w:xAlign="left" w:yAlign="inline"/>
              <w:spacing w:line="360" w:lineRule="exact"/>
              <w:jc w:val="center"/>
              <w:rPr>
                <w:b/>
                <w:sz w:val="21"/>
                <w:szCs w:val="24"/>
              </w:rPr>
            </w:pPr>
            <w:r>
              <w:rPr>
                <w:b/>
                <w:sz w:val="21"/>
                <w:szCs w:val="24"/>
              </w:rPr>
              <w:t>34 337</w:t>
            </w:r>
          </w:p>
        </w:tc>
        <w:tc>
          <w:tcPr>
            <w:tcW w:w="1250" w:type="pct"/>
            <w:tcBorders>
              <w:top w:val="single" w:sz="4" w:space="0" w:color="auto"/>
              <w:left w:val="nil"/>
              <w:right w:val="nil"/>
            </w:tcBorders>
          </w:tcPr>
          <w:p w:rsidR="00000000" w:rsidRDefault="00B83709">
            <w:pPr>
              <w:pStyle w:val="BodyText2"/>
              <w:framePr w:w="0" w:hRule="auto" w:hSpace="0" w:wrap="auto" w:vAnchor="margin" w:hAnchor="text" w:xAlign="left" w:yAlign="inline"/>
              <w:spacing w:line="360" w:lineRule="exact"/>
              <w:jc w:val="center"/>
              <w:rPr>
                <w:b/>
                <w:sz w:val="21"/>
                <w:szCs w:val="24"/>
              </w:rPr>
            </w:pPr>
            <w:r>
              <w:rPr>
                <w:b/>
                <w:sz w:val="21"/>
                <w:szCs w:val="24"/>
              </w:rPr>
              <w:t>61 231</w:t>
            </w:r>
          </w:p>
        </w:tc>
      </w:tr>
    </w:tbl>
    <w:p w:rsidR="00000000" w:rsidRDefault="00B83709">
      <w:pPr>
        <w:numPr>
          <w:ilvl w:val="0"/>
          <w:numId w:val="1049"/>
        </w:numPr>
        <w:tabs>
          <w:tab w:val="clear" w:pos="360"/>
          <w:tab w:val="num" w:pos="480"/>
        </w:tabs>
        <w:spacing w:beforeLines="100" w:before="240" w:after="240" w:line="360" w:lineRule="exact"/>
        <w:rPr>
          <w:szCs w:val="24"/>
        </w:rPr>
      </w:pPr>
      <w:r>
        <w:rPr>
          <w:rFonts w:hint="eastAsia"/>
          <w:szCs w:val="24"/>
        </w:rPr>
        <w:t>泰国于</w:t>
      </w:r>
      <w:r>
        <w:rPr>
          <w:rFonts w:hint="eastAsia"/>
          <w:szCs w:val="24"/>
        </w:rPr>
        <w:t>1998</w:t>
      </w:r>
      <w:r>
        <w:rPr>
          <w:rFonts w:hint="eastAsia"/>
          <w:szCs w:val="24"/>
        </w:rPr>
        <w:t>年在劳动和社会福利部福利和劳动保护厅下设立了一个负责在家里从事的工作的办公室，以保护所有家庭佣工。该办公室的任务是通过建立保护标准和协调机制促进和发展家庭佣工。设立家庭佣工协调中心的目的是同有关政府组织、非政府组织以及雇主开展合作。过去几年，该办公室就集团管理的基本知识提供了培训。目前，福利和劳动保护厅起草了</w:t>
      </w:r>
      <w:r>
        <w:rPr>
          <w:rFonts w:hint="eastAsia"/>
          <w:szCs w:val="24"/>
        </w:rPr>
        <w:t>关于保护家庭佣工的部级规章制度。该草案正在由劳动和社会福利部审议，很快将生效。此后，将起草法律，进一步促进、发展和保护家庭佣工。</w:t>
      </w:r>
    </w:p>
    <w:p w:rsidR="00000000" w:rsidRDefault="00B83709">
      <w:pPr>
        <w:spacing w:after="240" w:line="360" w:lineRule="exact"/>
        <w:rPr>
          <w:rFonts w:eastAsia="SimHei" w:hint="eastAsia"/>
          <w:color w:val="FF0000"/>
        </w:rPr>
      </w:pPr>
      <w:r>
        <w:rPr>
          <w:rFonts w:eastAsia="SimHei" w:hint="eastAsia"/>
          <w:color w:val="FF0000"/>
        </w:rPr>
        <w:t>有关就业的问题</w:t>
      </w:r>
    </w:p>
    <w:p w:rsidR="00000000" w:rsidRDefault="00B83709">
      <w:pPr>
        <w:pStyle w:val="Heading3"/>
        <w:numPr>
          <w:ilvl w:val="0"/>
          <w:numId w:val="1131"/>
        </w:numPr>
        <w:spacing w:before="0"/>
        <w:rPr>
          <w:rFonts w:ascii="Times New Roman" w:eastAsia="KaiTi_GB2312"/>
          <w:color w:val="0000FF"/>
          <w:sz w:val="21"/>
          <w:szCs w:val="24"/>
          <w:u w:val="none"/>
        </w:rPr>
      </w:pPr>
      <w:r>
        <w:rPr>
          <w:rFonts w:ascii="Times New Roman" w:eastAsia="KaiTi_GB2312" w:hint="eastAsia"/>
          <w:color w:val="0000FF"/>
          <w:sz w:val="21"/>
          <w:szCs w:val="24"/>
          <w:u w:val="none"/>
        </w:rPr>
        <w:t>工作权利</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泰国没有法律限制妇女的工作权利。此外，泰国法律规定给予女工特别保护，并根据性别差别，特别是在妇女的体力、育儿义务和职业安全方面，赋予她们某些不同于男子的权利。</w:t>
      </w:r>
    </w:p>
    <w:p w:rsidR="00000000" w:rsidRDefault="00B83709">
      <w:pPr>
        <w:pStyle w:val="Heading3"/>
        <w:numPr>
          <w:ilvl w:val="0"/>
          <w:numId w:val="1131"/>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就业机会</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泰国法律规定，雇主在就业方面对男女工人应一视同仁，但工作性质和条件不许可的情形除外。但实际上，在就业方面仍存在歧视，主要原因是劳动力市场的失业人数很多，从而迫使雇主制定特殊的就业资格。社</w:t>
      </w:r>
      <w:r>
        <w:rPr>
          <w:rFonts w:hint="eastAsia"/>
          <w:szCs w:val="24"/>
        </w:rPr>
        <w:t>会态度也是决定哪些工作适合妇女的关键因素。</w:t>
      </w:r>
    </w:p>
    <w:p w:rsidR="00000000" w:rsidRDefault="00B83709">
      <w:pPr>
        <w:pStyle w:val="Heading3"/>
        <w:numPr>
          <w:ilvl w:val="0"/>
          <w:numId w:val="1131"/>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应享有的不工作权利</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1</w:t>
      </w:r>
      <w:r>
        <w:rPr>
          <w:rFonts w:hint="eastAsia"/>
          <w:szCs w:val="24"/>
        </w:rPr>
        <w:t>）每天工作时间不得超过</w:t>
      </w:r>
      <w:r>
        <w:rPr>
          <w:rFonts w:hint="eastAsia"/>
          <w:szCs w:val="24"/>
        </w:rPr>
        <w:t>8</w:t>
      </w:r>
      <w:r>
        <w:rPr>
          <w:rFonts w:hint="eastAsia"/>
          <w:szCs w:val="24"/>
        </w:rPr>
        <w:t>小时，每周不得超过</w:t>
      </w:r>
      <w:r>
        <w:rPr>
          <w:rFonts w:hint="eastAsia"/>
          <w:szCs w:val="24"/>
        </w:rPr>
        <w:t>48</w:t>
      </w:r>
      <w:r>
        <w:rPr>
          <w:rFonts w:hint="eastAsia"/>
          <w:szCs w:val="24"/>
        </w:rPr>
        <w:t>个小时；</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2</w:t>
      </w:r>
      <w:r>
        <w:rPr>
          <w:rFonts w:hint="eastAsia"/>
          <w:szCs w:val="24"/>
        </w:rPr>
        <w:t>）雇员在工作日或节假日不得加班，但本人同意的除外，全部工作时间不得超过劳动和社会福利部规定的时间；</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3</w:t>
      </w:r>
      <w:r>
        <w:rPr>
          <w:rFonts w:hint="eastAsia"/>
          <w:szCs w:val="24"/>
        </w:rPr>
        <w:t>）雇员有权每周至少休息一天；</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4</w:t>
      </w:r>
      <w:r>
        <w:rPr>
          <w:rFonts w:hint="eastAsia"/>
          <w:szCs w:val="24"/>
        </w:rPr>
        <w:t>）雇员有权在传统的节庆日休假，每年不少于</w:t>
      </w:r>
      <w:r>
        <w:rPr>
          <w:rFonts w:hint="eastAsia"/>
          <w:szCs w:val="24"/>
        </w:rPr>
        <w:t>30</w:t>
      </w:r>
      <w:r>
        <w:rPr>
          <w:rFonts w:hint="eastAsia"/>
          <w:szCs w:val="24"/>
        </w:rPr>
        <w:t>天；</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5</w:t>
      </w:r>
      <w:r>
        <w:rPr>
          <w:rFonts w:hint="eastAsia"/>
          <w:szCs w:val="24"/>
        </w:rPr>
        <w:t>）雇员雇用期满一年的，有权休不少于</w:t>
      </w:r>
      <w:r>
        <w:rPr>
          <w:rFonts w:hint="eastAsia"/>
          <w:szCs w:val="24"/>
        </w:rPr>
        <w:t>6</w:t>
      </w:r>
      <w:r>
        <w:rPr>
          <w:rFonts w:hint="eastAsia"/>
          <w:szCs w:val="24"/>
        </w:rPr>
        <w:t>天的年假；</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6</w:t>
      </w:r>
      <w:r>
        <w:rPr>
          <w:rFonts w:hint="eastAsia"/>
          <w:szCs w:val="24"/>
        </w:rPr>
        <w:t>）雇员有权休病假，不包括因与工作有关的伤</w:t>
      </w:r>
      <w:r>
        <w:rPr>
          <w:rFonts w:hint="eastAsia"/>
          <w:szCs w:val="24"/>
        </w:rPr>
        <w:t>/</w:t>
      </w:r>
      <w:r>
        <w:rPr>
          <w:rFonts w:hint="eastAsia"/>
          <w:szCs w:val="24"/>
        </w:rPr>
        <w:t>病或产假而不能工作的天数；</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7</w:t>
      </w:r>
      <w:r>
        <w:rPr>
          <w:rFonts w:hint="eastAsia"/>
          <w:szCs w:val="24"/>
        </w:rPr>
        <w:t>）雇员有权休绝育假；</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8</w:t>
      </w:r>
      <w:r>
        <w:rPr>
          <w:rFonts w:hint="eastAsia"/>
          <w:szCs w:val="24"/>
        </w:rPr>
        <w:t>）雇员有权休兵役假；以及</w:t>
      </w:r>
    </w:p>
    <w:p w:rsidR="00000000" w:rsidRDefault="00B83709" w:rsidP="00B83709">
      <w:pPr>
        <w:tabs>
          <w:tab w:val="num" w:pos="1080"/>
        </w:tabs>
        <w:spacing w:after="240" w:line="360" w:lineRule="exact"/>
        <w:ind w:firstLineChars="200" w:firstLine="31680"/>
        <w:rPr>
          <w:szCs w:val="24"/>
        </w:rPr>
      </w:pPr>
      <w:r>
        <w:rPr>
          <w:rFonts w:hint="eastAsia"/>
          <w:szCs w:val="24"/>
        </w:rPr>
        <w:t>（</w:t>
      </w:r>
      <w:r>
        <w:rPr>
          <w:rFonts w:hint="eastAsia"/>
          <w:szCs w:val="24"/>
        </w:rPr>
        <w:t>9</w:t>
      </w:r>
      <w:r>
        <w:rPr>
          <w:rFonts w:hint="eastAsia"/>
          <w:szCs w:val="24"/>
        </w:rPr>
        <w:t>）雇员有权</w:t>
      </w:r>
      <w:r>
        <w:rPr>
          <w:rFonts w:hint="eastAsia"/>
          <w:szCs w:val="24"/>
        </w:rPr>
        <w:t>休假接受培训或拓展其知识。</w:t>
      </w:r>
    </w:p>
    <w:p w:rsidR="00000000" w:rsidRDefault="00B83709">
      <w:pPr>
        <w:pStyle w:val="Heading3"/>
        <w:numPr>
          <w:ilvl w:val="0"/>
          <w:numId w:val="1131"/>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选择、条件和训练</w:t>
      </w:r>
    </w:p>
    <w:p w:rsidR="00000000" w:rsidRDefault="00B83709">
      <w:pPr>
        <w:numPr>
          <w:ilvl w:val="0"/>
          <w:numId w:val="1049"/>
        </w:numPr>
        <w:tabs>
          <w:tab w:val="clear" w:pos="360"/>
          <w:tab w:val="num" w:pos="480"/>
        </w:tabs>
        <w:spacing w:after="240" w:line="360" w:lineRule="exact"/>
        <w:rPr>
          <w:szCs w:val="24"/>
        </w:rPr>
      </w:pPr>
      <w:r>
        <w:rPr>
          <w:rFonts w:eastAsia="SimHei" w:hint="eastAsia"/>
          <w:bCs/>
          <w:color w:val="FF0000"/>
          <w:szCs w:val="24"/>
        </w:rPr>
        <w:t>选择。</w:t>
      </w:r>
      <w:r>
        <w:rPr>
          <w:szCs w:val="24"/>
        </w:rPr>
        <w:t xml:space="preserve"> </w:t>
      </w:r>
      <w:r>
        <w:rPr>
          <w:rFonts w:hint="eastAsia"/>
          <w:szCs w:val="24"/>
        </w:rPr>
        <w:t>如果雇主要求女雇员从</w:t>
      </w:r>
      <w:r>
        <w:rPr>
          <w:rFonts w:hint="eastAsia"/>
          <w:szCs w:val="24"/>
        </w:rPr>
        <w:t>24</w:t>
      </w:r>
      <w:r>
        <w:rPr>
          <w:rFonts w:hint="eastAsia"/>
          <w:szCs w:val="24"/>
        </w:rPr>
        <w:t>点工作到</w:t>
      </w:r>
      <w:r>
        <w:rPr>
          <w:rFonts w:hint="eastAsia"/>
          <w:szCs w:val="24"/>
        </w:rPr>
        <w:t>6</w:t>
      </w:r>
      <w:r>
        <w:rPr>
          <w:rFonts w:hint="eastAsia"/>
          <w:szCs w:val="24"/>
        </w:rPr>
        <w:t>点，劳动检查员若认为这种工作对妇女的健康和安全有害，则可以向总监或总监指定的人报告，以便考虑和勒令雇主适当改变或减少妇女的工作时间。雇主应遵行命令，若违反命令，可处以最高</w:t>
      </w:r>
      <w:r>
        <w:rPr>
          <w:rFonts w:hint="eastAsia"/>
          <w:szCs w:val="24"/>
        </w:rPr>
        <w:t>6</w:t>
      </w:r>
      <w:r>
        <w:rPr>
          <w:rFonts w:hint="eastAsia"/>
          <w:szCs w:val="24"/>
        </w:rPr>
        <w:t>个月的监禁、不超过</w:t>
      </w:r>
      <w:r>
        <w:rPr>
          <w:rFonts w:hint="eastAsia"/>
          <w:szCs w:val="24"/>
        </w:rPr>
        <w:t>10 000</w:t>
      </w:r>
      <w:r>
        <w:rPr>
          <w:rFonts w:hint="eastAsia"/>
          <w:szCs w:val="24"/>
        </w:rPr>
        <w:t>铢的罚款，或者两项并处（第</w:t>
      </w:r>
      <w:r>
        <w:rPr>
          <w:rFonts w:hint="eastAsia"/>
          <w:szCs w:val="24"/>
        </w:rPr>
        <w:t>40</w:t>
      </w:r>
      <w:r>
        <w:rPr>
          <w:rFonts w:hint="eastAsia"/>
          <w:szCs w:val="24"/>
        </w:rPr>
        <w:t>条和第</w:t>
      </w:r>
      <w:r>
        <w:rPr>
          <w:rFonts w:hint="eastAsia"/>
          <w:szCs w:val="24"/>
        </w:rPr>
        <w:t>144</w:t>
      </w:r>
      <w:r>
        <w:rPr>
          <w:rFonts w:hint="eastAsia"/>
          <w:szCs w:val="24"/>
        </w:rPr>
        <w:t>条）。</w:t>
      </w:r>
    </w:p>
    <w:p w:rsidR="00000000" w:rsidRDefault="00B83709">
      <w:pPr>
        <w:numPr>
          <w:ilvl w:val="0"/>
          <w:numId w:val="1049"/>
        </w:numPr>
        <w:tabs>
          <w:tab w:val="clear" w:pos="360"/>
          <w:tab w:val="num" w:pos="480"/>
        </w:tabs>
        <w:spacing w:after="240" w:line="360" w:lineRule="exact"/>
        <w:rPr>
          <w:szCs w:val="24"/>
        </w:rPr>
      </w:pPr>
      <w:r>
        <w:rPr>
          <w:rFonts w:eastAsia="SimHei" w:hint="eastAsia"/>
          <w:bCs/>
          <w:color w:val="FF0000"/>
          <w:szCs w:val="24"/>
        </w:rPr>
        <w:t>工作条件。</w:t>
      </w:r>
      <w:r>
        <w:rPr>
          <w:rFonts w:hint="eastAsia"/>
          <w:szCs w:val="24"/>
        </w:rPr>
        <w:t>《</w:t>
      </w:r>
      <w:r>
        <w:rPr>
          <w:rFonts w:hint="eastAsia"/>
          <w:szCs w:val="24"/>
        </w:rPr>
        <w:t>1998</w:t>
      </w:r>
      <w:r>
        <w:rPr>
          <w:rFonts w:hint="eastAsia"/>
          <w:szCs w:val="24"/>
        </w:rPr>
        <w:t>年劳动保护法》对雇主不得要求妇女从事的工作类型做了规定，如采矿或地下施工；水下、坑道、洞穴或山区作业（对雇员健康构不成危险的情形除外）；高出地面</w:t>
      </w:r>
      <w:r>
        <w:rPr>
          <w:rFonts w:hint="eastAsia"/>
          <w:szCs w:val="24"/>
        </w:rPr>
        <w:t>10</w:t>
      </w:r>
      <w:r>
        <w:rPr>
          <w:rFonts w:hint="eastAsia"/>
          <w:szCs w:val="24"/>
        </w:rPr>
        <w:t>米以</w:t>
      </w:r>
      <w:r>
        <w:rPr>
          <w:rFonts w:hint="eastAsia"/>
          <w:szCs w:val="24"/>
        </w:rPr>
        <w:t>上的脚手架工作；易燃易爆物品的生产或运输；或者部级规章制度规定的任何其他类型的工作。如果雇主违反此项规定，将处以最高</w:t>
      </w:r>
      <w:r>
        <w:rPr>
          <w:rFonts w:hint="eastAsia"/>
          <w:szCs w:val="24"/>
        </w:rPr>
        <w:t>6</w:t>
      </w:r>
      <w:r>
        <w:rPr>
          <w:rFonts w:hint="eastAsia"/>
          <w:szCs w:val="24"/>
        </w:rPr>
        <w:t>个月的监禁、</w:t>
      </w:r>
      <w:r>
        <w:rPr>
          <w:rFonts w:hint="eastAsia"/>
          <w:szCs w:val="24"/>
        </w:rPr>
        <w:t>10 000</w:t>
      </w:r>
      <w:r>
        <w:rPr>
          <w:rFonts w:hint="eastAsia"/>
          <w:szCs w:val="24"/>
        </w:rPr>
        <w:t>铢以上的罚款，或者两项并处。</w:t>
      </w:r>
    </w:p>
    <w:p w:rsidR="00000000" w:rsidRDefault="00B83709">
      <w:pPr>
        <w:numPr>
          <w:ilvl w:val="0"/>
          <w:numId w:val="1049"/>
        </w:numPr>
        <w:tabs>
          <w:tab w:val="clear" w:pos="360"/>
          <w:tab w:val="num" w:pos="480"/>
        </w:tabs>
        <w:spacing w:after="240" w:line="360" w:lineRule="exact"/>
        <w:rPr>
          <w:szCs w:val="24"/>
        </w:rPr>
      </w:pPr>
      <w:r>
        <w:rPr>
          <w:rFonts w:eastAsia="SimHei" w:hint="eastAsia"/>
          <w:bCs/>
          <w:color w:val="FF0000"/>
          <w:szCs w:val="24"/>
        </w:rPr>
        <w:t>训练。</w:t>
      </w:r>
      <w:r>
        <w:rPr>
          <w:rFonts w:hint="eastAsia"/>
          <w:bCs/>
          <w:szCs w:val="24"/>
        </w:rPr>
        <w:t>根据《</w:t>
      </w:r>
      <w:r>
        <w:rPr>
          <w:rFonts w:hint="eastAsia"/>
          <w:bCs/>
          <w:szCs w:val="24"/>
        </w:rPr>
        <w:t>1998</w:t>
      </w:r>
      <w:r>
        <w:rPr>
          <w:rFonts w:hint="eastAsia"/>
          <w:bCs/>
          <w:szCs w:val="24"/>
        </w:rPr>
        <w:t>年劳动保护法》，雇员有权休培训假，以拓展他们在劳动和社会保护问题上的知识和能力，并有权休一天的假参加政府教育</w:t>
      </w:r>
      <w:r>
        <w:rPr>
          <w:rFonts w:hint="eastAsia"/>
          <w:szCs w:val="24"/>
        </w:rPr>
        <w:t>机构</w:t>
      </w:r>
      <w:r>
        <w:rPr>
          <w:rFonts w:hint="eastAsia"/>
          <w:bCs/>
          <w:szCs w:val="24"/>
        </w:rPr>
        <w:t>的考试。雇员应至少提前七天将他们的意图通知雇主。违者将处以最高</w:t>
      </w:r>
      <w:r>
        <w:rPr>
          <w:rFonts w:hint="eastAsia"/>
          <w:bCs/>
          <w:szCs w:val="24"/>
        </w:rPr>
        <w:t>10 000</w:t>
      </w:r>
      <w:r>
        <w:rPr>
          <w:rFonts w:hint="eastAsia"/>
          <w:bCs/>
          <w:szCs w:val="24"/>
        </w:rPr>
        <w:t>铢的罚款。</w:t>
      </w:r>
    </w:p>
    <w:p w:rsidR="00000000" w:rsidRDefault="00B83709">
      <w:pPr>
        <w:pStyle w:val="Heading3"/>
        <w:numPr>
          <w:ilvl w:val="0"/>
          <w:numId w:val="1131"/>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职业安全</w:t>
      </w:r>
    </w:p>
    <w:p w:rsidR="00000000" w:rsidRDefault="00B83709">
      <w:pPr>
        <w:numPr>
          <w:ilvl w:val="0"/>
          <w:numId w:val="1049"/>
        </w:numPr>
        <w:tabs>
          <w:tab w:val="clear" w:pos="360"/>
          <w:tab w:val="num" w:pos="480"/>
        </w:tabs>
        <w:spacing w:after="240" w:line="360" w:lineRule="exact"/>
        <w:rPr>
          <w:szCs w:val="24"/>
        </w:rPr>
      </w:pPr>
      <w:r>
        <w:rPr>
          <w:rFonts w:hint="eastAsia"/>
          <w:szCs w:val="24"/>
        </w:rPr>
        <w:t>在职业安全方面，泰国法律对政府官员的责任和义务做出规定，以保证雇主根据安全措施经营其企业，并提供适合雇员的工作条</w:t>
      </w:r>
      <w:r>
        <w:rPr>
          <w:rFonts w:hint="eastAsia"/>
          <w:szCs w:val="24"/>
        </w:rPr>
        <w:t>件和环境。法律做出的相应规定是，雇主</w:t>
      </w:r>
      <w:r>
        <w:rPr>
          <w:rFonts w:hint="eastAsia"/>
          <w:szCs w:val="24"/>
        </w:rPr>
        <w:t>/</w:t>
      </w:r>
      <w:r>
        <w:rPr>
          <w:rFonts w:hint="eastAsia"/>
          <w:szCs w:val="24"/>
        </w:rPr>
        <w:t>企业家和雇员在保证职业安全方面应进行合作。</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rFonts w:hint="eastAsia"/>
          <w:szCs w:val="24"/>
        </w:rPr>
        <w:t>1998</w:t>
      </w:r>
      <w:r>
        <w:rPr>
          <w:rFonts w:hint="eastAsia"/>
          <w:szCs w:val="24"/>
        </w:rPr>
        <w:t>年劳动保护法》规定了女工的工作条件，这一点已在上文第</w:t>
      </w:r>
      <w:r>
        <w:rPr>
          <w:rFonts w:hint="eastAsia"/>
          <w:szCs w:val="24"/>
        </w:rPr>
        <w:t>196</w:t>
      </w:r>
      <w:r>
        <w:rPr>
          <w:rFonts w:hint="eastAsia"/>
          <w:szCs w:val="24"/>
        </w:rPr>
        <w:t>段进行过说明。该法也禁止不适合孕妇从事的某些类型的工作；譬如，涉及机器、振动、移动车辆以及搬运或拖拉重量在</w:t>
      </w:r>
      <w:r>
        <w:rPr>
          <w:rFonts w:hint="eastAsia"/>
          <w:szCs w:val="24"/>
        </w:rPr>
        <w:t>15</w:t>
      </w:r>
      <w:r>
        <w:rPr>
          <w:rFonts w:hint="eastAsia"/>
          <w:szCs w:val="24"/>
        </w:rPr>
        <w:t>公斤以上物品的工作；船上工作以及部级规章规定的其他类型的工作。</w:t>
      </w:r>
    </w:p>
    <w:p w:rsidR="00000000" w:rsidRDefault="00B83709">
      <w:pPr>
        <w:numPr>
          <w:ilvl w:val="0"/>
          <w:numId w:val="1049"/>
        </w:numPr>
        <w:tabs>
          <w:tab w:val="clear" w:pos="360"/>
          <w:tab w:val="num" w:pos="480"/>
        </w:tabs>
        <w:spacing w:after="240" w:line="360" w:lineRule="exact"/>
        <w:rPr>
          <w:szCs w:val="24"/>
        </w:rPr>
      </w:pPr>
      <w:r>
        <w:rPr>
          <w:rFonts w:hint="eastAsia"/>
          <w:szCs w:val="24"/>
        </w:rPr>
        <w:t>但是，由于执法不力，仍然存在违法现象。目前，优先重视改善执法，包括提高雇主和雇员的认识，让他们认识工作场所安全的重要性。</w:t>
      </w:r>
    </w:p>
    <w:p w:rsidR="00000000" w:rsidRDefault="00B83709">
      <w:pPr>
        <w:pStyle w:val="Heading3"/>
        <w:numPr>
          <w:ilvl w:val="0"/>
          <w:numId w:val="1131"/>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工作场所的性骚扰</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rFonts w:hint="eastAsia"/>
          <w:szCs w:val="24"/>
        </w:rPr>
        <w:t>1998</w:t>
      </w:r>
      <w:r>
        <w:rPr>
          <w:rFonts w:hint="eastAsia"/>
          <w:szCs w:val="24"/>
        </w:rPr>
        <w:t>年劳动保护法》已予修订，目的是明令禁止</w:t>
      </w:r>
      <w:r>
        <w:rPr>
          <w:rFonts w:hint="eastAsia"/>
          <w:szCs w:val="24"/>
        </w:rPr>
        <w:t>担任主任、主计长或检查员的雇主对女工或童工实施性骚扰。为保护这些人，对罪犯的处罚是不超过</w:t>
      </w:r>
      <w:r>
        <w:rPr>
          <w:szCs w:val="24"/>
        </w:rPr>
        <w:t>20</w:t>
      </w:r>
      <w:r>
        <w:rPr>
          <w:rFonts w:hint="eastAsia"/>
          <w:szCs w:val="24"/>
        </w:rPr>
        <w:t xml:space="preserve"> </w:t>
      </w:r>
      <w:r>
        <w:rPr>
          <w:szCs w:val="24"/>
        </w:rPr>
        <w:t xml:space="preserve">000 </w:t>
      </w:r>
      <w:r>
        <w:rPr>
          <w:rFonts w:hint="eastAsia"/>
          <w:szCs w:val="24"/>
        </w:rPr>
        <w:t>铢的罚款。实际上，本法不能全面执行，原因是实施性骚扰的人通常利用手中的权力威胁受害人，迫使她们忍气吞声，直至找到另一份工作为止。</w:t>
      </w:r>
    </w:p>
    <w:p w:rsidR="00000000" w:rsidRDefault="00B83709">
      <w:pPr>
        <w:pStyle w:val="Heading3"/>
        <w:numPr>
          <w:ilvl w:val="0"/>
          <w:numId w:val="1131"/>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平等报酬</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rFonts w:hint="eastAsia"/>
          <w:szCs w:val="24"/>
        </w:rPr>
        <w:t>1998</w:t>
      </w:r>
      <w:r>
        <w:rPr>
          <w:rFonts w:hint="eastAsia"/>
          <w:szCs w:val="24"/>
        </w:rPr>
        <w:t>年劳动保护法》规定，雇主应对男女雇员一视同仁。处罚是不超过</w:t>
      </w:r>
      <w:r>
        <w:rPr>
          <w:szCs w:val="24"/>
        </w:rPr>
        <w:t>20</w:t>
      </w:r>
      <w:r>
        <w:rPr>
          <w:rFonts w:hint="eastAsia"/>
          <w:szCs w:val="24"/>
        </w:rPr>
        <w:t xml:space="preserve"> </w:t>
      </w:r>
      <w:r>
        <w:rPr>
          <w:szCs w:val="24"/>
        </w:rPr>
        <w:t>000</w:t>
      </w:r>
      <w:r>
        <w:rPr>
          <w:rFonts w:hint="eastAsia"/>
          <w:szCs w:val="24"/>
        </w:rPr>
        <w:t>铢的罚款（第</w:t>
      </w:r>
      <w:r>
        <w:rPr>
          <w:rFonts w:hint="eastAsia"/>
          <w:szCs w:val="24"/>
        </w:rPr>
        <w:t>15</w:t>
      </w:r>
      <w:r>
        <w:rPr>
          <w:rFonts w:hint="eastAsia"/>
          <w:szCs w:val="24"/>
        </w:rPr>
        <w:t>条和第</w:t>
      </w:r>
      <w:r>
        <w:rPr>
          <w:rFonts w:hint="eastAsia"/>
          <w:szCs w:val="24"/>
        </w:rPr>
        <w:t>146</w:t>
      </w:r>
      <w:r>
        <w:rPr>
          <w:rFonts w:hint="eastAsia"/>
          <w:szCs w:val="24"/>
        </w:rPr>
        <w:t>条）。男女雇员从事同等类型和质量的工作，雇主应付给他们同等数额的工资以及加班、节假日和周末津贴。如有违反，最高处以</w:t>
      </w:r>
      <w:r>
        <w:rPr>
          <w:rFonts w:hint="eastAsia"/>
          <w:szCs w:val="24"/>
        </w:rPr>
        <w:t>20 000</w:t>
      </w:r>
      <w:r>
        <w:rPr>
          <w:rFonts w:hint="eastAsia"/>
          <w:szCs w:val="24"/>
        </w:rPr>
        <w:t>铢的罚款（第</w:t>
      </w:r>
      <w:r>
        <w:rPr>
          <w:rFonts w:hint="eastAsia"/>
          <w:szCs w:val="24"/>
        </w:rPr>
        <w:t>53</w:t>
      </w:r>
      <w:r>
        <w:rPr>
          <w:rFonts w:hint="eastAsia"/>
          <w:szCs w:val="24"/>
        </w:rPr>
        <w:t>条和第</w:t>
      </w:r>
      <w:r>
        <w:rPr>
          <w:rFonts w:hint="eastAsia"/>
          <w:szCs w:val="24"/>
        </w:rPr>
        <w:t>146</w:t>
      </w:r>
      <w:r>
        <w:rPr>
          <w:rFonts w:hint="eastAsia"/>
          <w:szCs w:val="24"/>
        </w:rPr>
        <w:t>条）。</w:t>
      </w:r>
    </w:p>
    <w:p w:rsidR="00000000" w:rsidRDefault="00B83709">
      <w:pPr>
        <w:numPr>
          <w:ilvl w:val="0"/>
          <w:numId w:val="1049"/>
        </w:numPr>
        <w:tabs>
          <w:tab w:val="clear" w:pos="360"/>
          <w:tab w:val="num" w:pos="480"/>
        </w:tabs>
        <w:spacing w:after="240" w:line="360" w:lineRule="exact"/>
        <w:rPr>
          <w:szCs w:val="24"/>
        </w:rPr>
      </w:pPr>
      <w:r>
        <w:rPr>
          <w:rFonts w:hint="eastAsia"/>
          <w:szCs w:val="24"/>
        </w:rPr>
        <w:t>劳动和社会福利部的声明规定最低日工资为</w:t>
      </w:r>
      <w:r>
        <w:rPr>
          <w:rFonts w:hint="eastAsia"/>
          <w:szCs w:val="24"/>
        </w:rPr>
        <w:t>133</w:t>
      </w:r>
      <w:r>
        <w:rPr>
          <w:rFonts w:hint="eastAsia"/>
          <w:szCs w:val="24"/>
        </w:rPr>
        <w:t>铢（自</w:t>
      </w:r>
      <w:r>
        <w:rPr>
          <w:rFonts w:hint="eastAsia"/>
          <w:szCs w:val="24"/>
        </w:rPr>
        <w:t>2002</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日起，曼谷及附近地区为每日</w:t>
      </w:r>
      <w:r>
        <w:rPr>
          <w:rFonts w:hint="eastAsia"/>
          <w:szCs w:val="24"/>
        </w:rPr>
        <w:t>165</w:t>
      </w:r>
      <w:r>
        <w:rPr>
          <w:rFonts w:hint="eastAsia"/>
          <w:szCs w:val="24"/>
        </w:rPr>
        <w:t>铢），男女工人均受到这一声明的保护。但实际上，大量男女工人领取的工资仍低于最低工资，原因是执行受到限制。雇主通常通过分包制度规避法律。因此，应对各行业进行更加全面的检查，同时加重对违法雇主的处罚。</w:t>
      </w:r>
    </w:p>
    <w:p w:rsidR="00000000" w:rsidRDefault="00B83709">
      <w:pPr>
        <w:pStyle w:val="Heading3"/>
        <w:numPr>
          <w:ilvl w:val="0"/>
          <w:numId w:val="1131"/>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社会保险</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rFonts w:hint="eastAsia"/>
          <w:szCs w:val="24"/>
        </w:rPr>
        <w:t>1990</w:t>
      </w:r>
      <w:r>
        <w:rPr>
          <w:rFonts w:hint="eastAsia"/>
          <w:szCs w:val="24"/>
        </w:rPr>
        <w:t>年社会保险法》于</w:t>
      </w:r>
      <w:r>
        <w:rPr>
          <w:rFonts w:hint="eastAsia"/>
          <w:szCs w:val="24"/>
        </w:rPr>
        <w:t>1990</w:t>
      </w:r>
      <w:r>
        <w:rPr>
          <w:rFonts w:hint="eastAsia"/>
          <w:szCs w:val="24"/>
        </w:rPr>
        <w:t>年</w:t>
      </w:r>
      <w:r>
        <w:rPr>
          <w:rFonts w:hint="eastAsia"/>
          <w:szCs w:val="24"/>
        </w:rPr>
        <w:t>9</w:t>
      </w:r>
      <w:r>
        <w:rPr>
          <w:rFonts w:hint="eastAsia"/>
          <w:szCs w:val="24"/>
        </w:rPr>
        <w:t>月</w:t>
      </w:r>
      <w:r>
        <w:rPr>
          <w:rFonts w:hint="eastAsia"/>
          <w:szCs w:val="24"/>
        </w:rPr>
        <w:t>2</w:t>
      </w:r>
      <w:r>
        <w:rPr>
          <w:rFonts w:hint="eastAsia"/>
          <w:szCs w:val="24"/>
        </w:rPr>
        <w:t>日生效。该法规定了在生病、生育、残疾、死亡、子女津贴、年老以及失业情况下，给予担保人的津贴补偿金的类型。投保人指起码</w:t>
      </w:r>
      <w:r>
        <w:rPr>
          <w:rFonts w:hint="eastAsia"/>
          <w:szCs w:val="24"/>
        </w:rPr>
        <w:t>15</w:t>
      </w:r>
      <w:r>
        <w:rPr>
          <w:rFonts w:hint="eastAsia"/>
          <w:szCs w:val="24"/>
        </w:rPr>
        <w:t>岁以及不超过</w:t>
      </w:r>
      <w:r>
        <w:rPr>
          <w:rFonts w:hint="eastAsia"/>
          <w:szCs w:val="24"/>
        </w:rPr>
        <w:t>60</w:t>
      </w:r>
      <w:r>
        <w:rPr>
          <w:rFonts w:hint="eastAsia"/>
          <w:szCs w:val="24"/>
        </w:rPr>
        <w:t>岁的雇员。最初，起码有</w:t>
      </w:r>
      <w:r>
        <w:rPr>
          <w:rFonts w:hint="eastAsia"/>
          <w:szCs w:val="24"/>
        </w:rPr>
        <w:t>20</w:t>
      </w:r>
      <w:r>
        <w:rPr>
          <w:rFonts w:hint="eastAsia"/>
          <w:szCs w:val="24"/>
        </w:rPr>
        <w:t>名</w:t>
      </w:r>
      <w:r>
        <w:rPr>
          <w:rFonts w:hint="eastAsia"/>
          <w:szCs w:val="24"/>
        </w:rPr>
        <w:t>雇员的企业执行本法。本法于</w:t>
      </w:r>
      <w:r>
        <w:rPr>
          <w:rFonts w:hint="eastAsia"/>
          <w:szCs w:val="24"/>
        </w:rPr>
        <w:t>1993</w:t>
      </w:r>
      <w:r>
        <w:rPr>
          <w:rFonts w:hint="eastAsia"/>
          <w:szCs w:val="24"/>
        </w:rPr>
        <w:t>年修订，以便将起码有</w:t>
      </w:r>
      <w:r>
        <w:rPr>
          <w:rFonts w:hint="eastAsia"/>
          <w:szCs w:val="24"/>
        </w:rPr>
        <w:t>10</w:t>
      </w:r>
      <w:r>
        <w:rPr>
          <w:rFonts w:hint="eastAsia"/>
          <w:szCs w:val="24"/>
        </w:rPr>
        <w:t>名雇员的企业包括在内，此后（自</w:t>
      </w:r>
      <w:r>
        <w:rPr>
          <w:rFonts w:hint="eastAsia"/>
          <w:szCs w:val="24"/>
        </w:rPr>
        <w:t>2002</w:t>
      </w:r>
      <w:r>
        <w:rPr>
          <w:rFonts w:hint="eastAsia"/>
          <w:szCs w:val="24"/>
        </w:rPr>
        <w:t>年</w:t>
      </w:r>
      <w:r>
        <w:rPr>
          <w:rFonts w:hint="eastAsia"/>
          <w:szCs w:val="24"/>
        </w:rPr>
        <w:t>4</w:t>
      </w:r>
      <w:r>
        <w:rPr>
          <w:rFonts w:hint="eastAsia"/>
          <w:szCs w:val="24"/>
        </w:rPr>
        <w:t>月起）在起码有一名雇员的企业执行。雇主和雇员应按月向保险基金缴纳保险费，金额为工资的</w:t>
      </w:r>
      <w:r>
        <w:rPr>
          <w:rFonts w:hint="eastAsia"/>
          <w:szCs w:val="24"/>
        </w:rPr>
        <w:t>3%</w:t>
      </w:r>
      <w:r>
        <w:rPr>
          <w:rFonts w:hint="eastAsia"/>
          <w:szCs w:val="24"/>
        </w:rPr>
        <w:t>（</w:t>
      </w:r>
      <w:r>
        <w:rPr>
          <w:rFonts w:hint="eastAsia"/>
          <w:szCs w:val="24"/>
        </w:rPr>
        <w:t>2001</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日至</w:t>
      </w:r>
      <w:r>
        <w:rPr>
          <w:rFonts w:hint="eastAsia"/>
          <w:szCs w:val="24"/>
        </w:rPr>
        <w:t>2002</w:t>
      </w:r>
      <w:r>
        <w:rPr>
          <w:rFonts w:hint="eastAsia"/>
          <w:szCs w:val="24"/>
        </w:rPr>
        <w:t>年</w:t>
      </w:r>
      <w:r>
        <w:rPr>
          <w:rFonts w:hint="eastAsia"/>
          <w:szCs w:val="24"/>
        </w:rPr>
        <w:t>12</w:t>
      </w:r>
      <w:r>
        <w:rPr>
          <w:rFonts w:hint="eastAsia"/>
          <w:szCs w:val="24"/>
        </w:rPr>
        <w:t>月</w:t>
      </w:r>
      <w:r>
        <w:rPr>
          <w:rFonts w:hint="eastAsia"/>
          <w:szCs w:val="24"/>
        </w:rPr>
        <w:t>31</w:t>
      </w:r>
      <w:r>
        <w:rPr>
          <w:rFonts w:hint="eastAsia"/>
          <w:szCs w:val="24"/>
        </w:rPr>
        <w:t>日），政府也将缴纳额外的保险费。</w:t>
      </w:r>
    </w:p>
    <w:p w:rsidR="00000000" w:rsidRDefault="00B83709">
      <w:pPr>
        <w:numPr>
          <w:ilvl w:val="0"/>
          <w:numId w:val="1049"/>
        </w:numPr>
        <w:tabs>
          <w:tab w:val="clear" w:pos="360"/>
          <w:tab w:val="num" w:pos="480"/>
        </w:tabs>
        <w:spacing w:after="240" w:line="360" w:lineRule="exact"/>
        <w:rPr>
          <w:szCs w:val="24"/>
        </w:rPr>
      </w:pPr>
      <w:r>
        <w:rPr>
          <w:rFonts w:hint="eastAsia"/>
          <w:szCs w:val="24"/>
        </w:rPr>
        <w:t>承保范围的扩大将投保人的数量从</w:t>
      </w:r>
      <w:r>
        <w:rPr>
          <w:rFonts w:hint="eastAsia"/>
          <w:szCs w:val="24"/>
        </w:rPr>
        <w:t>586</w:t>
      </w:r>
      <w:r>
        <w:rPr>
          <w:rFonts w:hint="eastAsia"/>
          <w:szCs w:val="24"/>
        </w:rPr>
        <w:t>万（</w:t>
      </w:r>
      <w:r>
        <w:rPr>
          <w:rFonts w:hint="eastAsia"/>
          <w:szCs w:val="24"/>
        </w:rPr>
        <w:t>2001</w:t>
      </w:r>
      <w:r>
        <w:rPr>
          <w:rFonts w:hint="eastAsia"/>
          <w:szCs w:val="24"/>
        </w:rPr>
        <w:t>年</w:t>
      </w:r>
      <w:r>
        <w:rPr>
          <w:rFonts w:hint="eastAsia"/>
          <w:szCs w:val="24"/>
        </w:rPr>
        <w:t>12</w:t>
      </w:r>
      <w:r>
        <w:rPr>
          <w:rFonts w:hint="eastAsia"/>
          <w:szCs w:val="24"/>
        </w:rPr>
        <w:t>月）增至</w:t>
      </w:r>
      <w:r>
        <w:rPr>
          <w:szCs w:val="24"/>
        </w:rPr>
        <w:t>944</w:t>
      </w:r>
      <w:r>
        <w:rPr>
          <w:rFonts w:hint="eastAsia"/>
          <w:szCs w:val="24"/>
        </w:rPr>
        <w:t>万，并且将投保机构的数量从</w:t>
      </w:r>
      <w:r>
        <w:rPr>
          <w:szCs w:val="24"/>
        </w:rPr>
        <w:t>110</w:t>
      </w:r>
      <w:r>
        <w:rPr>
          <w:rFonts w:hint="eastAsia"/>
          <w:szCs w:val="24"/>
        </w:rPr>
        <w:t xml:space="preserve"> </w:t>
      </w:r>
      <w:r>
        <w:rPr>
          <w:szCs w:val="24"/>
        </w:rPr>
        <w:t>814</w:t>
      </w:r>
      <w:r>
        <w:rPr>
          <w:rFonts w:hint="eastAsia"/>
          <w:szCs w:val="24"/>
        </w:rPr>
        <w:t>增至约</w:t>
      </w:r>
      <w:r>
        <w:rPr>
          <w:szCs w:val="24"/>
        </w:rPr>
        <w:t>135</w:t>
      </w:r>
      <w:r>
        <w:rPr>
          <w:rFonts w:hint="eastAsia"/>
          <w:szCs w:val="24"/>
        </w:rPr>
        <w:t>万，覆盖</w:t>
      </w:r>
      <w:r>
        <w:rPr>
          <w:szCs w:val="24"/>
        </w:rPr>
        <w:t>30%</w:t>
      </w:r>
      <w:r>
        <w:rPr>
          <w:rFonts w:hint="eastAsia"/>
          <w:szCs w:val="24"/>
        </w:rPr>
        <w:t>的劳动力（以前为</w:t>
      </w:r>
      <w:r>
        <w:rPr>
          <w:rFonts w:hint="eastAsia"/>
          <w:szCs w:val="24"/>
        </w:rPr>
        <w:t>18%</w:t>
      </w:r>
      <w:r>
        <w:rPr>
          <w:rFonts w:hint="eastAsia"/>
          <w:szCs w:val="24"/>
        </w:rPr>
        <w:t>）。扩大了的承保范围不仅包括投保人的健康，而且还包括其他福利，如残疾、死亡（与工作有关的残疾</w:t>
      </w:r>
      <w:r>
        <w:rPr>
          <w:rFonts w:hint="eastAsia"/>
          <w:szCs w:val="24"/>
        </w:rPr>
        <w:t>和死亡以及与工作无关的残疾和死亡）、分娩、子女津贴和年老。在将承保范围扩大到失业人员方面，社会保险委员会核准一种模式、条件、标准以及实施方式。该委员会还通过建立同各有关组织协调的数据通信网络，建立了信息系统。疾病津贴也已扩大到涵盖更多类型的疾病，并将一年</w:t>
      </w:r>
      <w:r>
        <w:rPr>
          <w:rFonts w:hint="eastAsia"/>
          <w:szCs w:val="24"/>
        </w:rPr>
        <w:t>180</w:t>
      </w:r>
      <w:r>
        <w:rPr>
          <w:rFonts w:hint="eastAsia"/>
          <w:szCs w:val="24"/>
        </w:rPr>
        <w:t>天的住院期扩大到</w:t>
      </w:r>
      <w:r>
        <w:rPr>
          <w:rFonts w:hint="eastAsia"/>
          <w:szCs w:val="24"/>
        </w:rPr>
        <w:t>180</w:t>
      </w:r>
      <w:r>
        <w:rPr>
          <w:rFonts w:hint="eastAsia"/>
          <w:szCs w:val="24"/>
        </w:rPr>
        <w:t>天以上。</w:t>
      </w:r>
    </w:p>
    <w:p w:rsidR="00000000" w:rsidRDefault="00B83709">
      <w:pPr>
        <w:numPr>
          <w:ilvl w:val="0"/>
          <w:numId w:val="1049"/>
        </w:numPr>
        <w:tabs>
          <w:tab w:val="clear" w:pos="360"/>
          <w:tab w:val="num" w:pos="480"/>
        </w:tabs>
        <w:spacing w:after="240" w:line="360" w:lineRule="exact"/>
        <w:rPr>
          <w:szCs w:val="24"/>
        </w:rPr>
      </w:pPr>
      <w:r>
        <w:rPr>
          <w:rFonts w:hint="eastAsia"/>
          <w:szCs w:val="24"/>
        </w:rPr>
        <w:t>泰国的社会保险保护正规部门的工人，而占泰国劳动力大多数的农业部门和非正规部门的工人以及家庭佣工仍得不到保护。尽管法律准许非正规部门的工人通过缴纳双倍保险费自愿参保，而且政府同时为他们缴纳另外一部分保险费，但由于他们的收入</w:t>
      </w:r>
      <w:r>
        <w:rPr>
          <w:rFonts w:hint="eastAsia"/>
          <w:szCs w:val="24"/>
        </w:rPr>
        <w:t>既低又不稳定，因而不愿意参加社会保险体系。</w:t>
      </w:r>
    </w:p>
    <w:p w:rsidR="00000000" w:rsidRDefault="00B83709">
      <w:pPr>
        <w:numPr>
          <w:ilvl w:val="0"/>
          <w:numId w:val="1049"/>
        </w:numPr>
        <w:tabs>
          <w:tab w:val="clear" w:pos="360"/>
          <w:tab w:val="num" w:pos="480"/>
        </w:tabs>
        <w:spacing w:after="240" w:line="360" w:lineRule="exact"/>
        <w:rPr>
          <w:szCs w:val="24"/>
        </w:rPr>
      </w:pPr>
      <w:r>
        <w:rPr>
          <w:rFonts w:hint="eastAsia"/>
          <w:szCs w:val="24"/>
        </w:rPr>
        <w:t>不过，劳动和社会福利部通过颁布法律公平地防止对他们的生活和工作条件构成障碍的情形，努力将家庭佣工纳入社会保险体系。目前正在起草这方面的法律。</w:t>
      </w:r>
    </w:p>
    <w:p w:rsidR="00000000" w:rsidRDefault="00B83709">
      <w:pPr>
        <w:spacing w:after="240" w:line="360" w:lineRule="exact"/>
        <w:rPr>
          <w:rFonts w:eastAsia="SimHei" w:hint="eastAsia"/>
          <w:color w:val="FF0000"/>
        </w:rPr>
      </w:pPr>
      <w:r>
        <w:rPr>
          <w:rFonts w:eastAsia="SimHei" w:hint="eastAsia"/>
          <w:color w:val="FF0000"/>
        </w:rPr>
        <w:t>怀孕和工作</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泰国法律保护孕妇的规定如下。</w:t>
      </w:r>
    </w:p>
    <w:p w:rsidR="00000000" w:rsidRDefault="00B83709" w:rsidP="00B83709">
      <w:pPr>
        <w:spacing w:after="240" w:line="360" w:lineRule="exact"/>
        <w:ind w:firstLineChars="200" w:firstLine="31680"/>
        <w:rPr>
          <w:szCs w:val="24"/>
        </w:rPr>
      </w:pPr>
      <w:r>
        <w:rPr>
          <w:rFonts w:hint="eastAsia"/>
          <w:szCs w:val="24"/>
        </w:rPr>
        <w:t>（</w:t>
      </w:r>
      <w:r>
        <w:rPr>
          <w:rFonts w:hint="eastAsia"/>
          <w:szCs w:val="24"/>
        </w:rPr>
        <w:t>1</w:t>
      </w:r>
      <w:r>
        <w:rPr>
          <w:rFonts w:hint="eastAsia"/>
          <w:szCs w:val="24"/>
        </w:rPr>
        <w:t>）怀孕雇员出具医院证明证明其不再能够继续履行正常职责的，可要求临时调动（生育前后）。雇主应为她们安排更为合适的职位。如果雇主拒不遵守规定，应处最高</w:t>
      </w:r>
      <w:r>
        <w:rPr>
          <w:rFonts w:hint="eastAsia"/>
          <w:szCs w:val="24"/>
        </w:rPr>
        <w:t>6</w:t>
      </w:r>
      <w:r>
        <w:rPr>
          <w:rFonts w:hint="eastAsia"/>
          <w:szCs w:val="24"/>
        </w:rPr>
        <w:t>个月的监禁、最高</w:t>
      </w:r>
      <w:r>
        <w:rPr>
          <w:szCs w:val="24"/>
        </w:rPr>
        <w:t>100</w:t>
      </w:r>
      <w:r>
        <w:rPr>
          <w:rFonts w:hint="eastAsia"/>
          <w:szCs w:val="24"/>
        </w:rPr>
        <w:t xml:space="preserve"> </w:t>
      </w:r>
      <w:r>
        <w:rPr>
          <w:szCs w:val="24"/>
        </w:rPr>
        <w:t>000</w:t>
      </w:r>
      <w:r>
        <w:rPr>
          <w:rFonts w:hint="eastAsia"/>
          <w:szCs w:val="24"/>
        </w:rPr>
        <w:t>铢的罚款，或者两项并处（第</w:t>
      </w:r>
      <w:r>
        <w:rPr>
          <w:rFonts w:hint="eastAsia"/>
          <w:szCs w:val="24"/>
        </w:rPr>
        <w:t>42</w:t>
      </w:r>
      <w:r>
        <w:rPr>
          <w:rFonts w:hint="eastAsia"/>
          <w:szCs w:val="24"/>
        </w:rPr>
        <w:t>条和第</w:t>
      </w:r>
      <w:r>
        <w:rPr>
          <w:rFonts w:hint="eastAsia"/>
          <w:szCs w:val="24"/>
        </w:rPr>
        <w:t>144</w:t>
      </w:r>
      <w:r>
        <w:rPr>
          <w:rFonts w:hint="eastAsia"/>
          <w:szCs w:val="24"/>
        </w:rPr>
        <w:t>条）。</w:t>
      </w:r>
    </w:p>
    <w:p w:rsidR="00000000" w:rsidRDefault="00B83709" w:rsidP="00B83709">
      <w:pPr>
        <w:spacing w:after="240" w:line="360" w:lineRule="exact"/>
        <w:ind w:firstLineChars="200" w:firstLine="31680"/>
        <w:rPr>
          <w:szCs w:val="24"/>
        </w:rPr>
      </w:pPr>
      <w:r>
        <w:rPr>
          <w:rFonts w:hint="eastAsia"/>
          <w:szCs w:val="24"/>
        </w:rPr>
        <w:t>（</w:t>
      </w:r>
      <w:r>
        <w:rPr>
          <w:rFonts w:hint="eastAsia"/>
          <w:szCs w:val="24"/>
        </w:rPr>
        <w:t>2</w:t>
      </w:r>
      <w:r>
        <w:rPr>
          <w:rFonts w:hint="eastAsia"/>
          <w:szCs w:val="24"/>
        </w:rPr>
        <w:t>）雇主不得因怀孕解雇雇员。雇主有该等行为的，应处</w:t>
      </w:r>
      <w:r>
        <w:rPr>
          <w:rFonts w:hint="eastAsia"/>
          <w:szCs w:val="24"/>
        </w:rPr>
        <w:t>以最高</w:t>
      </w:r>
      <w:r>
        <w:rPr>
          <w:rFonts w:hint="eastAsia"/>
          <w:szCs w:val="24"/>
        </w:rPr>
        <w:t>6</w:t>
      </w:r>
      <w:r>
        <w:rPr>
          <w:rFonts w:hint="eastAsia"/>
          <w:szCs w:val="24"/>
        </w:rPr>
        <w:t>个月的监禁，最高</w:t>
      </w:r>
      <w:r>
        <w:rPr>
          <w:rFonts w:hint="eastAsia"/>
          <w:szCs w:val="24"/>
        </w:rPr>
        <w:t>100 000</w:t>
      </w:r>
      <w:r>
        <w:rPr>
          <w:rFonts w:hint="eastAsia"/>
          <w:szCs w:val="24"/>
        </w:rPr>
        <w:t>铢的罚款，或者两项并处（第</w:t>
      </w:r>
      <w:r>
        <w:rPr>
          <w:rFonts w:hint="eastAsia"/>
          <w:szCs w:val="24"/>
        </w:rPr>
        <w:t>43</w:t>
      </w:r>
      <w:r>
        <w:rPr>
          <w:rFonts w:hint="eastAsia"/>
          <w:szCs w:val="24"/>
        </w:rPr>
        <w:t>条和第</w:t>
      </w:r>
      <w:r>
        <w:rPr>
          <w:rFonts w:hint="eastAsia"/>
          <w:szCs w:val="24"/>
        </w:rPr>
        <w:t>144</w:t>
      </w:r>
      <w:r>
        <w:rPr>
          <w:rFonts w:hint="eastAsia"/>
          <w:szCs w:val="24"/>
        </w:rPr>
        <w:t>条）。</w:t>
      </w:r>
    </w:p>
    <w:p w:rsidR="00000000" w:rsidRDefault="00B83709" w:rsidP="00B83709">
      <w:pPr>
        <w:spacing w:after="240" w:line="360" w:lineRule="exact"/>
        <w:ind w:firstLineChars="200" w:firstLine="31680"/>
        <w:rPr>
          <w:szCs w:val="24"/>
        </w:rPr>
      </w:pPr>
      <w:r>
        <w:rPr>
          <w:rFonts w:hint="eastAsia"/>
          <w:szCs w:val="24"/>
        </w:rPr>
        <w:t>（</w:t>
      </w:r>
      <w:r>
        <w:rPr>
          <w:rFonts w:hint="eastAsia"/>
          <w:szCs w:val="24"/>
        </w:rPr>
        <w:t>3</w:t>
      </w:r>
      <w:r>
        <w:rPr>
          <w:rFonts w:hint="eastAsia"/>
          <w:szCs w:val="24"/>
        </w:rPr>
        <w:t>）孕妇有权在生育前后休产假，每次怀孕的产假不超过</w:t>
      </w:r>
      <w:r>
        <w:rPr>
          <w:rFonts w:hint="eastAsia"/>
          <w:szCs w:val="24"/>
        </w:rPr>
        <w:t>90</w:t>
      </w:r>
      <w:r>
        <w:rPr>
          <w:rFonts w:hint="eastAsia"/>
          <w:szCs w:val="24"/>
        </w:rPr>
        <w:t>天。这一期限包括产假期间的周末（第</w:t>
      </w:r>
      <w:r>
        <w:rPr>
          <w:rFonts w:hint="eastAsia"/>
          <w:szCs w:val="24"/>
        </w:rPr>
        <w:t>41</w:t>
      </w:r>
      <w:r>
        <w:rPr>
          <w:rFonts w:hint="eastAsia"/>
          <w:szCs w:val="24"/>
        </w:rPr>
        <w:t>条）。雇员有权休</w:t>
      </w:r>
      <w:r>
        <w:rPr>
          <w:rFonts w:hint="eastAsia"/>
          <w:szCs w:val="24"/>
        </w:rPr>
        <w:t>45</w:t>
      </w:r>
      <w:r>
        <w:rPr>
          <w:rFonts w:hint="eastAsia"/>
          <w:szCs w:val="24"/>
        </w:rPr>
        <w:t>天的带薪产假。</w:t>
      </w:r>
    </w:p>
    <w:p w:rsidR="00000000" w:rsidRDefault="00B83709" w:rsidP="00B83709">
      <w:pPr>
        <w:spacing w:after="240" w:line="360" w:lineRule="exact"/>
        <w:ind w:firstLineChars="200" w:firstLine="31680"/>
        <w:rPr>
          <w:szCs w:val="24"/>
        </w:rPr>
      </w:pPr>
      <w:r>
        <w:rPr>
          <w:rFonts w:hint="eastAsia"/>
          <w:szCs w:val="24"/>
        </w:rPr>
        <w:t>（</w:t>
      </w:r>
      <w:r>
        <w:rPr>
          <w:rFonts w:hint="eastAsia"/>
          <w:szCs w:val="24"/>
        </w:rPr>
        <w:t>4</w:t>
      </w:r>
      <w:r>
        <w:rPr>
          <w:rFonts w:hint="eastAsia"/>
          <w:szCs w:val="24"/>
        </w:rPr>
        <w:t>）禁止让孕妇从事</w:t>
      </w:r>
      <w:r>
        <w:rPr>
          <w:szCs w:val="24"/>
        </w:rPr>
        <w:t>22.00</w:t>
      </w:r>
      <w:r>
        <w:rPr>
          <w:rFonts w:hint="eastAsia"/>
          <w:szCs w:val="24"/>
        </w:rPr>
        <w:t>时到</w:t>
      </w:r>
      <w:r>
        <w:rPr>
          <w:szCs w:val="24"/>
        </w:rPr>
        <w:t>06.00</w:t>
      </w:r>
      <w:r>
        <w:rPr>
          <w:rFonts w:hint="eastAsia"/>
          <w:szCs w:val="24"/>
        </w:rPr>
        <w:t>时的工作；加班或在周末工作；使用振动的机器</w:t>
      </w:r>
      <w:r>
        <w:rPr>
          <w:rFonts w:hint="eastAsia"/>
          <w:szCs w:val="24"/>
        </w:rPr>
        <w:t>/</w:t>
      </w:r>
      <w:r>
        <w:rPr>
          <w:rFonts w:hint="eastAsia"/>
          <w:szCs w:val="24"/>
        </w:rPr>
        <w:t>发动机工作；在船上工作；或从事部级规章制度规定的其他类型的工作。违反该等规定的雇主应处以最高</w:t>
      </w:r>
      <w:r>
        <w:rPr>
          <w:rFonts w:hint="eastAsia"/>
          <w:szCs w:val="24"/>
        </w:rPr>
        <w:t>6</w:t>
      </w:r>
      <w:r>
        <w:rPr>
          <w:rFonts w:hint="eastAsia"/>
          <w:szCs w:val="24"/>
        </w:rPr>
        <w:t>个月的监禁、最高</w:t>
      </w:r>
      <w:r>
        <w:rPr>
          <w:rFonts w:hint="eastAsia"/>
          <w:szCs w:val="24"/>
        </w:rPr>
        <w:t>100 000</w:t>
      </w:r>
      <w:r>
        <w:rPr>
          <w:rFonts w:hint="eastAsia"/>
          <w:szCs w:val="24"/>
        </w:rPr>
        <w:t>铢的罚款，或者两项并处（第</w:t>
      </w:r>
      <w:r>
        <w:rPr>
          <w:rFonts w:hint="eastAsia"/>
          <w:szCs w:val="24"/>
        </w:rPr>
        <w:t>39</w:t>
      </w:r>
      <w:r>
        <w:rPr>
          <w:rFonts w:hint="eastAsia"/>
          <w:szCs w:val="24"/>
        </w:rPr>
        <w:t>条和第</w:t>
      </w:r>
      <w:r>
        <w:rPr>
          <w:rFonts w:hint="eastAsia"/>
          <w:szCs w:val="24"/>
        </w:rPr>
        <w:t>144</w:t>
      </w:r>
      <w:r>
        <w:rPr>
          <w:rFonts w:hint="eastAsia"/>
          <w:szCs w:val="24"/>
        </w:rPr>
        <w:t>条）。怀孕雇员担任行政管理人员或学者，或</w:t>
      </w:r>
      <w:r>
        <w:rPr>
          <w:rFonts w:hint="eastAsia"/>
          <w:szCs w:val="24"/>
        </w:rPr>
        <w:t>者担任办事员或财会职务的，若本人自愿加班并将加班决定通知雇主后，可以加班。如果雇主未征得这类人同意而强迫他们加班，应视其罪行的严重程度加以处罚。（《</w:t>
      </w:r>
      <w:r>
        <w:rPr>
          <w:rFonts w:hint="eastAsia"/>
          <w:szCs w:val="24"/>
        </w:rPr>
        <w:t>1998</w:t>
      </w:r>
      <w:r>
        <w:rPr>
          <w:rFonts w:hint="eastAsia"/>
          <w:szCs w:val="24"/>
        </w:rPr>
        <w:t>年劳动保护法》规定的处罚增至最高</w:t>
      </w:r>
      <w:r>
        <w:rPr>
          <w:rFonts w:hint="eastAsia"/>
          <w:szCs w:val="24"/>
        </w:rPr>
        <w:t>6</w:t>
      </w:r>
      <w:r>
        <w:rPr>
          <w:rFonts w:hint="eastAsia"/>
          <w:szCs w:val="24"/>
        </w:rPr>
        <w:t>个月的监禁、或</w:t>
      </w:r>
      <w:r>
        <w:rPr>
          <w:rFonts w:hint="eastAsia"/>
          <w:szCs w:val="24"/>
        </w:rPr>
        <w:t>2 000</w:t>
      </w:r>
      <w:r>
        <w:rPr>
          <w:rFonts w:hint="eastAsia"/>
          <w:szCs w:val="24"/>
        </w:rPr>
        <w:t>铢的罚款。）</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第十二条：保健</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缔约各国应采取一切适当措施以消除在保健方面对妇女的歧视，保证她们在男女平等的基础上取得的各种保健服务，包括有关计划生育的保健服务。</w:t>
      </w:r>
      <w:r>
        <w:rPr>
          <w:rFonts w:eastAsia="KaiTi_GB2312"/>
          <w:color w:val="0000FF"/>
          <w:szCs w:val="24"/>
        </w:rPr>
        <w:t xml:space="preserve"> </w:t>
      </w:r>
    </w:p>
    <w:p w:rsidR="00000000" w:rsidRDefault="00B83709">
      <w:pPr>
        <w:spacing w:after="240" w:line="360" w:lineRule="exact"/>
        <w:rPr>
          <w:rFonts w:eastAsia="KaiTi_GB2312"/>
          <w:color w:val="0000FF"/>
          <w:szCs w:val="24"/>
        </w:rPr>
      </w:pPr>
      <w:r>
        <w:rPr>
          <w:rFonts w:eastAsia="KaiTi_GB2312"/>
          <w:color w:val="0000FF"/>
          <w:szCs w:val="24"/>
        </w:rPr>
        <w:t>    </w:t>
      </w:r>
      <w:r>
        <w:rPr>
          <w:rFonts w:eastAsia="KaiTi_GB2312" w:hint="eastAsia"/>
          <w:color w:val="0000FF"/>
          <w:szCs w:val="24"/>
        </w:rPr>
        <w:t xml:space="preserve">　</w:t>
      </w:r>
      <w:r>
        <w:rPr>
          <w:rFonts w:eastAsia="KaiTi_GB2312"/>
          <w:color w:val="0000FF"/>
          <w:szCs w:val="24"/>
        </w:rPr>
        <w:t>尽管有本条第</w:t>
      </w:r>
      <w:r>
        <w:rPr>
          <w:rFonts w:eastAsia="KaiTi_GB2312"/>
          <w:color w:val="0000FF"/>
          <w:szCs w:val="24"/>
        </w:rPr>
        <w:t>1</w:t>
      </w:r>
      <w:r>
        <w:rPr>
          <w:rFonts w:eastAsia="KaiTi_GB2312"/>
          <w:color w:val="0000FF"/>
          <w:szCs w:val="24"/>
        </w:rPr>
        <w:t>款的规定，缔约各国应保证为妇女提供有关怀孕、分娩和产后期间的适当服务，于必要时给予免费服务，并保证在怀孕和哺乳</w:t>
      </w:r>
      <w:r>
        <w:rPr>
          <w:rFonts w:eastAsia="KaiTi_GB2312"/>
          <w:color w:val="0000FF"/>
          <w:szCs w:val="24"/>
        </w:rPr>
        <w:t>期间得到充分营养。</w:t>
      </w:r>
      <w:r>
        <w:rPr>
          <w:rFonts w:eastAsia="KaiTi_GB2312"/>
          <w:color w:val="0000FF"/>
          <w:szCs w:val="24"/>
        </w:rPr>
        <w:t xml:space="preserve"> </w:t>
      </w:r>
    </w:p>
    <w:p w:rsidR="00000000" w:rsidRDefault="00B83709">
      <w:pPr>
        <w:spacing w:after="240" w:line="360" w:lineRule="exact"/>
        <w:rPr>
          <w:rFonts w:eastAsia="SimHei" w:hint="eastAsia"/>
          <w:color w:val="FF0000"/>
        </w:rPr>
      </w:pPr>
      <w:r>
        <w:rPr>
          <w:rFonts w:eastAsia="SimHei" w:hint="eastAsia"/>
          <w:color w:val="FF0000"/>
        </w:rPr>
        <w:t>保健</w:t>
      </w:r>
      <w:r>
        <w:rPr>
          <w:rFonts w:eastAsia="SimHei" w:hint="eastAsia"/>
          <w:color w:val="FF0000"/>
        </w:rPr>
        <w:t>/</w:t>
      </w:r>
      <w:r>
        <w:rPr>
          <w:rFonts w:eastAsia="SimHei" w:hint="eastAsia"/>
          <w:color w:val="FF0000"/>
        </w:rPr>
        <w:t>促进健康</w:t>
      </w:r>
    </w:p>
    <w:p w:rsidR="00000000" w:rsidRDefault="00B83709">
      <w:pPr>
        <w:numPr>
          <w:ilvl w:val="0"/>
          <w:numId w:val="1049"/>
        </w:numPr>
        <w:tabs>
          <w:tab w:val="clear" w:pos="360"/>
          <w:tab w:val="num" w:pos="480"/>
        </w:tabs>
        <w:spacing w:after="240" w:line="360" w:lineRule="exact"/>
        <w:rPr>
          <w:szCs w:val="24"/>
        </w:rPr>
      </w:pPr>
      <w:r>
        <w:rPr>
          <w:rFonts w:hint="eastAsia"/>
          <w:szCs w:val="24"/>
        </w:rPr>
        <w:t>政府决心通过改革卫生体制为全体泰国人民提供卫生和保护性服务，目的是削减国家在公共卫生方面的开支总额，降低保健治疗费用，并为全体人民提供平等取得标准医疗和公共卫生服务的保险和机会。卫生体制改革依照《国家卫生法》进行，这部法律是改善泰国人民健康的框架，目前正在进行二次起草。此外，政府还宣布</w:t>
      </w:r>
      <w:r>
        <w:rPr>
          <w:rFonts w:hint="eastAsia"/>
          <w:szCs w:val="24"/>
        </w:rPr>
        <w:t>2002</w:t>
      </w:r>
      <w:r>
        <w:rPr>
          <w:rFonts w:hint="eastAsia"/>
          <w:szCs w:val="24"/>
        </w:rPr>
        <w:t>年为促进健康年。</w:t>
      </w:r>
    </w:p>
    <w:p w:rsidR="00000000" w:rsidRDefault="00B83709">
      <w:pPr>
        <w:numPr>
          <w:ilvl w:val="0"/>
          <w:numId w:val="1049"/>
        </w:numPr>
        <w:tabs>
          <w:tab w:val="clear" w:pos="360"/>
          <w:tab w:val="num" w:pos="480"/>
        </w:tabs>
        <w:spacing w:after="240" w:line="360" w:lineRule="exact"/>
        <w:rPr>
          <w:szCs w:val="24"/>
        </w:rPr>
      </w:pPr>
      <w:r>
        <w:rPr>
          <w:rFonts w:hint="eastAsia"/>
          <w:szCs w:val="24"/>
        </w:rPr>
        <w:t>“人人享有健康保险”政策又称为为所有疾病提供</w:t>
      </w:r>
      <w:r>
        <w:rPr>
          <w:rFonts w:hint="eastAsia"/>
          <w:szCs w:val="24"/>
        </w:rPr>
        <w:t>30</w:t>
      </w:r>
      <w:r>
        <w:rPr>
          <w:rFonts w:hint="eastAsia"/>
          <w:szCs w:val="24"/>
        </w:rPr>
        <w:t>铢的方案。这项政策保障泰国人民人人有权取得医疗服务以及促进健康、控制和预防疾病的服务。根据这个方案，每次上门健康服</w:t>
      </w:r>
      <w:r>
        <w:rPr>
          <w:rFonts w:hint="eastAsia"/>
          <w:szCs w:val="24"/>
        </w:rPr>
        <w:t>务收取</w:t>
      </w:r>
      <w:r>
        <w:rPr>
          <w:rFonts w:hint="eastAsia"/>
          <w:szCs w:val="24"/>
        </w:rPr>
        <w:t>30</w:t>
      </w:r>
      <w:r>
        <w:rPr>
          <w:rFonts w:hint="eastAsia"/>
          <w:szCs w:val="24"/>
        </w:rPr>
        <w:t>铢的低廉费用。免于支付这笔费用的人士包括</w:t>
      </w:r>
      <w:r>
        <w:rPr>
          <w:rFonts w:hint="eastAsia"/>
          <w:szCs w:val="24"/>
        </w:rPr>
        <w:t>60</w:t>
      </w:r>
      <w:r>
        <w:rPr>
          <w:rFonts w:hint="eastAsia"/>
          <w:szCs w:val="24"/>
        </w:rPr>
        <w:t>岁以上老人或</w:t>
      </w:r>
      <w:r>
        <w:rPr>
          <w:rFonts w:hint="eastAsia"/>
          <w:szCs w:val="24"/>
        </w:rPr>
        <w:t>12</w:t>
      </w:r>
      <w:r>
        <w:rPr>
          <w:rFonts w:hint="eastAsia"/>
          <w:szCs w:val="24"/>
        </w:rPr>
        <w:t>岁以下儿童、残疾人、和尚及其他宗教领袖、社区领导人、参战老兵以及月收入不到</w:t>
      </w:r>
      <w:r>
        <w:rPr>
          <w:rFonts w:hint="eastAsia"/>
          <w:szCs w:val="24"/>
        </w:rPr>
        <w:t>3 000</w:t>
      </w:r>
      <w:r>
        <w:rPr>
          <w:rFonts w:hint="eastAsia"/>
          <w:szCs w:val="24"/>
        </w:rPr>
        <w:t>铢的人。本方案涵盖治疗、一般健康检查、怀孕、分娩、计划生育和绝育、牙科保健、基本疫苗接种、伤口清洗和包扎以及普通患者的住院和食物。</w:t>
      </w:r>
    </w:p>
    <w:p w:rsidR="00000000" w:rsidRDefault="00B83709">
      <w:pPr>
        <w:numPr>
          <w:ilvl w:val="0"/>
          <w:numId w:val="1049"/>
        </w:numPr>
        <w:tabs>
          <w:tab w:val="clear" w:pos="360"/>
          <w:tab w:val="num" w:pos="480"/>
        </w:tabs>
        <w:spacing w:after="240" w:line="360" w:lineRule="exact"/>
        <w:rPr>
          <w:szCs w:val="24"/>
        </w:rPr>
      </w:pPr>
      <w:r>
        <w:rPr>
          <w:rFonts w:hint="eastAsia"/>
          <w:szCs w:val="24"/>
        </w:rPr>
        <w:t>目前，泰国取得行医证明的男医生约有</w:t>
      </w:r>
      <w:r>
        <w:rPr>
          <w:szCs w:val="24"/>
        </w:rPr>
        <w:t>15</w:t>
      </w:r>
      <w:r>
        <w:rPr>
          <w:rFonts w:hint="eastAsia"/>
          <w:szCs w:val="24"/>
        </w:rPr>
        <w:t xml:space="preserve"> </w:t>
      </w:r>
      <w:r>
        <w:rPr>
          <w:szCs w:val="24"/>
        </w:rPr>
        <w:t>000</w:t>
      </w:r>
      <w:r>
        <w:rPr>
          <w:rFonts w:hint="eastAsia"/>
          <w:szCs w:val="24"/>
        </w:rPr>
        <w:t>名，女医生</w:t>
      </w:r>
      <w:r>
        <w:rPr>
          <w:szCs w:val="24"/>
        </w:rPr>
        <w:t>5</w:t>
      </w:r>
      <w:r>
        <w:rPr>
          <w:rFonts w:hint="eastAsia"/>
          <w:szCs w:val="24"/>
        </w:rPr>
        <w:t xml:space="preserve"> </w:t>
      </w:r>
      <w:r>
        <w:rPr>
          <w:szCs w:val="24"/>
        </w:rPr>
        <w:t>000</w:t>
      </w:r>
      <w:r>
        <w:rPr>
          <w:rFonts w:hint="eastAsia"/>
          <w:szCs w:val="24"/>
        </w:rPr>
        <w:t>名。妇女在护理和相关领域仍占多数。男医生居多，对不愿意接受男医生治疗但又找不到女医生的妇女来说是个问题，特别是那些治疗性传播疾病、宫颈癌或乳腺癌的男医生。</w:t>
      </w:r>
    </w:p>
    <w:p w:rsidR="00000000" w:rsidRDefault="00B83709">
      <w:pPr>
        <w:spacing w:after="240" w:line="360" w:lineRule="exact"/>
        <w:rPr>
          <w:rFonts w:eastAsia="SimHei" w:hint="eastAsia"/>
          <w:color w:val="FF0000"/>
        </w:rPr>
      </w:pPr>
      <w:r>
        <w:rPr>
          <w:rFonts w:eastAsia="SimHei" w:hint="eastAsia"/>
          <w:color w:val="FF0000"/>
        </w:rPr>
        <w:t>其他</w:t>
      </w:r>
      <w:r>
        <w:rPr>
          <w:rFonts w:eastAsia="SimHei" w:hint="eastAsia"/>
          <w:color w:val="FF0000"/>
        </w:rPr>
        <w:t>问题</w:t>
      </w:r>
    </w:p>
    <w:p w:rsidR="00000000" w:rsidRDefault="00B83709">
      <w:pPr>
        <w:pStyle w:val="Heading3"/>
        <w:numPr>
          <w:ilvl w:val="0"/>
          <w:numId w:val="0"/>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艾滋病毒</w:t>
      </w:r>
      <w:r>
        <w:rPr>
          <w:rFonts w:ascii="Times New Roman" w:eastAsia="KaiTi_GB2312" w:hint="eastAsia"/>
          <w:color w:val="0000FF"/>
          <w:sz w:val="21"/>
          <w:szCs w:val="24"/>
          <w:u w:val="none"/>
        </w:rPr>
        <w:t>/</w:t>
      </w:r>
      <w:r>
        <w:rPr>
          <w:rFonts w:ascii="Times New Roman" w:eastAsia="KaiTi_GB2312" w:hint="eastAsia"/>
          <w:color w:val="0000FF"/>
          <w:sz w:val="21"/>
          <w:szCs w:val="24"/>
          <w:u w:val="none"/>
        </w:rPr>
        <w:t>艾滋病</w:t>
      </w:r>
    </w:p>
    <w:p w:rsidR="00000000" w:rsidRDefault="00B83709">
      <w:pPr>
        <w:numPr>
          <w:ilvl w:val="0"/>
          <w:numId w:val="1049"/>
        </w:numPr>
        <w:tabs>
          <w:tab w:val="clear" w:pos="360"/>
          <w:tab w:val="num" w:pos="480"/>
        </w:tabs>
        <w:spacing w:after="240" w:line="360" w:lineRule="exact"/>
        <w:rPr>
          <w:szCs w:val="24"/>
        </w:rPr>
      </w:pPr>
      <w:r>
        <w:rPr>
          <w:rFonts w:hint="eastAsia"/>
          <w:szCs w:val="24"/>
        </w:rPr>
        <w:t>尽管泰国控制艾滋病毒</w:t>
      </w:r>
      <w:r>
        <w:rPr>
          <w:rFonts w:hint="eastAsia"/>
          <w:szCs w:val="24"/>
        </w:rPr>
        <w:t>/</w:t>
      </w:r>
      <w:r>
        <w:rPr>
          <w:rFonts w:hint="eastAsia"/>
          <w:szCs w:val="24"/>
        </w:rPr>
        <w:t>艾滋病的成就得到公认，但艾滋病仍然是一大公共卫生问题。公共卫生部流行病处的数据显示，从</w:t>
      </w:r>
      <w:r>
        <w:rPr>
          <w:rFonts w:hint="eastAsia"/>
          <w:szCs w:val="24"/>
        </w:rPr>
        <w:t>1974</w:t>
      </w:r>
      <w:r>
        <w:rPr>
          <w:rFonts w:hint="eastAsia"/>
          <w:szCs w:val="24"/>
        </w:rPr>
        <w:t>年到</w:t>
      </w:r>
      <w:r>
        <w:rPr>
          <w:rFonts w:hint="eastAsia"/>
          <w:szCs w:val="24"/>
        </w:rPr>
        <w:t>2002</w:t>
      </w:r>
      <w:r>
        <w:rPr>
          <w:rFonts w:hint="eastAsia"/>
          <w:szCs w:val="24"/>
        </w:rPr>
        <w:t>年</w:t>
      </w:r>
      <w:r>
        <w:rPr>
          <w:rFonts w:hint="eastAsia"/>
          <w:szCs w:val="24"/>
        </w:rPr>
        <w:t>4</w:t>
      </w:r>
      <w:r>
        <w:rPr>
          <w:rFonts w:hint="eastAsia"/>
          <w:szCs w:val="24"/>
        </w:rPr>
        <w:t>月</w:t>
      </w:r>
      <w:r>
        <w:rPr>
          <w:rFonts w:hint="eastAsia"/>
          <w:szCs w:val="24"/>
        </w:rPr>
        <w:t>3</w:t>
      </w:r>
      <w:r>
        <w:rPr>
          <w:rFonts w:hint="eastAsia"/>
          <w:szCs w:val="24"/>
        </w:rPr>
        <w:t>日，到公立和私立卫生中心就医的患者人数和感染疾病人数为</w:t>
      </w:r>
      <w:r>
        <w:rPr>
          <w:szCs w:val="24"/>
        </w:rPr>
        <w:t>266</w:t>
      </w:r>
      <w:r>
        <w:rPr>
          <w:rFonts w:hint="eastAsia"/>
          <w:szCs w:val="24"/>
        </w:rPr>
        <w:t xml:space="preserve"> </w:t>
      </w:r>
      <w:r>
        <w:rPr>
          <w:szCs w:val="24"/>
        </w:rPr>
        <w:t>554</w:t>
      </w:r>
      <w:r>
        <w:rPr>
          <w:rFonts w:hint="eastAsia"/>
          <w:szCs w:val="24"/>
        </w:rPr>
        <w:t>人，其中死亡</w:t>
      </w:r>
      <w:r>
        <w:rPr>
          <w:szCs w:val="24"/>
        </w:rPr>
        <w:t>61</w:t>
      </w:r>
      <w:r>
        <w:rPr>
          <w:rFonts w:hint="eastAsia"/>
          <w:szCs w:val="24"/>
        </w:rPr>
        <w:t xml:space="preserve"> </w:t>
      </w:r>
      <w:r>
        <w:rPr>
          <w:szCs w:val="24"/>
        </w:rPr>
        <w:t>204</w:t>
      </w:r>
      <w:r>
        <w:rPr>
          <w:rFonts w:hint="eastAsia"/>
          <w:szCs w:val="24"/>
        </w:rPr>
        <w:t>人。艾滋病毒</w:t>
      </w:r>
      <w:r>
        <w:rPr>
          <w:rFonts w:hint="eastAsia"/>
          <w:szCs w:val="24"/>
        </w:rPr>
        <w:t>/</w:t>
      </w:r>
      <w:r>
        <w:rPr>
          <w:rFonts w:hint="eastAsia"/>
          <w:szCs w:val="24"/>
        </w:rPr>
        <w:t>艾滋病病例数为</w:t>
      </w:r>
      <w:r>
        <w:rPr>
          <w:szCs w:val="24"/>
        </w:rPr>
        <w:t>194</w:t>
      </w:r>
      <w:r>
        <w:rPr>
          <w:rFonts w:hint="eastAsia"/>
          <w:szCs w:val="24"/>
        </w:rPr>
        <w:t xml:space="preserve"> </w:t>
      </w:r>
      <w:r>
        <w:rPr>
          <w:szCs w:val="24"/>
        </w:rPr>
        <w:t>446</w:t>
      </w:r>
      <w:r>
        <w:rPr>
          <w:rFonts w:hint="eastAsia"/>
          <w:szCs w:val="24"/>
        </w:rPr>
        <w:t>人，其中</w:t>
      </w:r>
      <w:r>
        <w:rPr>
          <w:szCs w:val="24"/>
        </w:rPr>
        <w:t>53</w:t>
      </w:r>
      <w:r>
        <w:rPr>
          <w:rFonts w:hint="eastAsia"/>
          <w:szCs w:val="24"/>
        </w:rPr>
        <w:t xml:space="preserve"> </w:t>
      </w:r>
      <w:r>
        <w:rPr>
          <w:szCs w:val="24"/>
        </w:rPr>
        <w:t>667</w:t>
      </w:r>
      <w:r>
        <w:rPr>
          <w:rFonts w:hint="eastAsia"/>
          <w:szCs w:val="24"/>
        </w:rPr>
        <w:t>人死亡。</w:t>
      </w:r>
    </w:p>
    <w:p w:rsidR="00000000" w:rsidRDefault="00B83709">
      <w:pPr>
        <w:numPr>
          <w:ilvl w:val="0"/>
          <w:numId w:val="1049"/>
        </w:numPr>
        <w:tabs>
          <w:tab w:val="clear" w:pos="360"/>
          <w:tab w:val="num" w:pos="480"/>
        </w:tabs>
        <w:spacing w:after="240" w:line="360" w:lineRule="exact"/>
        <w:rPr>
          <w:szCs w:val="24"/>
        </w:rPr>
      </w:pPr>
      <w:r>
        <w:rPr>
          <w:rFonts w:hint="eastAsia"/>
          <w:szCs w:val="24"/>
        </w:rPr>
        <w:t>在全部艾滋病毒</w:t>
      </w:r>
      <w:r>
        <w:rPr>
          <w:rFonts w:hint="eastAsia"/>
          <w:szCs w:val="24"/>
        </w:rPr>
        <w:t>/</w:t>
      </w:r>
      <w:r>
        <w:rPr>
          <w:rFonts w:hint="eastAsia"/>
          <w:szCs w:val="24"/>
        </w:rPr>
        <w:t>艾滋病病例中，男子为</w:t>
      </w:r>
      <w:r>
        <w:rPr>
          <w:szCs w:val="24"/>
        </w:rPr>
        <w:t>145</w:t>
      </w:r>
      <w:r>
        <w:rPr>
          <w:rFonts w:hint="eastAsia"/>
          <w:szCs w:val="24"/>
        </w:rPr>
        <w:t xml:space="preserve"> </w:t>
      </w:r>
      <w:r>
        <w:rPr>
          <w:szCs w:val="24"/>
        </w:rPr>
        <w:t>791</w:t>
      </w:r>
      <w:r>
        <w:rPr>
          <w:rFonts w:hint="eastAsia"/>
          <w:szCs w:val="24"/>
        </w:rPr>
        <w:t>人，妇女为</w:t>
      </w:r>
      <w:r>
        <w:rPr>
          <w:szCs w:val="24"/>
        </w:rPr>
        <w:t>48</w:t>
      </w:r>
      <w:r>
        <w:rPr>
          <w:rFonts w:hint="eastAsia"/>
          <w:szCs w:val="24"/>
        </w:rPr>
        <w:t xml:space="preserve"> </w:t>
      </w:r>
      <w:r>
        <w:rPr>
          <w:szCs w:val="24"/>
        </w:rPr>
        <w:t>655</w:t>
      </w:r>
      <w:r>
        <w:rPr>
          <w:rFonts w:hint="eastAsia"/>
          <w:szCs w:val="24"/>
        </w:rPr>
        <w:t>人（比例为</w:t>
      </w:r>
      <w:r>
        <w:rPr>
          <w:szCs w:val="24"/>
        </w:rPr>
        <w:t>3:1</w:t>
      </w:r>
      <w:r>
        <w:rPr>
          <w:rFonts w:hint="eastAsia"/>
          <w:szCs w:val="24"/>
        </w:rPr>
        <w:t>），大多数人介于</w:t>
      </w:r>
      <w:r>
        <w:rPr>
          <w:rFonts w:hint="eastAsia"/>
          <w:szCs w:val="24"/>
        </w:rPr>
        <w:t>20-39</w:t>
      </w:r>
      <w:r>
        <w:rPr>
          <w:rFonts w:hint="eastAsia"/>
          <w:szCs w:val="24"/>
        </w:rPr>
        <w:t>岁的工作年龄。此外，妇女病例不断增多。最常见的风险因素是异性性交，其次是注</w:t>
      </w:r>
      <w:r>
        <w:rPr>
          <w:rFonts w:hint="eastAsia"/>
          <w:szCs w:val="24"/>
        </w:rPr>
        <w:t>射毒品。另有人认为，由于丈夫缺乏认识，很多妻子和未出生婴儿因此受到影响。</w:t>
      </w:r>
    </w:p>
    <w:p w:rsidR="00000000" w:rsidRDefault="00B83709">
      <w:pPr>
        <w:numPr>
          <w:ilvl w:val="0"/>
          <w:numId w:val="1049"/>
        </w:numPr>
        <w:tabs>
          <w:tab w:val="clear" w:pos="360"/>
          <w:tab w:val="num" w:pos="480"/>
        </w:tabs>
        <w:spacing w:after="240" w:line="360" w:lineRule="exact"/>
        <w:rPr>
          <w:szCs w:val="24"/>
        </w:rPr>
      </w:pPr>
      <w:r>
        <w:rPr>
          <w:rFonts w:hint="eastAsia"/>
          <w:szCs w:val="24"/>
        </w:rPr>
        <w:t>“思考性，使用避孕套”宣传运动获得了成功。政府将继续支持这项宣传，着重关注</w:t>
      </w:r>
      <w:r>
        <w:rPr>
          <w:rFonts w:hint="eastAsia"/>
          <w:szCs w:val="24"/>
        </w:rPr>
        <w:t>15-25</w:t>
      </w:r>
      <w:r>
        <w:rPr>
          <w:rFonts w:hint="eastAsia"/>
          <w:szCs w:val="24"/>
        </w:rPr>
        <w:t>岁的青少年、泰籍和外籍劳工、色情业者、吸毒者、渔夫以及社会地位低下者。此外，政府还开展了其他宣传活动，以提高对艾滋病和安全性行为的认识，改变行为，预防疾病的蔓延。</w:t>
      </w:r>
    </w:p>
    <w:p w:rsidR="00000000" w:rsidRDefault="00B83709">
      <w:pPr>
        <w:numPr>
          <w:ilvl w:val="0"/>
          <w:numId w:val="1049"/>
        </w:numPr>
        <w:tabs>
          <w:tab w:val="clear" w:pos="360"/>
          <w:tab w:val="num" w:pos="480"/>
        </w:tabs>
        <w:spacing w:after="240" w:line="360" w:lineRule="exact"/>
        <w:rPr>
          <w:szCs w:val="24"/>
        </w:rPr>
      </w:pPr>
      <w:r>
        <w:rPr>
          <w:rFonts w:hint="eastAsia"/>
          <w:szCs w:val="24"/>
        </w:rPr>
        <w:t>卫生部流行病处的数据还显示，孕妇中传染艾滋病毒者呈不断上升的趋势，从</w:t>
      </w:r>
      <w:r>
        <w:rPr>
          <w:rFonts w:hint="eastAsia"/>
          <w:szCs w:val="24"/>
        </w:rPr>
        <w:t>1992</w:t>
      </w:r>
      <w:r>
        <w:rPr>
          <w:rFonts w:hint="eastAsia"/>
          <w:szCs w:val="24"/>
        </w:rPr>
        <w:t>年的</w:t>
      </w:r>
      <w:r>
        <w:rPr>
          <w:rFonts w:hint="eastAsia"/>
          <w:szCs w:val="24"/>
        </w:rPr>
        <w:t>0.63</w:t>
      </w:r>
      <w:r>
        <w:rPr>
          <w:rFonts w:hint="eastAsia"/>
          <w:szCs w:val="24"/>
        </w:rPr>
        <w:t>增至</w:t>
      </w:r>
      <w:r>
        <w:rPr>
          <w:rFonts w:hint="eastAsia"/>
          <w:szCs w:val="24"/>
        </w:rPr>
        <w:t>2000</w:t>
      </w:r>
      <w:r>
        <w:rPr>
          <w:rFonts w:hint="eastAsia"/>
          <w:szCs w:val="24"/>
        </w:rPr>
        <w:t>年的</w:t>
      </w:r>
      <w:r>
        <w:rPr>
          <w:rFonts w:hint="eastAsia"/>
          <w:szCs w:val="24"/>
        </w:rPr>
        <w:t>1.66</w:t>
      </w:r>
      <w:r>
        <w:rPr>
          <w:rFonts w:hint="eastAsia"/>
          <w:szCs w:val="24"/>
        </w:rPr>
        <w:t>。尽管进行了大量研究，但还没有找到治疗艾滋病的办法。此外，泰国力图提高艾滋病毒</w:t>
      </w:r>
      <w:r>
        <w:rPr>
          <w:rFonts w:hint="eastAsia"/>
          <w:szCs w:val="24"/>
        </w:rPr>
        <w:t>控制方案的效率。目前，卫生部卫生厅正在通过为孕妇提供艾滋病毒检查以及化验前后的辅导，实施一个防止母婴传播的项目。孕妇艾滋病毒化验呈阳性的，可免费领取</w:t>
      </w:r>
      <w:r>
        <w:rPr>
          <w:szCs w:val="24"/>
        </w:rPr>
        <w:t>AZT</w:t>
      </w:r>
      <w:r>
        <w:rPr>
          <w:rFonts w:hint="eastAsia"/>
          <w:szCs w:val="24"/>
        </w:rPr>
        <w:t>。婴儿也可领取</w:t>
      </w:r>
      <w:r>
        <w:rPr>
          <w:szCs w:val="24"/>
        </w:rPr>
        <w:t>AZT</w:t>
      </w:r>
      <w:r>
        <w:rPr>
          <w:rFonts w:hint="eastAsia"/>
          <w:szCs w:val="24"/>
        </w:rPr>
        <w:t>，并由母亲喂其奶粉。此等措施有助于减少艾滋病毒由母亲传播给子女，从</w:t>
      </w:r>
      <w:r>
        <w:rPr>
          <w:rFonts w:hint="eastAsia"/>
          <w:szCs w:val="24"/>
        </w:rPr>
        <w:t>1996</w:t>
      </w:r>
      <w:r>
        <w:rPr>
          <w:rFonts w:hint="eastAsia"/>
          <w:szCs w:val="24"/>
        </w:rPr>
        <w:t>年的</w:t>
      </w:r>
      <w:r>
        <w:rPr>
          <w:szCs w:val="24"/>
        </w:rPr>
        <w:t>18.6%</w:t>
      </w:r>
      <w:r>
        <w:rPr>
          <w:rFonts w:hint="eastAsia"/>
          <w:szCs w:val="24"/>
        </w:rPr>
        <w:t>减至</w:t>
      </w:r>
      <w:r>
        <w:rPr>
          <w:rFonts w:hint="eastAsia"/>
          <w:szCs w:val="24"/>
        </w:rPr>
        <w:t>2000</w:t>
      </w:r>
      <w:r>
        <w:rPr>
          <w:rFonts w:hint="eastAsia"/>
          <w:szCs w:val="24"/>
        </w:rPr>
        <w:t>年的</w:t>
      </w:r>
      <w:r>
        <w:rPr>
          <w:szCs w:val="24"/>
        </w:rPr>
        <w:t>10%</w:t>
      </w:r>
      <w:r>
        <w:rPr>
          <w:rFonts w:hint="eastAsia"/>
          <w:szCs w:val="24"/>
        </w:rPr>
        <w:t>。泰国还同国际组织开展合作，寻找并制造适用于该国的疫苗。</w:t>
      </w:r>
    </w:p>
    <w:p w:rsidR="00000000" w:rsidRDefault="00B83709">
      <w:pPr>
        <w:pStyle w:val="Heading3"/>
        <w:numPr>
          <w:ilvl w:val="0"/>
          <w:numId w:val="0"/>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堕胎</w:t>
      </w:r>
    </w:p>
    <w:p w:rsidR="00000000" w:rsidRDefault="00B83709">
      <w:pPr>
        <w:numPr>
          <w:ilvl w:val="0"/>
          <w:numId w:val="1049"/>
        </w:numPr>
        <w:tabs>
          <w:tab w:val="clear" w:pos="360"/>
          <w:tab w:val="num" w:pos="480"/>
        </w:tabs>
        <w:spacing w:after="240" w:line="360" w:lineRule="exact"/>
        <w:rPr>
          <w:szCs w:val="24"/>
        </w:rPr>
      </w:pPr>
      <w:r>
        <w:rPr>
          <w:rFonts w:hint="eastAsia"/>
          <w:szCs w:val="24"/>
        </w:rPr>
        <w:t>尽管堕胎属非法行为，但如果能证明怀孕威胁到母亲的健康或是强奸所致时，泰国法律允许堕胎。目前，泰国正在修订法律，以便使堕胎更加安全。这样做的一个重要原因是农村和偏远地</w:t>
      </w:r>
      <w:r>
        <w:rPr>
          <w:rFonts w:hint="eastAsia"/>
          <w:szCs w:val="24"/>
        </w:rPr>
        <w:t>区由于缺乏对胎儿状况或母亲健康的知识，或者没有时间找到进行安全堕胎的医生，堕胎通常不安全。</w:t>
      </w:r>
    </w:p>
    <w:p w:rsidR="00000000" w:rsidRDefault="00B83709">
      <w:pPr>
        <w:numPr>
          <w:ilvl w:val="0"/>
          <w:numId w:val="1049"/>
        </w:numPr>
        <w:tabs>
          <w:tab w:val="clear" w:pos="360"/>
          <w:tab w:val="num" w:pos="480"/>
        </w:tabs>
        <w:spacing w:after="240" w:line="360" w:lineRule="exact"/>
        <w:rPr>
          <w:szCs w:val="24"/>
        </w:rPr>
      </w:pPr>
      <w:r>
        <w:rPr>
          <w:rFonts w:hint="eastAsia"/>
          <w:szCs w:val="24"/>
        </w:rPr>
        <w:t>非法堕胎的原因通常是意外怀孕。堕胎的确切数字不得而知，只能进行估计。譬如，卫生部计划生育和人口厅的一项调查显示，每</w:t>
      </w:r>
      <w:r>
        <w:rPr>
          <w:rFonts w:hint="eastAsia"/>
          <w:szCs w:val="24"/>
        </w:rPr>
        <w:t>1 000</w:t>
      </w:r>
      <w:r>
        <w:rPr>
          <w:rFonts w:hint="eastAsia"/>
          <w:szCs w:val="24"/>
        </w:rPr>
        <w:t>例活产中，堕胎数为</w:t>
      </w:r>
      <w:r>
        <w:rPr>
          <w:szCs w:val="24"/>
        </w:rPr>
        <w:t>19.54</w:t>
      </w:r>
      <w:r>
        <w:rPr>
          <w:rFonts w:hint="eastAsia"/>
          <w:szCs w:val="24"/>
        </w:rPr>
        <w:t>。在前来堕胎的妇女当中，</w:t>
      </w:r>
      <w:r>
        <w:rPr>
          <w:szCs w:val="24"/>
        </w:rPr>
        <w:t>46.8%</w:t>
      </w:r>
      <w:r>
        <w:rPr>
          <w:rFonts w:hint="eastAsia"/>
          <w:szCs w:val="24"/>
        </w:rPr>
        <w:t>不到</w:t>
      </w:r>
      <w:r>
        <w:rPr>
          <w:rFonts w:hint="eastAsia"/>
          <w:szCs w:val="24"/>
        </w:rPr>
        <w:t>25</w:t>
      </w:r>
      <w:r>
        <w:rPr>
          <w:rFonts w:hint="eastAsia"/>
          <w:szCs w:val="24"/>
        </w:rPr>
        <w:t>岁，</w:t>
      </w:r>
      <w:r>
        <w:rPr>
          <w:szCs w:val="24"/>
        </w:rPr>
        <w:t>30%</w:t>
      </w:r>
      <w:r>
        <w:rPr>
          <w:rFonts w:hint="eastAsia"/>
          <w:szCs w:val="24"/>
        </w:rPr>
        <w:t>不到</w:t>
      </w:r>
      <w:r>
        <w:rPr>
          <w:rFonts w:hint="eastAsia"/>
          <w:szCs w:val="24"/>
        </w:rPr>
        <w:t>20</w:t>
      </w:r>
      <w:r>
        <w:rPr>
          <w:rFonts w:hint="eastAsia"/>
          <w:szCs w:val="24"/>
        </w:rPr>
        <w:t>岁。怀孕的平均期限是</w:t>
      </w:r>
      <w:r>
        <w:rPr>
          <w:rFonts w:hint="eastAsia"/>
          <w:szCs w:val="24"/>
        </w:rPr>
        <w:t>13</w:t>
      </w:r>
      <w:r>
        <w:rPr>
          <w:rFonts w:hint="eastAsia"/>
          <w:szCs w:val="24"/>
        </w:rPr>
        <w:t>周。大多数妇女（</w:t>
      </w:r>
      <w:r>
        <w:rPr>
          <w:szCs w:val="24"/>
        </w:rPr>
        <w:t>60.2%</w:t>
      </w:r>
      <w:r>
        <w:rPr>
          <w:rFonts w:hint="eastAsia"/>
          <w:szCs w:val="24"/>
        </w:rPr>
        <w:t>）想堕胎时均提出经济和社会理由，最明显的是贫穷、计划生育措施、生育间隔不当、仍在上学、家庭问题以及避孕失败。</w:t>
      </w:r>
      <w:r>
        <w:rPr>
          <w:szCs w:val="24"/>
        </w:rPr>
        <w:t>39.8%</w:t>
      </w:r>
      <w:r>
        <w:rPr>
          <w:rFonts w:hint="eastAsia"/>
          <w:szCs w:val="24"/>
        </w:rPr>
        <w:t>的妇女提出了医疗理由，如胎儿异常（</w:t>
      </w:r>
      <w:r>
        <w:rPr>
          <w:szCs w:val="24"/>
        </w:rPr>
        <w:t>15.</w:t>
      </w:r>
      <w:r>
        <w:rPr>
          <w:szCs w:val="24"/>
        </w:rPr>
        <w:t>4%</w:t>
      </w:r>
      <w:r>
        <w:rPr>
          <w:rFonts w:hint="eastAsia"/>
          <w:szCs w:val="24"/>
        </w:rPr>
        <w:t>）、死胎（</w:t>
      </w:r>
      <w:r>
        <w:rPr>
          <w:szCs w:val="24"/>
        </w:rPr>
        <w:t>13.5%</w:t>
      </w:r>
      <w:r>
        <w:rPr>
          <w:rFonts w:hint="eastAsia"/>
          <w:szCs w:val="24"/>
        </w:rPr>
        <w:t>）、产妇健康问题（</w:t>
      </w:r>
      <w:r>
        <w:rPr>
          <w:szCs w:val="24"/>
        </w:rPr>
        <w:t>7.8%</w:t>
      </w:r>
      <w:r>
        <w:rPr>
          <w:rFonts w:hint="eastAsia"/>
          <w:szCs w:val="24"/>
        </w:rPr>
        <w:t>）、产妇艾滋病毒感染（</w:t>
      </w:r>
      <w:r>
        <w:rPr>
          <w:szCs w:val="24"/>
        </w:rPr>
        <w:t>2.2%</w:t>
      </w:r>
      <w:r>
        <w:rPr>
          <w:rFonts w:hint="eastAsia"/>
          <w:szCs w:val="24"/>
        </w:rPr>
        <w:t>）、强奸（</w:t>
      </w:r>
      <w:r>
        <w:rPr>
          <w:rFonts w:hint="eastAsia"/>
          <w:szCs w:val="24"/>
        </w:rPr>
        <w:t>0</w:t>
      </w:r>
      <w:r>
        <w:rPr>
          <w:szCs w:val="24"/>
        </w:rPr>
        <w:t>.6%</w:t>
      </w:r>
      <w:r>
        <w:rPr>
          <w:rFonts w:hint="eastAsia"/>
          <w:szCs w:val="24"/>
        </w:rPr>
        <w:t>）以及感染德国高麻疹（</w:t>
      </w:r>
      <w:r>
        <w:rPr>
          <w:szCs w:val="24"/>
        </w:rPr>
        <w:t>0.3%</w:t>
      </w:r>
      <w:r>
        <w:rPr>
          <w:rFonts w:hint="eastAsia"/>
          <w:szCs w:val="24"/>
        </w:rPr>
        <w:t>）。堕胎最严重的后果是血液感染（</w:t>
      </w:r>
      <w:r>
        <w:rPr>
          <w:szCs w:val="24"/>
        </w:rPr>
        <w:t>12.4%</w:t>
      </w:r>
      <w:r>
        <w:rPr>
          <w:rFonts w:hint="eastAsia"/>
          <w:szCs w:val="24"/>
        </w:rPr>
        <w:t>）、骨盆炎（</w:t>
      </w:r>
      <w:r>
        <w:rPr>
          <w:szCs w:val="24"/>
        </w:rPr>
        <w:t>12.0%</w:t>
      </w:r>
      <w:r>
        <w:rPr>
          <w:rFonts w:hint="eastAsia"/>
          <w:szCs w:val="24"/>
        </w:rPr>
        <w:t>）、大出血（</w:t>
      </w:r>
      <w:r>
        <w:rPr>
          <w:szCs w:val="24"/>
        </w:rPr>
        <w:t>11.8%</w:t>
      </w:r>
      <w:r>
        <w:rPr>
          <w:rFonts w:hint="eastAsia"/>
          <w:szCs w:val="24"/>
        </w:rPr>
        <w:t>）以及子宫下垂（</w:t>
      </w:r>
      <w:r>
        <w:rPr>
          <w:szCs w:val="24"/>
        </w:rPr>
        <w:t>7.4%</w:t>
      </w:r>
      <w:r>
        <w:rPr>
          <w:rFonts w:hint="eastAsia"/>
          <w:szCs w:val="24"/>
        </w:rPr>
        <w:t>）。调查还发现，堕胎死亡率是流产死亡率的</w:t>
      </w:r>
      <w:r>
        <w:rPr>
          <w:rFonts w:hint="eastAsia"/>
          <w:szCs w:val="24"/>
        </w:rPr>
        <w:t>11</w:t>
      </w:r>
      <w:r>
        <w:rPr>
          <w:rFonts w:hint="eastAsia"/>
          <w:szCs w:val="24"/>
        </w:rPr>
        <w:t>倍。</w:t>
      </w:r>
    </w:p>
    <w:p w:rsidR="00000000" w:rsidRDefault="00B83709">
      <w:pPr>
        <w:numPr>
          <w:ilvl w:val="0"/>
          <w:numId w:val="1049"/>
        </w:numPr>
        <w:tabs>
          <w:tab w:val="clear" w:pos="360"/>
          <w:tab w:val="num" w:pos="480"/>
        </w:tabs>
        <w:spacing w:after="240" w:line="360" w:lineRule="exact"/>
        <w:rPr>
          <w:szCs w:val="24"/>
        </w:rPr>
      </w:pPr>
      <w:r>
        <w:rPr>
          <w:rFonts w:hint="eastAsia"/>
          <w:szCs w:val="24"/>
        </w:rPr>
        <w:t>1999</w:t>
      </w:r>
      <w:r>
        <w:rPr>
          <w:rFonts w:hint="eastAsia"/>
          <w:szCs w:val="24"/>
        </w:rPr>
        <w:t>年，卫生部计划生育和人口办公室在接待堕胎患者最多的</w:t>
      </w:r>
      <w:r>
        <w:rPr>
          <w:rFonts w:hint="eastAsia"/>
          <w:szCs w:val="24"/>
        </w:rPr>
        <w:t>134</w:t>
      </w:r>
      <w:r>
        <w:rPr>
          <w:rFonts w:hint="eastAsia"/>
          <w:szCs w:val="24"/>
        </w:rPr>
        <w:t>家医院（共有</w:t>
      </w:r>
      <w:r>
        <w:rPr>
          <w:rFonts w:hint="eastAsia"/>
          <w:szCs w:val="24"/>
        </w:rPr>
        <w:t>787</w:t>
      </w:r>
      <w:r>
        <w:rPr>
          <w:rFonts w:hint="eastAsia"/>
          <w:szCs w:val="24"/>
        </w:rPr>
        <w:t>家医院）进了了为期</w:t>
      </w:r>
      <w:r>
        <w:rPr>
          <w:rFonts w:hint="eastAsia"/>
          <w:szCs w:val="24"/>
        </w:rPr>
        <w:t>6</w:t>
      </w:r>
      <w:r>
        <w:rPr>
          <w:rFonts w:hint="eastAsia"/>
          <w:szCs w:val="24"/>
        </w:rPr>
        <w:t>个月的访问调查。调查结果显示，</w:t>
      </w:r>
      <w:r>
        <w:rPr>
          <w:szCs w:val="24"/>
        </w:rPr>
        <w:t>4</w:t>
      </w:r>
      <w:r>
        <w:rPr>
          <w:rFonts w:hint="eastAsia"/>
          <w:szCs w:val="24"/>
        </w:rPr>
        <w:t xml:space="preserve"> </w:t>
      </w:r>
      <w:r>
        <w:rPr>
          <w:szCs w:val="24"/>
        </w:rPr>
        <w:t>588</w:t>
      </w:r>
      <w:r>
        <w:rPr>
          <w:rFonts w:hint="eastAsia"/>
          <w:szCs w:val="24"/>
        </w:rPr>
        <w:t>名患者样本中有</w:t>
      </w:r>
      <w:r>
        <w:rPr>
          <w:szCs w:val="24"/>
        </w:rPr>
        <w:t>40.4%</w:t>
      </w:r>
      <w:r>
        <w:rPr>
          <w:rFonts w:hint="eastAsia"/>
          <w:szCs w:val="24"/>
        </w:rPr>
        <w:t>进行过堕胎。在堕胎者当中，</w:t>
      </w:r>
      <w:r>
        <w:rPr>
          <w:szCs w:val="24"/>
        </w:rPr>
        <w:t>65.7%</w:t>
      </w:r>
      <w:r>
        <w:rPr>
          <w:rFonts w:hint="eastAsia"/>
          <w:szCs w:val="24"/>
        </w:rPr>
        <w:t>在其他医院（主要由未经</w:t>
      </w:r>
      <w:r>
        <w:rPr>
          <w:rFonts w:hint="eastAsia"/>
          <w:szCs w:val="24"/>
        </w:rPr>
        <w:t>过训练的堕胎医师堕胎）堕胎后才来到接受调查的医院；</w:t>
      </w:r>
      <w:r>
        <w:rPr>
          <w:szCs w:val="24"/>
        </w:rPr>
        <w:t>22.4%</w:t>
      </w:r>
      <w:r>
        <w:rPr>
          <w:rFonts w:hint="eastAsia"/>
          <w:szCs w:val="24"/>
        </w:rPr>
        <w:t>在医生帮助下在医院堕胎；</w:t>
      </w:r>
      <w:r>
        <w:rPr>
          <w:szCs w:val="24"/>
        </w:rPr>
        <w:t>11.9%</w:t>
      </w:r>
      <w:r>
        <w:rPr>
          <w:rFonts w:hint="eastAsia"/>
          <w:szCs w:val="24"/>
        </w:rPr>
        <w:t xml:space="preserve">自行堕胎。五名妇女因未在医院堕胎而死亡，在医院堕胎的妇女未报告有死亡案例。　</w:t>
      </w:r>
    </w:p>
    <w:p w:rsidR="00000000" w:rsidRDefault="00B83709">
      <w:pPr>
        <w:pStyle w:val="Heading3"/>
        <w:numPr>
          <w:ilvl w:val="0"/>
          <w:numId w:val="0"/>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职业保健与安全</w:t>
      </w:r>
    </w:p>
    <w:p w:rsidR="00000000" w:rsidRDefault="00B83709">
      <w:pPr>
        <w:numPr>
          <w:ilvl w:val="0"/>
          <w:numId w:val="1049"/>
        </w:numPr>
        <w:tabs>
          <w:tab w:val="clear" w:pos="360"/>
          <w:tab w:val="num" w:pos="480"/>
        </w:tabs>
        <w:spacing w:after="240" w:line="360" w:lineRule="exact"/>
        <w:rPr>
          <w:szCs w:val="24"/>
        </w:rPr>
      </w:pPr>
      <w:r>
        <w:rPr>
          <w:rFonts w:hint="eastAsia"/>
          <w:szCs w:val="24"/>
        </w:rPr>
        <w:t>令人担忧的一个重要问题是在工农业领域工作的妇女的职业保健与安全。这些妇女由于工作条件危险，面临着很多健康风险，而且常常难以要求雇主赔偿，原因是妇女必须出具证明材料，证明她们的健康状况不良与工作有关。</w:t>
      </w:r>
    </w:p>
    <w:p w:rsidR="00000000" w:rsidRDefault="00B83709">
      <w:pPr>
        <w:numPr>
          <w:ilvl w:val="0"/>
          <w:numId w:val="1049"/>
        </w:numPr>
        <w:tabs>
          <w:tab w:val="clear" w:pos="360"/>
          <w:tab w:val="num" w:pos="480"/>
        </w:tabs>
        <w:spacing w:after="240" w:line="360" w:lineRule="exact"/>
        <w:rPr>
          <w:szCs w:val="24"/>
        </w:rPr>
      </w:pPr>
      <w:r>
        <w:rPr>
          <w:rFonts w:hint="eastAsia"/>
          <w:szCs w:val="24"/>
        </w:rPr>
        <w:t>工人赔偿基金、社会保险署以及劳动和社会福利部提供的工伤统计数字显示，工伤人数不断增加。受伤雇员几乎增加了三倍，</w:t>
      </w:r>
      <w:r>
        <w:rPr>
          <w:rFonts w:hint="eastAsia"/>
          <w:szCs w:val="24"/>
        </w:rPr>
        <w:t>1989</w:t>
      </w:r>
      <w:r>
        <w:rPr>
          <w:rFonts w:hint="eastAsia"/>
          <w:szCs w:val="24"/>
        </w:rPr>
        <w:t>年至</w:t>
      </w:r>
      <w:r>
        <w:rPr>
          <w:rFonts w:hint="eastAsia"/>
          <w:szCs w:val="24"/>
        </w:rPr>
        <w:t>1</w:t>
      </w:r>
      <w:r>
        <w:rPr>
          <w:rFonts w:hint="eastAsia"/>
          <w:szCs w:val="24"/>
        </w:rPr>
        <w:t>999</w:t>
      </w:r>
      <w:r>
        <w:rPr>
          <w:rFonts w:hint="eastAsia"/>
          <w:szCs w:val="24"/>
        </w:rPr>
        <w:t>年间从</w:t>
      </w:r>
      <w:r>
        <w:rPr>
          <w:szCs w:val="24"/>
        </w:rPr>
        <w:t>62</w:t>
      </w:r>
      <w:r>
        <w:rPr>
          <w:rFonts w:hint="eastAsia"/>
          <w:szCs w:val="24"/>
        </w:rPr>
        <w:t xml:space="preserve"> </w:t>
      </w:r>
      <w:r>
        <w:rPr>
          <w:szCs w:val="24"/>
        </w:rPr>
        <w:t>766</w:t>
      </w:r>
      <w:r>
        <w:rPr>
          <w:rFonts w:hint="eastAsia"/>
          <w:szCs w:val="24"/>
        </w:rPr>
        <w:t>例增至</w:t>
      </w:r>
      <w:r>
        <w:rPr>
          <w:szCs w:val="24"/>
        </w:rPr>
        <w:t>171</w:t>
      </w:r>
      <w:r>
        <w:rPr>
          <w:rFonts w:hint="eastAsia"/>
          <w:szCs w:val="24"/>
        </w:rPr>
        <w:t xml:space="preserve"> </w:t>
      </w:r>
      <w:r>
        <w:rPr>
          <w:szCs w:val="24"/>
        </w:rPr>
        <w:t>997</w:t>
      </w:r>
      <w:r>
        <w:rPr>
          <w:rFonts w:hint="eastAsia"/>
          <w:szCs w:val="24"/>
        </w:rPr>
        <w:t>例，增长率比工业化国家高得多。不过，具体拿</w:t>
      </w:r>
      <w:r>
        <w:rPr>
          <w:rFonts w:hint="eastAsia"/>
          <w:szCs w:val="24"/>
        </w:rPr>
        <w:t>1999</w:t>
      </w:r>
      <w:r>
        <w:rPr>
          <w:rFonts w:hint="eastAsia"/>
          <w:szCs w:val="24"/>
        </w:rPr>
        <w:t>年来说，在</w:t>
      </w:r>
      <w:r>
        <w:rPr>
          <w:szCs w:val="24"/>
        </w:rPr>
        <w:t>531</w:t>
      </w:r>
      <w:r>
        <w:rPr>
          <w:rFonts w:hint="eastAsia"/>
          <w:szCs w:val="24"/>
        </w:rPr>
        <w:t xml:space="preserve"> </w:t>
      </w:r>
      <w:r>
        <w:rPr>
          <w:szCs w:val="24"/>
        </w:rPr>
        <w:t>872</w:t>
      </w:r>
      <w:r>
        <w:rPr>
          <w:rFonts w:hint="eastAsia"/>
          <w:szCs w:val="24"/>
        </w:rPr>
        <w:t>受伤工人中，工伤比例略有下降，从</w:t>
      </w:r>
      <w:r>
        <w:rPr>
          <w:rFonts w:hint="eastAsia"/>
          <w:szCs w:val="24"/>
        </w:rPr>
        <w:t>1998</w:t>
      </w:r>
      <w:r>
        <w:rPr>
          <w:rFonts w:hint="eastAsia"/>
          <w:szCs w:val="24"/>
        </w:rPr>
        <w:t>年的</w:t>
      </w:r>
      <w:r>
        <w:rPr>
          <w:rFonts w:hint="eastAsia"/>
          <w:szCs w:val="24"/>
        </w:rPr>
        <w:t>3.62%</w:t>
      </w:r>
      <w:r>
        <w:rPr>
          <w:rFonts w:hint="eastAsia"/>
          <w:szCs w:val="24"/>
        </w:rPr>
        <w:t>降至</w:t>
      </w:r>
      <w:r>
        <w:rPr>
          <w:szCs w:val="24"/>
        </w:rPr>
        <w:t>3.23%</w:t>
      </w:r>
      <w:r>
        <w:rPr>
          <w:rFonts w:hint="eastAsia"/>
          <w:szCs w:val="24"/>
        </w:rPr>
        <w:t>。</w:t>
      </w:r>
      <w:r>
        <w:rPr>
          <w:rFonts w:hint="eastAsia"/>
          <w:szCs w:val="24"/>
        </w:rPr>
        <w:t>1993-1999</w:t>
      </w:r>
      <w:r>
        <w:rPr>
          <w:rFonts w:hint="eastAsia"/>
          <w:szCs w:val="24"/>
        </w:rPr>
        <w:t>年死于工伤的工人是</w:t>
      </w:r>
      <w:r>
        <w:rPr>
          <w:szCs w:val="24"/>
        </w:rPr>
        <w:t>6</w:t>
      </w:r>
      <w:r>
        <w:rPr>
          <w:rFonts w:hint="eastAsia"/>
          <w:szCs w:val="24"/>
        </w:rPr>
        <w:t xml:space="preserve"> </w:t>
      </w:r>
      <w:r>
        <w:rPr>
          <w:szCs w:val="24"/>
        </w:rPr>
        <w:t>132</w:t>
      </w:r>
      <w:r>
        <w:rPr>
          <w:rFonts w:hint="eastAsia"/>
          <w:szCs w:val="24"/>
        </w:rPr>
        <w:t>人，尽管</w:t>
      </w:r>
      <w:r>
        <w:rPr>
          <w:rFonts w:hint="eastAsia"/>
          <w:szCs w:val="24"/>
        </w:rPr>
        <w:t>1998</w:t>
      </w:r>
      <w:r>
        <w:rPr>
          <w:rFonts w:hint="eastAsia"/>
          <w:szCs w:val="24"/>
        </w:rPr>
        <w:t>年和</w:t>
      </w:r>
      <w:r>
        <w:rPr>
          <w:rFonts w:hint="eastAsia"/>
          <w:szCs w:val="24"/>
        </w:rPr>
        <w:t>1999</w:t>
      </w:r>
      <w:r>
        <w:rPr>
          <w:rFonts w:hint="eastAsia"/>
          <w:szCs w:val="24"/>
        </w:rPr>
        <w:t>年的死亡人数下降。死亡原因主要是车祸、塌方、触电以及被坠落物击中。</w:t>
      </w:r>
    </w:p>
    <w:p w:rsidR="00000000" w:rsidRDefault="00B83709">
      <w:pPr>
        <w:numPr>
          <w:ilvl w:val="0"/>
          <w:numId w:val="1049"/>
        </w:numPr>
        <w:tabs>
          <w:tab w:val="clear" w:pos="360"/>
          <w:tab w:val="num" w:pos="480"/>
        </w:tabs>
        <w:spacing w:after="240" w:line="360" w:lineRule="exact"/>
        <w:rPr>
          <w:szCs w:val="24"/>
        </w:rPr>
      </w:pPr>
      <w:r>
        <w:rPr>
          <w:rFonts w:hint="eastAsia"/>
          <w:szCs w:val="24"/>
        </w:rPr>
        <w:t>卫生部的一份报告指出，</w:t>
      </w:r>
      <w:r>
        <w:rPr>
          <w:rFonts w:hint="eastAsia"/>
          <w:szCs w:val="24"/>
        </w:rPr>
        <w:t>1989-1999</w:t>
      </w:r>
      <w:r>
        <w:rPr>
          <w:rFonts w:hint="eastAsia"/>
          <w:szCs w:val="24"/>
        </w:rPr>
        <w:t>年间，职业病的比率从</w:t>
      </w:r>
      <w:r>
        <w:rPr>
          <w:szCs w:val="24"/>
        </w:rPr>
        <w:t>9.46%</w:t>
      </w:r>
      <w:r>
        <w:rPr>
          <w:rFonts w:hint="eastAsia"/>
          <w:szCs w:val="24"/>
        </w:rPr>
        <w:t>降至</w:t>
      </w:r>
      <w:r>
        <w:rPr>
          <w:szCs w:val="24"/>
        </w:rPr>
        <w:t>7.5%</w:t>
      </w:r>
      <w:r>
        <w:rPr>
          <w:rFonts w:hint="eastAsia"/>
          <w:szCs w:val="24"/>
        </w:rPr>
        <w:t>。</w:t>
      </w:r>
      <w:r>
        <w:rPr>
          <w:rFonts w:hint="eastAsia"/>
          <w:szCs w:val="24"/>
        </w:rPr>
        <w:t>1999</w:t>
      </w:r>
      <w:r>
        <w:rPr>
          <w:rFonts w:hint="eastAsia"/>
          <w:szCs w:val="24"/>
        </w:rPr>
        <w:t>年有</w:t>
      </w:r>
      <w:r>
        <w:rPr>
          <w:szCs w:val="24"/>
        </w:rPr>
        <w:t>4</w:t>
      </w:r>
      <w:r>
        <w:rPr>
          <w:rFonts w:hint="eastAsia"/>
          <w:szCs w:val="24"/>
        </w:rPr>
        <w:t xml:space="preserve"> </w:t>
      </w:r>
      <w:r>
        <w:rPr>
          <w:szCs w:val="24"/>
        </w:rPr>
        <w:t>619</w:t>
      </w:r>
      <w:r>
        <w:rPr>
          <w:rFonts w:hint="eastAsia"/>
          <w:szCs w:val="24"/>
        </w:rPr>
        <w:t>个病案，主要原因是接触有毒化学品（</w:t>
      </w:r>
      <w:r>
        <w:rPr>
          <w:szCs w:val="24"/>
        </w:rPr>
        <w:t>90.25%</w:t>
      </w:r>
      <w:r>
        <w:rPr>
          <w:rFonts w:hint="eastAsia"/>
          <w:szCs w:val="24"/>
        </w:rPr>
        <w:t>）、石油和石化产品（</w:t>
      </w:r>
      <w:r>
        <w:rPr>
          <w:szCs w:val="24"/>
        </w:rPr>
        <w:t>3.27%</w:t>
      </w:r>
      <w:r>
        <w:rPr>
          <w:rFonts w:hint="eastAsia"/>
          <w:szCs w:val="24"/>
        </w:rPr>
        <w:t>）、天然气和吸入毒素（</w:t>
      </w:r>
      <w:r>
        <w:rPr>
          <w:szCs w:val="24"/>
        </w:rPr>
        <w:t>2.49%</w:t>
      </w:r>
      <w:r>
        <w:rPr>
          <w:rFonts w:hint="eastAsia"/>
          <w:szCs w:val="24"/>
        </w:rPr>
        <w:t>）、肺尘（</w:t>
      </w:r>
      <w:r>
        <w:rPr>
          <w:szCs w:val="24"/>
        </w:rPr>
        <w:t>1.85%</w:t>
      </w:r>
      <w:r>
        <w:rPr>
          <w:rFonts w:hint="eastAsia"/>
          <w:szCs w:val="24"/>
        </w:rPr>
        <w:t>）、铅中毒（</w:t>
      </w:r>
      <w:r>
        <w:rPr>
          <w:szCs w:val="24"/>
        </w:rPr>
        <w:t>0.97%</w:t>
      </w:r>
      <w:r>
        <w:rPr>
          <w:rFonts w:hint="eastAsia"/>
          <w:szCs w:val="24"/>
        </w:rPr>
        <w:t>）、重金属中毒（</w:t>
      </w:r>
      <w:r>
        <w:rPr>
          <w:szCs w:val="24"/>
        </w:rPr>
        <w:t>0.82%</w:t>
      </w:r>
      <w:r>
        <w:rPr>
          <w:rFonts w:hint="eastAsia"/>
          <w:szCs w:val="24"/>
        </w:rPr>
        <w:t>）和减压病（</w:t>
      </w:r>
      <w:r>
        <w:rPr>
          <w:szCs w:val="24"/>
        </w:rPr>
        <w:t>0.25%</w:t>
      </w:r>
      <w:r>
        <w:rPr>
          <w:rFonts w:hint="eastAsia"/>
          <w:szCs w:val="24"/>
        </w:rPr>
        <w:t>）。不过，很多工人仍面临严重的健康风险，但尚未表现出症状，由于有些疾病可能要过很长时间才能表现出来，因而难以及早诊断。</w:t>
      </w:r>
    </w:p>
    <w:p w:rsidR="00000000" w:rsidRDefault="00B83709">
      <w:pPr>
        <w:pStyle w:val="Heading3"/>
        <w:numPr>
          <w:ilvl w:val="0"/>
          <w:numId w:val="0"/>
        </w:numPr>
        <w:spacing w:before="0"/>
        <w:rPr>
          <w:rFonts w:ascii="Times New Roman" w:eastAsia="KaiTi_GB2312" w:hint="eastAsia"/>
          <w:color w:val="0000FF"/>
          <w:sz w:val="21"/>
          <w:szCs w:val="24"/>
          <w:u w:val="none"/>
        </w:rPr>
      </w:pPr>
      <w:r>
        <w:rPr>
          <w:rFonts w:ascii="Times New Roman" w:eastAsia="KaiTi_GB2312" w:hint="eastAsia"/>
          <w:color w:val="0000FF"/>
          <w:sz w:val="21"/>
          <w:szCs w:val="24"/>
          <w:u w:val="none"/>
        </w:rPr>
        <w:t>心理保健</w:t>
      </w:r>
    </w:p>
    <w:p w:rsidR="00000000" w:rsidRDefault="00B83709">
      <w:pPr>
        <w:numPr>
          <w:ilvl w:val="0"/>
          <w:numId w:val="1049"/>
        </w:numPr>
        <w:tabs>
          <w:tab w:val="clear" w:pos="360"/>
          <w:tab w:val="num" w:pos="480"/>
        </w:tabs>
        <w:spacing w:after="240" w:line="360" w:lineRule="exact"/>
        <w:rPr>
          <w:szCs w:val="24"/>
        </w:rPr>
      </w:pPr>
      <w:r>
        <w:rPr>
          <w:rFonts w:hint="eastAsia"/>
          <w:szCs w:val="24"/>
        </w:rPr>
        <w:t>心理保健问题增多的主要原因是经济和社会变革迅猛，特别是在</w:t>
      </w:r>
      <w:r>
        <w:rPr>
          <w:rFonts w:hint="eastAsia"/>
          <w:szCs w:val="24"/>
        </w:rPr>
        <w:t>1997</w:t>
      </w:r>
      <w:r>
        <w:rPr>
          <w:rFonts w:hint="eastAsia"/>
          <w:szCs w:val="24"/>
        </w:rPr>
        <w:t>年暴发经济危机之后。卫生部心理保健厅的数据显示，公立精神病医院的患者人数从</w:t>
      </w:r>
      <w:r>
        <w:rPr>
          <w:rFonts w:hint="eastAsia"/>
          <w:szCs w:val="24"/>
        </w:rPr>
        <w:t>1999</w:t>
      </w:r>
      <w:r>
        <w:rPr>
          <w:rFonts w:hint="eastAsia"/>
          <w:szCs w:val="24"/>
        </w:rPr>
        <w:t>年的</w:t>
      </w:r>
      <w:r>
        <w:rPr>
          <w:szCs w:val="24"/>
        </w:rPr>
        <w:t>290</w:t>
      </w:r>
      <w:r>
        <w:rPr>
          <w:rFonts w:hint="eastAsia"/>
          <w:szCs w:val="24"/>
        </w:rPr>
        <w:t xml:space="preserve"> </w:t>
      </w:r>
      <w:r>
        <w:rPr>
          <w:szCs w:val="24"/>
        </w:rPr>
        <w:t>034</w:t>
      </w:r>
      <w:r>
        <w:rPr>
          <w:rFonts w:hint="eastAsia"/>
          <w:szCs w:val="24"/>
        </w:rPr>
        <w:t>人增至</w:t>
      </w:r>
      <w:r>
        <w:rPr>
          <w:rFonts w:hint="eastAsia"/>
          <w:szCs w:val="24"/>
        </w:rPr>
        <w:t>2000</w:t>
      </w:r>
      <w:r>
        <w:rPr>
          <w:rFonts w:hint="eastAsia"/>
          <w:szCs w:val="24"/>
        </w:rPr>
        <w:t>年的</w:t>
      </w:r>
      <w:r>
        <w:rPr>
          <w:szCs w:val="24"/>
        </w:rPr>
        <w:t>297</w:t>
      </w:r>
      <w:r>
        <w:rPr>
          <w:rFonts w:hint="eastAsia"/>
          <w:szCs w:val="24"/>
        </w:rPr>
        <w:t xml:space="preserve"> </w:t>
      </w:r>
      <w:r>
        <w:rPr>
          <w:szCs w:val="24"/>
        </w:rPr>
        <w:t>910</w:t>
      </w:r>
      <w:r>
        <w:rPr>
          <w:rFonts w:hint="eastAsia"/>
          <w:szCs w:val="24"/>
        </w:rPr>
        <w:t>人以及</w:t>
      </w:r>
      <w:r>
        <w:rPr>
          <w:rFonts w:hint="eastAsia"/>
          <w:szCs w:val="24"/>
        </w:rPr>
        <w:t>2001</w:t>
      </w:r>
      <w:r>
        <w:rPr>
          <w:rFonts w:hint="eastAsia"/>
          <w:szCs w:val="24"/>
        </w:rPr>
        <w:t>年的</w:t>
      </w:r>
      <w:r>
        <w:rPr>
          <w:szCs w:val="24"/>
        </w:rPr>
        <w:t>362</w:t>
      </w:r>
      <w:r>
        <w:rPr>
          <w:rFonts w:hint="eastAsia"/>
          <w:szCs w:val="24"/>
        </w:rPr>
        <w:t xml:space="preserve"> </w:t>
      </w:r>
      <w:r>
        <w:rPr>
          <w:szCs w:val="24"/>
        </w:rPr>
        <w:t>910</w:t>
      </w:r>
      <w:r>
        <w:rPr>
          <w:rFonts w:hint="eastAsia"/>
          <w:szCs w:val="24"/>
        </w:rPr>
        <w:t>人。男女受到的影响相同。大多数女</w:t>
      </w:r>
      <w:r>
        <w:rPr>
          <w:rFonts w:hint="eastAsia"/>
          <w:szCs w:val="24"/>
        </w:rPr>
        <w:t>患者经诊断患有精神紧张和抑郁症，并有自杀倾向。</w:t>
      </w:r>
    </w:p>
    <w:p w:rsidR="00000000" w:rsidRDefault="00B83709">
      <w:pPr>
        <w:numPr>
          <w:ilvl w:val="0"/>
          <w:numId w:val="1049"/>
        </w:numPr>
        <w:tabs>
          <w:tab w:val="clear" w:pos="360"/>
          <w:tab w:val="num" w:pos="480"/>
        </w:tabs>
        <w:spacing w:after="240" w:line="360" w:lineRule="exact"/>
        <w:rPr>
          <w:szCs w:val="24"/>
        </w:rPr>
      </w:pPr>
      <w:r>
        <w:rPr>
          <w:rFonts w:hint="eastAsia"/>
          <w:szCs w:val="24"/>
        </w:rPr>
        <w:t>泰国的自杀率同其他国家相比适中。</w:t>
      </w:r>
      <w:r>
        <w:rPr>
          <w:szCs w:val="24"/>
        </w:rPr>
        <w:t>1998</w:t>
      </w:r>
      <w:r>
        <w:rPr>
          <w:rFonts w:hint="eastAsia"/>
          <w:szCs w:val="24"/>
        </w:rPr>
        <w:t>年，泰国的自杀人数为</w:t>
      </w:r>
      <w:r>
        <w:rPr>
          <w:szCs w:val="24"/>
        </w:rPr>
        <w:t>7</w:t>
      </w:r>
      <w:r>
        <w:rPr>
          <w:rFonts w:hint="eastAsia"/>
          <w:szCs w:val="24"/>
        </w:rPr>
        <w:t xml:space="preserve"> </w:t>
      </w:r>
      <w:r>
        <w:rPr>
          <w:szCs w:val="24"/>
        </w:rPr>
        <w:t>124</w:t>
      </w:r>
      <w:r>
        <w:rPr>
          <w:rFonts w:hint="eastAsia"/>
          <w:szCs w:val="24"/>
        </w:rPr>
        <w:t>人，即每</w:t>
      </w:r>
      <w:r>
        <w:rPr>
          <w:rFonts w:hint="eastAsia"/>
          <w:szCs w:val="24"/>
        </w:rPr>
        <w:t>100 000</w:t>
      </w:r>
      <w:r>
        <w:rPr>
          <w:rFonts w:hint="eastAsia"/>
          <w:szCs w:val="24"/>
        </w:rPr>
        <w:t>人中有</w:t>
      </w:r>
      <w:r>
        <w:rPr>
          <w:rFonts w:hint="eastAsia"/>
          <w:szCs w:val="24"/>
        </w:rPr>
        <w:t>11.7</w:t>
      </w:r>
      <w:r>
        <w:rPr>
          <w:rFonts w:hint="eastAsia"/>
          <w:szCs w:val="24"/>
        </w:rPr>
        <w:t>人，占所有死亡人数的四十分之一。男子的自杀率比妇女高</w:t>
      </w:r>
      <w:r>
        <w:rPr>
          <w:rFonts w:hint="eastAsia"/>
          <w:szCs w:val="24"/>
        </w:rPr>
        <w:t>2.8</w:t>
      </w:r>
      <w:r>
        <w:rPr>
          <w:rFonts w:hint="eastAsia"/>
          <w:szCs w:val="24"/>
        </w:rPr>
        <w:t>倍。大多数自杀者处于工作年龄组，自杀率目前在不断上升。不过，卫生部心理保健厅通过提高人们对这些问题及其原因的认识，实施了一个预防抑郁症和自杀的项目。此外，一个“用微笑创造幸福”的项目旨在发展心理保健。</w:t>
      </w:r>
    </w:p>
    <w:p w:rsidR="00000000" w:rsidRDefault="00B83709">
      <w:pPr>
        <w:spacing w:after="240" w:line="360" w:lineRule="exact"/>
        <w:rPr>
          <w:rFonts w:eastAsia="SimHei" w:hint="eastAsia"/>
          <w:color w:val="FF0000"/>
        </w:rPr>
      </w:pPr>
      <w:r>
        <w:rPr>
          <w:rFonts w:eastAsia="SimHei" w:hint="eastAsia"/>
          <w:color w:val="FF0000"/>
        </w:rPr>
        <w:t>计划生育服务的使用</w:t>
      </w:r>
    </w:p>
    <w:p w:rsidR="00000000" w:rsidRDefault="00B83709">
      <w:pPr>
        <w:numPr>
          <w:ilvl w:val="0"/>
          <w:numId w:val="1049"/>
        </w:numPr>
        <w:tabs>
          <w:tab w:val="clear" w:pos="360"/>
          <w:tab w:val="num" w:pos="480"/>
        </w:tabs>
        <w:spacing w:after="240" w:line="360" w:lineRule="exact"/>
        <w:rPr>
          <w:szCs w:val="24"/>
        </w:rPr>
      </w:pPr>
      <w:r>
        <w:rPr>
          <w:rFonts w:hint="eastAsia"/>
          <w:szCs w:val="24"/>
        </w:rPr>
        <w:t>卫生部保健厅的数据表明，</w:t>
      </w:r>
      <w:r>
        <w:rPr>
          <w:rFonts w:hint="eastAsia"/>
          <w:szCs w:val="24"/>
        </w:rPr>
        <w:t>1988-2000</w:t>
      </w:r>
      <w:r>
        <w:rPr>
          <w:rFonts w:hint="eastAsia"/>
          <w:szCs w:val="24"/>
        </w:rPr>
        <w:t>年间，小学生患贫血症、</w:t>
      </w:r>
      <w:r>
        <w:rPr>
          <w:rFonts w:hint="eastAsia"/>
          <w:szCs w:val="24"/>
        </w:rPr>
        <w:t>0-5</w:t>
      </w:r>
      <w:r>
        <w:rPr>
          <w:rFonts w:hint="eastAsia"/>
          <w:szCs w:val="24"/>
        </w:rPr>
        <w:t>岁儿童蛋</w:t>
      </w:r>
      <w:r>
        <w:rPr>
          <w:rFonts w:hint="eastAsia"/>
          <w:szCs w:val="24"/>
        </w:rPr>
        <w:t>白质营养不良以及碘缺乏的比例均有下降。特别是，碘缺乏的比例从</w:t>
      </w:r>
      <w:r>
        <w:rPr>
          <w:rFonts w:hint="eastAsia"/>
          <w:szCs w:val="24"/>
        </w:rPr>
        <w:t>1989</w:t>
      </w:r>
      <w:r>
        <w:rPr>
          <w:rFonts w:hint="eastAsia"/>
          <w:szCs w:val="24"/>
        </w:rPr>
        <w:t>年的</w:t>
      </w:r>
      <w:r>
        <w:rPr>
          <w:szCs w:val="24"/>
        </w:rPr>
        <w:t>19.3%</w:t>
      </w:r>
      <w:r>
        <w:rPr>
          <w:rFonts w:hint="eastAsia"/>
          <w:szCs w:val="24"/>
        </w:rPr>
        <w:t>降至</w:t>
      </w:r>
      <w:r>
        <w:rPr>
          <w:rFonts w:hint="eastAsia"/>
          <w:szCs w:val="24"/>
        </w:rPr>
        <w:t>1999</w:t>
      </w:r>
      <w:r>
        <w:rPr>
          <w:rFonts w:hint="eastAsia"/>
          <w:szCs w:val="24"/>
        </w:rPr>
        <w:t>年的仅</w:t>
      </w:r>
      <w:r>
        <w:rPr>
          <w:szCs w:val="24"/>
        </w:rPr>
        <w:t>2.2%</w:t>
      </w:r>
      <w:r>
        <w:rPr>
          <w:rFonts w:hint="eastAsia"/>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卫生部支持人口和计划生育政策和方案，使得人口增长率迅速下降。调查表明，使用避孕药具的人数在继续增加。</w:t>
      </w:r>
      <w:r>
        <w:rPr>
          <w:rFonts w:hint="eastAsia"/>
          <w:szCs w:val="24"/>
        </w:rPr>
        <w:t>2000</w:t>
      </w:r>
      <w:r>
        <w:rPr>
          <w:rFonts w:hint="eastAsia"/>
          <w:szCs w:val="24"/>
        </w:rPr>
        <w:t>年，避孕普及率达到</w:t>
      </w:r>
      <w:r>
        <w:rPr>
          <w:szCs w:val="24"/>
        </w:rPr>
        <w:t>79.2%</w:t>
      </w:r>
      <w:r>
        <w:rPr>
          <w:rFonts w:hint="eastAsia"/>
          <w:szCs w:val="24"/>
        </w:rPr>
        <w:t>，而</w:t>
      </w:r>
      <w:r>
        <w:rPr>
          <w:rFonts w:hint="eastAsia"/>
          <w:szCs w:val="24"/>
        </w:rPr>
        <w:t>1995</w:t>
      </w:r>
      <w:r>
        <w:rPr>
          <w:rFonts w:hint="eastAsia"/>
          <w:szCs w:val="24"/>
        </w:rPr>
        <w:t>年为</w:t>
      </w:r>
      <w:r>
        <w:rPr>
          <w:szCs w:val="24"/>
        </w:rPr>
        <w:t>75.1%</w:t>
      </w:r>
      <w:r>
        <w:rPr>
          <w:rFonts w:hint="eastAsia"/>
          <w:szCs w:val="24"/>
        </w:rPr>
        <w:t>。使用的避孕方法有若干种，最常见的有避孕药丸（</w:t>
      </w:r>
      <w:r>
        <w:rPr>
          <w:szCs w:val="24"/>
        </w:rPr>
        <w:t>26.8%</w:t>
      </w:r>
      <w:r>
        <w:rPr>
          <w:rFonts w:hint="eastAsia"/>
          <w:szCs w:val="24"/>
        </w:rPr>
        <w:t>）、女性绝育（</w:t>
      </w:r>
      <w:r>
        <w:rPr>
          <w:szCs w:val="24"/>
        </w:rPr>
        <w:t>22.6%</w:t>
      </w:r>
      <w:r>
        <w:rPr>
          <w:rFonts w:hint="eastAsia"/>
          <w:szCs w:val="24"/>
        </w:rPr>
        <w:t>）、注射（</w:t>
      </w:r>
      <w:r>
        <w:rPr>
          <w:szCs w:val="24"/>
        </w:rPr>
        <w:t>22.0%</w:t>
      </w:r>
      <w:r>
        <w:rPr>
          <w:rFonts w:hint="eastAsia"/>
          <w:szCs w:val="24"/>
        </w:rPr>
        <w:t>）、避孕套（</w:t>
      </w:r>
      <w:r>
        <w:rPr>
          <w:szCs w:val="24"/>
        </w:rPr>
        <w:t>1.7%</w:t>
      </w:r>
      <w:r>
        <w:rPr>
          <w:rFonts w:hint="eastAsia"/>
          <w:szCs w:val="24"/>
        </w:rPr>
        <w:t>）以及男性绝育（</w:t>
      </w:r>
      <w:r>
        <w:rPr>
          <w:szCs w:val="24"/>
        </w:rPr>
        <w:t>1.2%</w:t>
      </w:r>
      <w:r>
        <w:rPr>
          <w:rFonts w:hint="eastAsia"/>
          <w:szCs w:val="24"/>
        </w:rPr>
        <w:t>）。不过，妇女仍承担计划生育义务，这方面的例子是同女性避孕法相比，避孕套的使用率和男性绝育率低</w:t>
      </w:r>
      <w:r>
        <w:rPr>
          <w:rFonts w:hint="eastAsia"/>
          <w:szCs w:val="24"/>
        </w:rPr>
        <w:t>。避孕也主要对妇女产生副作用。虽然政府设法通过在公立医院免费提供输精管结扎术，但这项战略没有成功。由于妇女是避孕义务的主要承担人，她们面临的困难更多，开销更大，同时承担着副作用对她们的健康构成的危险。</w:t>
      </w:r>
    </w:p>
    <w:p w:rsidR="00000000" w:rsidRDefault="00B83709">
      <w:pPr>
        <w:spacing w:after="240" w:line="360" w:lineRule="exact"/>
        <w:rPr>
          <w:rFonts w:eastAsia="SimHei" w:hint="eastAsia"/>
          <w:color w:val="FF0000"/>
        </w:rPr>
      </w:pPr>
      <w:r>
        <w:rPr>
          <w:rFonts w:eastAsia="SimHei" w:hint="eastAsia"/>
          <w:color w:val="FF0000"/>
        </w:rPr>
        <w:t>替代药物</w:t>
      </w:r>
    </w:p>
    <w:p w:rsidR="00000000" w:rsidRDefault="00B83709">
      <w:pPr>
        <w:numPr>
          <w:ilvl w:val="0"/>
          <w:numId w:val="1049"/>
        </w:numPr>
        <w:tabs>
          <w:tab w:val="clear" w:pos="360"/>
          <w:tab w:val="num" w:pos="480"/>
        </w:tabs>
        <w:spacing w:after="240" w:line="360" w:lineRule="exact"/>
        <w:rPr>
          <w:szCs w:val="24"/>
        </w:rPr>
      </w:pPr>
      <w:r>
        <w:rPr>
          <w:rFonts w:hint="eastAsia"/>
          <w:szCs w:val="24"/>
        </w:rPr>
        <w:t>泰国人民通过自理做法和到医院看病维护自身的健康。因此，医院人满为患，医务人员数量不足。不能到医院看病或者对医院不满意的人改用传统药物，作为治病的替代药物。目前，泰国约有</w:t>
      </w:r>
      <w:r>
        <w:rPr>
          <w:szCs w:val="24"/>
        </w:rPr>
        <w:t>10</w:t>
      </w:r>
      <w:r>
        <w:rPr>
          <w:rFonts w:hint="eastAsia"/>
          <w:szCs w:val="24"/>
        </w:rPr>
        <w:t xml:space="preserve"> </w:t>
      </w:r>
      <w:r>
        <w:rPr>
          <w:szCs w:val="24"/>
        </w:rPr>
        <w:t>000</w:t>
      </w:r>
      <w:r>
        <w:rPr>
          <w:rFonts w:hint="eastAsia"/>
          <w:szCs w:val="24"/>
        </w:rPr>
        <w:t>名传统医生，其中一部分医生在全国</w:t>
      </w:r>
      <w:r>
        <w:rPr>
          <w:rFonts w:hint="eastAsia"/>
          <w:szCs w:val="24"/>
        </w:rPr>
        <w:t>500</w:t>
      </w:r>
      <w:r>
        <w:rPr>
          <w:rFonts w:hint="eastAsia"/>
          <w:szCs w:val="24"/>
        </w:rPr>
        <w:t>家保健中心提供服务。平均而言，大多数村庄有两名传统（土著）医生。越来越多的人请传统</w:t>
      </w:r>
      <w:r>
        <w:rPr>
          <w:rFonts w:hint="eastAsia"/>
          <w:szCs w:val="24"/>
        </w:rPr>
        <w:t>医生看病，原因是现代药物不能满足他们的保健需要。不过，仍存在局限性，因为现代药物及其保健中心没有充分促进和支持泰国的传统药物。此外，对传统药物及医疗方法没有进行有系统、有步骤的研究，其结果是在发展知识和服务标准方面缺乏连贯性。</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第十三条：经济和社会生活</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缔约各国应采取一切适当措施以消除在经济和社会生活的其他方面对妇女的歧视，保证她们在男女平等的基础上有相同权利，特别是：</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a</w:t>
      </w:r>
      <w:r>
        <w:rPr>
          <w:rFonts w:eastAsia="KaiTi_GB2312"/>
          <w:color w:val="0000FF"/>
          <w:szCs w:val="24"/>
        </w:rPr>
        <w:t>）领取家属津贴的权利；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b</w:t>
      </w:r>
      <w:r>
        <w:rPr>
          <w:rFonts w:eastAsia="KaiTi_GB2312"/>
          <w:color w:val="0000FF"/>
          <w:szCs w:val="24"/>
        </w:rPr>
        <w:t>）银行贷款、抵押和其他形式的金融信贷的权利；</w:t>
      </w:r>
      <w:r>
        <w:rPr>
          <w:rFonts w:eastAsia="KaiTi_GB2312"/>
          <w:color w:val="0000FF"/>
          <w:szCs w:val="24"/>
        </w:rPr>
        <w:t xml:space="preserve"> </w:t>
      </w:r>
    </w:p>
    <w:p w:rsidR="00000000" w:rsidRDefault="00B83709" w:rsidP="00B83709">
      <w:pPr>
        <w:spacing w:after="240" w:line="360" w:lineRule="exact"/>
        <w:ind w:firstLineChars="200" w:firstLine="31680"/>
      </w:pPr>
      <w:r>
        <w:rPr>
          <w:rFonts w:eastAsia="KaiTi_GB2312"/>
          <w:color w:val="0000FF"/>
          <w:szCs w:val="24"/>
        </w:rPr>
        <w:t>（</w:t>
      </w:r>
      <w:r>
        <w:rPr>
          <w:rFonts w:eastAsia="KaiTi_GB2312" w:hint="eastAsia"/>
          <w:color w:val="0000FF"/>
          <w:szCs w:val="24"/>
        </w:rPr>
        <w:t>c</w:t>
      </w:r>
      <w:r>
        <w:rPr>
          <w:rFonts w:eastAsia="KaiTi_GB2312"/>
          <w:color w:val="0000FF"/>
          <w:szCs w:val="24"/>
        </w:rPr>
        <w:t>）参与娱乐活动、运动和文化生活所有各方面的权利。</w:t>
      </w:r>
      <w:r>
        <w:rPr>
          <w:rFonts w:eastAsia="KaiTi_GB2312"/>
          <w:color w:val="0000FF"/>
          <w:szCs w:val="24"/>
        </w:rPr>
        <w:t xml:space="preserve"> </w:t>
      </w:r>
    </w:p>
    <w:p w:rsidR="00000000" w:rsidRDefault="00B83709">
      <w:pPr>
        <w:spacing w:after="240" w:line="360" w:lineRule="exact"/>
        <w:rPr>
          <w:rFonts w:eastAsia="SimHei" w:hint="eastAsia"/>
          <w:color w:val="FF0000"/>
        </w:rPr>
      </w:pPr>
      <w:r>
        <w:rPr>
          <w:rFonts w:eastAsia="SimHei" w:hint="eastAsia"/>
          <w:color w:val="FF0000"/>
        </w:rPr>
        <w:t>家属津贴</w:t>
      </w:r>
    </w:p>
    <w:p w:rsidR="00000000" w:rsidRDefault="00B83709">
      <w:pPr>
        <w:numPr>
          <w:ilvl w:val="0"/>
          <w:numId w:val="1049"/>
        </w:numPr>
        <w:tabs>
          <w:tab w:val="clear" w:pos="360"/>
          <w:tab w:val="num" w:pos="480"/>
        </w:tabs>
        <w:spacing w:after="240" w:line="360" w:lineRule="exact"/>
        <w:rPr>
          <w:szCs w:val="24"/>
        </w:rPr>
      </w:pPr>
      <w:r>
        <w:rPr>
          <w:rFonts w:hint="eastAsia"/>
          <w:szCs w:val="24"/>
        </w:rPr>
        <w:t>如前文（第</w:t>
      </w:r>
      <w:r>
        <w:rPr>
          <w:rFonts w:hint="eastAsia"/>
          <w:szCs w:val="24"/>
        </w:rPr>
        <w:t>12</w:t>
      </w:r>
      <w:r>
        <w:rPr>
          <w:rFonts w:hint="eastAsia"/>
          <w:szCs w:val="24"/>
        </w:rPr>
        <w:t>条，第</w:t>
      </w:r>
      <w:r>
        <w:rPr>
          <w:rFonts w:hint="eastAsia"/>
          <w:szCs w:val="24"/>
        </w:rPr>
        <w:t>210</w:t>
      </w:r>
      <w:r>
        <w:rPr>
          <w:rFonts w:hint="eastAsia"/>
          <w:szCs w:val="24"/>
        </w:rPr>
        <w:t>段）指出的，政府在社会保险方面实行</w:t>
      </w:r>
      <w:r>
        <w:rPr>
          <w:rFonts w:hint="eastAsia"/>
          <w:szCs w:val="24"/>
        </w:rPr>
        <w:t xml:space="preserve"> </w:t>
      </w:r>
      <w:r>
        <w:rPr>
          <w:rFonts w:hint="eastAsia"/>
          <w:szCs w:val="24"/>
        </w:rPr>
        <w:t>“人人享有健康保险”政策，即通过为参与的医院提供补贴为所有疾病提供</w:t>
      </w:r>
      <w:r>
        <w:rPr>
          <w:rFonts w:hint="eastAsia"/>
          <w:szCs w:val="24"/>
        </w:rPr>
        <w:t>30</w:t>
      </w:r>
      <w:r>
        <w:rPr>
          <w:rFonts w:hint="eastAsia"/>
          <w:szCs w:val="24"/>
        </w:rPr>
        <w:t>铢的方案。完全免于支付</w:t>
      </w:r>
      <w:r>
        <w:rPr>
          <w:rFonts w:hint="eastAsia"/>
          <w:szCs w:val="24"/>
        </w:rPr>
        <w:t>30</w:t>
      </w:r>
      <w:r>
        <w:rPr>
          <w:rFonts w:hint="eastAsia"/>
          <w:szCs w:val="24"/>
        </w:rPr>
        <w:t>铢费用的人包括</w:t>
      </w:r>
      <w:r>
        <w:rPr>
          <w:rFonts w:hint="eastAsia"/>
          <w:szCs w:val="24"/>
        </w:rPr>
        <w:t>60</w:t>
      </w:r>
      <w:r>
        <w:rPr>
          <w:rFonts w:hint="eastAsia"/>
          <w:szCs w:val="24"/>
        </w:rPr>
        <w:t>岁以上老人或</w:t>
      </w:r>
      <w:r>
        <w:rPr>
          <w:rFonts w:hint="eastAsia"/>
          <w:szCs w:val="24"/>
        </w:rPr>
        <w:t>12</w:t>
      </w:r>
      <w:r>
        <w:rPr>
          <w:rFonts w:hint="eastAsia"/>
          <w:szCs w:val="24"/>
        </w:rPr>
        <w:t>岁以下儿童、残疾人、和尚及其他宗教领袖、社区领导人、参战老兵以及月收入不到</w:t>
      </w:r>
      <w:r>
        <w:rPr>
          <w:rFonts w:hint="eastAsia"/>
          <w:szCs w:val="24"/>
        </w:rPr>
        <w:t>3 000</w:t>
      </w:r>
      <w:r>
        <w:rPr>
          <w:rFonts w:hint="eastAsia"/>
          <w:szCs w:val="24"/>
        </w:rPr>
        <w:t>铢的人。</w:t>
      </w:r>
    </w:p>
    <w:p w:rsidR="00000000" w:rsidRDefault="00B83709">
      <w:pPr>
        <w:numPr>
          <w:ilvl w:val="0"/>
          <w:numId w:val="1049"/>
        </w:numPr>
        <w:tabs>
          <w:tab w:val="clear" w:pos="360"/>
          <w:tab w:val="num" w:pos="480"/>
        </w:tabs>
        <w:spacing w:after="240" w:line="360" w:lineRule="exact"/>
        <w:rPr>
          <w:szCs w:val="24"/>
        </w:rPr>
      </w:pPr>
      <w:r>
        <w:rPr>
          <w:rFonts w:hint="eastAsia"/>
          <w:szCs w:val="24"/>
        </w:rPr>
        <w:t>泰国人口的平均年龄以及老年人的人数和比例在不断上升。</w:t>
      </w:r>
      <w:r>
        <w:rPr>
          <w:szCs w:val="24"/>
        </w:rPr>
        <w:t>1995</w:t>
      </w:r>
      <w:r>
        <w:rPr>
          <w:rFonts w:hint="eastAsia"/>
          <w:szCs w:val="24"/>
        </w:rPr>
        <w:t>年，老年人口为</w:t>
      </w:r>
      <w:r>
        <w:rPr>
          <w:rFonts w:hint="eastAsia"/>
          <w:szCs w:val="24"/>
        </w:rPr>
        <w:t>480</w:t>
      </w:r>
      <w:r>
        <w:rPr>
          <w:rFonts w:hint="eastAsia"/>
          <w:szCs w:val="24"/>
        </w:rPr>
        <w:t>万人，占总人口的</w:t>
      </w:r>
      <w:r>
        <w:rPr>
          <w:szCs w:val="24"/>
        </w:rPr>
        <w:t>8.11%</w:t>
      </w:r>
      <w:r>
        <w:rPr>
          <w:rFonts w:hint="eastAsia"/>
          <w:szCs w:val="24"/>
        </w:rPr>
        <w:t>。截止</w:t>
      </w:r>
      <w:r>
        <w:rPr>
          <w:szCs w:val="24"/>
        </w:rPr>
        <w:t>2000</w:t>
      </w:r>
      <w:r>
        <w:rPr>
          <w:rFonts w:hint="eastAsia"/>
          <w:szCs w:val="24"/>
        </w:rPr>
        <w:t>年，这一数字增至</w:t>
      </w:r>
      <w:r>
        <w:rPr>
          <w:szCs w:val="24"/>
        </w:rPr>
        <w:t>57</w:t>
      </w:r>
      <w:r>
        <w:rPr>
          <w:rFonts w:hint="eastAsia"/>
          <w:szCs w:val="24"/>
        </w:rPr>
        <w:t>0</w:t>
      </w:r>
      <w:r>
        <w:rPr>
          <w:rFonts w:hint="eastAsia"/>
          <w:szCs w:val="24"/>
        </w:rPr>
        <w:t>万（占人口的</w:t>
      </w:r>
      <w:r>
        <w:rPr>
          <w:szCs w:val="24"/>
        </w:rPr>
        <w:t>9.19%</w:t>
      </w:r>
      <w:r>
        <w:rPr>
          <w:rFonts w:hint="eastAsia"/>
          <w:szCs w:val="24"/>
        </w:rPr>
        <w:t>）。到</w:t>
      </w:r>
      <w:r>
        <w:rPr>
          <w:szCs w:val="24"/>
        </w:rPr>
        <w:t>2005</w:t>
      </w:r>
      <w:r>
        <w:rPr>
          <w:rFonts w:hint="eastAsia"/>
          <w:szCs w:val="24"/>
        </w:rPr>
        <w:t>年，估计泰国的老年人将增到</w:t>
      </w:r>
      <w:r>
        <w:rPr>
          <w:rFonts w:hint="eastAsia"/>
          <w:szCs w:val="24"/>
        </w:rPr>
        <w:t>660</w:t>
      </w:r>
      <w:r>
        <w:rPr>
          <w:rFonts w:hint="eastAsia"/>
          <w:szCs w:val="24"/>
        </w:rPr>
        <w:t>万（</w:t>
      </w:r>
      <w:r>
        <w:rPr>
          <w:szCs w:val="24"/>
        </w:rPr>
        <w:t>10.2%</w:t>
      </w:r>
      <w:r>
        <w:rPr>
          <w:rFonts w:hint="eastAsia"/>
          <w:szCs w:val="24"/>
        </w:rPr>
        <w:t>），</w:t>
      </w:r>
      <w:r>
        <w:rPr>
          <w:szCs w:val="24"/>
        </w:rPr>
        <w:t>2010</w:t>
      </w:r>
      <w:r>
        <w:rPr>
          <w:rFonts w:hint="eastAsia"/>
          <w:szCs w:val="24"/>
        </w:rPr>
        <w:t>年将增至</w:t>
      </w:r>
      <w:r>
        <w:rPr>
          <w:szCs w:val="24"/>
        </w:rPr>
        <w:t>76</w:t>
      </w:r>
      <w:r>
        <w:rPr>
          <w:rFonts w:hint="eastAsia"/>
          <w:szCs w:val="24"/>
        </w:rPr>
        <w:t>0</w:t>
      </w:r>
      <w:r>
        <w:rPr>
          <w:rFonts w:hint="eastAsia"/>
          <w:szCs w:val="24"/>
        </w:rPr>
        <w:t>万，占人口的</w:t>
      </w:r>
      <w:r>
        <w:rPr>
          <w:szCs w:val="24"/>
        </w:rPr>
        <w:t>11.4%</w:t>
      </w:r>
      <w:r>
        <w:rPr>
          <w:rFonts w:hint="eastAsia"/>
          <w:szCs w:val="24"/>
        </w:rPr>
        <w:t>。这些数据还表明，老年妇女的人数和比例高于男子（</w:t>
      </w:r>
      <w:r>
        <w:rPr>
          <w:szCs w:val="24"/>
        </w:rPr>
        <w:t>1.2:1.9</w:t>
      </w:r>
      <w:r>
        <w:rPr>
          <w:rFonts w:hint="eastAsia"/>
          <w:szCs w:val="24"/>
        </w:rPr>
        <w:t>），原因是妇女的预期寿命较长。</w:t>
      </w:r>
    </w:p>
    <w:p w:rsidR="00000000" w:rsidRDefault="00B83709">
      <w:pPr>
        <w:spacing w:after="240" w:line="360" w:lineRule="exact"/>
        <w:rPr>
          <w:rFonts w:eastAsia="SimHei" w:hint="eastAsia"/>
          <w:color w:val="FF0000"/>
        </w:rPr>
      </w:pPr>
      <w:r>
        <w:rPr>
          <w:rFonts w:eastAsia="SimHei" w:hint="eastAsia"/>
          <w:color w:val="FF0000"/>
        </w:rPr>
        <w:t>信贷</w:t>
      </w:r>
    </w:p>
    <w:p w:rsidR="00000000" w:rsidRDefault="00B83709">
      <w:pPr>
        <w:numPr>
          <w:ilvl w:val="0"/>
          <w:numId w:val="1049"/>
        </w:numPr>
        <w:tabs>
          <w:tab w:val="clear" w:pos="360"/>
          <w:tab w:val="num" w:pos="480"/>
        </w:tabs>
        <w:spacing w:after="240" w:line="360" w:lineRule="exact"/>
        <w:rPr>
          <w:szCs w:val="24"/>
        </w:rPr>
      </w:pPr>
      <w:r>
        <w:rPr>
          <w:rFonts w:hint="eastAsia"/>
          <w:szCs w:val="24"/>
        </w:rPr>
        <w:t>本届政府提出两个社区信贷方案。</w:t>
      </w:r>
    </w:p>
    <w:p w:rsidR="00000000" w:rsidRDefault="00B83709" w:rsidP="00B83709">
      <w:pPr>
        <w:spacing w:after="240" w:line="360" w:lineRule="exact"/>
        <w:ind w:firstLineChars="200" w:firstLine="31680"/>
        <w:rPr>
          <w:szCs w:val="24"/>
        </w:rPr>
      </w:pPr>
      <w:r>
        <w:rPr>
          <w:rFonts w:hint="eastAsia"/>
          <w:bCs/>
          <w:szCs w:val="24"/>
        </w:rPr>
        <w:t>（</w:t>
      </w:r>
      <w:r>
        <w:rPr>
          <w:rFonts w:hint="eastAsia"/>
          <w:bCs/>
          <w:szCs w:val="24"/>
        </w:rPr>
        <w:t>1</w:t>
      </w:r>
      <w:r>
        <w:rPr>
          <w:rFonts w:hint="eastAsia"/>
          <w:bCs/>
          <w:szCs w:val="24"/>
        </w:rPr>
        <w:t>）</w:t>
      </w:r>
      <w:r>
        <w:rPr>
          <w:rFonts w:hint="eastAsia"/>
          <w:bCs/>
          <w:color w:val="FF0000"/>
          <w:szCs w:val="24"/>
        </w:rPr>
        <w:t>乡村和城市社区基金。</w:t>
      </w:r>
      <w:r>
        <w:rPr>
          <w:rFonts w:hint="eastAsia"/>
          <w:bCs/>
          <w:szCs w:val="24"/>
        </w:rPr>
        <w:t>泰国政府按照自给自足的经济宗旨设立了这个基金，强调地方社区的自力更生以及赋予它们以权力。</w:t>
      </w:r>
      <w:r>
        <w:rPr>
          <w:rFonts w:hint="eastAsia"/>
          <w:szCs w:val="24"/>
        </w:rPr>
        <w:t>政府已为每个社区拨款</w:t>
      </w:r>
      <w:r>
        <w:rPr>
          <w:rFonts w:hint="eastAsia"/>
          <w:szCs w:val="24"/>
        </w:rPr>
        <w:t>100</w:t>
      </w:r>
      <w:r>
        <w:rPr>
          <w:rFonts w:hint="eastAsia"/>
          <w:szCs w:val="24"/>
        </w:rPr>
        <w:t>万铢，作为投资来源，以创造工作机会、增加收入、促进创办小规模家庭企业。妇女参与乡村基金委员会的事务，对资金拨付的决策发挥着关键作用。</w:t>
      </w:r>
    </w:p>
    <w:p w:rsidR="00000000" w:rsidRDefault="00B83709" w:rsidP="00B83709">
      <w:pPr>
        <w:spacing w:after="240" w:line="360" w:lineRule="exact"/>
        <w:ind w:firstLineChars="200" w:firstLine="31680"/>
        <w:rPr>
          <w:szCs w:val="24"/>
        </w:rPr>
      </w:pPr>
      <w:r>
        <w:rPr>
          <w:rFonts w:hint="eastAsia"/>
          <w:bCs/>
          <w:szCs w:val="24"/>
        </w:rPr>
        <w:t>（</w:t>
      </w:r>
      <w:r>
        <w:rPr>
          <w:rFonts w:hint="eastAsia"/>
          <w:bCs/>
          <w:szCs w:val="24"/>
        </w:rPr>
        <w:t>2</w:t>
      </w:r>
      <w:r>
        <w:rPr>
          <w:rFonts w:hint="eastAsia"/>
          <w:bCs/>
          <w:szCs w:val="24"/>
        </w:rPr>
        <w:t>）</w:t>
      </w:r>
      <w:r>
        <w:rPr>
          <w:rFonts w:hint="eastAsia"/>
          <w:bCs/>
          <w:color w:val="FF0000"/>
          <w:szCs w:val="24"/>
        </w:rPr>
        <w:t>人民银行。</w:t>
      </w:r>
      <w:r>
        <w:rPr>
          <w:rFonts w:hint="eastAsia"/>
          <w:bCs/>
          <w:szCs w:val="24"/>
        </w:rPr>
        <w:t>这个方案通过政府储蓄银行提供个人</w:t>
      </w:r>
      <w:r>
        <w:rPr>
          <w:rFonts w:hint="eastAsia"/>
          <w:bCs/>
          <w:szCs w:val="24"/>
        </w:rPr>
        <w:t>信贷，目的是通过</w:t>
      </w:r>
      <w:r>
        <w:rPr>
          <w:rFonts w:hint="eastAsia"/>
          <w:bCs/>
          <w:szCs w:val="24"/>
        </w:rPr>
        <w:t>10 000-20 000</w:t>
      </w:r>
      <w:r>
        <w:rPr>
          <w:rFonts w:hint="eastAsia"/>
          <w:bCs/>
          <w:szCs w:val="24"/>
        </w:rPr>
        <w:t>铢的贷款创收。方案提供这类服务时对男女一视同仁。</w:t>
      </w:r>
    </w:p>
    <w:p w:rsidR="00000000" w:rsidRDefault="00B83709">
      <w:pPr>
        <w:spacing w:after="240" w:line="360" w:lineRule="exact"/>
        <w:rPr>
          <w:rFonts w:eastAsia="SimHei" w:hint="eastAsia"/>
          <w:color w:val="FF0000"/>
        </w:rPr>
      </w:pPr>
      <w:r>
        <w:rPr>
          <w:rFonts w:eastAsia="SimHei" w:hint="eastAsia"/>
          <w:color w:val="FF0000"/>
        </w:rPr>
        <w:t>娱乐和文化</w:t>
      </w:r>
    </w:p>
    <w:p w:rsidR="00000000" w:rsidRDefault="00B83709">
      <w:pPr>
        <w:numPr>
          <w:ilvl w:val="0"/>
          <w:numId w:val="1049"/>
        </w:numPr>
        <w:tabs>
          <w:tab w:val="clear" w:pos="360"/>
          <w:tab w:val="num" w:pos="480"/>
        </w:tabs>
        <w:spacing w:after="240" w:line="360" w:lineRule="exact"/>
        <w:rPr>
          <w:szCs w:val="24"/>
        </w:rPr>
      </w:pPr>
      <w:r>
        <w:rPr>
          <w:rFonts w:hint="eastAsia"/>
          <w:szCs w:val="24"/>
        </w:rPr>
        <w:t>根据教育部宗教事务厅</w:t>
      </w:r>
      <w:r>
        <w:rPr>
          <w:rFonts w:hint="eastAsia"/>
          <w:szCs w:val="24"/>
        </w:rPr>
        <w:t>2002</w:t>
      </w:r>
      <w:r>
        <w:rPr>
          <w:rFonts w:hint="eastAsia"/>
          <w:szCs w:val="24"/>
        </w:rPr>
        <w:t>年</w:t>
      </w:r>
      <w:r>
        <w:rPr>
          <w:rFonts w:hint="eastAsia"/>
          <w:szCs w:val="24"/>
        </w:rPr>
        <w:t>1</w:t>
      </w:r>
      <w:r>
        <w:rPr>
          <w:rFonts w:hint="eastAsia"/>
          <w:szCs w:val="24"/>
        </w:rPr>
        <w:t>月进行的一项调查，泰国有</w:t>
      </w:r>
      <w:r>
        <w:rPr>
          <w:szCs w:val="24"/>
        </w:rPr>
        <w:t>267</w:t>
      </w:r>
      <w:r>
        <w:rPr>
          <w:rFonts w:hint="eastAsia"/>
          <w:szCs w:val="24"/>
        </w:rPr>
        <w:t xml:space="preserve"> </w:t>
      </w:r>
      <w:r>
        <w:rPr>
          <w:szCs w:val="24"/>
        </w:rPr>
        <w:t>818</w:t>
      </w:r>
      <w:r>
        <w:rPr>
          <w:rFonts w:hint="eastAsia"/>
          <w:szCs w:val="24"/>
        </w:rPr>
        <w:t>名和尚和见习和尚以及</w:t>
      </w:r>
      <w:r>
        <w:rPr>
          <w:szCs w:val="24"/>
        </w:rPr>
        <w:t>5</w:t>
      </w:r>
      <w:r>
        <w:rPr>
          <w:rFonts w:hint="eastAsia"/>
          <w:szCs w:val="24"/>
        </w:rPr>
        <w:t xml:space="preserve"> </w:t>
      </w:r>
      <w:r>
        <w:rPr>
          <w:szCs w:val="24"/>
        </w:rPr>
        <w:t>000</w:t>
      </w:r>
      <w:r>
        <w:rPr>
          <w:rFonts w:hint="eastAsia"/>
          <w:szCs w:val="24"/>
        </w:rPr>
        <w:t>名尼姑，后者隶属于泰国尼姑协会。</w:t>
      </w:r>
      <w:r>
        <w:rPr>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泰国建立了一所“尼姑学院”，为尼姑提供教育，从前，尼姑必须到印度接受这样的教育。目前，这所尼姑学院是</w:t>
      </w:r>
      <w:r>
        <w:rPr>
          <w:szCs w:val="24"/>
        </w:rPr>
        <w:t>Maha Mongkut</w:t>
      </w:r>
      <w:r>
        <w:rPr>
          <w:rFonts w:hint="eastAsia"/>
          <w:szCs w:val="24"/>
        </w:rPr>
        <w:t>大学下属的一个学院，它要成为一个独立的学院，还需要很长的时间。</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泰国有一名女禅师，她于</w:t>
      </w:r>
      <w:r>
        <w:rPr>
          <w:rFonts w:hint="eastAsia"/>
          <w:szCs w:val="24"/>
        </w:rPr>
        <w:t>2001</w:t>
      </w:r>
      <w:r>
        <w:rPr>
          <w:rFonts w:hint="eastAsia"/>
          <w:szCs w:val="24"/>
        </w:rPr>
        <w:t>年初在一个男女和尚均须出席的仪式上接受任命。这类仪式不</w:t>
      </w:r>
      <w:r>
        <w:rPr>
          <w:rFonts w:hint="eastAsia"/>
          <w:szCs w:val="24"/>
        </w:rPr>
        <w:t>能在泰国举行，原因是泰国（当时）没有女和尚，她的出席对于仪式的举行是必要的。</w:t>
      </w:r>
    </w:p>
    <w:p w:rsidR="00000000" w:rsidRDefault="00B83709">
      <w:pPr>
        <w:numPr>
          <w:ilvl w:val="0"/>
          <w:numId w:val="1049"/>
        </w:numPr>
        <w:tabs>
          <w:tab w:val="clear" w:pos="360"/>
          <w:tab w:val="num" w:pos="480"/>
        </w:tabs>
        <w:spacing w:after="240" w:line="360" w:lineRule="exact"/>
        <w:rPr>
          <w:szCs w:val="24"/>
        </w:rPr>
      </w:pPr>
      <w:r>
        <w:rPr>
          <w:rFonts w:hint="eastAsia"/>
          <w:szCs w:val="24"/>
        </w:rPr>
        <w:t>《尼姑法草案》已提交内阁，但还没有得到批准。国家佛教徒和尚委员会（僧伽）仍然认为尼姑只是女教徒，不是和尚。因此，尼姑没有权利作为委员会的成员领取相同的津贴。</w:t>
      </w:r>
    </w:p>
    <w:p w:rsidR="00000000" w:rsidRDefault="00B83709">
      <w:pPr>
        <w:numPr>
          <w:ilvl w:val="0"/>
          <w:numId w:val="1049"/>
        </w:numPr>
        <w:tabs>
          <w:tab w:val="clear" w:pos="360"/>
          <w:tab w:val="num" w:pos="480"/>
        </w:tabs>
        <w:spacing w:after="240" w:line="360" w:lineRule="exact"/>
        <w:rPr>
          <w:szCs w:val="24"/>
        </w:rPr>
      </w:pPr>
      <w:r>
        <w:rPr>
          <w:rFonts w:hint="eastAsia"/>
          <w:szCs w:val="24"/>
        </w:rPr>
        <w:t>在泰国，伊斯兰教没有对妇女参与社会和宗教事务构成任何障碍，伊斯兰妇女当选地方和国家一级政治机构官员的人不断增多即为例证。</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第十四条：农村妇女</w:t>
      </w:r>
    </w:p>
    <w:p w:rsidR="00000000" w:rsidRDefault="00B83709" w:rsidP="00B83709">
      <w:pPr>
        <w:spacing w:after="240" w:line="360" w:lineRule="exact"/>
        <w:ind w:firstLineChars="300" w:firstLine="31680"/>
        <w:rPr>
          <w:rFonts w:eastAsia="KaiTi_GB2312"/>
          <w:color w:val="0000FF"/>
          <w:szCs w:val="24"/>
        </w:rPr>
      </w:pPr>
      <w:r>
        <w:rPr>
          <w:rFonts w:eastAsia="KaiTi_GB2312"/>
          <w:color w:val="0000FF"/>
          <w:szCs w:val="24"/>
        </w:rPr>
        <w:t>1</w:t>
      </w:r>
      <w:r>
        <w:rPr>
          <w:rFonts w:eastAsia="KaiTi_GB2312"/>
          <w:color w:val="0000FF"/>
          <w:szCs w:val="24"/>
        </w:rPr>
        <w:t>．缔约各国应考虑到农村妇女面对的特殊问题和她们对家庭生计包括她们在经济体系中无金钱交易的部门的工作方面所发挥的重要作用，并应采取一切</w:t>
      </w:r>
      <w:r>
        <w:rPr>
          <w:rFonts w:eastAsia="KaiTi_GB2312"/>
          <w:color w:val="0000FF"/>
          <w:szCs w:val="24"/>
        </w:rPr>
        <w:t>适当措施，保证对农村地区妇女适用本公约的各项规定。</w:t>
      </w:r>
      <w:r>
        <w:rPr>
          <w:rFonts w:eastAsia="KaiTi_GB2312"/>
          <w:color w:val="0000FF"/>
          <w:szCs w:val="24"/>
        </w:rPr>
        <w:t xml:space="preserve"> </w:t>
      </w:r>
    </w:p>
    <w:p w:rsidR="00000000" w:rsidRDefault="00B83709">
      <w:pPr>
        <w:spacing w:after="240" w:line="360" w:lineRule="exact"/>
        <w:rPr>
          <w:rFonts w:eastAsia="KaiTi_GB2312" w:hint="eastAsia"/>
          <w:color w:val="0000FF"/>
          <w:szCs w:val="24"/>
        </w:rPr>
      </w:pPr>
      <w:r>
        <w:rPr>
          <w:rFonts w:eastAsia="KaiTi_GB2312"/>
          <w:color w:val="0000FF"/>
          <w:szCs w:val="24"/>
        </w:rPr>
        <w:t>    </w:t>
      </w:r>
      <w:r>
        <w:rPr>
          <w:rFonts w:eastAsia="KaiTi_GB2312" w:hint="eastAsia"/>
          <w:color w:val="0000FF"/>
          <w:szCs w:val="24"/>
        </w:rPr>
        <w:t xml:space="preserve">　　</w:t>
      </w:r>
      <w:r>
        <w:rPr>
          <w:rFonts w:eastAsia="KaiTi_GB2312"/>
          <w:color w:val="0000FF"/>
          <w:szCs w:val="24"/>
        </w:rPr>
        <w:t>2</w:t>
      </w:r>
      <w:r>
        <w:rPr>
          <w:rFonts w:eastAsia="KaiTi_GB2312"/>
          <w:color w:val="0000FF"/>
          <w:szCs w:val="24"/>
        </w:rPr>
        <w:t>．缔约各国应采取一切适当措施以消除对农村地区妇女的歧视，保证她们在男女平等的基础上参与农村发展并受其益惠，尤其是保证她们有权：</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a</w:t>
      </w:r>
      <w:r>
        <w:rPr>
          <w:rFonts w:eastAsia="KaiTi_GB2312"/>
          <w:color w:val="0000FF"/>
          <w:szCs w:val="24"/>
        </w:rPr>
        <w:t>）</w:t>
      </w:r>
      <w:r>
        <w:rPr>
          <w:rFonts w:eastAsia="KaiTi_GB2312"/>
          <w:color w:val="0000FF"/>
          <w:szCs w:val="24"/>
        </w:rPr>
        <w:t xml:space="preserve"> </w:t>
      </w:r>
      <w:r>
        <w:rPr>
          <w:rFonts w:eastAsia="KaiTi_GB2312"/>
          <w:color w:val="0000FF"/>
          <w:szCs w:val="24"/>
        </w:rPr>
        <w:t>充分参与各级发展规划的拟订和执行工作；</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b</w:t>
      </w:r>
      <w:r>
        <w:rPr>
          <w:rFonts w:eastAsia="KaiTi_GB2312"/>
          <w:color w:val="0000FF"/>
          <w:szCs w:val="24"/>
        </w:rPr>
        <w:t>）有权利用充分的保健设施，包括计划生育方面的知识、辅导和服务；</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c</w:t>
      </w:r>
      <w:r>
        <w:rPr>
          <w:rFonts w:eastAsia="KaiTi_GB2312"/>
          <w:color w:val="0000FF"/>
          <w:szCs w:val="24"/>
        </w:rPr>
        <w:t>）从社会保障方案直接受益；</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d</w:t>
      </w:r>
      <w:r>
        <w:rPr>
          <w:rFonts w:eastAsia="KaiTi_GB2312"/>
          <w:color w:val="0000FF"/>
          <w:szCs w:val="24"/>
        </w:rPr>
        <w:t>）接受各种正式和非正式的训练和教育，包括实用识字的训练和教育在内，以及除了别的以外，享受一切社区服务和推广服务的益惠，以提高她们的技术熟练程度；</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e</w:t>
      </w:r>
      <w:r>
        <w:rPr>
          <w:rFonts w:eastAsia="KaiTi_GB2312"/>
          <w:color w:val="0000FF"/>
          <w:szCs w:val="24"/>
        </w:rPr>
        <w:t>）组织</w:t>
      </w:r>
      <w:r>
        <w:rPr>
          <w:rFonts w:eastAsia="KaiTi_GB2312"/>
          <w:color w:val="0000FF"/>
          <w:szCs w:val="24"/>
        </w:rPr>
        <w:t>自助团体和合作社，以通过受雇和自雇的途径取得平等的经济机会；</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f</w:t>
      </w:r>
      <w:r>
        <w:rPr>
          <w:rFonts w:eastAsia="KaiTi_GB2312"/>
          <w:color w:val="0000FF"/>
          <w:szCs w:val="24"/>
        </w:rPr>
        <w:t>）参加一切社区活动；</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g</w:t>
      </w:r>
      <w:r>
        <w:rPr>
          <w:rFonts w:eastAsia="KaiTi_GB2312"/>
          <w:color w:val="0000FF"/>
          <w:szCs w:val="24"/>
        </w:rPr>
        <w:t>）有机会取得农业信贷，利用销售设施，获得适当技术，并在土地改革和土地垦殖计划方面享有平等待遇；</w:t>
      </w:r>
      <w:r>
        <w:rPr>
          <w:rFonts w:eastAsia="KaiTi_GB2312"/>
          <w:color w:val="0000FF"/>
          <w:szCs w:val="24"/>
        </w:rPr>
        <w:t xml:space="preserve"> </w:t>
      </w:r>
    </w:p>
    <w:p w:rsidR="00000000" w:rsidRDefault="00B83709" w:rsidP="00B83709">
      <w:pPr>
        <w:spacing w:after="240" w:line="360" w:lineRule="exact"/>
        <w:ind w:firstLineChars="200" w:firstLine="31680"/>
        <w:rPr>
          <w:rFonts w:hint="eastAsia"/>
          <w:szCs w:val="24"/>
        </w:rPr>
      </w:pPr>
      <w:r>
        <w:rPr>
          <w:rFonts w:eastAsia="KaiTi_GB2312"/>
          <w:color w:val="0000FF"/>
          <w:szCs w:val="24"/>
        </w:rPr>
        <w:t>（</w:t>
      </w:r>
      <w:r>
        <w:rPr>
          <w:rFonts w:eastAsia="KaiTi_GB2312" w:hint="eastAsia"/>
          <w:color w:val="0000FF"/>
          <w:szCs w:val="24"/>
        </w:rPr>
        <w:t>h</w:t>
      </w:r>
      <w:r>
        <w:rPr>
          <w:rFonts w:eastAsia="KaiTi_GB2312"/>
          <w:color w:val="0000FF"/>
          <w:szCs w:val="24"/>
        </w:rPr>
        <w:t>）享受适当的生活条件，特别是在住房、卫生、水电供应、交通和通讯方面。</w:t>
      </w:r>
      <w:r>
        <w:rPr>
          <w:rFonts w:eastAsia="KaiTi_GB2312"/>
          <w:color w:val="0000FF"/>
          <w:szCs w:val="24"/>
        </w:rPr>
        <w:t xml:space="preserve"> </w:t>
      </w:r>
    </w:p>
    <w:p w:rsidR="00000000" w:rsidRDefault="00B83709">
      <w:pPr>
        <w:spacing w:after="240" w:line="360" w:lineRule="exact"/>
        <w:rPr>
          <w:rFonts w:eastAsia="SimHei" w:hint="eastAsia"/>
          <w:color w:val="FF0000"/>
        </w:rPr>
      </w:pPr>
      <w:r>
        <w:rPr>
          <w:rFonts w:eastAsia="SimHei" w:hint="eastAsia"/>
          <w:color w:val="FF0000"/>
        </w:rPr>
        <w:t>一般状况</w:t>
      </w:r>
    </w:p>
    <w:p w:rsidR="00000000" w:rsidRDefault="00B83709">
      <w:pPr>
        <w:numPr>
          <w:ilvl w:val="0"/>
          <w:numId w:val="1049"/>
        </w:numPr>
        <w:tabs>
          <w:tab w:val="clear" w:pos="360"/>
          <w:tab w:val="num" w:pos="480"/>
        </w:tabs>
        <w:spacing w:after="240" w:line="360" w:lineRule="exact"/>
        <w:rPr>
          <w:szCs w:val="24"/>
        </w:rPr>
      </w:pPr>
      <w:r>
        <w:rPr>
          <w:rFonts w:hint="eastAsia"/>
          <w:szCs w:val="24"/>
        </w:rPr>
        <w:t>2000</w:t>
      </w:r>
      <w:r>
        <w:rPr>
          <w:rFonts w:hint="eastAsia"/>
          <w:szCs w:val="24"/>
        </w:rPr>
        <w:t>年人口普查显示，泰国</w:t>
      </w:r>
      <w:r>
        <w:rPr>
          <w:szCs w:val="24"/>
        </w:rPr>
        <w:t>80.8%</w:t>
      </w:r>
      <w:r>
        <w:rPr>
          <w:rFonts w:hint="eastAsia"/>
          <w:szCs w:val="24"/>
        </w:rPr>
        <w:t>的人口住在农村地区，</w:t>
      </w:r>
      <w:r>
        <w:rPr>
          <w:szCs w:val="24"/>
        </w:rPr>
        <w:t>56.7%</w:t>
      </w:r>
      <w:r>
        <w:rPr>
          <w:rFonts w:hint="eastAsia"/>
          <w:szCs w:val="24"/>
        </w:rPr>
        <w:t>的劳动力从事农务。农业占国民生产总值的比例从</w:t>
      </w:r>
      <w:r>
        <w:rPr>
          <w:rFonts w:hint="eastAsia"/>
          <w:szCs w:val="24"/>
        </w:rPr>
        <w:t>1997</w:t>
      </w:r>
      <w:r>
        <w:rPr>
          <w:rFonts w:hint="eastAsia"/>
          <w:szCs w:val="24"/>
        </w:rPr>
        <w:t>年的</w:t>
      </w:r>
      <w:r>
        <w:rPr>
          <w:szCs w:val="24"/>
        </w:rPr>
        <w:t>10.7%</w:t>
      </w:r>
      <w:r>
        <w:rPr>
          <w:rFonts w:hint="eastAsia"/>
          <w:szCs w:val="24"/>
        </w:rPr>
        <w:t>增至</w:t>
      </w:r>
      <w:r>
        <w:rPr>
          <w:rFonts w:hint="eastAsia"/>
          <w:szCs w:val="24"/>
        </w:rPr>
        <w:t>1998</w:t>
      </w:r>
      <w:r>
        <w:rPr>
          <w:rFonts w:hint="eastAsia"/>
          <w:szCs w:val="24"/>
        </w:rPr>
        <w:t>年的</w:t>
      </w:r>
      <w:r>
        <w:rPr>
          <w:szCs w:val="24"/>
        </w:rPr>
        <w:t>11.6%</w:t>
      </w:r>
      <w:r>
        <w:rPr>
          <w:rFonts w:hint="eastAsia"/>
          <w:szCs w:val="24"/>
        </w:rPr>
        <w:t>。全国妇女半数以上住在农村地区。</w:t>
      </w:r>
    </w:p>
    <w:p w:rsidR="00000000" w:rsidRDefault="00B83709">
      <w:pPr>
        <w:numPr>
          <w:ilvl w:val="0"/>
          <w:numId w:val="1049"/>
        </w:numPr>
        <w:tabs>
          <w:tab w:val="clear" w:pos="360"/>
          <w:tab w:val="num" w:pos="480"/>
        </w:tabs>
        <w:spacing w:after="240" w:line="360" w:lineRule="exact"/>
        <w:rPr>
          <w:szCs w:val="24"/>
        </w:rPr>
      </w:pPr>
      <w:r>
        <w:rPr>
          <w:rFonts w:hint="eastAsia"/>
          <w:szCs w:val="24"/>
        </w:rPr>
        <w:t>1997</w:t>
      </w:r>
      <w:r>
        <w:rPr>
          <w:rFonts w:hint="eastAsia"/>
          <w:szCs w:val="24"/>
        </w:rPr>
        <w:t>年亚洲经济危机不仅从总体上对泰</w:t>
      </w:r>
      <w:r>
        <w:rPr>
          <w:rFonts w:hint="eastAsia"/>
          <w:szCs w:val="24"/>
        </w:rPr>
        <w:t>国产生影响，而且波及泰国女工，使她们大量被解雇。劳动力从农村迁移到城市的人数大幅下降，而从城市地区返回农村农业部门的劳动力增多。</w:t>
      </w:r>
    </w:p>
    <w:p w:rsidR="00000000" w:rsidRDefault="00B83709">
      <w:pPr>
        <w:numPr>
          <w:ilvl w:val="0"/>
          <w:numId w:val="1049"/>
        </w:numPr>
        <w:tabs>
          <w:tab w:val="clear" w:pos="360"/>
          <w:tab w:val="num" w:pos="480"/>
        </w:tabs>
        <w:spacing w:after="240" w:line="360" w:lineRule="exact"/>
        <w:rPr>
          <w:szCs w:val="24"/>
        </w:rPr>
      </w:pPr>
      <w:r>
        <w:rPr>
          <w:rFonts w:hint="eastAsia"/>
          <w:szCs w:val="24"/>
        </w:rPr>
        <w:t>农业部门的无报酬家庭佣工（大多是妇女）在农村生产中起着重要作用。有关其活动的数据将根据消除对妇女歧视委员会第</w:t>
      </w:r>
      <w:r>
        <w:rPr>
          <w:rFonts w:hint="eastAsia"/>
          <w:szCs w:val="24"/>
        </w:rPr>
        <w:t>16</w:t>
      </w:r>
      <w:r>
        <w:rPr>
          <w:rFonts w:hint="eastAsia"/>
          <w:szCs w:val="24"/>
        </w:rPr>
        <w:t>号建议收集。这些妇女将被正式指定为在业人口，尽管其所在社区没有充分认识到这一事实。不过，调查还没有包括妇女的家务工作。有关家庭责任的时间分配调查还没有进行，但能够提供有用的资料，说明此类无报酬工作的重要性。</w:t>
      </w:r>
    </w:p>
    <w:p w:rsidR="00000000" w:rsidRDefault="00B83709">
      <w:pPr>
        <w:pStyle w:val="Heading3"/>
        <w:numPr>
          <w:ilvl w:val="0"/>
          <w:numId w:val="0"/>
        </w:numPr>
        <w:spacing w:before="0"/>
        <w:rPr>
          <w:rFonts w:ascii="Times New Roman" w:eastAsia="KaiTi_GB2312" w:hint="eastAsia"/>
          <w:color w:val="0000FF"/>
          <w:sz w:val="21"/>
          <w:szCs w:val="24"/>
          <w:u w:val="none"/>
        </w:rPr>
      </w:pPr>
      <w:r>
        <w:rPr>
          <w:rFonts w:ascii="Times New Roman" w:eastAsia="KaiTi_GB2312"/>
          <w:color w:val="0000FF"/>
          <w:sz w:val="21"/>
          <w:szCs w:val="24"/>
          <w:u w:val="none"/>
        </w:rPr>
        <w:t xml:space="preserve">(a) </w:t>
      </w:r>
      <w:r>
        <w:rPr>
          <w:rFonts w:ascii="Times New Roman" w:eastAsia="KaiTi_GB2312" w:hint="eastAsia"/>
          <w:color w:val="0000FF"/>
          <w:sz w:val="21"/>
          <w:szCs w:val="24"/>
          <w:u w:val="none"/>
        </w:rPr>
        <w:t>保健</w:t>
      </w:r>
    </w:p>
    <w:p w:rsidR="00000000" w:rsidRDefault="00B83709">
      <w:pPr>
        <w:numPr>
          <w:ilvl w:val="0"/>
          <w:numId w:val="1049"/>
        </w:numPr>
        <w:tabs>
          <w:tab w:val="clear" w:pos="360"/>
          <w:tab w:val="num" w:pos="480"/>
        </w:tabs>
        <w:spacing w:after="240" w:line="360" w:lineRule="exact"/>
        <w:rPr>
          <w:szCs w:val="24"/>
        </w:rPr>
      </w:pPr>
      <w:r>
        <w:rPr>
          <w:rFonts w:hint="eastAsia"/>
          <w:szCs w:val="24"/>
        </w:rPr>
        <w:t>泰国大大改善了农村地区的卫生保健、教育和交通运输</w:t>
      </w:r>
      <w:r>
        <w:rPr>
          <w:rFonts w:hint="eastAsia"/>
          <w:szCs w:val="24"/>
        </w:rPr>
        <w:t>系统以及计划生育服务。</w:t>
      </w:r>
      <w:r>
        <w:rPr>
          <w:rFonts w:hint="eastAsia"/>
          <w:szCs w:val="24"/>
        </w:rPr>
        <w:t>1999</w:t>
      </w:r>
      <w:r>
        <w:rPr>
          <w:rFonts w:hint="eastAsia"/>
          <w:szCs w:val="24"/>
        </w:rPr>
        <w:t>年的数据显示，曼谷同农村地区相比，人口与医院床位的比例分别是</w:t>
      </w:r>
      <w:r>
        <w:rPr>
          <w:szCs w:val="24"/>
        </w:rPr>
        <w:t xml:space="preserve">199:1 </w:t>
      </w:r>
      <w:r>
        <w:rPr>
          <w:rFonts w:hint="eastAsia"/>
          <w:szCs w:val="24"/>
        </w:rPr>
        <w:t>和</w:t>
      </w:r>
      <w:r>
        <w:rPr>
          <w:szCs w:val="24"/>
        </w:rPr>
        <w:t>523:1</w:t>
      </w:r>
      <w:r>
        <w:rPr>
          <w:rFonts w:hint="eastAsia"/>
          <w:szCs w:val="24"/>
        </w:rPr>
        <w:t>。在人口与医生的比例方面，曼谷为</w:t>
      </w:r>
      <w:r>
        <w:rPr>
          <w:szCs w:val="24"/>
        </w:rPr>
        <w:t>760:1</w:t>
      </w:r>
      <w:r>
        <w:rPr>
          <w:rFonts w:hint="eastAsia"/>
          <w:szCs w:val="24"/>
        </w:rPr>
        <w:t>，其他各府为</w:t>
      </w:r>
      <w:r>
        <w:rPr>
          <w:szCs w:val="24"/>
        </w:rPr>
        <w:t>5</w:t>
      </w:r>
      <w:r>
        <w:rPr>
          <w:rFonts w:hint="eastAsia"/>
          <w:szCs w:val="24"/>
        </w:rPr>
        <w:t xml:space="preserve"> </w:t>
      </w:r>
      <w:r>
        <w:rPr>
          <w:szCs w:val="24"/>
        </w:rPr>
        <w:t>224:1</w:t>
      </w:r>
      <w:r>
        <w:rPr>
          <w:rFonts w:hint="eastAsia"/>
          <w:szCs w:val="24"/>
        </w:rPr>
        <w:t>。在牙科医师与人口的比例方面，曼谷每名牙医服务的人口为</w:t>
      </w:r>
      <w:r>
        <w:rPr>
          <w:szCs w:val="24"/>
        </w:rPr>
        <w:t>2</w:t>
      </w:r>
      <w:r>
        <w:rPr>
          <w:rFonts w:hint="eastAsia"/>
          <w:szCs w:val="24"/>
        </w:rPr>
        <w:t xml:space="preserve"> </w:t>
      </w:r>
      <w:r>
        <w:rPr>
          <w:szCs w:val="24"/>
        </w:rPr>
        <w:t>991</w:t>
      </w:r>
      <w:r>
        <w:rPr>
          <w:rFonts w:hint="eastAsia"/>
          <w:szCs w:val="24"/>
        </w:rPr>
        <w:t>人，其他各府为</w:t>
      </w:r>
      <w:r>
        <w:rPr>
          <w:szCs w:val="24"/>
        </w:rPr>
        <w:t>26</w:t>
      </w:r>
      <w:r>
        <w:rPr>
          <w:rFonts w:hint="eastAsia"/>
          <w:szCs w:val="24"/>
        </w:rPr>
        <w:t xml:space="preserve"> </w:t>
      </w:r>
      <w:r>
        <w:rPr>
          <w:szCs w:val="24"/>
        </w:rPr>
        <w:t>187</w:t>
      </w:r>
      <w:r>
        <w:rPr>
          <w:rFonts w:hint="eastAsia"/>
          <w:szCs w:val="24"/>
        </w:rPr>
        <w:t>人。政府将改善公共卫生列为农村和偏远地区的优先事项，并且已经拨付一笔预算，用来增加由农村地区医疗中心提供的保健服务。第一阶段的重点是发展连接偏远地区和县医院的通信系统，以便它们能够迅速取得服务。</w:t>
      </w:r>
    </w:p>
    <w:p w:rsidR="00000000" w:rsidRDefault="00B83709">
      <w:pPr>
        <w:numPr>
          <w:ilvl w:val="0"/>
          <w:numId w:val="1049"/>
        </w:numPr>
        <w:tabs>
          <w:tab w:val="clear" w:pos="360"/>
          <w:tab w:val="num" w:pos="480"/>
        </w:tabs>
        <w:spacing w:after="240" w:line="360" w:lineRule="exact"/>
        <w:rPr>
          <w:szCs w:val="24"/>
        </w:rPr>
      </w:pPr>
      <w:r>
        <w:rPr>
          <w:rFonts w:hint="eastAsia"/>
          <w:szCs w:val="24"/>
        </w:rPr>
        <w:t>此外，政府制订了“人人享有健康保险”政策，又</w:t>
      </w:r>
      <w:r>
        <w:rPr>
          <w:rFonts w:hint="eastAsia"/>
          <w:szCs w:val="24"/>
        </w:rPr>
        <w:t>称为为一切疾病补贴</w:t>
      </w:r>
      <w:r>
        <w:rPr>
          <w:rFonts w:hint="eastAsia"/>
          <w:szCs w:val="24"/>
        </w:rPr>
        <w:t>30</w:t>
      </w:r>
      <w:r>
        <w:rPr>
          <w:rFonts w:hint="eastAsia"/>
          <w:szCs w:val="24"/>
        </w:rPr>
        <w:t>铢的方案，旨在为经济拮据的人提供所需的优质照料。政府通过为医院提供每人每年</w:t>
      </w:r>
      <w:r>
        <w:rPr>
          <w:rFonts w:hint="eastAsia"/>
          <w:szCs w:val="24"/>
        </w:rPr>
        <w:t>1 202</w:t>
      </w:r>
      <w:r>
        <w:rPr>
          <w:rFonts w:hint="eastAsia"/>
          <w:szCs w:val="24"/>
        </w:rPr>
        <w:t>铢的补贴，为该方案提供资金。免于支付这笔费用的人包括</w:t>
      </w:r>
      <w:r>
        <w:rPr>
          <w:rFonts w:hint="eastAsia"/>
          <w:szCs w:val="24"/>
        </w:rPr>
        <w:t>60</w:t>
      </w:r>
      <w:r>
        <w:rPr>
          <w:rFonts w:hint="eastAsia"/>
          <w:szCs w:val="24"/>
        </w:rPr>
        <w:t>岁以上老人或</w:t>
      </w:r>
      <w:r>
        <w:rPr>
          <w:rFonts w:hint="eastAsia"/>
          <w:szCs w:val="24"/>
        </w:rPr>
        <w:t>12</w:t>
      </w:r>
      <w:r>
        <w:rPr>
          <w:rFonts w:hint="eastAsia"/>
          <w:szCs w:val="24"/>
        </w:rPr>
        <w:t>岁以下儿童、残疾人、和尚及其他宗教领袖、社区领导人、参战老兵以及月收入不到</w:t>
      </w:r>
      <w:r>
        <w:rPr>
          <w:rFonts w:hint="eastAsia"/>
          <w:szCs w:val="24"/>
        </w:rPr>
        <w:t>3 000</w:t>
      </w:r>
      <w:r>
        <w:rPr>
          <w:rFonts w:hint="eastAsia"/>
          <w:szCs w:val="24"/>
        </w:rPr>
        <w:t>铢的人。</w:t>
      </w:r>
    </w:p>
    <w:p w:rsidR="00000000" w:rsidRDefault="00B83709">
      <w:pPr>
        <w:pStyle w:val="Heading3"/>
        <w:numPr>
          <w:ilvl w:val="0"/>
          <w:numId w:val="0"/>
        </w:numPr>
        <w:spacing w:before="0"/>
        <w:rPr>
          <w:rFonts w:ascii="Times New Roman" w:eastAsia="KaiTi_GB2312" w:hint="eastAsia"/>
          <w:color w:val="0000FF"/>
          <w:sz w:val="21"/>
          <w:szCs w:val="24"/>
          <w:u w:val="none"/>
        </w:rPr>
      </w:pPr>
      <w:r>
        <w:rPr>
          <w:rFonts w:ascii="Times New Roman" w:eastAsia="KaiTi_GB2312"/>
          <w:color w:val="0000FF"/>
          <w:sz w:val="21"/>
          <w:szCs w:val="24"/>
          <w:u w:val="none"/>
        </w:rPr>
        <w:t xml:space="preserve">(b) </w:t>
      </w:r>
      <w:r>
        <w:rPr>
          <w:rFonts w:ascii="Times New Roman" w:eastAsia="KaiTi_GB2312" w:hint="eastAsia"/>
          <w:color w:val="0000FF"/>
          <w:sz w:val="21"/>
          <w:szCs w:val="24"/>
          <w:u w:val="none"/>
        </w:rPr>
        <w:t>教育和培训</w:t>
      </w:r>
    </w:p>
    <w:p w:rsidR="00000000" w:rsidRDefault="00B83709">
      <w:pPr>
        <w:numPr>
          <w:ilvl w:val="0"/>
          <w:numId w:val="1049"/>
        </w:numPr>
        <w:tabs>
          <w:tab w:val="clear" w:pos="360"/>
          <w:tab w:val="num" w:pos="480"/>
        </w:tabs>
        <w:spacing w:after="240" w:line="360" w:lineRule="exact"/>
        <w:rPr>
          <w:szCs w:val="24"/>
        </w:rPr>
      </w:pPr>
      <w:r>
        <w:rPr>
          <w:rFonts w:hint="eastAsia"/>
          <w:szCs w:val="24"/>
        </w:rPr>
        <w:t>随着中学和高等教育机构数量的增加，城乡教育差别在不断缩小。</w:t>
      </w:r>
      <w:r>
        <w:rPr>
          <w:rFonts w:hint="eastAsia"/>
          <w:szCs w:val="24"/>
        </w:rPr>
        <w:t>2002</w:t>
      </w:r>
      <w:r>
        <w:rPr>
          <w:rFonts w:hint="eastAsia"/>
          <w:szCs w:val="24"/>
        </w:rPr>
        <w:t>年生效的《国家教育法》规定，政府应为每个人免费提供</w:t>
      </w:r>
      <w:r>
        <w:rPr>
          <w:rFonts w:hint="eastAsia"/>
          <w:szCs w:val="24"/>
        </w:rPr>
        <w:t>12</w:t>
      </w:r>
      <w:r>
        <w:rPr>
          <w:rFonts w:hint="eastAsia"/>
          <w:szCs w:val="24"/>
        </w:rPr>
        <w:t>年的基础教育。不过，一些问题仍然令人担忧，其中最重要的一个问题是许多教师不想在农村和偏远地区工作，那</w:t>
      </w:r>
      <w:r>
        <w:rPr>
          <w:rFonts w:hint="eastAsia"/>
          <w:szCs w:val="24"/>
        </w:rPr>
        <w:t>里仍存在的一个问题是缺乏教学材料。教育改革以及非正规教育机会的不断增多对农村地区的妇女和男子获得教育和培训机会至关重要。</w:t>
      </w:r>
    </w:p>
    <w:p w:rsidR="00000000" w:rsidRDefault="00B83709">
      <w:pPr>
        <w:pStyle w:val="Heading3"/>
        <w:numPr>
          <w:ilvl w:val="0"/>
          <w:numId w:val="0"/>
        </w:numPr>
        <w:spacing w:before="0"/>
        <w:rPr>
          <w:rFonts w:ascii="Times New Roman" w:eastAsia="KaiTi_GB2312" w:hint="eastAsia"/>
          <w:color w:val="0000FF"/>
          <w:sz w:val="21"/>
          <w:szCs w:val="24"/>
          <w:u w:val="none"/>
        </w:rPr>
      </w:pPr>
      <w:r>
        <w:rPr>
          <w:rFonts w:ascii="Times New Roman" w:eastAsia="KaiTi_GB2312"/>
          <w:color w:val="0000FF"/>
          <w:sz w:val="21"/>
          <w:szCs w:val="24"/>
          <w:u w:val="none"/>
        </w:rPr>
        <w:t xml:space="preserve">(c) </w:t>
      </w:r>
      <w:r>
        <w:rPr>
          <w:rFonts w:ascii="Times New Roman" w:eastAsia="KaiTi_GB2312" w:hint="eastAsia"/>
          <w:color w:val="0000FF"/>
          <w:sz w:val="21"/>
          <w:szCs w:val="24"/>
          <w:u w:val="none"/>
        </w:rPr>
        <w:t>自助小组和合作社</w:t>
      </w:r>
    </w:p>
    <w:p w:rsidR="00000000" w:rsidRDefault="00B83709">
      <w:pPr>
        <w:numPr>
          <w:ilvl w:val="0"/>
          <w:numId w:val="1049"/>
        </w:numPr>
        <w:tabs>
          <w:tab w:val="clear" w:pos="360"/>
          <w:tab w:val="num" w:pos="480"/>
        </w:tabs>
        <w:spacing w:after="240" w:line="360" w:lineRule="exact"/>
        <w:rPr>
          <w:szCs w:val="24"/>
        </w:rPr>
      </w:pPr>
      <w:r>
        <w:rPr>
          <w:rFonts w:hint="eastAsia"/>
          <w:szCs w:val="24"/>
        </w:rPr>
        <w:t>政府通过促进自给自足的经济，鼓励本地社区内的自力更生以及赋予乡村成员能力，特别关注妇女的发展。城乡社区基金就是这样一种机制，社区成员和小型企业家通过这个机制可获得所需的资金，用来支持补充职业和增加收入。</w:t>
      </w:r>
    </w:p>
    <w:p w:rsidR="00000000" w:rsidRDefault="00B83709">
      <w:pPr>
        <w:numPr>
          <w:ilvl w:val="0"/>
          <w:numId w:val="1049"/>
        </w:numPr>
        <w:tabs>
          <w:tab w:val="clear" w:pos="360"/>
          <w:tab w:val="num" w:pos="480"/>
        </w:tabs>
        <w:spacing w:after="240" w:line="360" w:lineRule="exact"/>
        <w:rPr>
          <w:szCs w:val="24"/>
        </w:rPr>
      </w:pPr>
      <w:r>
        <w:rPr>
          <w:rFonts w:hint="eastAsia"/>
          <w:szCs w:val="24"/>
        </w:rPr>
        <w:t>政府也在促进“一个区，一个产品项目”，作为另一项社区发展战略。该项目的着重点是创造工作机会以及可持续的稳定收入，以便社区成员最终能够做到自力更生，并实现基层一级</w:t>
      </w:r>
      <w:r>
        <w:rPr>
          <w:rFonts w:hint="eastAsia"/>
          <w:szCs w:val="24"/>
        </w:rPr>
        <w:t>的经济复苏。泰国政府给予这个项目优先重视，目的是同减免农民债务的政策挂钩并促进这项政策，甚至包括为各区提供因特网服务。</w:t>
      </w:r>
    </w:p>
    <w:p w:rsidR="00000000" w:rsidRDefault="00B83709">
      <w:pPr>
        <w:numPr>
          <w:ilvl w:val="0"/>
          <w:numId w:val="1049"/>
        </w:numPr>
        <w:tabs>
          <w:tab w:val="clear" w:pos="360"/>
          <w:tab w:val="num" w:pos="480"/>
        </w:tabs>
        <w:spacing w:after="240" w:line="360" w:lineRule="exact"/>
        <w:rPr>
          <w:szCs w:val="24"/>
        </w:rPr>
      </w:pPr>
      <w:r>
        <w:rPr>
          <w:rFonts w:hint="eastAsia"/>
          <w:szCs w:val="24"/>
        </w:rPr>
        <w:t>政府也正在为小农场主实施一个为期三年的减免债务项目。这个项目旨在通过建立一个完整的复苏周期以及为改组生产提供援助，尽快解决农民的负债问题。</w:t>
      </w:r>
    </w:p>
    <w:p w:rsidR="00000000" w:rsidRDefault="00B83709">
      <w:pPr>
        <w:numPr>
          <w:ilvl w:val="0"/>
          <w:numId w:val="1049"/>
        </w:numPr>
        <w:tabs>
          <w:tab w:val="clear" w:pos="360"/>
          <w:tab w:val="num" w:pos="480"/>
        </w:tabs>
        <w:spacing w:after="240" w:line="360" w:lineRule="exact"/>
        <w:rPr>
          <w:szCs w:val="24"/>
        </w:rPr>
      </w:pPr>
      <w:r>
        <w:rPr>
          <w:rFonts w:hint="eastAsia"/>
          <w:szCs w:val="24"/>
        </w:rPr>
        <w:t>如前文所述，“人民银行”通过扩大低收入者获得金融资源的机会并减少他们对非正规筹资渠道的依赖，扩大了他们的机会。人民银行的贷款旨在帮助创造工作机会和提高收入。政府也认识到那些想要投资创办微型企业但又缺乏用作银行经常贷款担保金的充足资金或资产的人的需要。通</w:t>
      </w:r>
      <w:r>
        <w:rPr>
          <w:rFonts w:hint="eastAsia"/>
          <w:szCs w:val="24"/>
        </w:rPr>
        <w:t>过政府储蓄银行运营的人民银行为这些人提供无需担保的初始资本，并依赖基于个人能力的个人担保。</w:t>
      </w:r>
    </w:p>
    <w:p w:rsidR="00000000" w:rsidRDefault="00B83709">
      <w:pPr>
        <w:numPr>
          <w:ilvl w:val="0"/>
          <w:numId w:val="1049"/>
        </w:numPr>
        <w:tabs>
          <w:tab w:val="clear" w:pos="360"/>
          <w:tab w:val="num" w:pos="480"/>
        </w:tabs>
        <w:spacing w:after="240" w:line="360" w:lineRule="exact"/>
        <w:rPr>
          <w:szCs w:val="24"/>
        </w:rPr>
      </w:pPr>
      <w:r>
        <w:rPr>
          <w:rFonts w:hint="eastAsia"/>
          <w:szCs w:val="24"/>
        </w:rPr>
        <w:t>95%</w:t>
      </w:r>
      <w:r>
        <w:rPr>
          <w:rFonts w:hint="eastAsia"/>
          <w:szCs w:val="24"/>
        </w:rPr>
        <w:t>以上的乡村和区、</w:t>
      </w:r>
      <w:r>
        <w:rPr>
          <w:rFonts w:hint="eastAsia"/>
          <w:szCs w:val="24"/>
        </w:rPr>
        <w:t>93%</w:t>
      </w:r>
      <w:r>
        <w:rPr>
          <w:rFonts w:hint="eastAsia"/>
          <w:szCs w:val="24"/>
        </w:rPr>
        <w:t>的县以及</w:t>
      </w:r>
      <w:r>
        <w:rPr>
          <w:rFonts w:hint="eastAsia"/>
          <w:szCs w:val="24"/>
        </w:rPr>
        <w:t>89%</w:t>
      </w:r>
      <w:r>
        <w:rPr>
          <w:rFonts w:hint="eastAsia"/>
          <w:szCs w:val="24"/>
        </w:rPr>
        <w:t>的府拥有地方妇女小组，所有小组均由社区发展厅负责。尽管有些妇女小组在促进妇女职业发展和保护其权利方面效率很高，但其他小组没有这样的能力。能否取得成功取决于领导能力，以及妇女小组在多大程度上得到社区及其领导人的认可。</w:t>
      </w:r>
    </w:p>
    <w:p w:rsidR="00000000" w:rsidRDefault="00B83709">
      <w:pPr>
        <w:numPr>
          <w:ilvl w:val="0"/>
          <w:numId w:val="1049"/>
        </w:numPr>
        <w:tabs>
          <w:tab w:val="clear" w:pos="360"/>
          <w:tab w:val="num" w:pos="480"/>
        </w:tabs>
        <w:spacing w:after="240" w:line="360" w:lineRule="exact"/>
        <w:rPr>
          <w:szCs w:val="24"/>
        </w:rPr>
      </w:pPr>
      <w:r>
        <w:rPr>
          <w:rFonts w:hint="eastAsia"/>
          <w:szCs w:val="24"/>
        </w:rPr>
        <w:t>合作社，特别是有关农业、渔业、土地分配和储蓄的合作社对农村人极为重要。</w:t>
      </w:r>
      <w:r>
        <w:rPr>
          <w:rFonts w:hint="eastAsia"/>
          <w:szCs w:val="24"/>
        </w:rPr>
        <w:t>1991</w:t>
      </w:r>
      <w:r>
        <w:rPr>
          <w:rFonts w:hint="eastAsia"/>
          <w:szCs w:val="24"/>
        </w:rPr>
        <w:t>年的一项研究表明，妇女充任一般成员和委员会成员的比例比男子低得多，特别是在生产活动方</w:t>
      </w:r>
      <w:r>
        <w:rPr>
          <w:rFonts w:hint="eastAsia"/>
          <w:szCs w:val="24"/>
        </w:rPr>
        <w:t>面。譬如，在</w:t>
      </w:r>
      <w:r>
        <w:rPr>
          <w:szCs w:val="24"/>
        </w:rPr>
        <w:t>1</w:t>
      </w:r>
      <w:r>
        <w:rPr>
          <w:rFonts w:hint="eastAsia"/>
          <w:szCs w:val="24"/>
        </w:rPr>
        <w:t xml:space="preserve"> </w:t>
      </w:r>
      <w:r>
        <w:rPr>
          <w:szCs w:val="24"/>
        </w:rPr>
        <w:t>797</w:t>
      </w:r>
      <w:r>
        <w:rPr>
          <w:rFonts w:hint="eastAsia"/>
          <w:szCs w:val="24"/>
        </w:rPr>
        <w:t>个农业合作社中，妇女取得成员资格的仅占</w:t>
      </w:r>
      <w:r>
        <w:rPr>
          <w:rFonts w:hint="eastAsia"/>
          <w:szCs w:val="24"/>
        </w:rPr>
        <w:t>22%</w:t>
      </w:r>
      <w:r>
        <w:rPr>
          <w:rFonts w:hint="eastAsia"/>
          <w:szCs w:val="24"/>
        </w:rPr>
        <w:t>，担任行政管理职位的仅占</w:t>
      </w:r>
      <w:r>
        <w:rPr>
          <w:rFonts w:hint="eastAsia"/>
          <w:szCs w:val="24"/>
        </w:rPr>
        <w:t>3%</w:t>
      </w:r>
      <w:r>
        <w:rPr>
          <w:rFonts w:hint="eastAsia"/>
          <w:szCs w:val="24"/>
        </w:rPr>
        <w:t>。</w:t>
      </w:r>
    </w:p>
    <w:p w:rsidR="00000000" w:rsidRDefault="00B83709">
      <w:pPr>
        <w:numPr>
          <w:ilvl w:val="0"/>
          <w:numId w:val="1049"/>
        </w:numPr>
        <w:tabs>
          <w:tab w:val="clear" w:pos="360"/>
          <w:tab w:val="num" w:pos="480"/>
        </w:tabs>
        <w:spacing w:after="240" w:line="360" w:lineRule="exact"/>
        <w:rPr>
          <w:szCs w:val="24"/>
        </w:rPr>
      </w:pPr>
      <w:r>
        <w:rPr>
          <w:rFonts w:hint="eastAsia"/>
          <w:szCs w:val="24"/>
        </w:rPr>
        <w:t>然而，妇女却在储蓄合作社中发挥较大作用（在</w:t>
      </w:r>
      <w:r>
        <w:rPr>
          <w:rFonts w:hint="eastAsia"/>
          <w:szCs w:val="24"/>
        </w:rPr>
        <w:t>1993</w:t>
      </w:r>
      <w:r>
        <w:rPr>
          <w:rFonts w:hint="eastAsia"/>
          <w:szCs w:val="24"/>
        </w:rPr>
        <w:t>年共有</w:t>
      </w:r>
      <w:r>
        <w:rPr>
          <w:rFonts w:hint="eastAsia"/>
          <w:szCs w:val="24"/>
        </w:rPr>
        <w:t>878</w:t>
      </w:r>
      <w:r>
        <w:rPr>
          <w:rFonts w:hint="eastAsia"/>
          <w:szCs w:val="24"/>
        </w:rPr>
        <w:t>个注册合作社），其中，妇女占成员的</w:t>
      </w:r>
      <w:r>
        <w:rPr>
          <w:rFonts w:hint="eastAsia"/>
          <w:szCs w:val="24"/>
        </w:rPr>
        <w:t>38%</w:t>
      </w:r>
      <w:r>
        <w:rPr>
          <w:rFonts w:hint="eastAsia"/>
          <w:szCs w:val="24"/>
        </w:rPr>
        <w:t>，占行政管理职位的</w:t>
      </w:r>
      <w:r>
        <w:rPr>
          <w:rFonts w:hint="eastAsia"/>
          <w:szCs w:val="24"/>
        </w:rPr>
        <w:t>15%</w:t>
      </w:r>
      <w:r>
        <w:rPr>
          <w:rFonts w:hint="eastAsia"/>
          <w:szCs w:val="24"/>
        </w:rPr>
        <w:t>。不足为怪的是，妇女在</w:t>
      </w:r>
      <w:r>
        <w:rPr>
          <w:rFonts w:hint="eastAsia"/>
          <w:szCs w:val="24"/>
        </w:rPr>
        <w:t>345</w:t>
      </w:r>
      <w:r>
        <w:rPr>
          <w:rFonts w:hint="eastAsia"/>
          <w:szCs w:val="24"/>
        </w:rPr>
        <w:t>个现有消费合作社中有一大批成员，占行政管理职位的</w:t>
      </w:r>
      <w:r>
        <w:rPr>
          <w:rFonts w:hint="eastAsia"/>
          <w:szCs w:val="24"/>
        </w:rPr>
        <w:t>20%</w:t>
      </w:r>
      <w:r>
        <w:rPr>
          <w:rFonts w:hint="eastAsia"/>
          <w:szCs w:val="24"/>
        </w:rPr>
        <w:t>。可能妨碍妇女参与合作社的一项现行条例是，“每户只有一名成员可以被选到合作社的一个职位。”在社会上，人们期望这个人应为男户主。</w:t>
      </w:r>
    </w:p>
    <w:p w:rsidR="00000000" w:rsidRDefault="00B83709">
      <w:pPr>
        <w:numPr>
          <w:ilvl w:val="0"/>
          <w:numId w:val="1049"/>
        </w:numPr>
        <w:tabs>
          <w:tab w:val="clear" w:pos="360"/>
          <w:tab w:val="num" w:pos="480"/>
        </w:tabs>
        <w:spacing w:after="240" w:line="360" w:lineRule="exact"/>
        <w:rPr>
          <w:szCs w:val="24"/>
        </w:rPr>
      </w:pPr>
      <w:r>
        <w:rPr>
          <w:rFonts w:hint="eastAsia"/>
          <w:szCs w:val="24"/>
        </w:rPr>
        <w:t>致力于农村发展的非政府组织在支持和发展合作社方面发挥着重要作用。不过，这些非政</w:t>
      </w:r>
      <w:r>
        <w:rPr>
          <w:rFonts w:hint="eastAsia"/>
          <w:szCs w:val="24"/>
        </w:rPr>
        <w:t>府组织一般不考虑性别问题，因而几乎不关注男女之间长期存在的社会差异。因此，妇女事务全国委员会办公室与国家一级的非政府组织一道，试图提高它们对性别问题在发展中的重要性的认识，但仍需做出更多的努力。</w:t>
      </w:r>
    </w:p>
    <w:p w:rsidR="00000000" w:rsidRDefault="00B83709">
      <w:pPr>
        <w:numPr>
          <w:ilvl w:val="0"/>
          <w:numId w:val="1049"/>
        </w:numPr>
        <w:tabs>
          <w:tab w:val="clear" w:pos="360"/>
          <w:tab w:val="num" w:pos="480"/>
        </w:tabs>
        <w:spacing w:after="240" w:line="360" w:lineRule="exact"/>
        <w:rPr>
          <w:szCs w:val="24"/>
        </w:rPr>
      </w:pPr>
      <w:r>
        <w:rPr>
          <w:rFonts w:hint="eastAsia"/>
          <w:szCs w:val="24"/>
        </w:rPr>
        <w:t>生活条件，特别是卫生、电力和供水方面的条件大为改善，尽管除部分十分边远的地区外，全国其他地区已享受到这些服务。但农村地区的住房、通信和运输系统仍需进一步改善。</w:t>
      </w:r>
    </w:p>
    <w:p w:rsidR="00000000" w:rsidRDefault="00B83709">
      <w:pPr>
        <w:spacing w:after="240" w:line="360" w:lineRule="exact"/>
        <w:jc w:val="center"/>
        <w:rPr>
          <w:rFonts w:eastAsia="SimHei" w:hint="eastAsia"/>
          <w:color w:val="FF0000"/>
          <w:sz w:val="24"/>
        </w:rPr>
      </w:pPr>
      <w:r>
        <w:rPr>
          <w:rFonts w:eastAsia="SimHei"/>
          <w:color w:val="FF0000"/>
          <w:sz w:val="24"/>
        </w:rPr>
        <w:br w:type="page"/>
      </w:r>
      <w:r>
        <w:rPr>
          <w:rFonts w:eastAsia="SimHei" w:hint="eastAsia"/>
          <w:color w:val="FF0000"/>
          <w:sz w:val="24"/>
        </w:rPr>
        <w:t>第十五条：法律面前平等</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缔约各国应给予男女在法律面前平等的地位。</w:t>
      </w:r>
      <w:r>
        <w:rPr>
          <w:rFonts w:eastAsia="KaiTi_GB2312"/>
          <w:color w:val="0000FF"/>
          <w:szCs w:val="24"/>
        </w:rPr>
        <w:t xml:space="preserve"> </w:t>
      </w:r>
    </w:p>
    <w:p w:rsidR="00000000" w:rsidRDefault="00B83709">
      <w:pPr>
        <w:spacing w:after="240" w:line="360" w:lineRule="exact"/>
        <w:rPr>
          <w:rFonts w:eastAsia="KaiTi_GB2312"/>
          <w:color w:val="0000FF"/>
          <w:szCs w:val="24"/>
        </w:rPr>
      </w:pPr>
      <w:r>
        <w:rPr>
          <w:rFonts w:eastAsia="KaiTi_GB2312"/>
          <w:color w:val="0000FF"/>
          <w:szCs w:val="24"/>
        </w:rPr>
        <w:t>    </w:t>
      </w:r>
      <w:r>
        <w:rPr>
          <w:rFonts w:eastAsia="KaiTi_GB2312" w:hint="eastAsia"/>
          <w:color w:val="0000FF"/>
          <w:szCs w:val="24"/>
        </w:rPr>
        <w:t xml:space="preserve">　</w:t>
      </w:r>
      <w:r>
        <w:rPr>
          <w:rFonts w:eastAsia="KaiTi_GB2312"/>
          <w:color w:val="0000FF"/>
          <w:szCs w:val="24"/>
        </w:rPr>
        <w:t>缔约各国应在公民事务上，给予妇女与男子同等的法律行为能力，以及行使这种行为能</w:t>
      </w:r>
      <w:r>
        <w:rPr>
          <w:rFonts w:eastAsia="KaiTi_GB2312"/>
          <w:color w:val="0000FF"/>
          <w:szCs w:val="24"/>
        </w:rPr>
        <w:t>力的相同机会。特别应给予妇女签订合同和管理财产的平等权利，并在法院和法庭诉讼的各个阶段给予平等待遇。</w:t>
      </w:r>
      <w:r>
        <w:rPr>
          <w:rFonts w:eastAsia="KaiTi_GB2312"/>
          <w:color w:val="0000FF"/>
          <w:szCs w:val="24"/>
        </w:rPr>
        <w:t xml:space="preserve"> </w:t>
      </w:r>
    </w:p>
    <w:p w:rsidR="00000000" w:rsidRDefault="00B83709">
      <w:pPr>
        <w:spacing w:after="240" w:line="360" w:lineRule="exact"/>
        <w:rPr>
          <w:rFonts w:eastAsia="KaiTi_GB2312"/>
          <w:color w:val="0000FF"/>
          <w:szCs w:val="24"/>
        </w:rPr>
      </w:pPr>
      <w:r>
        <w:rPr>
          <w:rFonts w:eastAsia="KaiTi_GB2312"/>
          <w:color w:val="0000FF"/>
          <w:szCs w:val="24"/>
        </w:rPr>
        <w:t>    </w:t>
      </w:r>
      <w:r>
        <w:rPr>
          <w:rFonts w:eastAsia="KaiTi_GB2312" w:hint="eastAsia"/>
          <w:color w:val="0000FF"/>
          <w:szCs w:val="24"/>
        </w:rPr>
        <w:t xml:space="preserve">　</w:t>
      </w:r>
      <w:r>
        <w:rPr>
          <w:rFonts w:eastAsia="KaiTi_GB2312"/>
          <w:color w:val="0000FF"/>
          <w:szCs w:val="24"/>
        </w:rPr>
        <w:t>缔约各国同意，旨在限制妇女法律行为能力的所有合同和其他任何具有法律效力的私人文书，应一律视为无效。</w:t>
      </w:r>
      <w:r>
        <w:rPr>
          <w:rFonts w:eastAsia="KaiTi_GB2312"/>
          <w:color w:val="0000FF"/>
          <w:szCs w:val="24"/>
        </w:rPr>
        <w:t xml:space="preserve"> </w:t>
      </w:r>
    </w:p>
    <w:p w:rsidR="00000000" w:rsidRDefault="00B83709">
      <w:pPr>
        <w:spacing w:after="240" w:line="360" w:lineRule="exact"/>
        <w:rPr>
          <w:rFonts w:eastAsia="KaiTi_GB2312" w:hint="eastAsia"/>
          <w:color w:val="0000FF"/>
          <w:szCs w:val="24"/>
        </w:rPr>
      </w:pPr>
      <w:r>
        <w:rPr>
          <w:rFonts w:eastAsia="KaiTi_GB2312"/>
          <w:color w:val="0000FF"/>
          <w:szCs w:val="24"/>
        </w:rPr>
        <w:t>    </w:t>
      </w:r>
      <w:r>
        <w:rPr>
          <w:rFonts w:eastAsia="KaiTi_GB2312" w:hint="eastAsia"/>
          <w:color w:val="0000FF"/>
          <w:szCs w:val="24"/>
        </w:rPr>
        <w:t xml:space="preserve">　</w:t>
      </w:r>
      <w:r>
        <w:rPr>
          <w:rFonts w:eastAsia="KaiTi_GB2312"/>
          <w:color w:val="0000FF"/>
          <w:szCs w:val="24"/>
        </w:rPr>
        <w:t>缔约各国在有关人身移动和自由择居的法律方面，应给予男女相同的权利。</w:t>
      </w:r>
      <w:r>
        <w:rPr>
          <w:rFonts w:eastAsia="KaiTi_GB2312"/>
          <w:color w:val="0000FF"/>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w:t>
      </w:r>
      <w:r>
        <w:rPr>
          <w:rFonts w:hint="eastAsia"/>
          <w:szCs w:val="24"/>
        </w:rPr>
        <w:t>1997</w:t>
      </w:r>
      <w:r>
        <w:rPr>
          <w:rFonts w:hint="eastAsia"/>
          <w:szCs w:val="24"/>
        </w:rPr>
        <w:t>年宪法》第三十条保障男女平等，规定“法律面前人人平等，人人应受法律平等保护；禁止因出身、种族、语言、性别、年龄、身体状况、健康、个人状况、经济或社会地位、宗教信仰、教育或培训以及政治见解歧视任何人。</w:t>
      </w:r>
    </w:p>
    <w:p w:rsidR="00000000" w:rsidRDefault="00B83709">
      <w:pPr>
        <w:numPr>
          <w:ilvl w:val="0"/>
          <w:numId w:val="1049"/>
        </w:numPr>
        <w:tabs>
          <w:tab w:val="clear" w:pos="360"/>
          <w:tab w:val="num" w:pos="480"/>
        </w:tabs>
        <w:spacing w:after="240" w:line="360" w:lineRule="exact"/>
        <w:rPr>
          <w:szCs w:val="24"/>
        </w:rPr>
      </w:pPr>
      <w:r>
        <w:rPr>
          <w:rFonts w:hint="eastAsia"/>
          <w:szCs w:val="24"/>
        </w:rPr>
        <w:t>政府为</w:t>
      </w:r>
      <w:r>
        <w:rPr>
          <w:rFonts w:hint="eastAsia"/>
          <w:szCs w:val="24"/>
        </w:rPr>
        <w:t>消除或鼓励一个人行使与他人相同的权利和自由而制订的措施，不应视为歧视。”</w:t>
      </w:r>
    </w:p>
    <w:p w:rsidR="00000000" w:rsidRDefault="00B83709">
      <w:pPr>
        <w:numPr>
          <w:ilvl w:val="0"/>
          <w:numId w:val="1049"/>
        </w:numPr>
        <w:tabs>
          <w:tab w:val="clear" w:pos="360"/>
          <w:tab w:val="num" w:pos="480"/>
        </w:tabs>
        <w:spacing w:after="240" w:line="360" w:lineRule="exact"/>
        <w:rPr>
          <w:szCs w:val="24"/>
        </w:rPr>
      </w:pPr>
      <w:r>
        <w:rPr>
          <w:rFonts w:hint="eastAsia"/>
          <w:szCs w:val="24"/>
        </w:rPr>
        <w:t>《宪法》是国家的最高法律，规定了泰国必须执行的主要原则。它也应当修订原则同《宪法》抵触的任何法律，并监督现行法律的有效执行。这些行动旨在保障男女在《宪法》中的平等。目前，还没有关于两性平等的具体法律。不过，泰国正在修订有关两性不平等的各种法律，如</w:t>
      </w:r>
      <w:r>
        <w:rPr>
          <w:rFonts w:hint="eastAsia"/>
          <w:szCs w:val="24"/>
        </w:rPr>
        <w:t>1962</w:t>
      </w:r>
      <w:r>
        <w:rPr>
          <w:rFonts w:hint="eastAsia"/>
          <w:szCs w:val="24"/>
        </w:rPr>
        <w:t>年《姓氏法》，原因是该法强行让妇女改用夫姓。</w:t>
      </w:r>
    </w:p>
    <w:p w:rsidR="00000000" w:rsidRDefault="00B83709">
      <w:pPr>
        <w:numPr>
          <w:ilvl w:val="0"/>
          <w:numId w:val="1049"/>
        </w:numPr>
        <w:tabs>
          <w:tab w:val="clear" w:pos="360"/>
          <w:tab w:val="num" w:pos="480"/>
        </w:tabs>
        <w:spacing w:after="240" w:line="360" w:lineRule="exact"/>
        <w:rPr>
          <w:szCs w:val="24"/>
        </w:rPr>
      </w:pPr>
      <w:r>
        <w:rPr>
          <w:rFonts w:hint="eastAsia"/>
          <w:szCs w:val="24"/>
        </w:rPr>
        <w:t>在处理法律事务方面，《民事和商业法》规定男女享有平等权利，没有哪项条款限制妇女从事这类事务的权利。因此，泰国妇女在金融事务、贷款、房地产、</w:t>
      </w:r>
      <w:r>
        <w:rPr>
          <w:rFonts w:hint="eastAsia"/>
          <w:szCs w:val="24"/>
        </w:rPr>
        <w:t>财产及其他商业交易方面，拥有独立签署相关合同的合法权利和能力。</w:t>
      </w:r>
    </w:p>
    <w:p w:rsidR="00000000" w:rsidRDefault="00B83709">
      <w:pPr>
        <w:numPr>
          <w:ilvl w:val="0"/>
          <w:numId w:val="1049"/>
        </w:numPr>
        <w:tabs>
          <w:tab w:val="clear" w:pos="360"/>
          <w:tab w:val="num" w:pos="480"/>
        </w:tabs>
        <w:spacing w:after="240" w:line="360" w:lineRule="exact"/>
        <w:rPr>
          <w:szCs w:val="24"/>
        </w:rPr>
      </w:pPr>
      <w:r>
        <w:rPr>
          <w:rFonts w:hint="eastAsia"/>
          <w:szCs w:val="24"/>
        </w:rPr>
        <w:t>妇女可同男子一样从事买卖、租赁以及有关财产和房地产的其他事务等活动。由于商业法不限制妇女从事这类活动的权利，妇女可开办公司，充当合作伙伴，并在一切类型的商业组织中担任行政管理职位，如担任公司经理、总经理和董事长。在共同婚姻财产方面，《民事和商业法》第</w:t>
      </w:r>
      <w:r>
        <w:rPr>
          <w:rFonts w:hint="eastAsia"/>
          <w:szCs w:val="24"/>
        </w:rPr>
        <w:t>1476</w:t>
      </w:r>
      <w:r>
        <w:rPr>
          <w:rFonts w:hint="eastAsia"/>
          <w:szCs w:val="24"/>
        </w:rPr>
        <w:t>条规定，婚姻财产由夫妻双方相互同意后共同管理。未经双方同意，主管机构可拒绝批准合同并使合同生效，配偶任何一方皆可取消合同。</w:t>
      </w:r>
    </w:p>
    <w:p w:rsidR="00000000" w:rsidRDefault="00B83709">
      <w:pPr>
        <w:numPr>
          <w:ilvl w:val="0"/>
          <w:numId w:val="1049"/>
        </w:numPr>
        <w:tabs>
          <w:tab w:val="clear" w:pos="360"/>
          <w:tab w:val="num" w:pos="480"/>
        </w:tabs>
        <w:spacing w:after="240" w:line="360" w:lineRule="exact"/>
        <w:rPr>
          <w:szCs w:val="24"/>
        </w:rPr>
      </w:pPr>
      <w:r>
        <w:rPr>
          <w:rFonts w:hint="eastAsia"/>
          <w:szCs w:val="24"/>
        </w:rPr>
        <w:t>妇女可参与司法程序的任何一个阶段，不应受到歧视性条例的约束。妇女可</w:t>
      </w:r>
      <w:r>
        <w:rPr>
          <w:rFonts w:hint="eastAsia"/>
          <w:szCs w:val="24"/>
        </w:rPr>
        <w:t>独立提起诉讼或者被他人起诉，拥有同男子相同的地位，可作为证人以及出庭律师。此外，合格的妇女可被任命为助理法官，并可参与青少年和家事法院以及劳工法院的审议。</w:t>
      </w:r>
    </w:p>
    <w:p w:rsidR="00000000" w:rsidRDefault="00B83709">
      <w:pPr>
        <w:numPr>
          <w:ilvl w:val="0"/>
          <w:numId w:val="1049"/>
        </w:numPr>
        <w:tabs>
          <w:tab w:val="clear" w:pos="360"/>
          <w:tab w:val="num" w:pos="480"/>
        </w:tabs>
        <w:spacing w:after="240" w:line="360" w:lineRule="exact"/>
        <w:rPr>
          <w:szCs w:val="24"/>
        </w:rPr>
      </w:pPr>
      <w:r>
        <w:rPr>
          <w:rFonts w:hint="eastAsia"/>
          <w:szCs w:val="24"/>
        </w:rPr>
        <w:t>实际上，妇女担任检察官和法官的比例比男子低得多，但这一比例在过去十年呈不断上升的趋势。</w:t>
      </w:r>
    </w:p>
    <w:p w:rsidR="00000000" w:rsidRDefault="00B83709">
      <w:pPr>
        <w:numPr>
          <w:ilvl w:val="0"/>
          <w:numId w:val="1049"/>
        </w:numPr>
        <w:tabs>
          <w:tab w:val="clear" w:pos="360"/>
          <w:tab w:val="num" w:pos="480"/>
        </w:tabs>
        <w:spacing w:after="240" w:line="360" w:lineRule="exact"/>
        <w:rPr>
          <w:szCs w:val="24"/>
        </w:rPr>
      </w:pPr>
      <w:r>
        <w:rPr>
          <w:rFonts w:hint="eastAsia"/>
          <w:szCs w:val="24"/>
        </w:rPr>
        <w:t>警方女调查员的人数仍然不足，尽管人们认识到她们对女性受害者发挥的作用非常重要，特别是在性犯罪案例中。</w:t>
      </w:r>
    </w:p>
    <w:p w:rsidR="00000000" w:rsidRDefault="00B83709">
      <w:pPr>
        <w:numPr>
          <w:ilvl w:val="0"/>
          <w:numId w:val="1049"/>
        </w:numPr>
        <w:tabs>
          <w:tab w:val="clear" w:pos="360"/>
          <w:tab w:val="num" w:pos="480"/>
        </w:tabs>
        <w:spacing w:after="240" w:line="360" w:lineRule="exact"/>
        <w:rPr>
          <w:szCs w:val="24"/>
        </w:rPr>
      </w:pPr>
      <w:r>
        <w:rPr>
          <w:rFonts w:hint="eastAsia"/>
          <w:szCs w:val="24"/>
        </w:rPr>
        <w:t>在审议民事和刑事犯罪时，在使用证据、证人陈述以及给予同等性质犯罪以处罚方面，对男子和妇女一视同仁。</w:t>
      </w:r>
    </w:p>
    <w:p w:rsidR="00000000" w:rsidRDefault="00B83709">
      <w:pPr>
        <w:numPr>
          <w:ilvl w:val="0"/>
          <w:numId w:val="1049"/>
        </w:numPr>
        <w:tabs>
          <w:tab w:val="clear" w:pos="360"/>
          <w:tab w:val="num" w:pos="480"/>
        </w:tabs>
        <w:spacing w:after="240" w:line="360" w:lineRule="exact"/>
        <w:rPr>
          <w:szCs w:val="24"/>
        </w:rPr>
      </w:pPr>
      <w:r>
        <w:rPr>
          <w:rFonts w:hint="eastAsia"/>
          <w:szCs w:val="24"/>
        </w:rPr>
        <w:t>在取得法律服务方面，妇女在独立征求律师建议、指定律师、报告犯罪以及</w:t>
      </w:r>
      <w:r>
        <w:rPr>
          <w:rFonts w:hint="eastAsia"/>
          <w:szCs w:val="24"/>
        </w:rPr>
        <w:t>其他事项上与男子有相同机会。泰国男子和妇女都可免费得到法律服务，大多数服务由非政府组织，如泰国律师协会提供。不过，妇女有取得更多服务的机会，原因是她们面临的问题种类较多，并且需要法律援助（如，法律事务、合同、包括共同财产问题在内的财产管理、离婚、对她们本人或其子女的家庭暴力）。因此，包括泰国女律师协会和妇女之友基金会在内的若干非政府组织提供这类援助。</w:t>
      </w:r>
    </w:p>
    <w:p w:rsidR="00000000" w:rsidRDefault="00B83709">
      <w:pPr>
        <w:numPr>
          <w:ilvl w:val="0"/>
          <w:numId w:val="1049"/>
        </w:numPr>
        <w:tabs>
          <w:tab w:val="clear" w:pos="360"/>
          <w:tab w:val="num" w:pos="480"/>
        </w:tabs>
        <w:spacing w:after="240" w:line="360" w:lineRule="exact"/>
        <w:rPr>
          <w:szCs w:val="24"/>
        </w:rPr>
      </w:pPr>
      <w:r>
        <w:rPr>
          <w:rFonts w:hint="eastAsia"/>
          <w:szCs w:val="24"/>
        </w:rPr>
        <w:t>关于泰国专门针对妇女制定的法律，《刑法》规定，凡不超过</w:t>
      </w:r>
      <w:r>
        <w:rPr>
          <w:rFonts w:hint="eastAsia"/>
          <w:szCs w:val="24"/>
        </w:rPr>
        <w:t>18</w:t>
      </w:r>
      <w:r>
        <w:rPr>
          <w:rFonts w:hint="eastAsia"/>
          <w:szCs w:val="24"/>
        </w:rPr>
        <w:t>岁的受害人、罪犯或证人，在讯问过程应得到特殊对待，包括心理学家和社会工作者的参与以及使用录像带。这样</w:t>
      </w:r>
      <w:r>
        <w:rPr>
          <w:rFonts w:hint="eastAsia"/>
          <w:szCs w:val="24"/>
        </w:rPr>
        <w:t>做的目的是保护不满</w:t>
      </w:r>
      <w:r>
        <w:rPr>
          <w:rFonts w:hint="eastAsia"/>
          <w:szCs w:val="24"/>
        </w:rPr>
        <w:t>18</w:t>
      </w:r>
      <w:r>
        <w:rPr>
          <w:rFonts w:hint="eastAsia"/>
          <w:szCs w:val="24"/>
        </w:rPr>
        <w:t>岁的青少年在面对被控罪犯时情绪上不受影响，特别是涉及性暴力或家庭暴力的案件。</w:t>
      </w:r>
    </w:p>
    <w:p w:rsidR="00000000" w:rsidRDefault="00B83709">
      <w:pPr>
        <w:numPr>
          <w:ilvl w:val="0"/>
          <w:numId w:val="1049"/>
        </w:numPr>
        <w:tabs>
          <w:tab w:val="clear" w:pos="360"/>
          <w:tab w:val="num" w:pos="480"/>
        </w:tabs>
        <w:spacing w:after="240" w:line="360" w:lineRule="exact"/>
        <w:rPr>
          <w:szCs w:val="24"/>
        </w:rPr>
      </w:pPr>
      <w:r>
        <w:rPr>
          <w:rFonts w:hint="eastAsia"/>
          <w:szCs w:val="24"/>
        </w:rPr>
        <w:t>不过，在执行上述措施方面仍有障碍，如空间、检察官人数、工作期限、通信和录像设备以及车辆不够。</w:t>
      </w:r>
    </w:p>
    <w:p w:rsidR="00000000" w:rsidRDefault="00B83709">
      <w:pPr>
        <w:numPr>
          <w:ilvl w:val="0"/>
          <w:numId w:val="1049"/>
        </w:numPr>
        <w:tabs>
          <w:tab w:val="clear" w:pos="360"/>
          <w:tab w:val="num" w:pos="480"/>
        </w:tabs>
        <w:spacing w:after="240" w:line="360" w:lineRule="exact"/>
        <w:rPr>
          <w:szCs w:val="24"/>
        </w:rPr>
      </w:pPr>
      <w:r>
        <w:rPr>
          <w:rFonts w:hint="eastAsia"/>
          <w:szCs w:val="24"/>
        </w:rPr>
        <w:t>此外，根据《刑法》第</w:t>
      </w:r>
      <w:r>
        <w:rPr>
          <w:rFonts w:hint="eastAsia"/>
          <w:szCs w:val="24"/>
        </w:rPr>
        <w:t>247</w:t>
      </w:r>
      <w:r>
        <w:rPr>
          <w:rFonts w:hint="eastAsia"/>
          <w:szCs w:val="24"/>
        </w:rPr>
        <w:t>条第</w:t>
      </w:r>
      <w:r>
        <w:rPr>
          <w:rFonts w:hint="eastAsia"/>
          <w:szCs w:val="24"/>
        </w:rPr>
        <w:t>2</w:t>
      </w:r>
      <w:r>
        <w:rPr>
          <w:rFonts w:hint="eastAsia"/>
          <w:szCs w:val="24"/>
        </w:rPr>
        <w:t>款，“处以死刑的孕妇，行刑期可推迟到子女出生以后。”这项措施给予妇女推迟行刑期的权利，保障了其子女的生命权。</w:t>
      </w:r>
    </w:p>
    <w:p w:rsidR="00000000" w:rsidRDefault="00B83709">
      <w:pPr>
        <w:numPr>
          <w:ilvl w:val="0"/>
          <w:numId w:val="1049"/>
        </w:numPr>
        <w:tabs>
          <w:tab w:val="clear" w:pos="360"/>
          <w:tab w:val="num" w:pos="480"/>
        </w:tabs>
        <w:spacing w:after="240" w:line="360" w:lineRule="exact"/>
        <w:rPr>
          <w:szCs w:val="24"/>
        </w:rPr>
      </w:pPr>
      <w:r>
        <w:rPr>
          <w:rFonts w:hint="eastAsia"/>
          <w:szCs w:val="24"/>
        </w:rPr>
        <w:t>泰国妇女可自由选择居所，并可自由移徙到任何地方。泰国不存在限制妇女此等权利的任何传统法律或习俗。婚姻不是限制妇女选择居所的权利的理由。新婚夫妇可独立生活，或者可自行决定同其父母</w:t>
      </w:r>
      <w:r>
        <w:rPr>
          <w:rFonts w:hint="eastAsia"/>
          <w:szCs w:val="24"/>
        </w:rPr>
        <w:t>/</w:t>
      </w:r>
      <w:r>
        <w:rPr>
          <w:rFonts w:hint="eastAsia"/>
          <w:szCs w:val="24"/>
        </w:rPr>
        <w:t>岳父母及公婆生活在一起。妇女不必非得住在父亲或丈夫的居所。妇女即使嫁给外国人，仍有权住在以前的居所。</w:t>
      </w:r>
    </w:p>
    <w:p w:rsidR="00000000" w:rsidRDefault="00B83709">
      <w:pPr>
        <w:numPr>
          <w:ilvl w:val="0"/>
          <w:numId w:val="1049"/>
        </w:numPr>
        <w:tabs>
          <w:tab w:val="clear" w:pos="360"/>
          <w:tab w:val="num" w:pos="480"/>
        </w:tabs>
        <w:spacing w:after="240" w:line="360" w:lineRule="exact"/>
        <w:rPr>
          <w:szCs w:val="24"/>
        </w:rPr>
      </w:pPr>
      <w:r>
        <w:rPr>
          <w:rFonts w:hint="eastAsia"/>
          <w:szCs w:val="24"/>
        </w:rPr>
        <w:t>泰国妇女在国外工作生活的，不丧失任何权利，包括在让配偶和子女与其一同生活方面与男子相同的权利。</w:t>
      </w:r>
    </w:p>
    <w:p w:rsidR="00000000" w:rsidRDefault="00B83709">
      <w:pPr>
        <w:spacing w:after="240" w:line="360" w:lineRule="exact"/>
        <w:jc w:val="center"/>
        <w:rPr>
          <w:rFonts w:eastAsia="SimHei" w:hint="eastAsia"/>
          <w:color w:val="FF0000"/>
          <w:sz w:val="24"/>
        </w:rPr>
      </w:pPr>
      <w:r>
        <w:rPr>
          <w:rFonts w:eastAsia="SimHei" w:hint="eastAsia"/>
          <w:color w:val="FF0000"/>
          <w:sz w:val="24"/>
        </w:rPr>
        <w:t>第十六条：婚姻和家庭法</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缔约各国应采取一切适当措施，消除在有关婚姻和家庭关系的一切事项上对妇女的歧视，并特别应保证在男女平等的基础上：</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a</w:t>
      </w:r>
      <w:r>
        <w:rPr>
          <w:rFonts w:eastAsia="KaiTi_GB2312"/>
          <w:color w:val="0000FF"/>
          <w:szCs w:val="24"/>
        </w:rPr>
        <w:t>）有相同的缔婚权利；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b</w:t>
      </w:r>
      <w:r>
        <w:rPr>
          <w:rFonts w:eastAsia="KaiTi_GB2312"/>
          <w:color w:val="0000FF"/>
          <w:szCs w:val="24"/>
        </w:rPr>
        <w:t>）有相同的自由选择配偶和非经本人自由表示、完全同意不缔婚约的权利；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c</w:t>
      </w:r>
      <w:r>
        <w:rPr>
          <w:rFonts w:eastAsia="KaiTi_GB2312"/>
          <w:color w:val="0000FF"/>
          <w:szCs w:val="24"/>
        </w:rPr>
        <w:t>）在婚姻存续期间以及解除婚姻关系时，有相同的权利和义务；</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d</w:t>
      </w:r>
      <w:r>
        <w:rPr>
          <w:rFonts w:eastAsia="KaiTi_GB2312"/>
          <w:color w:val="0000FF"/>
          <w:szCs w:val="24"/>
        </w:rPr>
        <w:t>）不</w:t>
      </w:r>
      <w:r>
        <w:rPr>
          <w:rFonts w:eastAsia="KaiTi_GB2312"/>
          <w:color w:val="0000FF"/>
          <w:szCs w:val="24"/>
        </w:rPr>
        <w:t>论婚姻状况如何，在有关子女的事务上，作为父母亲有相同的权利和义务。但在任何情形下，均应以子女的利益为重；</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e</w:t>
      </w:r>
      <w:r>
        <w:rPr>
          <w:rFonts w:eastAsia="KaiTi_GB2312"/>
          <w:color w:val="0000FF"/>
          <w:szCs w:val="24"/>
        </w:rPr>
        <w:t>）有相同的权利自由负责地决定子女人数和生育间隔，并有机会获得使</w:t>
      </w:r>
      <w:r>
        <w:rPr>
          <w:rFonts w:eastAsia="KaiTi_GB2312" w:hint="eastAsia"/>
          <w:color w:val="0000FF"/>
          <w:szCs w:val="24"/>
        </w:rPr>
        <w:t>她</w:t>
      </w:r>
      <w:r>
        <w:rPr>
          <w:rFonts w:eastAsia="KaiTi_GB2312"/>
          <w:color w:val="0000FF"/>
          <w:szCs w:val="24"/>
        </w:rPr>
        <w:t>们能够行使这种权利的知识、教育和方法；</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f</w:t>
      </w:r>
      <w:r>
        <w:rPr>
          <w:rFonts w:eastAsia="KaiTi_GB2312"/>
          <w:color w:val="0000FF"/>
          <w:szCs w:val="24"/>
        </w:rPr>
        <w:t>）在监护、看管、受托和收养子女或类似的制度方面，如果国家法规有这些观念的话，有相同的权利和义务。但在任何情形下，均应以子女的利益为重；</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g</w:t>
      </w:r>
      <w:r>
        <w:rPr>
          <w:rFonts w:eastAsia="KaiTi_GB2312"/>
          <w:color w:val="0000FF"/>
          <w:szCs w:val="24"/>
        </w:rPr>
        <w:t>）夫妻有相同的个人权利，包括选择姓氏、专业和职业的权利；</w:t>
      </w:r>
      <w:r>
        <w:rPr>
          <w:rFonts w:eastAsia="KaiTi_GB2312"/>
          <w:color w:val="0000FF"/>
          <w:szCs w:val="24"/>
        </w:rPr>
        <w:t xml:space="preserve"> </w:t>
      </w:r>
    </w:p>
    <w:p w:rsidR="00000000" w:rsidRDefault="00B83709" w:rsidP="00B83709">
      <w:pPr>
        <w:spacing w:after="240" w:line="360" w:lineRule="exact"/>
        <w:ind w:firstLineChars="200" w:firstLine="31680"/>
        <w:rPr>
          <w:rFonts w:eastAsia="KaiTi_GB2312"/>
          <w:color w:val="0000FF"/>
          <w:szCs w:val="24"/>
        </w:rPr>
      </w:pPr>
      <w:r>
        <w:rPr>
          <w:rFonts w:eastAsia="KaiTi_GB2312"/>
          <w:color w:val="0000FF"/>
          <w:szCs w:val="24"/>
        </w:rPr>
        <w:t>（</w:t>
      </w:r>
      <w:r>
        <w:rPr>
          <w:rFonts w:eastAsia="KaiTi_GB2312" w:hint="eastAsia"/>
          <w:color w:val="0000FF"/>
          <w:szCs w:val="24"/>
        </w:rPr>
        <w:t>h</w:t>
      </w:r>
      <w:r>
        <w:rPr>
          <w:rFonts w:eastAsia="KaiTi_GB2312"/>
          <w:color w:val="0000FF"/>
          <w:szCs w:val="24"/>
        </w:rPr>
        <w:t>）配偶双方在财产的所有、取得、经营、管理、享有、处置方面，不论是无偿的或是收取价值酬</w:t>
      </w:r>
      <w:r>
        <w:rPr>
          <w:rFonts w:eastAsia="KaiTi_GB2312"/>
          <w:color w:val="0000FF"/>
          <w:szCs w:val="24"/>
        </w:rPr>
        <w:t>报的，都具有相同的权利。</w:t>
      </w:r>
      <w:r>
        <w:rPr>
          <w:rFonts w:eastAsia="KaiTi_GB2312"/>
          <w:color w:val="0000FF"/>
          <w:szCs w:val="24"/>
        </w:rPr>
        <w:t xml:space="preserve"> </w:t>
      </w:r>
    </w:p>
    <w:p w:rsidR="00000000" w:rsidRDefault="00B83709" w:rsidP="00B83709">
      <w:pPr>
        <w:spacing w:after="240" w:line="360" w:lineRule="exact"/>
        <w:ind w:firstLineChars="200" w:firstLine="31680"/>
        <w:rPr>
          <w:rFonts w:hint="eastAsia"/>
          <w:szCs w:val="24"/>
        </w:rPr>
      </w:pPr>
      <w:r>
        <w:rPr>
          <w:rFonts w:eastAsia="KaiTi_GB2312"/>
          <w:color w:val="0000FF"/>
          <w:szCs w:val="24"/>
        </w:rPr>
        <w:t>童年订婚和童婚应不具法律效力，并应采取一切必要行动，包括制定法律，规定结婚最低年龄，并规定婚姻必须向正式登记机构登记。</w:t>
      </w:r>
      <w:r>
        <w:rPr>
          <w:rFonts w:eastAsia="KaiTi_GB2312"/>
          <w:color w:val="0000FF"/>
          <w:szCs w:val="24"/>
        </w:rPr>
        <w:t xml:space="preserve"> </w:t>
      </w:r>
      <w:r>
        <w:rPr>
          <w:rFonts w:eastAsia="KaiTi_GB2312" w:hint="eastAsia"/>
          <w:color w:val="0000FF"/>
          <w:szCs w:val="24"/>
        </w:rPr>
        <w:t xml:space="preserve"> </w:t>
      </w:r>
    </w:p>
    <w:p w:rsidR="00000000" w:rsidRDefault="00B83709">
      <w:pPr>
        <w:numPr>
          <w:ilvl w:val="0"/>
          <w:numId w:val="1049"/>
        </w:numPr>
        <w:tabs>
          <w:tab w:val="clear" w:pos="360"/>
          <w:tab w:val="num" w:pos="480"/>
        </w:tabs>
        <w:spacing w:after="240" w:line="360" w:lineRule="exact"/>
        <w:rPr>
          <w:szCs w:val="24"/>
        </w:rPr>
      </w:pPr>
      <w:r>
        <w:rPr>
          <w:rFonts w:hint="eastAsia"/>
          <w:szCs w:val="24"/>
        </w:rPr>
        <w:t xml:space="preserve">　妇女的法律地位大为提高，原因是《</w:t>
      </w:r>
      <w:r>
        <w:rPr>
          <w:rFonts w:hint="eastAsia"/>
          <w:szCs w:val="24"/>
        </w:rPr>
        <w:t>1997</w:t>
      </w:r>
      <w:r>
        <w:rPr>
          <w:rFonts w:hint="eastAsia"/>
          <w:szCs w:val="24"/>
        </w:rPr>
        <w:t xml:space="preserve">年宪法》第三十条规定“男女享有平等权利。”另一方面，为撤消泰国对公约第十六条的保留，在修订《家事法》方面几乎没有取得什么进展。泰国老一代律师和立法人员仍坚持传统定型观念和惯例，因而不同意提议的修改。不过，与修订有关的问题将继续提出，并进行广泛的讨论。　</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(1)  </w:t>
      </w:r>
      <w:r>
        <w:rPr>
          <w:rFonts w:ascii="SimHei" w:hAnsi="Times New Roman" w:hint="eastAsia"/>
          <w:b w:val="0"/>
          <w:bCs/>
          <w:color w:val="FF0000"/>
          <w:sz w:val="21"/>
          <w:szCs w:val="24"/>
        </w:rPr>
        <w:t>订婚</w:t>
      </w:r>
    </w:p>
    <w:p w:rsidR="00000000" w:rsidRDefault="00B83709">
      <w:pPr>
        <w:numPr>
          <w:ilvl w:val="0"/>
          <w:numId w:val="1049"/>
        </w:numPr>
        <w:tabs>
          <w:tab w:val="clear" w:pos="360"/>
          <w:tab w:val="num" w:pos="480"/>
        </w:tabs>
        <w:spacing w:after="240" w:line="360" w:lineRule="exact"/>
        <w:rPr>
          <w:szCs w:val="24"/>
        </w:rPr>
      </w:pPr>
      <w:r>
        <w:rPr>
          <w:rFonts w:hint="eastAsia"/>
          <w:szCs w:val="24"/>
        </w:rPr>
        <w:t>根据《民事和商业法》，男女双方起码达到</w:t>
      </w:r>
      <w:r>
        <w:rPr>
          <w:rFonts w:hint="eastAsia"/>
          <w:szCs w:val="24"/>
        </w:rPr>
        <w:t>17</w:t>
      </w:r>
      <w:r>
        <w:rPr>
          <w:rFonts w:hint="eastAsia"/>
          <w:szCs w:val="24"/>
        </w:rPr>
        <w:t>岁方可</w:t>
      </w:r>
      <w:r>
        <w:rPr>
          <w:rFonts w:hint="eastAsia"/>
          <w:szCs w:val="24"/>
        </w:rPr>
        <w:t>订婚；如有违反，订婚将不具法律效力。子女订婚应征得父母或监护人的同意，只有男方才能提出订婚。男子可向与其订婚的妇女发生性关系的另一名男子索取赔偿。妇女则没有此等权利。男子也可向强奸其订婚对象的人或强奸未遂者索取赔偿。</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(2)  </w:t>
      </w:r>
      <w:r>
        <w:rPr>
          <w:rFonts w:ascii="SimHei" w:hAnsi="Times New Roman" w:hint="eastAsia"/>
          <w:b w:val="0"/>
          <w:bCs/>
          <w:color w:val="FF0000"/>
          <w:sz w:val="21"/>
          <w:szCs w:val="24"/>
        </w:rPr>
        <w:t>结婚</w:t>
      </w:r>
    </w:p>
    <w:p w:rsidR="00000000" w:rsidRDefault="00B83709">
      <w:pPr>
        <w:numPr>
          <w:ilvl w:val="0"/>
          <w:numId w:val="1049"/>
        </w:numPr>
        <w:tabs>
          <w:tab w:val="clear" w:pos="360"/>
          <w:tab w:val="num" w:pos="480"/>
        </w:tabs>
        <w:spacing w:after="240" w:line="360" w:lineRule="exact"/>
        <w:rPr>
          <w:szCs w:val="24"/>
        </w:rPr>
      </w:pPr>
      <w:r>
        <w:rPr>
          <w:rFonts w:hint="eastAsia"/>
          <w:szCs w:val="24"/>
        </w:rPr>
        <w:t>《家事法》规定了如下九个结婚条件，根据这些条件，男子和妇女享有同等结婚权利。</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1</w:t>
      </w:r>
      <w:r>
        <w:rPr>
          <w:rFonts w:hint="eastAsia"/>
          <w:szCs w:val="24"/>
        </w:rPr>
        <w:t>）男子和妇女起码达到</w:t>
      </w:r>
      <w:r>
        <w:rPr>
          <w:rFonts w:hint="eastAsia"/>
          <w:szCs w:val="24"/>
        </w:rPr>
        <w:t>17</w:t>
      </w:r>
      <w:r>
        <w:rPr>
          <w:rFonts w:hint="eastAsia"/>
          <w:szCs w:val="24"/>
        </w:rPr>
        <w:t>岁。如果男子犯下过错，同</w:t>
      </w:r>
      <w:r>
        <w:rPr>
          <w:rFonts w:hint="eastAsia"/>
          <w:szCs w:val="24"/>
        </w:rPr>
        <w:t>13</w:t>
      </w:r>
      <w:r>
        <w:rPr>
          <w:rFonts w:hint="eastAsia"/>
          <w:szCs w:val="24"/>
        </w:rPr>
        <w:t>岁以上、</w:t>
      </w:r>
      <w:r>
        <w:rPr>
          <w:rFonts w:hint="eastAsia"/>
          <w:szCs w:val="24"/>
        </w:rPr>
        <w:t>15</w:t>
      </w:r>
      <w:r>
        <w:rPr>
          <w:rFonts w:hint="eastAsia"/>
          <w:szCs w:val="24"/>
        </w:rPr>
        <w:t>岁以下少女发生性关系，并且征得该少女或其父母同意，《刑法》准许法院允许该配偶结婚，并且对男方不予起诉。</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2</w:t>
      </w:r>
      <w:r>
        <w:rPr>
          <w:rFonts w:hint="eastAsia"/>
          <w:szCs w:val="24"/>
        </w:rPr>
        <w:t>）双方心智和能力均健全。</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3</w:t>
      </w:r>
      <w:r>
        <w:rPr>
          <w:rFonts w:hint="eastAsia"/>
          <w:szCs w:val="24"/>
        </w:rPr>
        <w:t>）双方没有血亲关系。</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4</w:t>
      </w:r>
      <w:r>
        <w:rPr>
          <w:rFonts w:hint="eastAsia"/>
          <w:szCs w:val="24"/>
        </w:rPr>
        <w:t>）双方没有收养关系（如养父母不得与养子或养女结婚）。</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5</w:t>
      </w:r>
      <w:r>
        <w:rPr>
          <w:rFonts w:hint="eastAsia"/>
          <w:szCs w:val="24"/>
        </w:rPr>
        <w:t>）双方均没有同其他人合法结婚。</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6</w:t>
      </w:r>
      <w:r>
        <w:rPr>
          <w:rFonts w:hint="eastAsia"/>
          <w:szCs w:val="24"/>
        </w:rPr>
        <w:t>）寡妇</w:t>
      </w:r>
      <w:r>
        <w:rPr>
          <w:rFonts w:hint="eastAsia"/>
          <w:szCs w:val="24"/>
        </w:rPr>
        <w:t>/</w:t>
      </w:r>
      <w:r>
        <w:rPr>
          <w:rFonts w:hint="eastAsia"/>
          <w:szCs w:val="24"/>
        </w:rPr>
        <w:t>离婚者在中止婚姻</w:t>
      </w:r>
      <w:r>
        <w:rPr>
          <w:rFonts w:hint="eastAsia"/>
          <w:szCs w:val="24"/>
        </w:rPr>
        <w:t>310</w:t>
      </w:r>
      <w:r>
        <w:rPr>
          <w:rFonts w:hint="eastAsia"/>
          <w:szCs w:val="24"/>
        </w:rPr>
        <w:t>天后方可再婚，但除外情形是：这一期间生育子女；原配偶再婚；医院证明书证明妇女未怀孕；或者法院准许结婚。</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7</w:t>
      </w:r>
      <w:r>
        <w:rPr>
          <w:rFonts w:hint="eastAsia"/>
          <w:szCs w:val="24"/>
        </w:rPr>
        <w:t>）未成年人应征得父母双方或监护人的同意。</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8</w:t>
      </w:r>
      <w:r>
        <w:rPr>
          <w:rFonts w:hint="eastAsia"/>
          <w:szCs w:val="24"/>
        </w:rPr>
        <w:t>）双方应同意结婚，并自由选择配偶和缔结婚约。</w:t>
      </w:r>
    </w:p>
    <w:p w:rsidR="00000000" w:rsidRDefault="00B83709" w:rsidP="00B83709">
      <w:pPr>
        <w:tabs>
          <w:tab w:val="num" w:pos="1620"/>
        </w:tabs>
        <w:spacing w:after="240" w:line="360" w:lineRule="exact"/>
        <w:ind w:firstLineChars="200" w:firstLine="31680"/>
        <w:rPr>
          <w:szCs w:val="24"/>
        </w:rPr>
      </w:pPr>
      <w:r>
        <w:rPr>
          <w:rFonts w:hint="eastAsia"/>
          <w:szCs w:val="24"/>
        </w:rPr>
        <w:t>（</w:t>
      </w:r>
      <w:r>
        <w:rPr>
          <w:rFonts w:hint="eastAsia"/>
          <w:szCs w:val="24"/>
        </w:rPr>
        <w:t>9</w:t>
      </w:r>
      <w:r>
        <w:rPr>
          <w:rFonts w:hint="eastAsia"/>
          <w:szCs w:val="24"/>
        </w:rPr>
        <w:t>）应在政府登记机关登记婚姻。</w:t>
      </w:r>
    </w:p>
    <w:p w:rsidR="00000000" w:rsidRDefault="00B83709">
      <w:pPr>
        <w:numPr>
          <w:ilvl w:val="0"/>
          <w:numId w:val="1049"/>
        </w:numPr>
        <w:tabs>
          <w:tab w:val="clear" w:pos="360"/>
          <w:tab w:val="num" w:pos="480"/>
        </w:tabs>
        <w:spacing w:after="240" w:line="360" w:lineRule="exact"/>
        <w:rPr>
          <w:szCs w:val="24"/>
        </w:rPr>
      </w:pPr>
      <w:r>
        <w:rPr>
          <w:rFonts w:hint="eastAsia"/>
          <w:szCs w:val="24"/>
        </w:rPr>
        <w:t>尽管这些条件对男女同等适用，但在婚姻登记后仍发生歧视现象。有关姓名的法律要求已婚妇女使用丈夫的姓氏并使用“夫人”称谓。另一</w:t>
      </w:r>
      <w:r>
        <w:rPr>
          <w:rFonts w:hint="eastAsia"/>
          <w:szCs w:val="24"/>
        </w:rPr>
        <w:t>方面，男子仍可使用以前的称谓和姓氏。因此，妇女与男子相比，核查其婚姻状况容易得多。</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(3) </w:t>
      </w:r>
      <w:r>
        <w:rPr>
          <w:rFonts w:ascii="SimHei" w:hAnsi="Times New Roman" w:hint="eastAsia"/>
          <w:b w:val="0"/>
          <w:bCs/>
          <w:color w:val="FF0000"/>
          <w:sz w:val="21"/>
          <w:szCs w:val="24"/>
        </w:rPr>
        <w:t>离婚</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法律准许在双方同意下离婚。在子女监护方面，应达成书面协议，婚姻期间所得财产应平分。双方签署离婚协议后，起码应有两名证人签名证实，离婚协议一经登记，婚姻即有效中止。双方若未达成协议，应向法院提出离婚诉讼。离婚的理由有十种，但只有一种对妇女构成歧视，即妇女哪怕与另一名男子发生一次性关系，丈夫也可以该等行为为由提出离婚。另一方面，男子能够同其他妇女发生性关系，但只有证明该名男子供养该名妇女或将她视为名义上的妻子时</w:t>
      </w:r>
      <w:r>
        <w:rPr>
          <w:rFonts w:hint="eastAsia"/>
          <w:szCs w:val="24"/>
        </w:rPr>
        <w:t>，他的合法妻子才能提出离婚。这就使得男子能够自由通奸，破坏了家庭的稳定，违背了宗教教义。因此，这种离婚条件应予修改，以便男女享有同等权利。</w:t>
      </w:r>
    </w:p>
    <w:p w:rsidR="00000000" w:rsidRDefault="00B83709">
      <w:pPr>
        <w:numPr>
          <w:ilvl w:val="0"/>
          <w:numId w:val="1049"/>
        </w:numPr>
        <w:tabs>
          <w:tab w:val="clear" w:pos="360"/>
          <w:tab w:val="num" w:pos="480"/>
        </w:tabs>
        <w:spacing w:after="240" w:line="360" w:lineRule="exact"/>
        <w:rPr>
          <w:szCs w:val="24"/>
        </w:rPr>
      </w:pPr>
      <w:r>
        <w:rPr>
          <w:rFonts w:hint="eastAsia"/>
          <w:szCs w:val="24"/>
        </w:rPr>
        <w:t>1996</w:t>
      </w:r>
      <w:r>
        <w:rPr>
          <w:rFonts w:hint="eastAsia"/>
          <w:szCs w:val="24"/>
        </w:rPr>
        <w:t>年</w:t>
      </w:r>
      <w:r>
        <w:rPr>
          <w:rFonts w:hint="eastAsia"/>
          <w:szCs w:val="24"/>
        </w:rPr>
        <w:t>4</w:t>
      </w:r>
      <w:r>
        <w:rPr>
          <w:rFonts w:hint="eastAsia"/>
          <w:szCs w:val="24"/>
        </w:rPr>
        <w:t>月</w:t>
      </w:r>
      <w:r>
        <w:rPr>
          <w:rFonts w:hint="eastAsia"/>
          <w:szCs w:val="24"/>
        </w:rPr>
        <w:t>9</w:t>
      </w:r>
      <w:r>
        <w:rPr>
          <w:rFonts w:hint="eastAsia"/>
          <w:szCs w:val="24"/>
        </w:rPr>
        <w:t>日，内阁核准修订关于取消订婚协议以及因不忠行为和婚姻中止而索赔的法律，目的是促进男女平等。不过，仍有若干细节有待妇女事务全国委员会及主管起草法律的其他有关机构讨论，特别是有关离婚理由的适当措词。妇女事务全国委员会试图拟订折衷用语，并等待合适的时机提交修正案，目的是避免遭到仍坚持老一套陈规定型观念的议员的反对。</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(4) </w:t>
      </w:r>
      <w:r>
        <w:rPr>
          <w:rFonts w:ascii="SimHei" w:hAnsi="Times New Roman" w:hint="eastAsia"/>
          <w:b w:val="0"/>
          <w:bCs/>
          <w:color w:val="FF0000"/>
          <w:sz w:val="21"/>
          <w:szCs w:val="24"/>
        </w:rPr>
        <w:t>重婚</w:t>
      </w:r>
    </w:p>
    <w:p w:rsidR="00000000" w:rsidRDefault="00B83709">
      <w:pPr>
        <w:numPr>
          <w:ilvl w:val="0"/>
          <w:numId w:val="1049"/>
        </w:numPr>
        <w:tabs>
          <w:tab w:val="clear" w:pos="360"/>
          <w:tab w:val="num" w:pos="480"/>
        </w:tabs>
        <w:spacing w:after="240" w:line="360" w:lineRule="exact"/>
        <w:rPr>
          <w:szCs w:val="24"/>
        </w:rPr>
      </w:pPr>
      <w:r>
        <w:rPr>
          <w:rFonts w:hint="eastAsia"/>
          <w:szCs w:val="24"/>
        </w:rPr>
        <w:t>根据《家事法》，重婚不是犯罪；</w:t>
      </w:r>
      <w:r>
        <w:rPr>
          <w:rFonts w:hint="eastAsia"/>
          <w:szCs w:val="24"/>
        </w:rPr>
        <w:t>罪犯被视为仅对官员犯下了伪证罪，他将面临最高</w:t>
      </w:r>
      <w:r>
        <w:rPr>
          <w:rFonts w:hint="eastAsia"/>
          <w:szCs w:val="24"/>
        </w:rPr>
        <w:t>6</w:t>
      </w:r>
      <w:r>
        <w:rPr>
          <w:rFonts w:hint="eastAsia"/>
          <w:szCs w:val="24"/>
        </w:rPr>
        <w:t>个月的监禁、最多</w:t>
      </w:r>
      <w:r>
        <w:rPr>
          <w:rFonts w:hint="eastAsia"/>
          <w:szCs w:val="24"/>
        </w:rPr>
        <w:t>1 000</w:t>
      </w:r>
      <w:r>
        <w:rPr>
          <w:rFonts w:hint="eastAsia"/>
          <w:szCs w:val="24"/>
        </w:rPr>
        <w:t>铢的罚金，或者两项并处。实际上，法院没有勒令处以监禁，而是仅处以缓刑。还没有重婚男子被监禁的案件，也没有重婚案件实际数量的统计数字。根据该法，妇女不能以丈夫通奸为由提出离婚，但男子可因妻子通奸为由提出离婚。妻子应证明丈夫同对待她本人一样供养其他妇女或将该妇女作为名义上的妻子。如果男子想利用脆弱的中央登记系统，在不同地点与不同妇女登记结婚，没有法院命令，这些登记也将自行失效。诚意缔结婚约的配偶有权索赔，但无权继承配偶的遗产。不过，重婚后生</w:t>
      </w:r>
      <w:r>
        <w:rPr>
          <w:rFonts w:hint="eastAsia"/>
          <w:szCs w:val="24"/>
        </w:rPr>
        <w:t>养的子女仍然合法，包括在法院命令后</w:t>
      </w:r>
      <w:r>
        <w:rPr>
          <w:rFonts w:hint="eastAsia"/>
          <w:szCs w:val="24"/>
        </w:rPr>
        <w:t>310</w:t>
      </w:r>
      <w:r>
        <w:rPr>
          <w:rFonts w:hint="eastAsia"/>
          <w:szCs w:val="24"/>
        </w:rPr>
        <w:t>天内出生的子女。后一项规定于</w:t>
      </w:r>
      <w:r>
        <w:rPr>
          <w:rFonts w:hint="eastAsia"/>
          <w:szCs w:val="24"/>
        </w:rPr>
        <w:t>1990</w:t>
      </w:r>
      <w:r>
        <w:rPr>
          <w:rFonts w:hint="eastAsia"/>
          <w:szCs w:val="24"/>
        </w:rPr>
        <w:t>年生效。</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妇女事务部全国委员会同非政府组织合作于</w:t>
      </w:r>
      <w:r>
        <w:rPr>
          <w:rFonts w:hint="eastAsia"/>
          <w:szCs w:val="24"/>
        </w:rPr>
        <w:t>1998</w:t>
      </w:r>
      <w:r>
        <w:rPr>
          <w:rFonts w:hint="eastAsia"/>
          <w:szCs w:val="24"/>
        </w:rPr>
        <w:t>年发起宣传运动后，内政部建立了一个在线婚姻登记信息系统，并与全国各地的正式登记机构联网。有关婚姻登记的部级条例也已制订，以允许登记员先记录婚姻资料并核对个人婚姻状况，再批准婚姻登记。</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(5) </w:t>
      </w:r>
      <w:r>
        <w:rPr>
          <w:rFonts w:ascii="SimHei" w:hAnsi="Times New Roman" w:hint="eastAsia"/>
          <w:b w:val="0"/>
          <w:bCs/>
          <w:color w:val="FF0000"/>
          <w:sz w:val="21"/>
          <w:szCs w:val="24"/>
        </w:rPr>
        <w:t>共有财产的管理</w:t>
      </w:r>
    </w:p>
    <w:p w:rsidR="00000000" w:rsidRDefault="00B83709">
      <w:pPr>
        <w:numPr>
          <w:ilvl w:val="0"/>
          <w:numId w:val="1049"/>
        </w:numPr>
        <w:tabs>
          <w:tab w:val="clear" w:pos="360"/>
          <w:tab w:val="num" w:pos="480"/>
        </w:tabs>
        <w:spacing w:after="240" w:line="360" w:lineRule="exact"/>
        <w:rPr>
          <w:szCs w:val="24"/>
        </w:rPr>
      </w:pPr>
      <w:r>
        <w:rPr>
          <w:rFonts w:hint="eastAsia"/>
          <w:szCs w:val="24"/>
        </w:rPr>
        <w:t>《家事法》规定，“男女在婚姻存续期间，在作为夫妻同居以及根据个人的能力和手段相互供养和帮助方面，享有同等权利和义务。”在共同财产管理方面，夫妻既可共同管理，也可在征得对方的</w:t>
      </w:r>
      <w:r>
        <w:rPr>
          <w:rFonts w:hint="eastAsia"/>
          <w:szCs w:val="24"/>
        </w:rPr>
        <w:t>同意后，由配偶双方中的任何一方管理。如果配偶一方单独订立任何法律合同，或者未征得对方同意，后一方可申请法院撤消该合同。此外，如果配偶一方宣布破产，这种情形将不会影响另一方的财产，但共同背负债务的情形除外。</w:t>
      </w:r>
    </w:p>
    <w:p w:rsidR="00000000" w:rsidRDefault="00B83709">
      <w:pPr>
        <w:numPr>
          <w:ilvl w:val="0"/>
          <w:numId w:val="1049"/>
        </w:numPr>
        <w:tabs>
          <w:tab w:val="clear" w:pos="360"/>
          <w:tab w:val="num" w:pos="480"/>
        </w:tabs>
        <w:spacing w:after="240" w:line="360" w:lineRule="exact"/>
        <w:rPr>
          <w:szCs w:val="24"/>
        </w:rPr>
      </w:pPr>
      <w:r>
        <w:rPr>
          <w:rFonts w:hint="eastAsia"/>
          <w:szCs w:val="24"/>
        </w:rPr>
        <w:t>研究显示，男子同妇女相比更有可能被授予户主称谓（</w:t>
      </w:r>
      <w:r>
        <w:rPr>
          <w:szCs w:val="24"/>
        </w:rPr>
        <w:t>74.5%</w:t>
      </w:r>
      <w:r>
        <w:rPr>
          <w:rFonts w:hint="eastAsia"/>
          <w:szCs w:val="24"/>
        </w:rPr>
        <w:t>），妇女的这一数字为</w:t>
      </w:r>
      <w:r>
        <w:rPr>
          <w:szCs w:val="24"/>
        </w:rPr>
        <w:t>26.5%</w:t>
      </w:r>
      <w:r>
        <w:rPr>
          <w:rFonts w:hint="eastAsia"/>
          <w:szCs w:val="24"/>
        </w:rPr>
        <w:t>。实际上，妇女只有丈夫去世或遗弃她，才能被视为户主。这种情形影响妇女取得政府分配的土地的权利，原因是法律只允许户主这样做。虽然法律没有具体规定户主应当为男子，但负责定期登记家庭情况的内政部官员将男子的姓名登记为户主。</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(6) </w:t>
      </w:r>
      <w:r>
        <w:rPr>
          <w:rFonts w:ascii="SimHei" w:hAnsi="Times New Roman" w:hint="eastAsia"/>
          <w:b w:val="0"/>
          <w:bCs/>
          <w:color w:val="FF0000"/>
          <w:sz w:val="21"/>
          <w:szCs w:val="24"/>
        </w:rPr>
        <w:t>工作权利</w:t>
      </w:r>
    </w:p>
    <w:p w:rsidR="00000000" w:rsidRDefault="00B83709">
      <w:pPr>
        <w:numPr>
          <w:ilvl w:val="0"/>
          <w:numId w:val="1049"/>
        </w:numPr>
        <w:tabs>
          <w:tab w:val="clear" w:pos="360"/>
          <w:tab w:val="num" w:pos="480"/>
        </w:tabs>
        <w:spacing w:after="240" w:line="360" w:lineRule="exact"/>
        <w:rPr>
          <w:szCs w:val="24"/>
        </w:rPr>
      </w:pPr>
      <w:r>
        <w:rPr>
          <w:rFonts w:hint="eastAsia"/>
          <w:szCs w:val="24"/>
        </w:rPr>
        <w:t>男子和妇女有相同权利选择职业和工作。结婚在职业和工作业绩，包括晋升机会方面对妇女产生的影响往往比男子大，主要原因是她们要承担其他家庭义务和照料子女的义务。</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(7) </w:t>
      </w:r>
      <w:r>
        <w:rPr>
          <w:rFonts w:ascii="SimHei" w:hAnsi="Times New Roman" w:hint="eastAsia"/>
          <w:b w:val="0"/>
          <w:bCs/>
          <w:color w:val="FF0000"/>
          <w:sz w:val="21"/>
          <w:szCs w:val="24"/>
        </w:rPr>
        <w:t>婚姻称谓</w:t>
      </w:r>
    </w:p>
    <w:p w:rsidR="00000000" w:rsidRDefault="00B83709">
      <w:pPr>
        <w:numPr>
          <w:ilvl w:val="0"/>
          <w:numId w:val="1049"/>
        </w:numPr>
        <w:tabs>
          <w:tab w:val="clear" w:pos="360"/>
          <w:tab w:val="num" w:pos="480"/>
        </w:tabs>
        <w:spacing w:after="240" w:line="360" w:lineRule="exact"/>
        <w:rPr>
          <w:szCs w:val="24"/>
        </w:rPr>
      </w:pPr>
      <w:r>
        <w:rPr>
          <w:rFonts w:hint="eastAsia"/>
          <w:szCs w:val="24"/>
        </w:rPr>
        <w:t>泰国法律规定已婚妇女应将姓氏称谓从小姐（</w:t>
      </w:r>
      <w:r>
        <w:rPr>
          <w:szCs w:val="24"/>
        </w:rPr>
        <w:t>Nangsao</w:t>
      </w:r>
      <w:r>
        <w:rPr>
          <w:rFonts w:hint="eastAsia"/>
          <w:szCs w:val="24"/>
        </w:rPr>
        <w:t>）改为夫人（</w:t>
      </w:r>
      <w:r>
        <w:rPr>
          <w:szCs w:val="24"/>
        </w:rPr>
        <w:t>Nang</w:t>
      </w:r>
      <w:r>
        <w:rPr>
          <w:rFonts w:hint="eastAsia"/>
          <w:szCs w:val="24"/>
        </w:rPr>
        <w:t>），并改用夫姓，但男子无论婚姻状况如何都可使用先生（</w:t>
      </w:r>
      <w:r>
        <w:rPr>
          <w:szCs w:val="24"/>
        </w:rPr>
        <w:t>Nai</w:t>
      </w:r>
      <w:r>
        <w:rPr>
          <w:rFonts w:hint="eastAsia"/>
          <w:szCs w:val="24"/>
        </w:rPr>
        <w:t>）称谓。已婚妇女从事法律事务时必须经丈夫同意，这一规定对她们来说不能提供便利。自</w:t>
      </w:r>
      <w:r>
        <w:rPr>
          <w:rFonts w:hint="eastAsia"/>
          <w:szCs w:val="24"/>
        </w:rPr>
        <w:t>1976</w:t>
      </w:r>
      <w:r>
        <w:rPr>
          <w:rFonts w:hint="eastAsia"/>
          <w:szCs w:val="24"/>
        </w:rPr>
        <w:t>年以来，法律规定从事法律事务须经配偶同意。但实际上，虽然有关官员总是要求妇女出具法律文件证明已经丈夫</w:t>
      </w:r>
      <w:r>
        <w:rPr>
          <w:rFonts w:hint="eastAsia"/>
          <w:szCs w:val="24"/>
        </w:rPr>
        <w:t>同意，但不要求男子出具这些文件。内政部的条例还规定，妇女怀孕以及未登记婚姻的，不得申请将其称谓从小姐（</w:t>
      </w:r>
      <w:r>
        <w:rPr>
          <w:szCs w:val="24"/>
        </w:rPr>
        <w:t>Nangsao</w:t>
      </w:r>
      <w:r>
        <w:rPr>
          <w:rFonts w:hint="eastAsia"/>
          <w:szCs w:val="24"/>
        </w:rPr>
        <w:t>）改为夫人（</w:t>
      </w:r>
      <w:r>
        <w:rPr>
          <w:szCs w:val="24"/>
        </w:rPr>
        <w:t>Nang</w:t>
      </w:r>
      <w:r>
        <w:rPr>
          <w:rFonts w:hint="eastAsia"/>
          <w:szCs w:val="24"/>
        </w:rPr>
        <w:t>）。泰国社会对婚外生育子女的妇女持消极态度，但男子却没有遭遇同样的命运。</w:t>
      </w:r>
    </w:p>
    <w:p w:rsidR="00000000" w:rsidRDefault="00B83709">
      <w:pPr>
        <w:numPr>
          <w:ilvl w:val="0"/>
          <w:numId w:val="1049"/>
        </w:numPr>
        <w:tabs>
          <w:tab w:val="clear" w:pos="360"/>
          <w:tab w:val="num" w:pos="480"/>
        </w:tabs>
        <w:spacing w:after="240" w:line="360" w:lineRule="exact"/>
        <w:rPr>
          <w:szCs w:val="24"/>
        </w:rPr>
      </w:pPr>
      <w:r>
        <w:rPr>
          <w:szCs w:val="24"/>
        </w:rPr>
        <w:t xml:space="preserve"> </w:t>
      </w:r>
      <w:r>
        <w:rPr>
          <w:rFonts w:hint="eastAsia"/>
          <w:szCs w:val="24"/>
        </w:rPr>
        <w:t>妇女事务全国委员会提议制定法律，根据该法，一个人的姓氏称谓仅说明他</w:t>
      </w:r>
      <w:r>
        <w:rPr>
          <w:rFonts w:hint="eastAsia"/>
          <w:szCs w:val="24"/>
        </w:rPr>
        <w:t>/</w:t>
      </w:r>
      <w:r>
        <w:rPr>
          <w:rFonts w:hint="eastAsia"/>
          <w:szCs w:val="24"/>
        </w:rPr>
        <w:t>她是男性还是女性，不说明其婚姻状况，或者若说明婚姻状况，对男女应当一视同仁。目前正在分析有关这一问题的资料，情况适当时，将采取措施。</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(8) </w:t>
      </w:r>
      <w:r>
        <w:rPr>
          <w:rFonts w:ascii="SimHei" w:hAnsi="Times New Roman" w:hint="eastAsia"/>
          <w:b w:val="0"/>
          <w:bCs/>
          <w:color w:val="FF0000"/>
          <w:sz w:val="21"/>
          <w:szCs w:val="24"/>
        </w:rPr>
        <w:t>姓氏</w:t>
      </w:r>
    </w:p>
    <w:p w:rsidR="00000000" w:rsidRDefault="00B83709">
      <w:pPr>
        <w:numPr>
          <w:ilvl w:val="0"/>
          <w:numId w:val="1049"/>
        </w:numPr>
        <w:tabs>
          <w:tab w:val="clear" w:pos="360"/>
          <w:tab w:val="num" w:pos="480"/>
        </w:tabs>
        <w:spacing w:after="240" w:line="360" w:lineRule="exact"/>
        <w:rPr>
          <w:szCs w:val="24"/>
        </w:rPr>
      </w:pPr>
      <w:r>
        <w:rPr>
          <w:rFonts w:hint="eastAsia"/>
          <w:szCs w:val="24"/>
        </w:rPr>
        <w:t>根据法律规定，已婚妇女结婚后应改用夫姓。婚姻无论通过离婚还是撤消解除后，她可以恢复原</w:t>
      </w:r>
      <w:r>
        <w:rPr>
          <w:rFonts w:hint="eastAsia"/>
          <w:szCs w:val="24"/>
        </w:rPr>
        <w:t>姓。如果丈夫死亡，妇女既可继续沿用夫姓，也可恢复原姓。现行法律规定，只有在父亲身份不明的情形下，子女才有权使用母姓。此外，“合法子女有权使用父姓”，但“非法子女应使用母姓”。最高法院公布的一项裁决赋予子女选择其姓氏的权利，但大多数公众不知道这项裁决。</w:t>
      </w:r>
    </w:p>
    <w:p w:rsidR="00000000" w:rsidRDefault="00B83709">
      <w:pPr>
        <w:numPr>
          <w:ilvl w:val="0"/>
          <w:numId w:val="1049"/>
        </w:numPr>
        <w:tabs>
          <w:tab w:val="clear" w:pos="360"/>
          <w:tab w:val="num" w:pos="480"/>
        </w:tabs>
        <w:spacing w:after="240" w:line="360" w:lineRule="exact"/>
        <w:rPr>
          <w:szCs w:val="24"/>
        </w:rPr>
      </w:pPr>
      <w:r>
        <w:rPr>
          <w:rFonts w:hint="eastAsia"/>
          <w:szCs w:val="24"/>
        </w:rPr>
        <w:t>妇女事务全国委员会在下议院部分议员的支持下，多次试图修订该法律，但这种努力仍未成功。最近在</w:t>
      </w:r>
      <w:r>
        <w:rPr>
          <w:rFonts w:hint="eastAsia"/>
          <w:szCs w:val="24"/>
        </w:rPr>
        <w:t>1999</w:t>
      </w:r>
      <w:r>
        <w:rPr>
          <w:rFonts w:hint="eastAsia"/>
          <w:szCs w:val="24"/>
        </w:rPr>
        <w:t>年</w:t>
      </w:r>
      <w:r>
        <w:rPr>
          <w:rFonts w:hint="eastAsia"/>
          <w:szCs w:val="24"/>
        </w:rPr>
        <w:t>5</w:t>
      </w:r>
      <w:r>
        <w:rPr>
          <w:rFonts w:hint="eastAsia"/>
          <w:szCs w:val="24"/>
        </w:rPr>
        <w:t>月</w:t>
      </w:r>
      <w:r>
        <w:rPr>
          <w:rFonts w:hint="eastAsia"/>
          <w:szCs w:val="24"/>
        </w:rPr>
        <w:t>18</w:t>
      </w:r>
      <w:r>
        <w:rPr>
          <w:rFonts w:hint="eastAsia"/>
          <w:szCs w:val="24"/>
        </w:rPr>
        <w:t>日，内阁就妇女事务全国委员会提议的《姓名法》草案进行了交涉，但没有得到下议院的批准。</w:t>
      </w:r>
    </w:p>
    <w:p w:rsidR="00000000" w:rsidRDefault="00B83709">
      <w:pPr>
        <w:numPr>
          <w:ilvl w:val="0"/>
          <w:numId w:val="1049"/>
        </w:numPr>
        <w:tabs>
          <w:tab w:val="clear" w:pos="360"/>
          <w:tab w:val="num" w:pos="480"/>
        </w:tabs>
        <w:spacing w:after="240" w:line="360" w:lineRule="exact"/>
        <w:rPr>
          <w:szCs w:val="24"/>
        </w:rPr>
      </w:pPr>
      <w:r>
        <w:rPr>
          <w:rFonts w:hint="eastAsia"/>
          <w:szCs w:val="24"/>
        </w:rPr>
        <w:t>不过，男女均有权通过要求准许使用他人的姓氏以更改本人的姓氏。因此，</w:t>
      </w:r>
      <w:r>
        <w:rPr>
          <w:rFonts w:hint="eastAsia"/>
          <w:szCs w:val="24"/>
        </w:rPr>
        <w:t>丈夫和子女目前有权改用妻子和母亲的姓氏。</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(9) </w:t>
      </w:r>
      <w:r>
        <w:rPr>
          <w:rFonts w:ascii="SimHei" w:hAnsi="Times New Roman" w:hint="eastAsia"/>
          <w:b w:val="0"/>
          <w:bCs/>
          <w:color w:val="FF0000"/>
          <w:sz w:val="21"/>
          <w:szCs w:val="24"/>
        </w:rPr>
        <w:t>子女监护</w:t>
      </w:r>
    </w:p>
    <w:p w:rsidR="00000000" w:rsidRDefault="00B83709">
      <w:pPr>
        <w:numPr>
          <w:ilvl w:val="0"/>
          <w:numId w:val="1049"/>
        </w:numPr>
        <w:tabs>
          <w:tab w:val="clear" w:pos="360"/>
          <w:tab w:val="num" w:pos="480"/>
        </w:tabs>
        <w:spacing w:after="240" w:line="360" w:lineRule="exact"/>
        <w:rPr>
          <w:szCs w:val="24"/>
        </w:rPr>
      </w:pPr>
      <w:r>
        <w:rPr>
          <w:rFonts w:hint="eastAsia"/>
          <w:szCs w:val="24"/>
        </w:rPr>
        <w:t>妻子不得通过绝育单独承担生育多少子女的责任，她应征得丈夫的同意后方可绝育。不过，妇女可不经丈夫同意自由采取其他避孕形式，如口服避孕药丸及注射避孕。若遇子女监护、看管和收养情形，双方均应表示同意。此外，配偶双方的父母也往往影响这一决定。无权控制子女生育数量的妇女可诉诸堕胎。根据《家事法》，母亲和父亲可平等地行使其看管权。如果离婚，父母应就子女监护达成协议。如果不能达成该等协议，应由法院裁决，并以子女的最大利益和幸福为重。男法官通常将子女监护权判给父亲</w:t>
      </w:r>
      <w:r>
        <w:rPr>
          <w:rFonts w:hint="eastAsia"/>
          <w:szCs w:val="24"/>
        </w:rPr>
        <w:t>，但实际上，妇女最终要对子女承担义务。另外，勒令男子承担离婚抚养费的离婚协议书得不到有效执行。</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(10) </w:t>
      </w:r>
      <w:r>
        <w:rPr>
          <w:rFonts w:ascii="SimHei" w:hAnsi="Times New Roman" w:hint="eastAsia"/>
          <w:b w:val="0"/>
          <w:bCs/>
          <w:color w:val="FF0000"/>
          <w:sz w:val="21"/>
          <w:szCs w:val="24"/>
        </w:rPr>
        <w:t>遗产继承</w:t>
      </w:r>
    </w:p>
    <w:p w:rsidR="00000000" w:rsidRDefault="00B83709">
      <w:pPr>
        <w:numPr>
          <w:ilvl w:val="0"/>
          <w:numId w:val="1049"/>
        </w:numPr>
        <w:tabs>
          <w:tab w:val="clear" w:pos="360"/>
          <w:tab w:val="num" w:pos="480"/>
        </w:tabs>
        <w:spacing w:after="240" w:line="360" w:lineRule="exact"/>
        <w:rPr>
          <w:szCs w:val="24"/>
        </w:rPr>
      </w:pPr>
      <w:r>
        <w:rPr>
          <w:rFonts w:hint="eastAsia"/>
          <w:szCs w:val="24"/>
        </w:rPr>
        <w:t>根据《家事法》，遗产通过两种方法传给继承人：法定继承人和受遗赠人。遗嘱人在遗嘱中不得将半数以上的共同财产传给其他人。法定继承人系指在死者未立遗嘱的情形下有权继承遗产的人。继承遗产的权利遵循如下顺序：（</w:t>
      </w:r>
      <w:r>
        <w:rPr>
          <w:rFonts w:hint="eastAsia"/>
          <w:szCs w:val="24"/>
        </w:rPr>
        <w:t>1</w:t>
      </w:r>
      <w:r>
        <w:rPr>
          <w:rFonts w:hint="eastAsia"/>
          <w:szCs w:val="24"/>
        </w:rPr>
        <w:t>）后裔；（</w:t>
      </w:r>
      <w:r>
        <w:rPr>
          <w:rFonts w:hint="eastAsia"/>
          <w:szCs w:val="24"/>
        </w:rPr>
        <w:t>2</w:t>
      </w:r>
      <w:r>
        <w:rPr>
          <w:rFonts w:hint="eastAsia"/>
          <w:szCs w:val="24"/>
        </w:rPr>
        <w:t>）父母亲；（</w:t>
      </w:r>
      <w:r>
        <w:rPr>
          <w:rFonts w:hint="eastAsia"/>
          <w:szCs w:val="24"/>
        </w:rPr>
        <w:t>3</w:t>
      </w:r>
      <w:r>
        <w:rPr>
          <w:rFonts w:hint="eastAsia"/>
          <w:szCs w:val="24"/>
        </w:rPr>
        <w:t>）同父同母所生的姊妹；（</w:t>
      </w:r>
      <w:r>
        <w:rPr>
          <w:rFonts w:hint="eastAsia"/>
          <w:szCs w:val="24"/>
        </w:rPr>
        <w:t>4</w:t>
      </w:r>
      <w:r>
        <w:rPr>
          <w:rFonts w:hint="eastAsia"/>
          <w:szCs w:val="24"/>
        </w:rPr>
        <w:t>）同父或同母姊妹；（</w:t>
      </w:r>
      <w:r>
        <w:rPr>
          <w:rFonts w:hint="eastAsia"/>
          <w:szCs w:val="24"/>
        </w:rPr>
        <w:t>5</w:t>
      </w:r>
      <w:r>
        <w:rPr>
          <w:rFonts w:hint="eastAsia"/>
          <w:szCs w:val="24"/>
        </w:rPr>
        <w:t>）祖父母和外祖父母；以及（</w:t>
      </w:r>
      <w:r>
        <w:rPr>
          <w:rFonts w:hint="eastAsia"/>
          <w:szCs w:val="24"/>
        </w:rPr>
        <w:t>6</w:t>
      </w:r>
      <w:r>
        <w:rPr>
          <w:rFonts w:hint="eastAsia"/>
          <w:szCs w:val="24"/>
        </w:rPr>
        <w:t>）父母的兄弟姐妹。</w:t>
      </w:r>
    </w:p>
    <w:p w:rsidR="00000000" w:rsidRDefault="00B83709">
      <w:pPr>
        <w:numPr>
          <w:ilvl w:val="0"/>
          <w:numId w:val="1049"/>
        </w:numPr>
        <w:tabs>
          <w:tab w:val="clear" w:pos="360"/>
          <w:tab w:val="num" w:pos="480"/>
        </w:tabs>
        <w:spacing w:after="240" w:line="360" w:lineRule="exact"/>
        <w:rPr>
          <w:szCs w:val="24"/>
        </w:rPr>
      </w:pPr>
      <w:r>
        <w:rPr>
          <w:rFonts w:hint="eastAsia"/>
          <w:szCs w:val="24"/>
        </w:rPr>
        <w:t>根据《家事法》，男女享有同等遗产继承权利。配偶不仅继承一半的共同财产，而</w:t>
      </w:r>
      <w:r>
        <w:rPr>
          <w:rFonts w:hint="eastAsia"/>
          <w:szCs w:val="24"/>
        </w:rPr>
        <w:t>且有权作为继承人为子女继承同等份额的财产。如果死者没有子女，其配偶有权继承一半的遗产，剩余的另一半遗产由死者的父母继承。如果死者的父母已过世，其兄弟姊妹总共可继承一半的遗产，剩余的另一半遗产由死者的配偶继承。如果没有直接继承人（如：后裔、父母、同父母所生的兄弟姊妹），其余三类继承人（同父兄弟姊妹、（外）祖父母、父母的兄弟姐妹）将继承三分之一的遗产，另外三分之二由配偶继承。</w:t>
      </w:r>
    </w:p>
    <w:p w:rsidR="00000000" w:rsidRDefault="00B83709">
      <w:pPr>
        <w:pStyle w:val="Heading2"/>
        <w:spacing w:before="0" w:after="240" w:line="360" w:lineRule="exact"/>
        <w:rPr>
          <w:rFonts w:ascii="SimHei" w:hAnsi="Times New Roman" w:hint="eastAsia"/>
          <w:b w:val="0"/>
          <w:bCs/>
          <w:color w:val="FF0000"/>
          <w:sz w:val="21"/>
          <w:szCs w:val="24"/>
        </w:rPr>
      </w:pPr>
      <w:r>
        <w:rPr>
          <w:rFonts w:ascii="SimHei" w:hAnsi="Times New Roman"/>
          <w:b w:val="0"/>
          <w:bCs/>
          <w:color w:val="FF0000"/>
          <w:sz w:val="21"/>
          <w:szCs w:val="24"/>
        </w:rPr>
        <w:t xml:space="preserve">(11) </w:t>
      </w:r>
      <w:r>
        <w:rPr>
          <w:rFonts w:ascii="SimHei" w:hAnsi="Times New Roman" w:hint="eastAsia"/>
          <w:b w:val="0"/>
          <w:bCs/>
          <w:color w:val="FF0000"/>
          <w:sz w:val="21"/>
          <w:szCs w:val="24"/>
        </w:rPr>
        <w:t>所得税</w:t>
      </w:r>
    </w:p>
    <w:p w:rsidR="00000000" w:rsidRDefault="00B83709">
      <w:pPr>
        <w:numPr>
          <w:ilvl w:val="0"/>
          <w:numId w:val="1049"/>
        </w:numPr>
        <w:tabs>
          <w:tab w:val="clear" w:pos="360"/>
          <w:tab w:val="num" w:pos="480"/>
        </w:tabs>
        <w:spacing w:after="240" w:line="360" w:lineRule="exact"/>
        <w:rPr>
          <w:rFonts w:hint="eastAsia"/>
          <w:szCs w:val="21"/>
        </w:rPr>
      </w:pPr>
      <w:r>
        <w:rPr>
          <w:rFonts w:hint="eastAsia"/>
          <w:szCs w:val="24"/>
        </w:rPr>
        <w:t>根据《税收法》，对男女的收入征收同等税金。如果已婚配偶希望共同缴纳所得税，配偶提交的所得税表单也将列示双方的收入。由于</w:t>
      </w:r>
      <w:r>
        <w:rPr>
          <w:rFonts w:hint="eastAsia"/>
          <w:szCs w:val="24"/>
        </w:rPr>
        <w:t>后者有额外收入，提交人将被列入高额所得税级，其结果是缴纳高额所得税。有关共同财产管理的《税收法》和《家事法》规定，应先征得配偶同意，才能进行某些合法交易（如财产的出售或抵押，三年以上的财产租赁），为了规避这些法律，泰国商人往往不申请结婚登记证。</w:t>
      </w:r>
    </w:p>
    <w:p w:rsidR="00000000" w:rsidRDefault="00B83709">
      <w:pPr>
        <w:numPr>
          <w:ilvl w:val="0"/>
          <w:numId w:val="1037"/>
        </w:numPr>
        <w:spacing w:after="240" w:line="360" w:lineRule="exact"/>
        <w:rPr>
          <w:rFonts w:hint="eastAsia"/>
          <w:szCs w:val="21"/>
        </w:rPr>
      </w:pPr>
    </w:p>
    <w:sectPr w:rsidR="00000000">
      <w:headerReference w:type="first" r:id="rId19"/>
      <w:footerReference w:type="first" r:id="rId20"/>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B83709">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 xml:space="preserve"> </w:t>
      </w:r>
      <w:r>
        <w:rPr>
          <w:rFonts w:hint="eastAsia"/>
          <w:noProof/>
        </w:rPr>
        <w:br/>
      </w:r>
      <w:r>
        <w:fldChar w:fldCharType="end"/>
      </w:r>
      <w:r>
        <w:rPr>
          <w:rStyle w:val="CommentReference"/>
          <w:rFonts w:hint="eastAsia"/>
        </w:rPr>
        <w:annotationRef/>
      </w:r>
      <w:r>
        <w:t>&lt;&lt;ODS JOB NO&gt;&gt;N0</w:t>
      </w:r>
      <w:r>
        <w:rPr>
          <w:rFonts w:hint="eastAsia"/>
        </w:rPr>
        <w:t>4</w:t>
      </w:r>
      <w:r>
        <w:t>41129C&lt;&lt;ODS JOB NO&gt;&gt;</w:t>
      </w:r>
    </w:p>
    <w:p w:rsidR="00000000" w:rsidRDefault="00B83709">
      <w:pPr>
        <w:pStyle w:val="CommentText"/>
      </w:pPr>
      <w:r>
        <w:t>&lt;&lt;ODS DOC SYMBOL1&gt;&gt;CEDAW/C/THA/4-5&lt;&lt;ODS DOC SYMBOL1&gt;&gt;</w:t>
      </w:r>
    </w:p>
    <w:p w:rsidR="00000000" w:rsidRDefault="00B8370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83709">
      <w:pPr>
        <w:spacing w:line="240" w:lineRule="auto"/>
      </w:pPr>
      <w:r>
        <w:separator/>
      </w:r>
    </w:p>
  </w:endnote>
  <w:endnote w:type="continuationSeparator" w:id="0">
    <w:p w:rsidR="00000000" w:rsidRDefault="00B837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370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B83709">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370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0000" w:rsidRDefault="00B83709">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3709">
    <w:pPr>
      <w:pStyle w:val="FootnoteText"/>
      <w:spacing w:line="260" w:lineRule="exact"/>
      <w:rPr>
        <w:sz w:val="21"/>
      </w:rPr>
    </w:pPr>
  </w:p>
  <w:p w:rsidR="00000000" w:rsidRDefault="00B83709">
    <w:pPr>
      <w:pStyle w:val="FootnoteText"/>
      <w:spacing w:afterLines="50" w:after="120"/>
      <w:rPr>
        <w:rFonts w:ascii="Barcode 3 of 9 by request" w:hAnsi="Barcode 3 of 9 by request" w:hint="eastAsia"/>
        <w:b/>
        <w:bCs/>
        <w:sz w:val="21"/>
      </w:rPr>
    </w:pPr>
    <w:r>
      <w:rPr>
        <w:rFonts w:hint="eastAsia"/>
        <w:sz w:val="21"/>
      </w:rPr>
      <w:t>04-</w:t>
    </w:r>
    <w:r>
      <w:rPr>
        <w:sz w:val="21"/>
      </w:rPr>
      <w:t>4112</w:t>
    </w:r>
    <w:r>
      <w:rPr>
        <w:rFonts w:hint="eastAsia"/>
        <w:sz w:val="21"/>
      </w:rPr>
      <w:t>9</w:t>
    </w:r>
    <w:r>
      <w:rPr>
        <w:rFonts w:hint="eastAsia"/>
        <w:sz w:val="21"/>
      </w:rPr>
      <w:t>（</w:t>
    </w:r>
    <w:r>
      <w:rPr>
        <w:rFonts w:hint="eastAsia"/>
        <w:sz w:val="21"/>
      </w:rPr>
      <w:t>C</w:t>
    </w:r>
    <w:r>
      <w:rPr>
        <w:rFonts w:hint="eastAsia"/>
        <w:sz w:val="21"/>
      </w:rPr>
      <w:t>）</w:t>
    </w:r>
    <w:r>
      <w:rPr>
        <w:sz w:val="21"/>
      </w:rPr>
      <w:t xml:space="preserve">    291004    011104</w:t>
    </w:r>
    <w:r>
      <w:rPr>
        <w:sz w:val="21"/>
      </w:rPr>
      <w:br/>
    </w:r>
    <w:r>
      <w:rPr>
        <w:rFonts w:ascii="Barcode 3 of 9 by request" w:hAnsi="Barcode 3 of 9 by request" w:hint="eastAsia"/>
        <w:b/>
        <w:bCs/>
        <w:sz w:val="21"/>
      </w:rPr>
      <w:t>*04</w:t>
    </w:r>
    <w:r>
      <w:rPr>
        <w:rFonts w:ascii="Barcode 3 of 9 by request" w:hAnsi="Barcode 3 of 9 by request"/>
        <w:b/>
        <w:bCs/>
        <w:sz w:val="21"/>
      </w:rPr>
      <w:t>4112</w:t>
    </w:r>
    <w:r>
      <w:rPr>
        <w:rFonts w:ascii="Barcode 3 of 9 by request" w:hAnsi="Barcode 3 of 9 by request" w:hint="eastAsia"/>
        <w:b/>
        <w:bCs/>
        <w:sz w:val="21"/>
      </w:rPr>
      <w:t>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3709">
    <w:pPr>
      <w:pStyle w:val="Footer"/>
      <w:rPr>
        <w:rFonts w:hint="eastAsia"/>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83709">
      <w:pPr>
        <w:spacing w:line="240" w:lineRule="auto"/>
      </w:pPr>
      <w:r>
        <w:separator/>
      </w:r>
    </w:p>
  </w:footnote>
  <w:footnote w:type="continuationSeparator" w:id="0">
    <w:p w:rsidR="00000000" w:rsidRDefault="00B8370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3709">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83709">
                      <w:pPr>
                        <w:pStyle w:val="Header"/>
                        <w:pBdr>
                          <w:bottom w:val="none" w:sz="0" w:space="0" w:color="auto"/>
                        </w:pBdr>
                        <w:spacing w:after="80"/>
                        <w:jc w:val="both"/>
                        <w:rPr>
                          <w:b/>
                        </w:rPr>
                      </w:pPr>
                      <w:r>
                        <w:rPr>
                          <w:b/>
                        </w:rPr>
                        <w:t>CEDAW/C/THA/4-5</w:t>
                      </w:r>
                    </w:p>
                  </w:tc>
                  <w:tc>
                    <w:tcPr>
                      <w:tcW w:w="5048" w:type="dxa"/>
                      <w:tcBorders>
                        <w:bottom w:val="single" w:sz="4" w:space="0" w:color="auto"/>
                      </w:tcBorders>
                      <w:vAlign w:val="bottom"/>
                    </w:tcPr>
                    <w:p w:rsidR="00000000" w:rsidRDefault="00B83709">
                      <w:pPr>
                        <w:pStyle w:val="Header"/>
                        <w:pBdr>
                          <w:bottom w:val="none" w:sz="0" w:space="0" w:color="auto"/>
                        </w:pBdr>
                      </w:pPr>
                    </w:p>
                  </w:tc>
                </w:tr>
              </w:tbl>
              <w:p w:rsidR="00000000" w:rsidRDefault="00B8370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370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83709">
                      <w:pPr>
                        <w:pStyle w:val="Header"/>
                        <w:pBdr>
                          <w:bottom w:val="none" w:sz="0" w:space="0" w:color="auto"/>
                        </w:pBdr>
                      </w:pPr>
                    </w:p>
                  </w:tc>
                  <w:tc>
                    <w:tcPr>
                      <w:tcW w:w="5048" w:type="dxa"/>
                      <w:tcBorders>
                        <w:bottom w:val="single" w:sz="4" w:space="0" w:color="auto"/>
                      </w:tcBorders>
                      <w:vAlign w:val="bottom"/>
                    </w:tcPr>
                    <w:p w:rsidR="00000000" w:rsidRDefault="00B83709">
                      <w:pPr>
                        <w:pStyle w:val="Header"/>
                        <w:pBdr>
                          <w:bottom w:val="none" w:sz="0" w:space="0" w:color="auto"/>
                        </w:pBdr>
                        <w:spacing w:after="80"/>
                        <w:jc w:val="right"/>
                        <w:rPr>
                          <w:b/>
                        </w:rPr>
                      </w:pPr>
                      <w:r>
                        <w:rPr>
                          <w:b/>
                        </w:rPr>
                        <w:t>CEDAW/C/THA/4-5</w:t>
                      </w:r>
                    </w:p>
                  </w:tc>
                </w:tr>
              </w:tbl>
              <w:p w:rsidR="00000000" w:rsidRDefault="00B8370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B83709">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B83709">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B83709">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B83709">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THA</w:t>
          </w:r>
          <w:r>
            <w:rPr>
              <w:position w:val="-4"/>
            </w:rPr>
            <w:t>/</w:t>
          </w:r>
          <w:r>
            <w:rPr>
              <w:rFonts w:hint="eastAsia"/>
              <w:position w:val="-4"/>
            </w:rPr>
            <w:t>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B83709">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B83709">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B83709">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00000" w:rsidRDefault="00B83709">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B83709">
          <w:pPr>
            <w:spacing w:before="240" w:line="240" w:lineRule="exact"/>
          </w:pPr>
          <w:r>
            <w:t>Distr.: General</w:t>
          </w:r>
        </w:p>
        <w:p w:rsidR="00000000" w:rsidRDefault="00B83709">
          <w:pPr>
            <w:spacing w:line="240" w:lineRule="exact"/>
          </w:pPr>
          <w:r>
            <w:rPr>
              <w:rFonts w:hint="eastAsia"/>
            </w:rPr>
            <w:t>24</w:t>
          </w:r>
          <w:r>
            <w:t xml:space="preserve"> </w:t>
          </w:r>
          <w:r>
            <w:rPr>
              <w:rFonts w:hint="eastAsia"/>
            </w:rPr>
            <w:t>J</w:t>
          </w:r>
          <w:r>
            <w:t>une 2004</w:t>
          </w:r>
        </w:p>
        <w:p w:rsidR="00000000" w:rsidRDefault="00B83709">
          <w:pPr>
            <w:spacing w:line="240" w:lineRule="exact"/>
          </w:pPr>
          <w:r>
            <w:t>Chinese</w:t>
          </w:r>
        </w:p>
        <w:p w:rsidR="00000000" w:rsidRDefault="00B83709">
          <w:pPr>
            <w:spacing w:line="240" w:lineRule="exact"/>
          </w:pPr>
          <w:r>
            <w:t>Original: English</w:t>
          </w:r>
        </w:p>
      </w:tc>
    </w:tr>
  </w:tbl>
  <w:p w:rsidR="00000000" w:rsidRDefault="00B83709">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3709">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1">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0A140BF"/>
    <w:multiLevelType w:val="singleLevel"/>
    <w:tmpl w:val="4114E738"/>
    <w:lvl w:ilvl="0">
      <w:start w:val="1"/>
      <w:numFmt w:val="decimal"/>
      <w:lvlText w:val="%1)"/>
      <w:legacy w:legacy="1" w:legacySpace="0" w:legacyIndent="360"/>
      <w:lvlJc w:val="left"/>
      <w:pPr>
        <w:ind w:left="360" w:hanging="360"/>
      </w:pPr>
    </w:lvl>
  </w:abstractNum>
  <w:abstractNum w:abstractNumId="23">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4">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6">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2">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3">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3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8">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1">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6">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1">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3">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5">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6">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7">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8">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5040835"/>
    <w:multiLevelType w:val="singleLevel"/>
    <w:tmpl w:val="3684AD0C"/>
    <w:lvl w:ilvl="0">
      <w:start w:val="1"/>
      <w:numFmt w:val="decimal"/>
      <w:lvlText w:val="(%1)"/>
      <w:lvlJc w:val="left"/>
      <w:pPr>
        <w:tabs>
          <w:tab w:val="num" w:pos="360"/>
        </w:tabs>
        <w:ind w:left="360" w:hanging="360"/>
      </w:pPr>
      <w:rPr>
        <w:rFonts w:hint="default"/>
      </w:rPr>
    </w:lvl>
  </w:abstractNum>
  <w:abstractNum w:abstractNumId="63">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4">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6">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7">
    <w:nsid w:val="05BB03A5"/>
    <w:multiLevelType w:val="singleLevel"/>
    <w:tmpl w:val="17629412"/>
    <w:lvl w:ilvl="0">
      <w:start w:val="1"/>
      <w:numFmt w:val="decimal"/>
      <w:lvlText w:val="(%1)"/>
      <w:lvlJc w:val="left"/>
      <w:pPr>
        <w:tabs>
          <w:tab w:val="num" w:pos="360"/>
        </w:tabs>
        <w:ind w:left="360" w:hanging="360"/>
      </w:pPr>
      <w:rPr>
        <w:rFonts w:hint="default"/>
      </w:rPr>
    </w:lvl>
  </w:abstractNum>
  <w:abstractNum w:abstractNumId="68">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9">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71">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2">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73">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
    <w:nsid w:val="06C73D8F"/>
    <w:multiLevelType w:val="singleLevel"/>
    <w:tmpl w:val="5E3A40B6"/>
    <w:lvl w:ilvl="0">
      <w:start w:val="8"/>
      <w:numFmt w:val="decimal"/>
      <w:lvlText w:val="%1."/>
      <w:lvlJc w:val="left"/>
      <w:pPr>
        <w:tabs>
          <w:tab w:val="num" w:pos="360"/>
        </w:tabs>
        <w:ind w:left="0" w:firstLine="0"/>
      </w:pPr>
    </w:lvl>
  </w:abstractNum>
  <w:abstractNum w:abstractNumId="76">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7">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9">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80">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1">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8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87">
    <w:nsid w:val="08DA4460"/>
    <w:multiLevelType w:val="singleLevel"/>
    <w:tmpl w:val="3B545396"/>
    <w:lvl w:ilvl="0">
      <w:start w:val="35"/>
      <w:numFmt w:val="decimal"/>
      <w:lvlText w:val="%1."/>
      <w:lvlJc w:val="left"/>
      <w:pPr>
        <w:tabs>
          <w:tab w:val="num" w:pos="360"/>
        </w:tabs>
        <w:ind w:left="0" w:firstLine="0"/>
      </w:pPr>
    </w:lvl>
  </w:abstractNum>
  <w:abstractNum w:abstractNumId="8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91">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2">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95">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6">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97">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98">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99">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2">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3">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4">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06">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07">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08">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0">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13">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4">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16">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18">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21">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
    <w:nsid w:val="0CD748EB"/>
    <w:multiLevelType w:val="singleLevel"/>
    <w:tmpl w:val="041E000F"/>
    <w:lvl w:ilvl="0">
      <w:start w:val="1"/>
      <w:numFmt w:val="decimal"/>
      <w:lvlText w:val="%1."/>
      <w:lvlJc w:val="left"/>
      <w:pPr>
        <w:tabs>
          <w:tab w:val="num" w:pos="360"/>
        </w:tabs>
        <w:ind w:left="360" w:hanging="360"/>
      </w:pPr>
    </w:lvl>
  </w:abstractNum>
  <w:abstractNum w:abstractNumId="124">
    <w:nsid w:val="0CF42B2A"/>
    <w:multiLevelType w:val="singleLevel"/>
    <w:tmpl w:val="CFE8B556"/>
    <w:lvl w:ilvl="0">
      <w:start w:val="1"/>
      <w:numFmt w:val="decimal"/>
      <w:lvlText w:val="(%1)"/>
      <w:lvlJc w:val="left"/>
      <w:pPr>
        <w:tabs>
          <w:tab w:val="num" w:pos="360"/>
        </w:tabs>
        <w:ind w:left="0" w:firstLine="0"/>
      </w:pPr>
      <w:rPr>
        <w:rFonts w:hint="default"/>
      </w:rPr>
    </w:lvl>
  </w:abstractNum>
  <w:abstractNum w:abstractNumId="125">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27">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8">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29">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30">
    <w:nsid w:val="0D645F5F"/>
    <w:multiLevelType w:val="multilevel"/>
    <w:tmpl w:val="7144A638"/>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2"/>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1">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2">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5">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37">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8">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39">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40">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41">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42">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45">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46">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47">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8">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0EEA4F67"/>
    <w:multiLevelType w:val="hybridMultilevel"/>
    <w:tmpl w:val="920C77FC"/>
    <w:lvl w:ilvl="0" w:tplc="FFDAF8F0">
      <w:start w:val="252"/>
      <w:numFmt w:val="decimal"/>
      <w:lvlText w:val="%1."/>
      <w:lvlJc w:val="left"/>
      <w:pPr>
        <w:tabs>
          <w:tab w:val="num" w:pos="1617"/>
        </w:tabs>
        <w:ind w:left="1617" w:hanging="1140"/>
      </w:pPr>
      <w:rPr>
        <w:rFonts w:hint="eastAsia"/>
      </w:rPr>
    </w:lvl>
    <w:lvl w:ilvl="1" w:tplc="04090019" w:tentative="1">
      <w:start w:val="1"/>
      <w:numFmt w:val="lowerLetter"/>
      <w:lvlText w:val="%2)"/>
      <w:lvlJc w:val="left"/>
      <w:pPr>
        <w:tabs>
          <w:tab w:val="num" w:pos="1317"/>
        </w:tabs>
        <w:ind w:left="1317" w:hanging="420"/>
      </w:pPr>
    </w:lvl>
    <w:lvl w:ilvl="2" w:tplc="0409001B" w:tentative="1">
      <w:start w:val="1"/>
      <w:numFmt w:val="lowerRoman"/>
      <w:lvlText w:val="%3."/>
      <w:lvlJc w:val="right"/>
      <w:pPr>
        <w:tabs>
          <w:tab w:val="num" w:pos="1737"/>
        </w:tabs>
        <w:ind w:left="1737" w:hanging="420"/>
      </w:pPr>
    </w:lvl>
    <w:lvl w:ilvl="3" w:tplc="0409000F" w:tentative="1">
      <w:start w:val="1"/>
      <w:numFmt w:val="decimal"/>
      <w:lvlText w:val="%4."/>
      <w:lvlJc w:val="left"/>
      <w:pPr>
        <w:tabs>
          <w:tab w:val="num" w:pos="2157"/>
        </w:tabs>
        <w:ind w:left="2157" w:hanging="420"/>
      </w:pPr>
    </w:lvl>
    <w:lvl w:ilvl="4" w:tplc="04090019" w:tentative="1">
      <w:start w:val="1"/>
      <w:numFmt w:val="lowerLetter"/>
      <w:lvlText w:val="%5)"/>
      <w:lvlJc w:val="left"/>
      <w:pPr>
        <w:tabs>
          <w:tab w:val="num" w:pos="2577"/>
        </w:tabs>
        <w:ind w:left="2577" w:hanging="420"/>
      </w:pPr>
    </w:lvl>
    <w:lvl w:ilvl="5" w:tplc="0409001B" w:tentative="1">
      <w:start w:val="1"/>
      <w:numFmt w:val="lowerRoman"/>
      <w:lvlText w:val="%6."/>
      <w:lvlJc w:val="right"/>
      <w:pPr>
        <w:tabs>
          <w:tab w:val="num" w:pos="2997"/>
        </w:tabs>
        <w:ind w:left="2997" w:hanging="420"/>
      </w:pPr>
    </w:lvl>
    <w:lvl w:ilvl="6" w:tplc="0409000F" w:tentative="1">
      <w:start w:val="1"/>
      <w:numFmt w:val="decimal"/>
      <w:lvlText w:val="%7."/>
      <w:lvlJc w:val="left"/>
      <w:pPr>
        <w:tabs>
          <w:tab w:val="num" w:pos="3417"/>
        </w:tabs>
        <w:ind w:left="3417" w:hanging="420"/>
      </w:pPr>
    </w:lvl>
    <w:lvl w:ilvl="7" w:tplc="04090019" w:tentative="1">
      <w:start w:val="1"/>
      <w:numFmt w:val="lowerLetter"/>
      <w:lvlText w:val="%8)"/>
      <w:lvlJc w:val="left"/>
      <w:pPr>
        <w:tabs>
          <w:tab w:val="num" w:pos="3837"/>
        </w:tabs>
        <w:ind w:left="3837" w:hanging="420"/>
      </w:pPr>
    </w:lvl>
    <w:lvl w:ilvl="8" w:tplc="0409001B" w:tentative="1">
      <w:start w:val="1"/>
      <w:numFmt w:val="lowerRoman"/>
      <w:lvlText w:val="%9."/>
      <w:lvlJc w:val="right"/>
      <w:pPr>
        <w:tabs>
          <w:tab w:val="num" w:pos="4257"/>
        </w:tabs>
        <w:ind w:left="4257" w:hanging="420"/>
      </w:pPr>
    </w:lvl>
  </w:abstractNum>
  <w:abstractNum w:abstractNumId="150">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5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5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5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5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5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57">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5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
    <w:nsid w:val="10245551"/>
    <w:multiLevelType w:val="multilevel"/>
    <w:tmpl w:val="476C6E90"/>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
    <w:nsid w:val="106535DB"/>
    <w:multiLevelType w:val="singleLevel"/>
    <w:tmpl w:val="226E44FE"/>
    <w:lvl w:ilvl="0">
      <w:start w:val="1"/>
      <w:numFmt w:val="decimal"/>
      <w:lvlText w:val="(%1)"/>
      <w:lvlJc w:val="left"/>
      <w:pPr>
        <w:tabs>
          <w:tab w:val="num" w:pos="360"/>
        </w:tabs>
        <w:ind w:left="0" w:firstLine="0"/>
      </w:pPr>
      <w:rPr>
        <w:rFonts w:hint="default"/>
      </w:rPr>
    </w:lvl>
  </w:abstractNum>
  <w:abstractNum w:abstractNumId="165">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66">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67">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8">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69">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1">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72">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73">
    <w:nsid w:val="11A34F73"/>
    <w:multiLevelType w:val="singleLevel"/>
    <w:tmpl w:val="C950B562"/>
    <w:lvl w:ilvl="0">
      <w:start w:val="36"/>
      <w:numFmt w:val="decimal"/>
      <w:lvlText w:val="%1."/>
      <w:lvlJc w:val="left"/>
      <w:pPr>
        <w:tabs>
          <w:tab w:val="num" w:pos="360"/>
        </w:tabs>
        <w:ind w:left="0" w:firstLine="0"/>
      </w:pPr>
    </w:lvl>
  </w:abstractNum>
  <w:abstractNum w:abstractNumId="174">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76">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8">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79">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80">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2">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183">
    <w:nsid w:val="1395001A"/>
    <w:multiLevelType w:val="singleLevel"/>
    <w:tmpl w:val="429E1BAC"/>
    <w:lvl w:ilvl="0">
      <w:start w:val="3"/>
      <w:numFmt w:val="decimal"/>
      <w:lvlText w:val="%1."/>
      <w:lvlJc w:val="left"/>
      <w:pPr>
        <w:tabs>
          <w:tab w:val="num" w:pos="360"/>
        </w:tabs>
        <w:ind w:left="0" w:firstLine="0"/>
      </w:pPr>
    </w:lvl>
  </w:abstractNum>
  <w:abstractNum w:abstractNumId="184">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86">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7">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89">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190">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1">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93">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94">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95">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96">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97">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9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00">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01">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02">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03">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4">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6">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8">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9">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11">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12">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4">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16">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7">
    <w:nsid w:val="17166B25"/>
    <w:multiLevelType w:val="singleLevel"/>
    <w:tmpl w:val="9AF8B158"/>
    <w:lvl w:ilvl="0">
      <w:start w:val="2"/>
      <w:numFmt w:val="decimal"/>
      <w:lvlText w:val="(%1)"/>
      <w:lvlJc w:val="left"/>
      <w:pPr>
        <w:tabs>
          <w:tab w:val="num" w:pos="435"/>
        </w:tabs>
        <w:ind w:left="435" w:hanging="435"/>
      </w:pPr>
      <w:rPr>
        <w:rFonts w:hint="default"/>
      </w:rPr>
    </w:lvl>
  </w:abstractNum>
  <w:abstractNum w:abstractNumId="218">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19">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0">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1">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22">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3">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24">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25">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6">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28">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9">
    <w:nsid w:val="18A23460"/>
    <w:multiLevelType w:val="singleLevel"/>
    <w:tmpl w:val="79AC3C3A"/>
    <w:lvl w:ilvl="0">
      <w:start w:val="1"/>
      <w:numFmt w:val="lowerLetter"/>
      <w:lvlText w:val="(%1)"/>
      <w:lvlJc w:val="left"/>
      <w:pPr>
        <w:tabs>
          <w:tab w:val="num" w:pos="360"/>
        </w:tabs>
        <w:ind w:left="360" w:hanging="360"/>
      </w:pPr>
      <w:rPr>
        <w:b w:val="0"/>
        <w:i/>
      </w:rPr>
    </w:lvl>
  </w:abstractNum>
  <w:abstractNum w:abstractNumId="230">
    <w:nsid w:val="18AE045D"/>
    <w:multiLevelType w:val="singleLevel"/>
    <w:tmpl w:val="3B048536"/>
    <w:lvl w:ilvl="0">
      <w:start w:val="1"/>
      <w:numFmt w:val="lowerLetter"/>
      <w:lvlText w:val="(%1)"/>
      <w:lvlJc w:val="left"/>
      <w:pPr>
        <w:tabs>
          <w:tab w:val="num" w:pos="360"/>
        </w:tabs>
        <w:ind w:left="360" w:hanging="360"/>
      </w:pPr>
      <w:rPr>
        <w:b w:val="0"/>
        <w:i/>
      </w:rPr>
    </w:lvl>
  </w:abstractNum>
  <w:abstractNum w:abstractNumId="231">
    <w:nsid w:val="18C561E8"/>
    <w:multiLevelType w:val="singleLevel"/>
    <w:tmpl w:val="9AF8B158"/>
    <w:lvl w:ilvl="0">
      <w:start w:val="1"/>
      <w:numFmt w:val="decimal"/>
      <w:lvlText w:val="(%1)"/>
      <w:lvlJc w:val="left"/>
      <w:pPr>
        <w:tabs>
          <w:tab w:val="num" w:pos="435"/>
        </w:tabs>
        <w:ind w:left="435" w:hanging="435"/>
      </w:pPr>
      <w:rPr>
        <w:rFonts w:hint="default"/>
      </w:rPr>
    </w:lvl>
  </w:abstractNum>
  <w:abstractNum w:abstractNumId="232">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33">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4">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5">
    <w:nsid w:val="19157D39"/>
    <w:multiLevelType w:val="singleLevel"/>
    <w:tmpl w:val="D05298C4"/>
    <w:lvl w:ilvl="0">
      <w:start w:val="33"/>
      <w:numFmt w:val="decimal"/>
      <w:lvlText w:val="%1."/>
      <w:lvlJc w:val="left"/>
      <w:pPr>
        <w:tabs>
          <w:tab w:val="num" w:pos="360"/>
        </w:tabs>
        <w:ind w:left="0" w:firstLine="0"/>
      </w:pPr>
    </w:lvl>
  </w:abstractNum>
  <w:abstractNum w:abstractNumId="236">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3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38">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39">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41">
    <w:nsid w:val="1A7119C1"/>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42">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43">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4">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46">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7">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8">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49">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0">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1">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3">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54">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55">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257">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start w:val="1291850753"/>
      <w:numFmt w:val="decimal"/>
      <w:lvlRestart w:val="0"/>
      <w:lvlText w:val="䘀ఀȀ挀蝫e᠀̤̀搒ĸ␱㤀Ʉ䠀$②᠃䌀ᕊ开ň洄ै渄ш猈ै琄"/>
      <w:lvlJc w:val="right"/>
    </w:lvl>
    <w:lvl w:ilvl="6" w:tplc="04090001">
      <w:start w:val="1375748608"/>
      <w:numFmt w:val="decimal"/>
      <w:suff w:val="tab"/>
      <w:lvlText w:val="㸀Ī⩂Ⰲ嘀ꉀ脀Ⰲఀࠀ뽝蒕蕶Ɥﹾꖔcఀ㸀Ī⩂瀌聨耀䈀㸀Ā鈀䈂"/>
      <w:lvlJc w:val="center"/>
      <w:pPr>
        <w:widowControl w:val="0"/>
        <w:tabs>
          <w:tab w:val="right" w:leader="dot" w:pos="8302"/>
        </w:tabs>
        <w:ind w:left="0" w:firstLine="0"/>
        <w:jc w:val="both"/>
      </w:pPr>
      <w:rPr>
        <w:rFonts w:ascii="Times New Roman"/>
        <w:sz w:val="21"/>
        <w:szCs w:val="24"/>
      </w:rPr>
    </w:lvl>
    <w:lvl w:ilvl="7" w:tplc="04090003">
      <w:start w:val="1"/>
      <w:numFmt w:val="decimal"/>
      <w:lvlText w:val="ĀĀ̀ༀᄂ얄ᗾ׆Ā˟帆怂얄濾Ĩ-"/>
      <w:lvlJc w:val="left"/>
    </w:lvl>
    <w:lvl w:ilvl="8" w:tplc="04090005">
      <w:start w:val="14"/>
      <w:numFmt w:val="arabicAlpha"/>
      <w:lvlText w:val="%ɍ葠﷤⡯က⸀Ā⸀Ȁ⸀̀⸀Ѐ⸀Ԁ⸀؀⸀܀⸀ĀĀԃइഋᄏ"/>
      <w:lvlJc w:val="left"/>
    </w:lvl>
  </w:abstractNum>
  <w:abstractNum w:abstractNumId="258">
    <w:nsid w:val="1C797CD8"/>
    <w:multiLevelType w:val="hybridMultilevel"/>
    <w:tmpl w:val="7C707A9C"/>
    <w:lvl w:ilvl="0" w:tplc="04090003">
      <w:start w:val="1577454880"/>
      <w:numFmt w:val="decimal"/>
      <w:suff w:val="tab"/>
      <w:lvlText w:val="଀萏৘萑﹜葞%ਉ"/>
      <w:lvlJc w:val="left"/>
      <w:pPr>
        <w:ind w:left="840" w:hanging="420"/>
      </w:pPr>
      <w:rPr>
        <w:rFonts w:ascii="Wingdings" w:hAnsi="Wingdings" w:hint="default"/>
      </w:rPr>
    </w:lvl>
    <w:lvl w:ilvl="1" w:tplc="04090003">
      <w:start w:val="881069824"/>
      <w:numFmt w:val="hex"/>
      <w:suff w:val="tab"/>
      <w:lvlText w:val="́᠃萏ƕ萑﹫옕锁؁葞ƕ葠﹫⡯́"/>
      <w:lvlJc w:val="center"/>
      <w:pPr>
        <w:ind w:left="2520" w:hanging="420"/>
      </w:pPr>
      <w:rPr>
        <w:rFonts w:ascii="Tahoma" w:hAnsi="Wingdings" w:hint="default"/>
      </w:rPr>
    </w:lvl>
    <w:lvl w:ilvl="2" w:tplc="04090005">
      <w:start w:val="131118"/>
      <w:numFmt w:val="arabicAlpha"/>
      <w:lvlText w:val="葠︠%⢠ȁ฀˿̀Ā̀ༀ梄ᄁ预ᗾ׆ĀŨ帆梄态"/>
      <w:lvlJc w:val="left"/>
    </w:lvl>
    <w:lvl w:ilvl="3" w:tplc="04090001">
      <w:numFmt w:val="japaneseCounting"/>
      <w:lvlRestart w:val="0"/>
      <w:suff w:val="tab"/>
      <w:lvlText w:val=""/>
      <w:lvlJc w:val="left"/>
      <w:pPr>
        <w:tabs>
          <w:tab w:val="num" w:pos="3360"/>
        </w:tabs>
        <w:ind w:left="3360" w:hanging="420"/>
      </w:pPr>
      <w:rPr>
        <w:rFonts w:ascii="Wingdings 2" w:eastAsia="SimSun" w:hAnsi="Wingdings 2" w:hint="default"/>
      </w:rPr>
    </w:lvl>
    <w:lvl w:ilvl="4" w:tplc="04090003">
      <w:start w:val="23"/>
      <w:numFmt w:val="decimal"/>
      <w:lvlText w:val="帆㦄怈岄俾୊儀୊漀(̛᠋萏ঢ়萑﹜옕"/>
      <w:lvlJc w:val="left"/>
      <w:pPr>
        <w:tabs>
          <w:tab w:val="num" w:pos="1205"/>
        </w:tabs>
        <w:ind w:left="1685" w:hanging="420"/>
      </w:pPr>
    </w:lvl>
    <w:lvl w:ilvl="5" w:tplc="04090005">
      <w:start w:val="678363147"/>
      <w:numFmt w:val="decimal"/>
      <w:lvlText w:val=""/>
      <w:lvlJc w:val="center"/>
    </w:lvl>
    <w:lvl w:ilvl="6" w:tplc="04090001">
      <w:start w:val="184549376"/>
      <w:numFmt w:val="ganada"/>
      <w:suff w:val="tab"/>
      <w:lvlText w:val=""/>
      <w:lvlJc w:val="left"/>
      <w:pPr>
        <w:ind w:left="855" w:hanging="420"/>
      </w:pPr>
    </w:lvl>
    <w:lvl w:ilvl="7" w:tplc="04090003">
      <w:numFmt w:val="ganada"/>
      <w:suff w:val="tab"/>
      <w:lvlText w:val="Ĩ.́᠃萏Ũ萑ﺘ옕栁؁葞Ũ葠ﺘ⡯"/>
      <w:lvlJc w:val="left"/>
      <w:pPr>
        <w:ind w:left="4215" w:hanging="420"/>
      </w:pPr>
      <w:rPr>
        <w:rFonts w:ascii="Wingdings" w:hAnsi="Wingdings" w:hint="default"/>
        <w:sz w:val="13"/>
      </w:rPr>
    </w:lvl>
    <w:lvl w:ilvl="8" w:tplc="04090005">
      <w:start w:val="1552158982"/>
      <w:numFmt w:val="decimal"/>
      <w:isLgl/>
      <w:suff w:val="tab"/>
      <w:lvlText w:val="岄˾Ѐ⤀ĀȀƂༀᄉ岄ᗾ׆Ā৘帆怉岄˾"/>
      <w:lvlJc w:val="center"/>
      <w:pPr>
        <w:tabs>
          <w:tab w:val="num" w:pos="2100"/>
        </w:tabs>
        <w:ind w:left="52"/>
      </w:pPr>
    </w:lvl>
  </w:abstractNum>
  <w:abstractNum w:abstractNumId="259">
    <w:nsid w:val="1C8018F8"/>
    <w:multiLevelType w:val="singleLevel"/>
    <w:tmpl w:val="4838DFFE"/>
    <w:lvl w:ilvl="0">
      <w:start w:val="687866112"/>
      <w:numFmt w:val="decimal"/>
      <w:lvlText w:val=""/>
      <w:lvlJc w:val="center"/>
    </w:lvl>
  </w:abstractNum>
  <w:abstractNum w:abstractNumId="260">
    <w:nsid w:val="1C896B26"/>
    <w:multiLevelType w:val="multilevel"/>
    <w:tmpl w:val="ABCAD106"/>
    <w:lvl w:ilvl="0" w:tentative="1">
      <w:start w:val="251658264"/>
      <w:numFmt w:val="decimal"/>
      <w:lvlRestart w:val="0"/>
      <w:isLgl/>
      <w:suff w:val="space"/>
      <w:lvlText w:val="怋岄˾%ر⸀ĀЀƐༀ₄ᄍ岄ᗾ׆Āഠ帆₄怍岄"/>
      <w:legacy w:legacy="1" w:legacySpace="1577452780" w:legacyIndent="1610935428"/>
      <w:lvlJc w:val="left"/>
      <w:pPr>
        <w:ind w:left="1680" w:hanging="420"/>
      </w:pPr>
    </w:lvl>
    <w:lvl w:ilvl="1">
      <w:numFmt w:val="decimal"/>
      <w:suff w:val="tab"/>
      <w:lvlText w:val=""/>
      <w:lvlJc w:val="left"/>
    </w:lvl>
    <w:lvl w:ilvl="2">
      <w:start w:val="1572864"/>
      <w:numFmt w:val="decimal"/>
      <w:lvlRestart w:val="0"/>
      <w:isLgl/>
      <w:suff w:val="tab"/>
      <w:lvlText w:val="葞ໄ葠﹜.᠏萏Ʃ萑﹗옕꤁؁葞Ʃ"/>
      <w:lvlJc w:val="both"/>
      <w:pPr>
        <w:tabs>
          <w:tab w:val="num" w:pos="3360"/>
        </w:tabs>
        <w:ind w:left="3360" w:hanging="420"/>
      </w:pPr>
    </w:lvl>
    <w:lvl w:ilvl="3">
      <w:numFmt w:val="decimal"/>
      <w:suff w:val="tab"/>
      <w:lvlText w:val="䩑⡯Ā氀ǰᜀ"/>
      <w:lvlJc w:val="left"/>
      <w:pPr>
        <w:ind w:left="840" w:hanging="420"/>
      </w:pPr>
    </w:lvl>
    <w:lvl w:ilvl="4">
      <w:numFmt w:val="decimal"/>
      <w:lvlText w:val="葠﹜䩏䩑⡯Ā甀ǰ̀Ā̀ༀ閄ᄁ殄ᗾ׆Āƕ"/>
      <w:lvlJc w:val="left"/>
      <w:pPr>
        <w:ind w:hanging="420"/>
      </w:pPr>
      <w:rPr>
        <w:rFonts w:ascii="Wingdings" w:hAnsi="Wingdings" w:hint="default"/>
      </w:rPr>
    </w:lvl>
    <w:lvl w:ilvl="5">
      <w:numFmt w:val="decimal"/>
      <w:isLgl/>
      <w:lvlText w:val=""/>
      <w:legacy w:legacy="1" w:legacySpace="0" w:legacyIndent="1581670287"/>
      <w:lvlJc w:val="center"/>
    </w:lvl>
    <w:lvl w:ilvl="6">
      <w:numFmt w:val="decimal"/>
      <w:lvlText w:val=""/>
      <w:lvlJc w:val="left"/>
    </w:lvl>
    <w:lvl w:ilvl="7">
      <w:numFmt w:val="decimal"/>
      <w:lvlRestart w:val="0"/>
      <w:lvlText w:val=""/>
      <w:legacy w:legacy="1" w:legacySpace="0" w:legacyIndent="1340080437"/>
      <w:lvlJc w:val="left"/>
    </w:lvl>
    <w:lvl w:ilvl="8">
      <w:numFmt w:val="decimal"/>
      <w:lvlText w:val=""/>
      <w:lvlJc w:val="left"/>
    </w:lvl>
  </w:abstractNum>
  <w:abstractNum w:abstractNumId="261">
    <w:nsid w:val="1C913007"/>
    <w:multiLevelType w:val="hybridMultilevel"/>
    <w:tmpl w:val="2578E2DA"/>
    <w:lvl w:ilvl="0">
      <w:numFmt w:val="decimal"/>
      <w:lvlRestart w:val="0"/>
      <w:isLgl/>
      <w:lvlText w:val=""/>
      <w:legacy w:legacy="1" w:legacySpace="0" w:legacyIndent="-854567936"/>
      <w:lvlJc w:val="right"/>
    </w:lvl>
    <w:lvl w:ilvl="1">
      <w:numFmt w:val="decimal"/>
      <w:lvlText w:val=""/>
      <w:lvlJc w:val="left"/>
    </w:lvl>
    <w:lvl w:ilvl="2">
      <w:start w:val="853999616"/>
      <w:numFmt w:val="arabicAbjad"/>
      <w:lvlRestart w:val="0"/>
      <w:lvlText w:val=""/>
      <w:legacy w:legacy="1" w:legacySpace="981729280" w:legacyIndent="12071"/>
      <w:lvlJc w:val="right"/>
    </w:lvl>
    <w:lvl w:ilvl="3">
      <w:numFmt w:val="decimal"/>
      <w:lvlText w:val=""/>
      <w:legacy w:legacy="1" w:legacySpace="0" w:legacyIndent="131169235"/>
      <w:lvlJc w:val="both"/>
    </w:lvl>
    <w:lvl w:ilvl="4">
      <w:numFmt w:val="decimal"/>
      <w:lvlText w:val=""/>
      <w:lvlJc w:val="left"/>
    </w:lvl>
    <w:lvl w:ilvl="5" w:tentative="1">
      <w:numFmt w:val="decimal"/>
      <w:lvlRestart w:val="0"/>
      <w:isLgl/>
      <w:lvlText w:val=""/>
      <w:legacy w:legacy="1" w:legacySpace="0" w:legacyIndent="863197440"/>
      <w:lvlJc w:val="left"/>
    </w:lvl>
    <w:lvl w:ilvl="6">
      <w:start w:val="1426701056"/>
      <w:numFmt w:val="ideographDigital"/>
      <w:lvlText w:val=""/>
      <w:lvlJc w:val="left"/>
    </w:lvl>
    <w:lvl w:ilvl="7">
      <w:start w:val="-33554432"/>
      <w:numFmt w:val="hebrew2"/>
      <w:lvlRestart w:val="0"/>
      <w:lvlText w:val=""/>
      <w:legacy w:legacy="1" w:legacySpace="-721420288" w:legacyIndent="4754248"/>
      <w:lvlJc w:val="both"/>
    </w:lvl>
    <w:lvl w:ilvl="8" w:tentative="1">
      <w:numFmt w:val="decimal"/>
      <w:lvlText w:val=""/>
      <w:lvlJc w:val="both"/>
    </w:lvl>
  </w:abstractNum>
  <w:abstractNum w:abstractNumId="262">
    <w:nsid w:val="1C993F15"/>
    <w:multiLevelType w:val="singleLevel"/>
    <w:tmpl w:val="7BB430FE"/>
    <w:lvl w:ilvl="0">
      <w:start w:val="-163887872"/>
      <w:numFmt w:val="cardinalText"/>
      <w:lvlText w:val=""/>
      <w:lvlJc w:val="left"/>
    </w:lvl>
  </w:abstractNum>
  <w:abstractNum w:abstractNumId="263">
    <w:nsid w:val="1CA10D07"/>
    <w:multiLevelType w:val="singleLevel"/>
    <w:tmpl w:val="10EEE5A4"/>
    <w:lvl w:ilvl="0">
      <w:start w:val="1761607680"/>
      <w:numFmt w:val="decimal"/>
      <w:lvlRestart w:val="0"/>
      <w:lvlText w:val=""/>
      <w:legacy w:legacy="1" w:legacySpace="1174405120" w:legacyIndent="3092780"/>
      <w:lvlJc w:val="left"/>
    </w:lvl>
  </w:abstractNum>
  <w:abstractNum w:abstractNumId="264">
    <w:nsid w:val="1CB16BC6"/>
    <w:multiLevelType w:val="singleLevel"/>
    <w:tmpl w:val="BE14B794"/>
    <w:lvl w:ilvl="0">
      <w:start w:val="1"/>
      <w:numFmt w:val="decimal"/>
      <w:lvlText w:val="(%1)"/>
      <w:lvlJc w:val="left"/>
      <w:pPr>
        <w:tabs>
          <w:tab w:val="num" w:pos="360"/>
        </w:tabs>
        <w:ind w:left="360" w:hanging="360"/>
      </w:pPr>
      <w:rPr>
        <w:rFonts w:hint="default"/>
      </w:rPr>
    </w:lvl>
  </w:abstractNum>
  <w:abstractNum w:abstractNumId="265">
    <w:nsid w:val="1CBE69F1"/>
    <w:multiLevelType w:val="hybridMultilevel"/>
    <w:tmpl w:val="12442F10"/>
    <w:lvl w:ilvl="0" w:tplc="FBF4894C" w:tentative="1">
      <w:numFmt w:val="decimal"/>
      <w:lvlText w:val="鸀ᤄ}倀逇2"/>
      <w:lvlJc w:val="both"/>
    </w:lvl>
    <w:lvl w:ilvl="1" w:tplc="04090003">
      <w:numFmt w:val="decimal"/>
      <w:lvlText w:val="鸀㵯:눀赫/⼀쌇+ꌀ"/>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66">
    <w:nsid w:val="1CDB3F61"/>
    <w:multiLevelType w:val="hybridMultilevel"/>
    <w:tmpl w:val="383CB25A"/>
    <w:lvl w:ilvl="0" w:tplc="2A9CFB1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67">
    <w:nsid w:val="1CED697E"/>
    <w:multiLevelType w:val="singleLevel"/>
    <w:tmpl w:val="7BB430FE"/>
    <w:lvl w:ilvl="0">
      <w:numFmt w:val="decimal"/>
      <w:lvlText w:val=""/>
      <w:lvlJc w:val="left"/>
    </w:lvl>
  </w:abstractNum>
  <w:abstractNum w:abstractNumId="268">
    <w:nsid w:val="1D0E4BA5"/>
    <w:multiLevelType w:val="hybridMultilevel"/>
    <w:tmpl w:val="0BC28AB8"/>
    <w:lvl w:ilvl="0" w:tplc="C406AC24">
      <w:numFmt w:val="decimal"/>
      <w:lvlText w:val=""/>
      <w:lvlJc w:val="left"/>
    </w:lvl>
    <w:lvl w:ilvl="1" w:tplc="04090003">
      <w:numFmt w:val="decimal"/>
      <w:lvlText w:val=""/>
      <w:lvlJc w:val="left"/>
    </w:lvl>
    <w:lvl w:ilvl="2" w:tplc="38CC4A58">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69">
    <w:nsid w:val="1D1307DF"/>
    <w:multiLevelType w:val="hybridMultilevel"/>
    <w:tmpl w:val="50986FF0"/>
    <w:lvl w:ilvl="0" w:tplc="9190D1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0">
    <w:nsid w:val="1D1556F3"/>
    <w:multiLevelType w:val="hybridMultilevel"/>
    <w:tmpl w:val="163A2DC4"/>
    <w:lvl w:ilvl="0" w:tplc="E58A72D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71">
    <w:nsid w:val="1D307E62"/>
    <w:multiLevelType w:val="singleLevel"/>
    <w:tmpl w:val="B8AC18B2"/>
    <w:lvl w:ilvl="0">
      <w:numFmt w:val="decimal"/>
      <w:lvlText w:val=""/>
      <w:lvlJc w:val="left"/>
    </w:lvl>
  </w:abstractNum>
  <w:abstractNum w:abstractNumId="272">
    <w:nsid w:val="1D521876"/>
    <w:multiLevelType w:val="hybridMultilevel"/>
    <w:tmpl w:val="3D1A7D4A"/>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3">
    <w:nsid w:val="1D534232"/>
    <w:multiLevelType w:val="hybridMultilevel"/>
    <w:tmpl w:val="5ED0EF4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4">
    <w:nsid w:val="1D8060D3"/>
    <w:multiLevelType w:val="hybridMultilevel"/>
    <w:tmpl w:val="74A68358"/>
    <w:lvl w:ilvl="0" w:tplc="38CC4A58">
      <w:numFmt w:val="decimal"/>
      <w:lvlText w:val=""/>
      <w:lvlJc w:val="left"/>
    </w:lvl>
    <w:lvl w:ilvl="1" w:tplc="04090003">
      <w:numFmt w:val="decimal"/>
      <w:lvlText w:val=""/>
      <w:lvlJc w:val="left"/>
    </w:lvl>
    <w:lvl w:ilvl="2" w:tplc="38CC4A58">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5">
    <w:nsid w:val="1DA17217"/>
    <w:multiLevelType w:val="hybridMultilevel"/>
    <w:tmpl w:val="47BC7C7E"/>
    <w:lvl w:ilvl="0" w:tplc="2DDA8C4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6">
    <w:nsid w:val="1DC410F0"/>
    <w:multiLevelType w:val="hybridMultilevel"/>
    <w:tmpl w:val="D1C067A2"/>
    <w:lvl w:ilvl="0" w:tplc="C406AC2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7">
    <w:nsid w:val="1DC677A9"/>
    <w:multiLevelType w:val="hybridMultilevel"/>
    <w:tmpl w:val="46FCBC1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8">
    <w:nsid w:val="1DD818E0"/>
    <w:multiLevelType w:val="hybridMultilevel"/>
    <w:tmpl w:val="EA2AEC3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Ɏmlተ䩏䩑⡯ቼhtmlиCa"/>
      <w:lvlJc w:val="left"/>
    </w:lvl>
    <w:lvl w:ilvl="8">
      <w:numFmt w:val="decimal"/>
      <w:lvlText w:val=""/>
      <w:lvlJc w:val="left"/>
    </w:lvl>
  </w:abstractNum>
  <w:abstractNum w:abstractNumId="279">
    <w:nsid w:val="1DE75DEF"/>
    <w:multiLevelType w:val="multilevel"/>
    <w:tmpl w:val="54CEC4F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0">
    <w:nsid w:val="1E13761D"/>
    <w:multiLevelType w:val="hybridMultilevel"/>
    <w:tmpl w:val="1FDED92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1">
    <w:nsid w:val="1E282DE7"/>
    <w:multiLevelType w:val="hybridMultilevel"/>
    <w:tmpl w:val="889ADE5C"/>
    <w:lvl w:ilvl="0" w:tplc="E3F6D08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2">
    <w:nsid w:val="1E764B4C"/>
    <w:multiLevelType w:val="singleLevel"/>
    <w:tmpl w:val="E38E391A"/>
    <w:lvl w:ilvl="0">
      <w:start w:val="7"/>
      <w:numFmt w:val="decimal"/>
      <w:lvlText w:val="%1."/>
      <w:lvlJc w:val="left"/>
      <w:pPr>
        <w:tabs>
          <w:tab w:val="num" w:pos="360"/>
        </w:tabs>
        <w:ind w:left="0" w:firstLine="0"/>
      </w:pPr>
    </w:lvl>
  </w:abstractNum>
  <w:abstractNum w:abstractNumId="283">
    <w:nsid w:val="1E846AE0"/>
    <w:multiLevelType w:val="hybridMultilevel"/>
    <w:tmpl w:val="10D2CCDA"/>
    <w:lvl w:ilvl="0" w:tplc="C0006C9C">
      <w:numFmt w:val="decimal"/>
      <w:lvlText w:val=""/>
      <w:lvlJc w:val="left"/>
    </w:lvl>
    <w:lvl w:ilvl="1" w:tplc="04090003">
      <w:numFmt w:val="decimal"/>
      <w:lvlText w:val=""/>
      <w:lvlJc w:val="left"/>
    </w:lvl>
    <w:lvl w:ilvl="2" w:tplc="38CC4A58">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84">
    <w:nsid w:val="1E8A42EC"/>
    <w:multiLevelType w:val="hybridMultilevel"/>
    <w:tmpl w:val="47945EE8"/>
    <w:lvl w:ilvl="0" w:tplc="00003E58">
      <w:numFmt w:val="decimal"/>
      <w:lvlText w:val=""/>
      <w:lvlJc w:val="left"/>
    </w:lvl>
    <w:lvl w:ilvl="1" w:tplc="856A9EEA">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5">
    <w:nsid w:val="1E8C24EE"/>
    <w:multiLevelType w:val="hybridMultilevel"/>
    <w:tmpl w:val="D2EA074C"/>
    <w:lvl w:ilvl="0" w:tplc="FD1E18D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6">
    <w:nsid w:val="1E8D45C2"/>
    <w:multiLevelType w:val="singleLevel"/>
    <w:tmpl w:val="C5D055E2"/>
    <w:lvl w:ilvl="0">
      <w:numFmt w:val="decimal"/>
      <w:lvlText w:val=""/>
      <w:lvlJc w:val="left"/>
    </w:lvl>
  </w:abstractNum>
  <w:abstractNum w:abstractNumId="287">
    <w:nsid w:val="1E90231F"/>
    <w:multiLevelType w:val="singleLevel"/>
    <w:tmpl w:val="205E1F24"/>
    <w:lvl w:ilvl="0">
      <w:numFmt w:val="decimal"/>
      <w:lvlText w:val=""/>
      <w:lvlJc w:val="left"/>
    </w:lvl>
  </w:abstractNum>
  <w:abstractNum w:abstractNumId="288">
    <w:nsid w:val="1EC52C52"/>
    <w:multiLevelType w:val="singleLevel"/>
    <w:tmpl w:val="7E40C640"/>
    <w:lvl w:ilvl="0">
      <w:start w:val="1"/>
      <w:numFmt w:val="lowerLetter"/>
      <w:lvlText w:val="(%1)"/>
      <w:lvlJc w:val="left"/>
      <w:pPr>
        <w:tabs>
          <w:tab w:val="num" w:pos="360"/>
        </w:tabs>
        <w:ind w:left="360" w:hanging="360"/>
      </w:pPr>
      <w:rPr>
        <w:b w:val="0"/>
        <w:i/>
      </w:rPr>
    </w:lvl>
  </w:abstractNum>
  <w:abstractNum w:abstractNumId="289">
    <w:nsid w:val="1F216176"/>
    <w:multiLevelType w:val="singleLevel"/>
    <w:tmpl w:val="7BB430FE"/>
    <w:lvl w:ilvl="0">
      <w:numFmt w:val="decimal"/>
      <w:lvlText w:val=""/>
      <w:lvlJc w:val="left"/>
    </w:lvl>
  </w:abstractNum>
  <w:abstractNum w:abstractNumId="290">
    <w:nsid w:val="1F217A60"/>
    <w:multiLevelType w:val="hybridMultilevel"/>
    <w:tmpl w:val="3AE271CA"/>
    <w:lvl w:ilvl="0" w:tplc="D61EC43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91">
    <w:nsid w:val="1F471BC5"/>
    <w:multiLevelType w:val="singleLevel"/>
    <w:tmpl w:val="2D0C8626"/>
    <w:lvl w:ilvl="0">
      <w:numFmt w:val="decimal"/>
      <w:lvlText w:val=""/>
      <w:lvlJc w:val="left"/>
    </w:lvl>
  </w:abstractNum>
  <w:abstractNum w:abstractNumId="292">
    <w:nsid w:val="1F4B2909"/>
    <w:multiLevelType w:val="hybridMultilevel"/>
    <w:tmpl w:val="F4122180"/>
    <w:lvl w:ilvl="0" w:tplc="04090019">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93">
    <w:nsid w:val="1F5D75B1"/>
    <w:multiLevelType w:val="hybridMultilevel"/>
    <w:tmpl w:val="29B8EEE6"/>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94">
    <w:nsid w:val="1F63405D"/>
    <w:multiLevelType w:val="singleLevel"/>
    <w:tmpl w:val="7BB430FE"/>
    <w:lvl w:ilvl="0">
      <w:numFmt w:val="decimal"/>
      <w:lvlText w:val=""/>
      <w:lvlJc w:val="left"/>
    </w:lvl>
  </w:abstractNum>
  <w:abstractNum w:abstractNumId="295">
    <w:nsid w:val="1F6E6E6C"/>
    <w:multiLevelType w:val="singleLevel"/>
    <w:tmpl w:val="EBFEFB5A"/>
    <w:lvl w:ilvl="0">
      <w:numFmt w:val="decimal"/>
      <w:lvlText w:val=""/>
      <w:lvlJc w:val="left"/>
    </w:lvl>
  </w:abstractNum>
  <w:abstractNum w:abstractNumId="296">
    <w:nsid w:val="1F703AF3"/>
    <w:multiLevelType w:val="singleLevel"/>
    <w:tmpl w:val="9594DAFE"/>
    <w:lvl w:ilvl="0">
      <w:numFmt w:val="decimal"/>
      <w:lvlText w:val=""/>
      <w:lvlJc w:val="left"/>
    </w:lvl>
  </w:abstractNum>
  <w:abstractNum w:abstractNumId="297">
    <w:nsid w:val="1F9979D6"/>
    <w:multiLevelType w:val="hybridMultilevel"/>
    <w:tmpl w:val="5BCC1736"/>
    <w:lvl w:ilvl="0" w:tplc="29CE441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98">
    <w:nsid w:val="1FAF2F76"/>
    <w:multiLevelType w:val="hybridMultilevel"/>
    <w:tmpl w:val="F1C6D522"/>
    <w:lvl w:ilvl="0" w:tplc="04090001">
      <w:numFmt w:val="decimal"/>
      <w:lvlText w:val=""/>
      <w:lvlJc w:val="left"/>
    </w:lvl>
    <w:lvl w:ilvl="1" w:tplc="04090009">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99">
    <w:nsid w:val="1FB36059"/>
    <w:multiLevelType w:val="hybridMultilevel"/>
    <w:tmpl w:val="EA7A052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00">
    <w:nsid w:val="1FC74EE0"/>
    <w:multiLevelType w:val="singleLevel"/>
    <w:tmpl w:val="7BB430FE"/>
    <w:lvl w:ilvl="0">
      <w:numFmt w:val="decimal"/>
      <w:lvlText w:val=""/>
      <w:lvlJc w:val="left"/>
    </w:lvl>
  </w:abstractNum>
  <w:abstractNum w:abstractNumId="301">
    <w:nsid w:val="1FD84A10"/>
    <w:multiLevelType w:val="hybridMultilevel"/>
    <w:tmpl w:val="10D2CCDA"/>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02">
    <w:nsid w:val="1FE96B56"/>
    <w:multiLevelType w:val="singleLevel"/>
    <w:tmpl w:val="7BB430FE"/>
    <w:lvl w:ilvl="0">
      <w:numFmt w:val="decimal"/>
      <w:lvlText w:val=""/>
      <w:lvlJc w:val="left"/>
    </w:lvl>
  </w:abstractNum>
  <w:abstractNum w:abstractNumId="303">
    <w:nsid w:val="1FF950C3"/>
    <w:multiLevelType w:val="singleLevel"/>
    <w:tmpl w:val="39CC9D6E"/>
    <w:lvl w:ilvl="0">
      <w:numFmt w:val="decimal"/>
      <w:lvlText w:val=""/>
      <w:lvlJc w:val="left"/>
    </w:lvl>
  </w:abstractNum>
  <w:abstractNum w:abstractNumId="304">
    <w:nsid w:val="20093D4B"/>
    <w:multiLevelType w:val="singleLevel"/>
    <w:tmpl w:val="38AECBFC"/>
    <w:lvl w:ilvl="0">
      <w:numFmt w:val="decimal"/>
      <w:lvlText w:val=""/>
      <w:lvlJc w:val="left"/>
    </w:lvl>
  </w:abstractNum>
  <w:abstractNum w:abstractNumId="305">
    <w:nsid w:val="20772894"/>
    <w:multiLevelType w:val="hybridMultilevel"/>
    <w:tmpl w:val="0A50040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6">
    <w:nsid w:val="208D6AD3"/>
    <w:multiLevelType w:val="singleLevel"/>
    <w:tmpl w:val="C5D055E2"/>
    <w:lvl w:ilvl="0">
      <w:numFmt w:val="decimal"/>
      <w:lvlText w:val=""/>
      <w:lvlJc w:val="left"/>
    </w:lvl>
  </w:abstractNum>
  <w:abstractNum w:abstractNumId="307">
    <w:nsid w:val="209779E3"/>
    <w:multiLevelType w:val="hybridMultilevel"/>
    <w:tmpl w:val="D69E2D32"/>
    <w:lvl w:ilvl="0" w:tplc="53E843D6">
      <w:numFmt w:val="decimal"/>
      <w:lvlText w:val=""/>
      <w:lvlJc w:val="left"/>
    </w:lvl>
    <w:lvl w:ilvl="1" w:tplc="3D22C53E">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08">
    <w:nsid w:val="20B33CC8"/>
    <w:multiLevelType w:val="hybridMultilevel"/>
    <w:tmpl w:val="1CF0A6B0"/>
    <w:lvl w:ilvl="0" w:tplc="04090003">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09">
    <w:nsid w:val="20E80F76"/>
    <w:multiLevelType w:val="hybridMultilevel"/>
    <w:tmpl w:val="BAB08A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0">
    <w:nsid w:val="20FE6015"/>
    <w:multiLevelType w:val="singleLevel"/>
    <w:tmpl w:val="0409000F"/>
    <w:lvl w:ilvl="0">
      <w:numFmt w:val="decimal"/>
      <w:lvlText w:val=""/>
      <w:lvlJc w:val="left"/>
    </w:lvl>
  </w:abstractNum>
  <w:abstractNum w:abstractNumId="311">
    <w:nsid w:val="211254F2"/>
    <w:multiLevelType w:val="hybridMultilevel"/>
    <w:tmpl w:val="91363F32"/>
    <w:lvl w:ilvl="0" w:tplc="6CC2C96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12">
    <w:nsid w:val="21346E34"/>
    <w:multiLevelType w:val="singleLevel"/>
    <w:tmpl w:val="488CA1F2"/>
    <w:lvl w:ilvl="0">
      <w:start w:val="35"/>
      <w:numFmt w:val="decimal"/>
      <w:lvlText w:val="%1."/>
      <w:lvlJc w:val="left"/>
      <w:pPr>
        <w:tabs>
          <w:tab w:val="num" w:pos="360"/>
        </w:tabs>
        <w:ind w:left="0" w:firstLine="0"/>
      </w:pPr>
    </w:lvl>
  </w:abstractNum>
  <w:abstractNum w:abstractNumId="313">
    <w:nsid w:val="213E0416"/>
    <w:multiLevelType w:val="singleLevel"/>
    <w:tmpl w:val="7BB430FE"/>
    <w:lvl w:ilvl="0">
      <w:numFmt w:val="decimal"/>
      <w:lvlText w:val=""/>
      <w:lvlJc w:val="left"/>
    </w:lvl>
  </w:abstractNum>
  <w:abstractNum w:abstractNumId="314">
    <w:nsid w:val="213E0A14"/>
    <w:multiLevelType w:val="singleLevel"/>
    <w:tmpl w:val="9418063C"/>
    <w:lvl w:ilvl="0">
      <w:numFmt w:val="decimal"/>
      <w:lvlText w:val=""/>
      <w:lvlJc w:val="left"/>
    </w:lvl>
  </w:abstractNum>
  <w:abstractNum w:abstractNumId="315">
    <w:nsid w:val="214506BA"/>
    <w:multiLevelType w:val="hybridMultilevel"/>
    <w:tmpl w:val="112651B8"/>
    <w:lvl w:ilvl="0" w:tplc="3C5E4C7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16">
    <w:nsid w:val="217A6FBD"/>
    <w:multiLevelType w:val="singleLevel"/>
    <w:tmpl w:val="041E0019"/>
    <w:lvl w:ilvl="0">
      <w:start w:val="1"/>
      <w:numFmt w:val="lowerLetter"/>
      <w:lvlText w:val="(%1)"/>
      <w:lvlJc w:val="left"/>
      <w:pPr>
        <w:tabs>
          <w:tab w:val="num" w:pos="360"/>
        </w:tabs>
        <w:ind w:left="360" w:hanging="360"/>
      </w:pPr>
      <w:rPr>
        <w:rFonts w:hint="default"/>
      </w:rPr>
    </w:lvl>
  </w:abstractNum>
  <w:abstractNum w:abstractNumId="317">
    <w:nsid w:val="218B15EA"/>
    <w:multiLevelType w:val="hybridMultilevel"/>
    <w:tmpl w:val="E772B988"/>
    <w:lvl w:ilvl="0" w:tplc="7294FB0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18">
    <w:nsid w:val="21B30D64"/>
    <w:multiLevelType w:val="hybridMultilevel"/>
    <w:tmpl w:val="AA2A90B6"/>
    <w:lvl w:ilvl="0" w:tplc="06F4214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19">
    <w:nsid w:val="21FD173D"/>
    <w:multiLevelType w:val="singleLevel"/>
    <w:tmpl w:val="69F6A4C8"/>
    <w:lvl w:ilvl="0">
      <w:numFmt w:val="decimal"/>
      <w:lvlText w:val=""/>
      <w:lvlJc w:val="left"/>
    </w:lvl>
  </w:abstractNum>
  <w:abstractNum w:abstractNumId="320">
    <w:nsid w:val="21FE3729"/>
    <w:multiLevelType w:val="hybridMultilevel"/>
    <w:tmpl w:val="49F4730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1">
    <w:nsid w:val="22456814"/>
    <w:multiLevelType w:val="singleLevel"/>
    <w:tmpl w:val="7BB430FE"/>
    <w:lvl w:ilvl="0">
      <w:numFmt w:val="decimal"/>
      <w:lvlText w:val=""/>
      <w:lvlJc w:val="left"/>
    </w:lvl>
  </w:abstractNum>
  <w:abstractNum w:abstractNumId="322">
    <w:nsid w:val="22694A08"/>
    <w:multiLevelType w:val="multilevel"/>
    <w:tmpl w:val="0FC086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3">
    <w:nsid w:val="22BB0F54"/>
    <w:multiLevelType w:val="hybridMultilevel"/>
    <w:tmpl w:val="9A66B8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4">
    <w:nsid w:val="22CC37AE"/>
    <w:multiLevelType w:val="hybridMultilevel"/>
    <w:tmpl w:val="7F9AD9EE"/>
    <w:lvl w:ilvl="0" w:tplc="47EA3B9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25">
    <w:nsid w:val="22D3227D"/>
    <w:multiLevelType w:val="singleLevel"/>
    <w:tmpl w:val="05B2BAEA"/>
    <w:lvl w:ilvl="0">
      <w:start w:val="47"/>
      <w:numFmt w:val="decimal"/>
      <w:lvlText w:val="%1."/>
      <w:lvlJc w:val="left"/>
      <w:pPr>
        <w:tabs>
          <w:tab w:val="num" w:pos="360"/>
        </w:tabs>
        <w:ind w:left="0" w:firstLine="0"/>
      </w:pPr>
    </w:lvl>
  </w:abstractNum>
  <w:abstractNum w:abstractNumId="326">
    <w:nsid w:val="22ED1F96"/>
    <w:multiLevelType w:val="singleLevel"/>
    <w:tmpl w:val="430C70FE"/>
    <w:lvl w:ilvl="0">
      <w:start w:val="41"/>
      <w:numFmt w:val="decimal"/>
      <w:lvlText w:val="%1."/>
      <w:lvlJc w:val="left"/>
      <w:pPr>
        <w:tabs>
          <w:tab w:val="num" w:pos="360"/>
        </w:tabs>
        <w:ind w:left="0" w:firstLine="0"/>
      </w:pPr>
    </w:lvl>
  </w:abstractNum>
  <w:abstractNum w:abstractNumId="327">
    <w:nsid w:val="23566221"/>
    <w:multiLevelType w:val="hybridMultilevel"/>
    <w:tmpl w:val="BB6E00E2"/>
    <w:lvl w:ilvl="0" w:tplc="B37C4E22">
      <w:numFmt w:val="decimal"/>
      <w:lvlText w:val=""/>
      <w:lvlJc w:val="left"/>
    </w:lvl>
    <w:lvl w:ilvl="1" w:tplc="35E4E6C6">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28">
    <w:nsid w:val="23663B6B"/>
    <w:multiLevelType w:val="hybridMultilevel"/>
    <w:tmpl w:val="2F4AA022"/>
    <w:lvl w:ilvl="0" w:tplc="30408EA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29">
    <w:nsid w:val="23B7650C"/>
    <w:multiLevelType w:val="singleLevel"/>
    <w:tmpl w:val="AC7CBB88"/>
    <w:lvl w:ilvl="0">
      <w:numFmt w:val="decimal"/>
      <w:lvlText w:val=""/>
      <w:lvlJc w:val="left"/>
    </w:lvl>
  </w:abstractNum>
  <w:abstractNum w:abstractNumId="330">
    <w:nsid w:val="23BA503E"/>
    <w:multiLevelType w:val="singleLevel"/>
    <w:tmpl w:val="35CE7142"/>
    <w:lvl w:ilvl="0">
      <w:numFmt w:val="decimal"/>
      <w:lvlText w:val=""/>
      <w:lvlJc w:val="left"/>
    </w:lvl>
  </w:abstractNum>
  <w:abstractNum w:abstractNumId="331">
    <w:nsid w:val="23CC0167"/>
    <w:multiLevelType w:val="singleLevel"/>
    <w:tmpl w:val="7BB430FE"/>
    <w:lvl w:ilvl="0">
      <w:numFmt w:val="decimal"/>
      <w:lvlText w:val=""/>
      <w:lvlJc w:val="left"/>
    </w:lvl>
  </w:abstractNum>
  <w:abstractNum w:abstractNumId="332">
    <w:nsid w:val="23DA0DC3"/>
    <w:multiLevelType w:val="hybridMultilevel"/>
    <w:tmpl w:val="B0821F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3">
    <w:nsid w:val="23DD1CDE"/>
    <w:multiLevelType w:val="hybridMultilevel"/>
    <w:tmpl w:val="82BE3608"/>
    <w:lvl w:ilvl="0" w:tplc="0A1E9EF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34">
    <w:nsid w:val="23E07A57"/>
    <w:multiLevelType w:val="multilevel"/>
    <w:tmpl w:val="52A2820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5">
    <w:nsid w:val="240C1B1F"/>
    <w:multiLevelType w:val="hybridMultilevel"/>
    <w:tmpl w:val="4C92CC04"/>
    <w:lvl w:ilvl="0" w:tplc="4CC6D45A">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36">
    <w:nsid w:val="24160767"/>
    <w:multiLevelType w:val="hybridMultilevel"/>
    <w:tmpl w:val="386E578E"/>
    <w:lvl w:ilvl="0" w:tplc="2DDA8C4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37">
    <w:nsid w:val="244A6121"/>
    <w:multiLevelType w:val="singleLevel"/>
    <w:tmpl w:val="7BB430FE"/>
    <w:lvl w:ilvl="0">
      <w:numFmt w:val="decimal"/>
      <w:lvlText w:val=""/>
      <w:lvlJc w:val="left"/>
    </w:lvl>
  </w:abstractNum>
  <w:abstractNum w:abstractNumId="338">
    <w:nsid w:val="24516717"/>
    <w:multiLevelType w:val="multilevel"/>
    <w:tmpl w:val="48845AC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9">
    <w:nsid w:val="246319B9"/>
    <w:multiLevelType w:val="singleLevel"/>
    <w:tmpl w:val="7BB430FE"/>
    <w:lvl w:ilvl="0">
      <w:numFmt w:val="decimal"/>
      <w:lvlText w:val=""/>
      <w:lvlJc w:val="left"/>
    </w:lvl>
  </w:abstractNum>
  <w:abstractNum w:abstractNumId="340">
    <w:nsid w:val="24BA2B4F"/>
    <w:multiLevelType w:val="singleLevel"/>
    <w:tmpl w:val="5C1AB46A"/>
    <w:lvl w:ilvl="0">
      <w:numFmt w:val="decimal"/>
      <w:lvlText w:val=""/>
      <w:lvlJc w:val="left"/>
    </w:lvl>
  </w:abstractNum>
  <w:abstractNum w:abstractNumId="341">
    <w:nsid w:val="24C95F1E"/>
    <w:multiLevelType w:val="hybridMultilevel"/>
    <w:tmpl w:val="948081BE"/>
    <w:lvl w:ilvl="0" w:tplc="04090019">
      <w:numFmt w:val="decimal"/>
      <w:lvlText w:val=""/>
      <w:lvlJc w:val="left"/>
    </w:lvl>
    <w:lvl w:ilvl="1" w:tplc="C83650FE">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42">
    <w:nsid w:val="24F45550"/>
    <w:multiLevelType w:val="hybridMultilevel"/>
    <w:tmpl w:val="6568AD2A"/>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43">
    <w:nsid w:val="250A1E27"/>
    <w:multiLevelType w:val="singleLevel"/>
    <w:tmpl w:val="8766C5B6"/>
    <w:lvl w:ilvl="0">
      <w:start w:val="21"/>
      <w:numFmt w:val="decimal"/>
      <w:lvlText w:val="%1."/>
      <w:lvlJc w:val="left"/>
      <w:pPr>
        <w:tabs>
          <w:tab w:val="num" w:pos="360"/>
        </w:tabs>
        <w:ind w:left="0" w:firstLine="0"/>
      </w:pPr>
    </w:lvl>
  </w:abstractNum>
  <w:abstractNum w:abstractNumId="344">
    <w:nsid w:val="250F6FD6"/>
    <w:multiLevelType w:val="singleLevel"/>
    <w:tmpl w:val="6298FB36"/>
    <w:lvl w:ilvl="0">
      <w:start w:val="2"/>
      <w:numFmt w:val="decimal"/>
      <w:lvlText w:val="%1."/>
      <w:lvlJc w:val="left"/>
      <w:pPr>
        <w:tabs>
          <w:tab w:val="num" w:pos="1080"/>
        </w:tabs>
        <w:ind w:left="1080" w:hanging="360"/>
      </w:pPr>
      <w:rPr>
        <w:rFonts w:hint="default"/>
      </w:rPr>
    </w:lvl>
  </w:abstractNum>
  <w:abstractNum w:abstractNumId="345">
    <w:nsid w:val="25B670F8"/>
    <w:multiLevelType w:val="singleLevel"/>
    <w:tmpl w:val="4404E328"/>
    <w:lvl w:ilvl="0">
      <w:numFmt w:val="decimal"/>
      <w:lvlText w:val=""/>
      <w:lvlJc w:val="left"/>
    </w:lvl>
  </w:abstractNum>
  <w:abstractNum w:abstractNumId="346">
    <w:nsid w:val="25DF1D7F"/>
    <w:multiLevelType w:val="singleLevel"/>
    <w:tmpl w:val="BCD8596C"/>
    <w:lvl w:ilvl="0">
      <w:numFmt w:val="decimal"/>
      <w:lvlText w:val=""/>
      <w:lvlJc w:val="left"/>
    </w:lvl>
  </w:abstractNum>
  <w:abstractNum w:abstractNumId="347">
    <w:nsid w:val="25E913A3"/>
    <w:multiLevelType w:val="multilevel"/>
    <w:tmpl w:val="D174E2E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8">
    <w:nsid w:val="264A21C2"/>
    <w:multiLevelType w:val="singleLevel"/>
    <w:tmpl w:val="8168E9D4"/>
    <w:lvl w:ilvl="0">
      <w:numFmt w:val="decimal"/>
      <w:lvlText w:val=""/>
      <w:lvlJc w:val="left"/>
    </w:lvl>
  </w:abstractNum>
  <w:abstractNum w:abstractNumId="349">
    <w:nsid w:val="264C7C6C"/>
    <w:multiLevelType w:val="hybridMultilevel"/>
    <w:tmpl w:val="425C1FC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50">
    <w:nsid w:val="26611A5C"/>
    <w:multiLevelType w:val="singleLevel"/>
    <w:tmpl w:val="D1B487F6"/>
    <w:lvl w:ilvl="0">
      <w:start w:val="1"/>
      <w:numFmt w:val="decimal"/>
      <w:lvlText w:val="(%1)"/>
      <w:lvlJc w:val="left"/>
      <w:pPr>
        <w:tabs>
          <w:tab w:val="num" w:pos="1080"/>
        </w:tabs>
        <w:ind w:left="1080" w:hanging="360"/>
      </w:pPr>
      <w:rPr>
        <w:rFonts w:hint="default"/>
      </w:rPr>
    </w:lvl>
  </w:abstractNum>
  <w:abstractNum w:abstractNumId="351">
    <w:nsid w:val="267A60A4"/>
    <w:multiLevelType w:val="hybridMultilevel"/>
    <w:tmpl w:val="71F42EE6"/>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52">
    <w:nsid w:val="26B77618"/>
    <w:multiLevelType w:val="hybridMultilevel"/>
    <w:tmpl w:val="5AE46A3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3">
    <w:nsid w:val="26D31F98"/>
    <w:multiLevelType w:val="hybridMultilevel"/>
    <w:tmpl w:val="0A280130"/>
    <w:lvl w:ilvl="0" w:tplc="EF8083A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54">
    <w:nsid w:val="26E72859"/>
    <w:multiLevelType w:val="singleLevel"/>
    <w:tmpl w:val="3AD8B8B4"/>
    <w:lvl w:ilvl="0">
      <w:numFmt w:val="decimal"/>
      <w:lvlText w:val=""/>
      <w:lvlJc w:val="left"/>
    </w:lvl>
  </w:abstractNum>
  <w:abstractNum w:abstractNumId="355">
    <w:nsid w:val="26E8435C"/>
    <w:multiLevelType w:val="hybridMultilevel"/>
    <w:tmpl w:val="E758BB9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6">
    <w:nsid w:val="27145403"/>
    <w:multiLevelType w:val="hybridMultilevel"/>
    <w:tmpl w:val="8928526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7">
    <w:nsid w:val="272F62F7"/>
    <w:multiLevelType w:val="hybridMultilevel"/>
    <w:tmpl w:val="F7EE15E4"/>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58">
    <w:nsid w:val="273378C3"/>
    <w:multiLevelType w:val="hybridMultilevel"/>
    <w:tmpl w:val="B386BF9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9">
    <w:nsid w:val="273E2265"/>
    <w:multiLevelType w:val="singleLevel"/>
    <w:tmpl w:val="7BB430FE"/>
    <w:lvl w:ilvl="0">
      <w:numFmt w:val="decimal"/>
      <w:lvlText w:val=""/>
      <w:lvlJc w:val="left"/>
    </w:lvl>
  </w:abstractNum>
  <w:abstractNum w:abstractNumId="360">
    <w:nsid w:val="273F5F42"/>
    <w:multiLevelType w:val="singleLevel"/>
    <w:tmpl w:val="01B4D08C"/>
    <w:lvl w:ilvl="0">
      <w:numFmt w:val="decimal"/>
      <w:lvlText w:val=""/>
      <w:lvlJc w:val="left"/>
    </w:lvl>
  </w:abstractNum>
  <w:abstractNum w:abstractNumId="361">
    <w:nsid w:val="275E7A10"/>
    <w:multiLevelType w:val="singleLevel"/>
    <w:tmpl w:val="7BB430FE"/>
    <w:lvl w:ilvl="0">
      <w:numFmt w:val="decimal"/>
      <w:lvlText w:val=""/>
      <w:lvlJc w:val="left"/>
    </w:lvl>
  </w:abstractNum>
  <w:abstractNum w:abstractNumId="362">
    <w:nsid w:val="276A4E0A"/>
    <w:multiLevelType w:val="hybridMultilevel"/>
    <w:tmpl w:val="36748BA2"/>
    <w:lvl w:ilvl="0" w:tplc="E856B30C">
      <w:numFmt w:val="decimal"/>
      <w:lvlText w:val=""/>
      <w:lvlJc w:val="left"/>
    </w:lvl>
    <w:lvl w:ilvl="1" w:tplc="E7BEF8EA">
      <w:numFmt w:val="decimal"/>
      <w:lvlText w:val=""/>
      <w:lvlJc w:val="left"/>
    </w:lvl>
    <w:lvl w:ilvl="2" w:tplc="9A589FF8">
      <w:numFmt w:val="decimal"/>
      <w:lvlText w:val=""/>
      <w:lvlJc w:val="left"/>
    </w:lvl>
    <w:lvl w:ilvl="3" w:tplc="5EE4BAF6">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63">
    <w:nsid w:val="276C2691"/>
    <w:multiLevelType w:val="hybridMultilevel"/>
    <w:tmpl w:val="9140F0EE"/>
    <w:lvl w:ilvl="0" w:tplc="04090003">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64">
    <w:nsid w:val="27830F9C"/>
    <w:multiLevelType w:val="singleLevel"/>
    <w:tmpl w:val="24229370"/>
    <w:lvl w:ilvl="0">
      <w:numFmt w:val="decimal"/>
      <w:lvlText w:val=""/>
      <w:lvlJc w:val="left"/>
    </w:lvl>
  </w:abstractNum>
  <w:abstractNum w:abstractNumId="365">
    <w:nsid w:val="279072BB"/>
    <w:multiLevelType w:val="hybridMultilevel"/>
    <w:tmpl w:val="A3A21A88"/>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66">
    <w:nsid w:val="27941EAC"/>
    <w:multiLevelType w:val="hybridMultilevel"/>
    <w:tmpl w:val="06F667D2"/>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67">
    <w:nsid w:val="279B25CA"/>
    <w:multiLevelType w:val="hybridMultilevel"/>
    <w:tmpl w:val="A280A8A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8">
    <w:nsid w:val="27A2192B"/>
    <w:multiLevelType w:val="singleLevel"/>
    <w:tmpl w:val="7BB430FE"/>
    <w:lvl w:ilvl="0">
      <w:numFmt w:val="decimal"/>
      <w:lvlText w:val=""/>
      <w:lvlJc w:val="left"/>
    </w:lvl>
  </w:abstractNum>
  <w:abstractNum w:abstractNumId="369">
    <w:nsid w:val="27A8084E"/>
    <w:multiLevelType w:val="singleLevel"/>
    <w:tmpl w:val="353CC5CC"/>
    <w:lvl w:ilvl="0">
      <w:start w:val="25"/>
      <w:numFmt w:val="decimal"/>
      <w:lvlText w:val="%1."/>
      <w:lvlJc w:val="left"/>
      <w:pPr>
        <w:tabs>
          <w:tab w:val="num" w:pos="360"/>
        </w:tabs>
        <w:ind w:left="0" w:firstLine="0"/>
      </w:pPr>
    </w:lvl>
  </w:abstractNum>
  <w:abstractNum w:abstractNumId="370">
    <w:nsid w:val="27A92D20"/>
    <w:multiLevelType w:val="hybridMultilevel"/>
    <w:tmpl w:val="6568AD2A"/>
    <w:lvl w:ilvl="0" w:tplc="405EBA6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71">
    <w:nsid w:val="27EB2E2F"/>
    <w:multiLevelType w:val="singleLevel"/>
    <w:tmpl w:val="C5D055E2"/>
    <w:lvl w:ilvl="0">
      <w:numFmt w:val="decimal"/>
      <w:lvlText w:val=""/>
      <w:lvlJc w:val="left"/>
    </w:lvl>
  </w:abstractNum>
  <w:abstractNum w:abstractNumId="372">
    <w:nsid w:val="27FB0A20"/>
    <w:multiLevelType w:val="singleLevel"/>
    <w:tmpl w:val="389E55FA"/>
    <w:lvl w:ilvl="0">
      <w:numFmt w:val="decimal"/>
      <w:lvlText w:val=""/>
      <w:lvlJc w:val="left"/>
    </w:lvl>
  </w:abstractNum>
  <w:abstractNum w:abstractNumId="373">
    <w:nsid w:val="28062BEA"/>
    <w:multiLevelType w:val="hybridMultilevel"/>
    <w:tmpl w:val="C7ACBB7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74">
    <w:nsid w:val="2826715E"/>
    <w:multiLevelType w:val="singleLevel"/>
    <w:tmpl w:val="7BB430FE"/>
    <w:lvl w:ilvl="0">
      <w:numFmt w:val="decimal"/>
      <w:lvlText w:val=""/>
      <w:lvlJc w:val="left"/>
    </w:lvl>
  </w:abstractNum>
  <w:abstractNum w:abstractNumId="375">
    <w:nsid w:val="2835236F"/>
    <w:multiLevelType w:val="singleLevel"/>
    <w:tmpl w:val="194A747A"/>
    <w:lvl w:ilvl="0">
      <w:numFmt w:val="decimal"/>
      <w:lvlText w:val=""/>
      <w:lvlJc w:val="left"/>
    </w:lvl>
  </w:abstractNum>
  <w:abstractNum w:abstractNumId="376">
    <w:nsid w:val="28C250F5"/>
    <w:multiLevelType w:val="singleLevel"/>
    <w:tmpl w:val="F4B8D2FC"/>
    <w:lvl w:ilvl="0">
      <w:numFmt w:val="decimal"/>
      <w:lvlText w:val=""/>
      <w:lvlJc w:val="left"/>
    </w:lvl>
  </w:abstractNum>
  <w:abstractNum w:abstractNumId="377">
    <w:nsid w:val="28D52C09"/>
    <w:multiLevelType w:val="singleLevel"/>
    <w:tmpl w:val="7BB430FE"/>
    <w:lvl w:ilvl="0">
      <w:numFmt w:val="decimal"/>
      <w:lvlText w:val=""/>
      <w:lvlJc w:val="left"/>
    </w:lvl>
  </w:abstractNum>
  <w:abstractNum w:abstractNumId="378">
    <w:nsid w:val="28F63267"/>
    <w:multiLevelType w:val="hybridMultilevel"/>
    <w:tmpl w:val="90FC966E"/>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79">
    <w:nsid w:val="29056FC6"/>
    <w:multiLevelType w:val="hybridMultilevel"/>
    <w:tmpl w:val="6516850E"/>
    <w:lvl w:ilvl="0" w:tplc="52DE96A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80">
    <w:nsid w:val="29182DCE"/>
    <w:multiLevelType w:val="singleLevel"/>
    <w:tmpl w:val="7BB430FE"/>
    <w:lvl w:ilvl="0">
      <w:numFmt w:val="decimal"/>
      <w:lvlText w:val=""/>
      <w:lvlJc w:val="left"/>
    </w:lvl>
  </w:abstractNum>
  <w:abstractNum w:abstractNumId="381">
    <w:nsid w:val="2921013B"/>
    <w:multiLevelType w:val="hybridMultilevel"/>
    <w:tmpl w:val="1226BC4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2">
    <w:nsid w:val="293522F1"/>
    <w:multiLevelType w:val="hybridMultilevel"/>
    <w:tmpl w:val="7B864202"/>
    <w:lvl w:ilvl="0" w:tplc="029A346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83">
    <w:nsid w:val="29682443"/>
    <w:multiLevelType w:val="hybridMultilevel"/>
    <w:tmpl w:val="8A5A2B8E"/>
    <w:lvl w:ilvl="0" w:tplc="DAB027F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84">
    <w:nsid w:val="299E3E72"/>
    <w:multiLevelType w:val="hybridMultilevel"/>
    <w:tmpl w:val="2FAE9006"/>
    <w:lvl w:ilvl="0" w:tplc="99246D0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85">
    <w:nsid w:val="29A97488"/>
    <w:multiLevelType w:val="hybridMultilevel"/>
    <w:tmpl w:val="9266C0BA"/>
    <w:lvl w:ilvl="0" w:tplc="FBF4894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86">
    <w:nsid w:val="29CD57A8"/>
    <w:multiLevelType w:val="hybridMultilevel"/>
    <w:tmpl w:val="45A435C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7">
    <w:nsid w:val="29D8763A"/>
    <w:multiLevelType w:val="hybridMultilevel"/>
    <w:tmpl w:val="CDD26F4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88">
    <w:nsid w:val="29F148D2"/>
    <w:multiLevelType w:val="hybridMultilevel"/>
    <w:tmpl w:val="30523C00"/>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89">
    <w:nsid w:val="2A245F3D"/>
    <w:multiLevelType w:val="singleLevel"/>
    <w:tmpl w:val="EEC4698C"/>
    <w:lvl w:ilvl="0">
      <w:numFmt w:val="decimal"/>
      <w:lvlText w:val=""/>
      <w:lvlJc w:val="left"/>
    </w:lvl>
  </w:abstractNum>
  <w:abstractNum w:abstractNumId="390">
    <w:nsid w:val="2A320CC5"/>
    <w:multiLevelType w:val="singleLevel"/>
    <w:tmpl w:val="7BB430FE"/>
    <w:lvl w:ilvl="0">
      <w:numFmt w:val="decimal"/>
      <w:lvlText w:val=""/>
      <w:lvlJc w:val="left"/>
    </w:lvl>
  </w:abstractNum>
  <w:abstractNum w:abstractNumId="391">
    <w:nsid w:val="2A680768"/>
    <w:multiLevelType w:val="multilevel"/>
    <w:tmpl w:val="9476ED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2">
    <w:nsid w:val="2AA837AF"/>
    <w:multiLevelType w:val="hybridMultilevel"/>
    <w:tmpl w:val="0180E898"/>
    <w:lvl w:ilvl="0" w:tplc="AB3CB4A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93">
    <w:nsid w:val="2AC62035"/>
    <w:multiLevelType w:val="singleLevel"/>
    <w:tmpl w:val="84FAEEE6"/>
    <w:lvl w:ilvl="0">
      <w:numFmt w:val="decimal"/>
      <w:lvlText w:val=""/>
      <w:lvlJc w:val="left"/>
    </w:lvl>
  </w:abstractNum>
  <w:abstractNum w:abstractNumId="394">
    <w:nsid w:val="2AED0D8F"/>
    <w:multiLevelType w:val="hybridMultilevel"/>
    <w:tmpl w:val="59AA618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5">
    <w:nsid w:val="2B0639C8"/>
    <w:multiLevelType w:val="hybridMultilevel"/>
    <w:tmpl w:val="D53286A0"/>
    <w:lvl w:ilvl="0" w:tplc="26E8D5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96">
    <w:nsid w:val="2B1F0A41"/>
    <w:multiLevelType w:val="singleLevel"/>
    <w:tmpl w:val="18C252FE"/>
    <w:lvl w:ilvl="0">
      <w:numFmt w:val="decimal"/>
      <w:lvlText w:val=""/>
      <w:lvlJc w:val="left"/>
    </w:lvl>
  </w:abstractNum>
  <w:abstractNum w:abstractNumId="397">
    <w:nsid w:val="2B5C299A"/>
    <w:multiLevelType w:val="singleLevel"/>
    <w:tmpl w:val="E7460388"/>
    <w:lvl w:ilvl="0">
      <w:start w:val="19"/>
      <w:numFmt w:val="decimal"/>
      <w:lvlText w:val="%1."/>
      <w:lvlJc w:val="left"/>
      <w:pPr>
        <w:tabs>
          <w:tab w:val="num" w:pos="360"/>
        </w:tabs>
        <w:ind w:left="0" w:firstLine="0"/>
      </w:pPr>
    </w:lvl>
  </w:abstractNum>
  <w:abstractNum w:abstractNumId="398">
    <w:nsid w:val="2B860171"/>
    <w:multiLevelType w:val="singleLevel"/>
    <w:tmpl w:val="DB4234EC"/>
    <w:lvl w:ilvl="0">
      <w:numFmt w:val="decimal"/>
      <w:lvlText w:val=""/>
      <w:lvlJc w:val="left"/>
    </w:lvl>
  </w:abstractNum>
  <w:abstractNum w:abstractNumId="399">
    <w:nsid w:val="2B882FB8"/>
    <w:multiLevelType w:val="singleLevel"/>
    <w:tmpl w:val="E7E85C2E"/>
    <w:lvl w:ilvl="0">
      <w:start w:val="35"/>
      <w:numFmt w:val="decimal"/>
      <w:lvlText w:val="%1."/>
      <w:lvlJc w:val="left"/>
      <w:pPr>
        <w:tabs>
          <w:tab w:val="num" w:pos="360"/>
        </w:tabs>
        <w:ind w:left="0" w:firstLine="0"/>
      </w:pPr>
    </w:lvl>
  </w:abstractNum>
  <w:abstractNum w:abstractNumId="400">
    <w:nsid w:val="2BC3072F"/>
    <w:multiLevelType w:val="singleLevel"/>
    <w:tmpl w:val="6FE4149C"/>
    <w:lvl w:ilvl="0">
      <w:numFmt w:val="decimal"/>
      <w:lvlText w:val=""/>
      <w:lvlJc w:val="left"/>
    </w:lvl>
  </w:abstractNum>
  <w:abstractNum w:abstractNumId="401">
    <w:nsid w:val="2BC8650F"/>
    <w:multiLevelType w:val="singleLevel"/>
    <w:tmpl w:val="97B21EAA"/>
    <w:lvl w:ilvl="0">
      <w:numFmt w:val="decimal"/>
      <w:lvlText w:val=""/>
      <w:lvlJc w:val="left"/>
    </w:lvl>
  </w:abstractNum>
  <w:abstractNum w:abstractNumId="402">
    <w:nsid w:val="2BC97F87"/>
    <w:multiLevelType w:val="hybridMultilevel"/>
    <w:tmpl w:val="89E21E5C"/>
    <w:lvl w:ilvl="0" w:tplc="7A0A541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03">
    <w:nsid w:val="2BE4125A"/>
    <w:multiLevelType w:val="singleLevel"/>
    <w:tmpl w:val="7BB430FE"/>
    <w:lvl w:ilvl="0">
      <w:numFmt w:val="decimal"/>
      <w:lvlText w:val=""/>
      <w:lvlJc w:val="left"/>
    </w:lvl>
  </w:abstractNum>
  <w:abstractNum w:abstractNumId="404">
    <w:nsid w:val="2BE51E7E"/>
    <w:multiLevelType w:val="hybridMultilevel"/>
    <w:tmpl w:val="5912945C"/>
    <w:lvl w:ilvl="0" w:tplc="53C897F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05">
    <w:nsid w:val="2C0E47C2"/>
    <w:multiLevelType w:val="hybridMultilevel"/>
    <w:tmpl w:val="27F89760"/>
    <w:lvl w:ilvl="0" w:tplc="B444237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06">
    <w:nsid w:val="2C161323"/>
    <w:multiLevelType w:val="hybridMultilevel"/>
    <w:tmpl w:val="C68A13EA"/>
    <w:lvl w:ilvl="0" w:tplc="04090019">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07">
    <w:nsid w:val="2C241C59"/>
    <w:multiLevelType w:val="singleLevel"/>
    <w:tmpl w:val="756AF286"/>
    <w:lvl w:ilvl="0">
      <w:numFmt w:val="decimal"/>
      <w:lvlText w:val=""/>
      <w:lvlJc w:val="left"/>
    </w:lvl>
  </w:abstractNum>
  <w:abstractNum w:abstractNumId="408">
    <w:nsid w:val="2C5036A7"/>
    <w:multiLevelType w:val="hybridMultilevel"/>
    <w:tmpl w:val="AA864D8C"/>
    <w:lvl w:ilvl="0" w:tplc="4D8AFC3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09">
    <w:nsid w:val="2C630C5A"/>
    <w:multiLevelType w:val="hybridMultilevel"/>
    <w:tmpl w:val="114CE28E"/>
    <w:lvl w:ilvl="0" w:tplc="57862C6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10">
    <w:nsid w:val="2C740C82"/>
    <w:multiLevelType w:val="hybridMultilevel"/>
    <w:tmpl w:val="B31CCC56"/>
    <w:lvl w:ilvl="0" w:tplc="90CEAE2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11">
    <w:nsid w:val="2C894DB1"/>
    <w:multiLevelType w:val="hybridMultilevel"/>
    <w:tmpl w:val="ABCAD106"/>
    <w:lvl w:ilvl="0" w:tplc="6D26B96E">
      <w:numFmt w:val="decimal"/>
      <w:lvlText w:val=""/>
      <w:lvlJc w:val="left"/>
    </w:lvl>
    <w:lvl w:ilvl="1" w:tplc="246496F4">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12">
    <w:nsid w:val="2C8D519B"/>
    <w:multiLevelType w:val="multilevel"/>
    <w:tmpl w:val="CA6C415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3">
    <w:nsid w:val="2CE044DF"/>
    <w:multiLevelType w:val="singleLevel"/>
    <w:tmpl w:val="BCC080D4"/>
    <w:lvl w:ilvl="0">
      <w:numFmt w:val="decimal"/>
      <w:lvlText w:val=""/>
      <w:lvlJc w:val="left"/>
    </w:lvl>
  </w:abstractNum>
  <w:abstractNum w:abstractNumId="414">
    <w:nsid w:val="2CE454FB"/>
    <w:multiLevelType w:val="hybridMultilevel"/>
    <w:tmpl w:val="E61E91F2"/>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15">
    <w:nsid w:val="2D332DF4"/>
    <w:multiLevelType w:val="singleLevel"/>
    <w:tmpl w:val="7BB430FE"/>
    <w:lvl w:ilvl="0">
      <w:numFmt w:val="decimal"/>
      <w:lvlText w:val=""/>
      <w:lvlJc w:val="left"/>
    </w:lvl>
  </w:abstractNum>
  <w:abstractNum w:abstractNumId="416">
    <w:nsid w:val="2D5E231E"/>
    <w:multiLevelType w:val="hybridMultilevel"/>
    <w:tmpl w:val="38C669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7">
    <w:nsid w:val="2D752873"/>
    <w:multiLevelType w:val="singleLevel"/>
    <w:tmpl w:val="F7D8BC76"/>
    <w:lvl w:ilvl="0">
      <w:numFmt w:val="decimal"/>
      <w:lvlText w:val=""/>
      <w:lvlJc w:val="left"/>
    </w:lvl>
  </w:abstractNum>
  <w:abstractNum w:abstractNumId="418">
    <w:nsid w:val="2D8E6443"/>
    <w:multiLevelType w:val="singleLevel"/>
    <w:tmpl w:val="4A3AE958"/>
    <w:lvl w:ilvl="0">
      <w:numFmt w:val="decimal"/>
      <w:lvlText w:val=""/>
      <w:lvlJc w:val="left"/>
    </w:lvl>
  </w:abstractNum>
  <w:abstractNum w:abstractNumId="419">
    <w:nsid w:val="2DB3551F"/>
    <w:multiLevelType w:val="singleLevel"/>
    <w:tmpl w:val="8F96F466"/>
    <w:lvl w:ilvl="0">
      <w:numFmt w:val="decimal"/>
      <w:lvlText w:val=""/>
      <w:lvlJc w:val="left"/>
    </w:lvl>
  </w:abstractNum>
  <w:abstractNum w:abstractNumId="420">
    <w:nsid w:val="2E007155"/>
    <w:multiLevelType w:val="singleLevel"/>
    <w:tmpl w:val="28466104"/>
    <w:lvl w:ilvl="0">
      <w:numFmt w:val="decimal"/>
      <w:lvlText w:val=""/>
      <w:lvlJc w:val="left"/>
    </w:lvl>
  </w:abstractNum>
  <w:abstractNum w:abstractNumId="421">
    <w:nsid w:val="2E1357D9"/>
    <w:multiLevelType w:val="singleLevel"/>
    <w:tmpl w:val="7BB430FE"/>
    <w:lvl w:ilvl="0">
      <w:numFmt w:val="decimal"/>
      <w:lvlText w:val=""/>
      <w:lvlJc w:val="left"/>
    </w:lvl>
  </w:abstractNum>
  <w:abstractNum w:abstractNumId="422">
    <w:nsid w:val="2E152126"/>
    <w:multiLevelType w:val="hybridMultilevel"/>
    <w:tmpl w:val="C018D91A"/>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23">
    <w:nsid w:val="2E2F01A8"/>
    <w:multiLevelType w:val="singleLevel"/>
    <w:tmpl w:val="918E9F34"/>
    <w:lvl w:ilvl="0">
      <w:numFmt w:val="decimal"/>
      <w:lvlText w:val=""/>
      <w:lvlJc w:val="left"/>
    </w:lvl>
  </w:abstractNum>
  <w:abstractNum w:abstractNumId="424">
    <w:nsid w:val="2E6210EE"/>
    <w:multiLevelType w:val="singleLevel"/>
    <w:tmpl w:val="04090003"/>
    <w:lvl w:ilvl="0">
      <w:numFmt w:val="decimal"/>
      <w:lvlText w:val=""/>
      <w:lvlJc w:val="left"/>
    </w:lvl>
  </w:abstractNum>
  <w:abstractNum w:abstractNumId="425">
    <w:nsid w:val="2E7D3441"/>
    <w:multiLevelType w:val="hybridMultilevel"/>
    <w:tmpl w:val="A448C898"/>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26">
    <w:nsid w:val="2EA05ACE"/>
    <w:multiLevelType w:val="singleLevel"/>
    <w:tmpl w:val="7BB430FE"/>
    <w:lvl w:ilvl="0">
      <w:numFmt w:val="decimal"/>
      <w:lvlText w:val=""/>
      <w:lvlJc w:val="left"/>
    </w:lvl>
  </w:abstractNum>
  <w:abstractNum w:abstractNumId="427">
    <w:nsid w:val="2EC4545B"/>
    <w:multiLevelType w:val="hybridMultilevel"/>
    <w:tmpl w:val="87E4A34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8">
    <w:nsid w:val="2EF81B19"/>
    <w:multiLevelType w:val="singleLevel"/>
    <w:tmpl w:val="7BB430FE"/>
    <w:lvl w:ilvl="0">
      <w:numFmt w:val="decimal"/>
      <w:lvlText w:val=""/>
      <w:lvlJc w:val="left"/>
    </w:lvl>
  </w:abstractNum>
  <w:abstractNum w:abstractNumId="429">
    <w:nsid w:val="2F0517FA"/>
    <w:multiLevelType w:val="multilevel"/>
    <w:tmpl w:val="A9409DE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0">
    <w:nsid w:val="2F273A84"/>
    <w:multiLevelType w:val="singleLevel"/>
    <w:tmpl w:val="350A0DBA"/>
    <w:lvl w:ilvl="0">
      <w:numFmt w:val="decimal"/>
      <w:lvlText w:val=""/>
      <w:lvlJc w:val="left"/>
    </w:lvl>
  </w:abstractNum>
  <w:abstractNum w:abstractNumId="431">
    <w:nsid w:val="2F312C46"/>
    <w:multiLevelType w:val="singleLevel"/>
    <w:tmpl w:val="8CC4C5E6"/>
    <w:lvl w:ilvl="0">
      <w:numFmt w:val="decimal"/>
      <w:lvlText w:val=""/>
      <w:lvlJc w:val="left"/>
    </w:lvl>
  </w:abstractNum>
  <w:abstractNum w:abstractNumId="432">
    <w:nsid w:val="2F8D6BB2"/>
    <w:multiLevelType w:val="singleLevel"/>
    <w:tmpl w:val="B7467C62"/>
    <w:lvl w:ilvl="0">
      <w:numFmt w:val="decimal"/>
      <w:lvlText w:val=""/>
      <w:lvlJc w:val="left"/>
    </w:lvl>
  </w:abstractNum>
  <w:abstractNum w:abstractNumId="433">
    <w:nsid w:val="2FD533C7"/>
    <w:multiLevelType w:val="hybridMultilevel"/>
    <w:tmpl w:val="A82E903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4">
    <w:nsid w:val="2FFC0E5C"/>
    <w:multiLevelType w:val="singleLevel"/>
    <w:tmpl w:val="3D262C88"/>
    <w:lvl w:ilvl="0">
      <w:numFmt w:val="decimal"/>
      <w:lvlText w:val=""/>
      <w:lvlJc w:val="left"/>
    </w:lvl>
  </w:abstractNum>
  <w:abstractNum w:abstractNumId="435">
    <w:nsid w:val="300D22D5"/>
    <w:multiLevelType w:val="singleLevel"/>
    <w:tmpl w:val="15EC85E6"/>
    <w:lvl w:ilvl="0">
      <w:numFmt w:val="decimal"/>
      <w:lvlText w:val=""/>
      <w:lvlJc w:val="left"/>
    </w:lvl>
  </w:abstractNum>
  <w:abstractNum w:abstractNumId="436">
    <w:nsid w:val="30197232"/>
    <w:multiLevelType w:val="hybridMultilevel"/>
    <w:tmpl w:val="295E8092"/>
    <w:lvl w:ilvl="0" w:tplc="0DE09C2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37">
    <w:nsid w:val="301C6858"/>
    <w:multiLevelType w:val="singleLevel"/>
    <w:tmpl w:val="7E7841E6"/>
    <w:lvl w:ilvl="0">
      <w:start w:val="69"/>
      <w:numFmt w:val="decimal"/>
      <w:lvlText w:val="%1."/>
      <w:lvlJc w:val="left"/>
      <w:pPr>
        <w:tabs>
          <w:tab w:val="num" w:pos="360"/>
        </w:tabs>
        <w:ind w:left="0" w:firstLine="0"/>
      </w:pPr>
    </w:lvl>
  </w:abstractNum>
  <w:abstractNum w:abstractNumId="438">
    <w:nsid w:val="302546E1"/>
    <w:multiLevelType w:val="hybridMultilevel"/>
    <w:tmpl w:val="DBEECD2E"/>
    <w:lvl w:ilvl="0" w:tplc="CE148E50">
      <w:numFmt w:val="decimal"/>
      <w:lvlText w:val=""/>
      <w:lvlJc w:val="left"/>
    </w:lvl>
    <w:lvl w:ilvl="1" w:tplc="13B8C3D4">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39">
    <w:nsid w:val="30380DFF"/>
    <w:multiLevelType w:val="singleLevel"/>
    <w:tmpl w:val="DDF244A8"/>
    <w:lvl w:ilvl="0">
      <w:start w:val="37"/>
      <w:numFmt w:val="decimal"/>
      <w:lvlText w:val="%1."/>
      <w:lvlJc w:val="left"/>
      <w:pPr>
        <w:tabs>
          <w:tab w:val="num" w:pos="360"/>
        </w:tabs>
        <w:ind w:left="0" w:firstLine="0"/>
      </w:pPr>
    </w:lvl>
  </w:abstractNum>
  <w:abstractNum w:abstractNumId="440">
    <w:nsid w:val="303821EE"/>
    <w:multiLevelType w:val="singleLevel"/>
    <w:tmpl w:val="CAF80C12"/>
    <w:lvl w:ilvl="0">
      <w:numFmt w:val="decimal"/>
      <w:lvlText w:val=""/>
      <w:lvlJc w:val="left"/>
    </w:lvl>
  </w:abstractNum>
  <w:abstractNum w:abstractNumId="441">
    <w:nsid w:val="303B7EEF"/>
    <w:multiLevelType w:val="hybridMultilevel"/>
    <w:tmpl w:val="B6A21D52"/>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42">
    <w:nsid w:val="30514EF1"/>
    <w:multiLevelType w:val="singleLevel"/>
    <w:tmpl w:val="6316BF92"/>
    <w:lvl w:ilvl="0">
      <w:numFmt w:val="decimal"/>
      <w:lvlText w:val=""/>
      <w:lvlJc w:val="left"/>
    </w:lvl>
  </w:abstractNum>
  <w:abstractNum w:abstractNumId="443">
    <w:nsid w:val="30557876"/>
    <w:multiLevelType w:val="hybridMultilevel"/>
    <w:tmpl w:val="44A24A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4">
    <w:nsid w:val="30990C7B"/>
    <w:multiLevelType w:val="singleLevel"/>
    <w:tmpl w:val="F43ADADA"/>
    <w:lvl w:ilvl="0">
      <w:numFmt w:val="decimal"/>
      <w:lvlText w:val=""/>
      <w:lvlJc w:val="left"/>
    </w:lvl>
  </w:abstractNum>
  <w:abstractNum w:abstractNumId="445">
    <w:nsid w:val="309B569E"/>
    <w:multiLevelType w:val="hybridMultilevel"/>
    <w:tmpl w:val="5246A070"/>
    <w:lvl w:ilvl="0" w:tplc="3C061FDA">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46">
    <w:nsid w:val="30BC4861"/>
    <w:multiLevelType w:val="hybridMultilevel"/>
    <w:tmpl w:val="60369698"/>
    <w:lvl w:ilvl="0" w:tplc="7CF65B8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47">
    <w:nsid w:val="30FB3D48"/>
    <w:multiLevelType w:val="singleLevel"/>
    <w:tmpl w:val="7BB430FE"/>
    <w:lvl w:ilvl="0">
      <w:numFmt w:val="decimal"/>
      <w:lvlText w:val=""/>
      <w:lvlJc w:val="left"/>
    </w:lvl>
  </w:abstractNum>
  <w:abstractNum w:abstractNumId="448">
    <w:nsid w:val="31705DA1"/>
    <w:multiLevelType w:val="hybridMultilevel"/>
    <w:tmpl w:val="B6B820E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9">
    <w:nsid w:val="321D45DE"/>
    <w:multiLevelType w:val="singleLevel"/>
    <w:tmpl w:val="3C40DAF8"/>
    <w:lvl w:ilvl="0">
      <w:numFmt w:val="decimal"/>
      <w:lvlText w:val=""/>
      <w:lvlJc w:val="left"/>
    </w:lvl>
  </w:abstractNum>
  <w:abstractNum w:abstractNumId="450">
    <w:nsid w:val="322B5744"/>
    <w:multiLevelType w:val="singleLevel"/>
    <w:tmpl w:val="0C2C4584"/>
    <w:lvl w:ilvl="0">
      <w:start w:val="39"/>
      <w:numFmt w:val="decimal"/>
      <w:lvlText w:val="%1."/>
      <w:lvlJc w:val="left"/>
      <w:pPr>
        <w:tabs>
          <w:tab w:val="num" w:pos="360"/>
        </w:tabs>
        <w:ind w:left="0" w:firstLine="0"/>
      </w:pPr>
    </w:lvl>
  </w:abstractNum>
  <w:abstractNum w:abstractNumId="451">
    <w:nsid w:val="32400B56"/>
    <w:multiLevelType w:val="hybridMultilevel"/>
    <w:tmpl w:val="29DAE9F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52">
    <w:nsid w:val="32900750"/>
    <w:multiLevelType w:val="singleLevel"/>
    <w:tmpl w:val="532083FE"/>
    <w:lvl w:ilvl="0">
      <w:numFmt w:val="decimal"/>
      <w:lvlText w:val=""/>
      <w:lvlJc w:val="left"/>
    </w:lvl>
  </w:abstractNum>
  <w:abstractNum w:abstractNumId="453">
    <w:nsid w:val="32995AB4"/>
    <w:multiLevelType w:val="singleLevel"/>
    <w:tmpl w:val="7BB430FE"/>
    <w:lvl w:ilvl="0">
      <w:numFmt w:val="decimal"/>
      <w:lvlText w:val=""/>
      <w:lvlJc w:val="left"/>
    </w:lvl>
  </w:abstractNum>
  <w:abstractNum w:abstractNumId="454">
    <w:nsid w:val="32A22ECC"/>
    <w:multiLevelType w:val="singleLevel"/>
    <w:tmpl w:val="7BB430FE"/>
    <w:lvl w:ilvl="0">
      <w:numFmt w:val="decimal"/>
      <w:lvlText w:val=""/>
      <w:lvlJc w:val="left"/>
    </w:lvl>
  </w:abstractNum>
  <w:abstractNum w:abstractNumId="455">
    <w:nsid w:val="32A92F39"/>
    <w:multiLevelType w:val="hybridMultilevel"/>
    <w:tmpl w:val="6A5E1CA2"/>
    <w:lvl w:ilvl="0" w:tplc="AEF80CF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56">
    <w:nsid w:val="32C57FCD"/>
    <w:multiLevelType w:val="multilevel"/>
    <w:tmpl w:val="87203A4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7">
    <w:nsid w:val="32E12901"/>
    <w:multiLevelType w:val="singleLevel"/>
    <w:tmpl w:val="8CECA9C0"/>
    <w:lvl w:ilvl="0">
      <w:numFmt w:val="decimal"/>
      <w:lvlText w:val=""/>
      <w:lvlJc w:val="left"/>
    </w:lvl>
  </w:abstractNum>
  <w:abstractNum w:abstractNumId="458">
    <w:nsid w:val="33017199"/>
    <w:multiLevelType w:val="hybridMultilevel"/>
    <w:tmpl w:val="FA368CC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9">
    <w:nsid w:val="33626569"/>
    <w:multiLevelType w:val="singleLevel"/>
    <w:tmpl w:val="7BB430FE"/>
    <w:lvl w:ilvl="0">
      <w:numFmt w:val="decimal"/>
      <w:lvlText w:val=""/>
      <w:lvlJc w:val="left"/>
    </w:lvl>
  </w:abstractNum>
  <w:abstractNum w:abstractNumId="460">
    <w:nsid w:val="337960B1"/>
    <w:multiLevelType w:val="singleLevel"/>
    <w:tmpl w:val="B316D0B6"/>
    <w:lvl w:ilvl="0">
      <w:start w:val="41"/>
      <w:numFmt w:val="decimal"/>
      <w:lvlText w:val="%1."/>
      <w:lvlJc w:val="left"/>
      <w:pPr>
        <w:tabs>
          <w:tab w:val="num" w:pos="360"/>
        </w:tabs>
        <w:ind w:left="0" w:firstLine="0"/>
      </w:pPr>
    </w:lvl>
  </w:abstractNum>
  <w:abstractNum w:abstractNumId="461">
    <w:nsid w:val="339E02FA"/>
    <w:multiLevelType w:val="hybridMultilevel"/>
    <w:tmpl w:val="0BC28AB8"/>
    <w:lvl w:ilvl="0" w:tplc="C406AC24">
      <w:numFmt w:val="decimal"/>
      <w:lvlText w:val=""/>
      <w:lvlJc w:val="left"/>
    </w:lvl>
    <w:lvl w:ilvl="1" w:tplc="04090003">
      <w:numFmt w:val="decimal"/>
      <w:lvlText w:val=""/>
      <w:lvlJc w:val="left"/>
    </w:lvl>
    <w:lvl w:ilvl="2" w:tplc="C406AC24">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62">
    <w:nsid w:val="33CE1C66"/>
    <w:multiLevelType w:val="singleLevel"/>
    <w:tmpl w:val="04090001"/>
    <w:lvl w:ilvl="0">
      <w:numFmt w:val="decimal"/>
      <w:lvlText w:val=""/>
      <w:lvlJc w:val="left"/>
    </w:lvl>
  </w:abstractNum>
  <w:abstractNum w:abstractNumId="463">
    <w:nsid w:val="33DA714F"/>
    <w:multiLevelType w:val="singleLevel"/>
    <w:tmpl w:val="4BB8352A"/>
    <w:lvl w:ilvl="0">
      <w:numFmt w:val="decimal"/>
      <w:lvlText w:val=""/>
      <w:lvlJc w:val="left"/>
    </w:lvl>
  </w:abstractNum>
  <w:abstractNum w:abstractNumId="464">
    <w:nsid w:val="345569D8"/>
    <w:multiLevelType w:val="singleLevel"/>
    <w:tmpl w:val="0A024BE4"/>
    <w:lvl w:ilvl="0">
      <w:start w:val="1"/>
      <w:numFmt w:val="decimal"/>
      <w:lvlText w:val="%1."/>
      <w:lvlJc w:val="left"/>
      <w:pPr>
        <w:tabs>
          <w:tab w:val="num" w:pos="360"/>
        </w:tabs>
        <w:ind w:left="0" w:firstLine="0"/>
      </w:pPr>
    </w:lvl>
  </w:abstractNum>
  <w:abstractNum w:abstractNumId="465">
    <w:nsid w:val="34672171"/>
    <w:multiLevelType w:val="hybridMultilevel"/>
    <w:tmpl w:val="38B4B8E2"/>
    <w:lvl w:ilvl="0" w:tplc="939C44A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66">
    <w:nsid w:val="34AF54FF"/>
    <w:multiLevelType w:val="singleLevel"/>
    <w:tmpl w:val="7BB430FE"/>
    <w:lvl w:ilvl="0">
      <w:numFmt w:val="decimal"/>
      <w:lvlText w:val=""/>
      <w:lvlJc w:val="left"/>
    </w:lvl>
  </w:abstractNum>
  <w:abstractNum w:abstractNumId="467">
    <w:nsid w:val="34D1753F"/>
    <w:multiLevelType w:val="singleLevel"/>
    <w:tmpl w:val="7BB430FE"/>
    <w:lvl w:ilvl="0">
      <w:numFmt w:val="decimal"/>
      <w:lvlText w:val=""/>
      <w:lvlJc w:val="left"/>
    </w:lvl>
  </w:abstractNum>
  <w:abstractNum w:abstractNumId="468">
    <w:nsid w:val="34E31400"/>
    <w:multiLevelType w:val="singleLevel"/>
    <w:tmpl w:val="7BB430FE"/>
    <w:lvl w:ilvl="0">
      <w:numFmt w:val="decimal"/>
      <w:lvlText w:val=""/>
      <w:lvlJc w:val="left"/>
    </w:lvl>
  </w:abstractNum>
  <w:abstractNum w:abstractNumId="469">
    <w:nsid w:val="352A5256"/>
    <w:multiLevelType w:val="singleLevel"/>
    <w:tmpl w:val="56DA39B0"/>
    <w:lvl w:ilvl="0">
      <w:start w:val="43"/>
      <w:numFmt w:val="decimal"/>
      <w:lvlText w:val="%1."/>
      <w:lvlJc w:val="left"/>
      <w:pPr>
        <w:tabs>
          <w:tab w:val="num" w:pos="360"/>
        </w:tabs>
        <w:ind w:left="0" w:firstLine="0"/>
      </w:pPr>
    </w:lvl>
  </w:abstractNum>
  <w:abstractNum w:abstractNumId="470">
    <w:nsid w:val="35314859"/>
    <w:multiLevelType w:val="singleLevel"/>
    <w:tmpl w:val="7BB430FE"/>
    <w:lvl w:ilvl="0">
      <w:numFmt w:val="decimal"/>
      <w:lvlText w:val=""/>
      <w:lvlJc w:val="left"/>
    </w:lvl>
  </w:abstractNum>
  <w:abstractNum w:abstractNumId="471">
    <w:nsid w:val="3533268C"/>
    <w:multiLevelType w:val="hybridMultilevel"/>
    <w:tmpl w:val="1B40C76E"/>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72">
    <w:nsid w:val="35356FCE"/>
    <w:multiLevelType w:val="singleLevel"/>
    <w:tmpl w:val="11DA5E8A"/>
    <w:lvl w:ilvl="0">
      <w:start w:val="1"/>
      <w:numFmt w:val="lowerLetter"/>
      <w:lvlText w:val="(%1)"/>
      <w:lvlJc w:val="left"/>
      <w:pPr>
        <w:tabs>
          <w:tab w:val="num" w:pos="360"/>
        </w:tabs>
        <w:ind w:left="360" w:hanging="360"/>
      </w:pPr>
      <w:rPr>
        <w:rFonts w:hint="default"/>
      </w:rPr>
    </w:lvl>
  </w:abstractNum>
  <w:abstractNum w:abstractNumId="473">
    <w:nsid w:val="35733C54"/>
    <w:multiLevelType w:val="singleLevel"/>
    <w:tmpl w:val="9E6622E4"/>
    <w:lvl w:ilvl="0">
      <w:start w:val="1"/>
      <w:numFmt w:val="lowerLetter"/>
      <w:lvlText w:val="(%1)"/>
      <w:lvlJc w:val="left"/>
      <w:pPr>
        <w:tabs>
          <w:tab w:val="num" w:pos="360"/>
        </w:tabs>
        <w:ind w:left="360" w:hanging="360"/>
      </w:pPr>
      <w:rPr>
        <w:b w:val="0"/>
        <w:i/>
      </w:rPr>
    </w:lvl>
  </w:abstractNum>
  <w:abstractNum w:abstractNumId="474">
    <w:nsid w:val="358626A4"/>
    <w:multiLevelType w:val="singleLevel"/>
    <w:tmpl w:val="20B87D2E"/>
    <w:lvl w:ilvl="0">
      <w:numFmt w:val="decimal"/>
      <w:lvlText w:val=""/>
      <w:lvlJc w:val="left"/>
    </w:lvl>
  </w:abstractNum>
  <w:abstractNum w:abstractNumId="475">
    <w:nsid w:val="35E3131A"/>
    <w:multiLevelType w:val="hybridMultilevel"/>
    <w:tmpl w:val="2A0A259E"/>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76">
    <w:nsid w:val="35EE19CA"/>
    <w:multiLevelType w:val="hybridMultilevel"/>
    <w:tmpl w:val="384C0632"/>
    <w:lvl w:ilvl="0" w:tplc="2CBC9AB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77">
    <w:nsid w:val="35F47D22"/>
    <w:multiLevelType w:val="hybridMultilevel"/>
    <w:tmpl w:val="85C68C90"/>
    <w:lvl w:ilvl="0" w:tplc="04090003">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78">
    <w:nsid w:val="36063566"/>
    <w:multiLevelType w:val="hybridMultilevel"/>
    <w:tmpl w:val="DB0841E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9">
    <w:nsid w:val="361F7839"/>
    <w:multiLevelType w:val="singleLevel"/>
    <w:tmpl w:val="D17633F8"/>
    <w:lvl w:ilvl="0">
      <w:numFmt w:val="decimal"/>
      <w:lvlText w:val=""/>
      <w:lvlJc w:val="left"/>
    </w:lvl>
  </w:abstractNum>
  <w:abstractNum w:abstractNumId="480">
    <w:nsid w:val="362849B4"/>
    <w:multiLevelType w:val="multilevel"/>
    <w:tmpl w:val="0214254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1">
    <w:nsid w:val="36337359"/>
    <w:multiLevelType w:val="singleLevel"/>
    <w:tmpl w:val="FE18A1B8"/>
    <w:lvl w:ilvl="0">
      <w:numFmt w:val="decimal"/>
      <w:lvlText w:val=""/>
      <w:lvlJc w:val="left"/>
    </w:lvl>
  </w:abstractNum>
  <w:abstractNum w:abstractNumId="482">
    <w:nsid w:val="36576406"/>
    <w:multiLevelType w:val="singleLevel"/>
    <w:tmpl w:val="7BB430FE"/>
    <w:lvl w:ilvl="0">
      <w:numFmt w:val="decimal"/>
      <w:lvlText w:val=""/>
      <w:lvlJc w:val="left"/>
    </w:lvl>
  </w:abstractNum>
  <w:abstractNum w:abstractNumId="483">
    <w:nsid w:val="36604F56"/>
    <w:multiLevelType w:val="hybridMultilevel"/>
    <w:tmpl w:val="776A9322"/>
    <w:lvl w:ilvl="0" w:tplc="BF80190E">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84">
    <w:nsid w:val="366279F9"/>
    <w:multiLevelType w:val="singleLevel"/>
    <w:tmpl w:val="6FBE36FE"/>
    <w:lvl w:ilvl="0">
      <w:numFmt w:val="decimal"/>
      <w:lvlText w:val=""/>
      <w:lvlJc w:val="left"/>
    </w:lvl>
  </w:abstractNum>
  <w:abstractNum w:abstractNumId="485">
    <w:nsid w:val="36680000"/>
    <w:multiLevelType w:val="hybridMultilevel"/>
    <w:tmpl w:val="D36A165E"/>
    <w:lvl w:ilvl="0" w:tplc="934A0D7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86">
    <w:nsid w:val="36A17BDC"/>
    <w:multiLevelType w:val="singleLevel"/>
    <w:tmpl w:val="118ED75C"/>
    <w:lvl w:ilvl="0">
      <w:numFmt w:val="decimal"/>
      <w:lvlText w:val=""/>
      <w:lvlJc w:val="left"/>
    </w:lvl>
  </w:abstractNum>
  <w:abstractNum w:abstractNumId="487">
    <w:nsid w:val="370C122D"/>
    <w:multiLevelType w:val="singleLevel"/>
    <w:tmpl w:val="5F64157C"/>
    <w:lvl w:ilvl="0">
      <w:numFmt w:val="decimal"/>
      <w:lvlText w:val=""/>
      <w:lvlJc w:val="left"/>
    </w:lvl>
  </w:abstractNum>
  <w:abstractNum w:abstractNumId="488">
    <w:nsid w:val="374C1C22"/>
    <w:multiLevelType w:val="hybridMultilevel"/>
    <w:tmpl w:val="1C6EEB2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9">
    <w:nsid w:val="375C11DE"/>
    <w:multiLevelType w:val="multilevel"/>
    <w:tmpl w:val="021659E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0">
    <w:nsid w:val="375E40FA"/>
    <w:multiLevelType w:val="singleLevel"/>
    <w:tmpl w:val="F0243924"/>
    <w:lvl w:ilvl="0">
      <w:start w:val="51"/>
      <w:numFmt w:val="decimal"/>
      <w:lvlText w:val="%1."/>
      <w:lvlJc w:val="left"/>
      <w:pPr>
        <w:tabs>
          <w:tab w:val="num" w:pos="360"/>
        </w:tabs>
        <w:ind w:left="0" w:firstLine="0"/>
      </w:pPr>
    </w:lvl>
  </w:abstractNum>
  <w:abstractNum w:abstractNumId="491">
    <w:nsid w:val="3769039E"/>
    <w:multiLevelType w:val="hybridMultilevel"/>
    <w:tmpl w:val="FC9A3A50"/>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92">
    <w:nsid w:val="376C607C"/>
    <w:multiLevelType w:val="hybridMultilevel"/>
    <w:tmpl w:val="2C368A9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3">
    <w:nsid w:val="377E2C73"/>
    <w:multiLevelType w:val="hybridMultilevel"/>
    <w:tmpl w:val="627A76EA"/>
    <w:lvl w:ilvl="0" w:tplc="F1F2632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94">
    <w:nsid w:val="378D68C3"/>
    <w:multiLevelType w:val="hybridMultilevel"/>
    <w:tmpl w:val="87CE83E4"/>
    <w:lvl w:ilvl="0" w:tplc="0409000F">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95">
    <w:nsid w:val="37A44E12"/>
    <w:multiLevelType w:val="singleLevel"/>
    <w:tmpl w:val="7BB430FE"/>
    <w:lvl w:ilvl="0">
      <w:numFmt w:val="decimal"/>
      <w:lvlText w:val=""/>
      <w:lvlJc w:val="left"/>
    </w:lvl>
  </w:abstractNum>
  <w:abstractNum w:abstractNumId="496">
    <w:nsid w:val="37D239B2"/>
    <w:multiLevelType w:val="hybridMultilevel"/>
    <w:tmpl w:val="DB922D3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7">
    <w:nsid w:val="37E914DF"/>
    <w:multiLevelType w:val="hybridMultilevel"/>
    <w:tmpl w:val="0926719A"/>
    <w:lvl w:ilvl="0" w:tplc="01EC1F3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98">
    <w:nsid w:val="38083B7F"/>
    <w:multiLevelType w:val="multilevel"/>
    <w:tmpl w:val="CAA0DE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9">
    <w:nsid w:val="382114F0"/>
    <w:multiLevelType w:val="singleLevel"/>
    <w:tmpl w:val="7BB430FE"/>
    <w:lvl w:ilvl="0">
      <w:numFmt w:val="decimal"/>
      <w:lvlText w:val=""/>
      <w:lvlJc w:val="left"/>
    </w:lvl>
  </w:abstractNum>
  <w:abstractNum w:abstractNumId="500">
    <w:nsid w:val="3837667A"/>
    <w:multiLevelType w:val="singleLevel"/>
    <w:tmpl w:val="7BB430FE"/>
    <w:lvl w:ilvl="0">
      <w:numFmt w:val="decimal"/>
      <w:lvlText w:val=""/>
      <w:lvlJc w:val="left"/>
    </w:lvl>
  </w:abstractNum>
  <w:abstractNum w:abstractNumId="501">
    <w:nsid w:val="3856009C"/>
    <w:multiLevelType w:val="hybridMultilevel"/>
    <w:tmpl w:val="7D186906"/>
    <w:lvl w:ilvl="0" w:tplc="0409000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02">
    <w:nsid w:val="38567584"/>
    <w:multiLevelType w:val="singleLevel"/>
    <w:tmpl w:val="4DBC9C86"/>
    <w:lvl w:ilvl="0">
      <w:start w:val="1"/>
      <w:numFmt w:val="decimal"/>
      <w:lvlText w:val="(%1)"/>
      <w:lvlJc w:val="left"/>
      <w:pPr>
        <w:tabs>
          <w:tab w:val="num" w:pos="360"/>
        </w:tabs>
        <w:ind w:left="360" w:hanging="360"/>
      </w:pPr>
      <w:rPr>
        <w:rFonts w:hint="default"/>
      </w:rPr>
    </w:lvl>
  </w:abstractNum>
  <w:abstractNum w:abstractNumId="503">
    <w:nsid w:val="38694A85"/>
    <w:multiLevelType w:val="singleLevel"/>
    <w:tmpl w:val="7BB430FE"/>
    <w:lvl w:ilvl="0">
      <w:numFmt w:val="decimal"/>
      <w:lvlText w:val=""/>
      <w:lvlJc w:val="left"/>
    </w:lvl>
  </w:abstractNum>
  <w:abstractNum w:abstractNumId="504">
    <w:nsid w:val="38887512"/>
    <w:multiLevelType w:val="hybridMultilevel"/>
    <w:tmpl w:val="EA1E0756"/>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05">
    <w:nsid w:val="38927D3F"/>
    <w:multiLevelType w:val="hybridMultilevel"/>
    <w:tmpl w:val="6550117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6">
    <w:nsid w:val="38985A06"/>
    <w:multiLevelType w:val="hybridMultilevel"/>
    <w:tmpl w:val="A14C83E6"/>
    <w:lvl w:ilvl="0" w:tplc="0409001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07">
    <w:nsid w:val="38D20F7F"/>
    <w:multiLevelType w:val="singleLevel"/>
    <w:tmpl w:val="5532B290"/>
    <w:lvl w:ilvl="0">
      <w:numFmt w:val="decimal"/>
      <w:lvlText w:val=""/>
      <w:lvlJc w:val="left"/>
    </w:lvl>
  </w:abstractNum>
  <w:abstractNum w:abstractNumId="508">
    <w:nsid w:val="38DC02E0"/>
    <w:multiLevelType w:val="singleLevel"/>
    <w:tmpl w:val="AF829624"/>
    <w:lvl w:ilvl="0">
      <w:numFmt w:val="decimal"/>
      <w:lvlText w:val=""/>
      <w:lvlJc w:val="left"/>
    </w:lvl>
  </w:abstractNum>
  <w:abstractNum w:abstractNumId="509">
    <w:nsid w:val="39082B2A"/>
    <w:multiLevelType w:val="multilevel"/>
    <w:tmpl w:val="EFD2139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0">
    <w:nsid w:val="390C4CE1"/>
    <w:multiLevelType w:val="hybridMultilevel"/>
    <w:tmpl w:val="0EB6AD54"/>
    <w:lvl w:ilvl="0" w:tplc="D3BA312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11">
    <w:nsid w:val="3964629B"/>
    <w:multiLevelType w:val="hybridMultilevel"/>
    <w:tmpl w:val="45286D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2">
    <w:nsid w:val="39A404AF"/>
    <w:multiLevelType w:val="singleLevel"/>
    <w:tmpl w:val="7BB430FE"/>
    <w:lvl w:ilvl="0">
      <w:numFmt w:val="decimal"/>
      <w:lvlText w:val=""/>
      <w:lvlJc w:val="left"/>
    </w:lvl>
  </w:abstractNum>
  <w:abstractNum w:abstractNumId="513">
    <w:nsid w:val="39B215C4"/>
    <w:multiLevelType w:val="singleLevel"/>
    <w:tmpl w:val="7662064A"/>
    <w:lvl w:ilvl="0">
      <w:start w:val="187"/>
      <w:numFmt w:val="decimal"/>
      <w:lvlText w:val="%1."/>
      <w:lvlJc w:val="left"/>
      <w:pPr>
        <w:tabs>
          <w:tab w:val="num" w:pos="360"/>
        </w:tabs>
        <w:ind w:left="360" w:hanging="360"/>
      </w:pPr>
      <w:rPr>
        <w:rFonts w:hint="default"/>
      </w:rPr>
    </w:lvl>
  </w:abstractNum>
  <w:abstractNum w:abstractNumId="514">
    <w:nsid w:val="39D67B91"/>
    <w:multiLevelType w:val="hybridMultilevel"/>
    <w:tmpl w:val="8350FA72"/>
    <w:lvl w:ilvl="0" w:tplc="882EE9B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15">
    <w:nsid w:val="39DE325B"/>
    <w:multiLevelType w:val="hybridMultilevel"/>
    <w:tmpl w:val="06F667D2"/>
    <w:lvl w:ilvl="0" w:tplc="DD9086E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16">
    <w:nsid w:val="3A131C8C"/>
    <w:multiLevelType w:val="hybridMultilevel"/>
    <w:tmpl w:val="C936975E"/>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17">
    <w:nsid w:val="3A255FDC"/>
    <w:multiLevelType w:val="singleLevel"/>
    <w:tmpl w:val="8FFE7EE8"/>
    <w:lvl w:ilvl="0">
      <w:numFmt w:val="decimal"/>
      <w:lvlText w:val=""/>
      <w:lvlJc w:val="left"/>
    </w:lvl>
  </w:abstractNum>
  <w:abstractNum w:abstractNumId="518">
    <w:nsid w:val="3A3D6F9E"/>
    <w:multiLevelType w:val="singleLevel"/>
    <w:tmpl w:val="B30C46A4"/>
    <w:lvl w:ilvl="0">
      <w:numFmt w:val="decimal"/>
      <w:lvlText w:val=""/>
      <w:lvlJc w:val="left"/>
    </w:lvl>
  </w:abstractNum>
  <w:abstractNum w:abstractNumId="519">
    <w:nsid w:val="3A481C41"/>
    <w:multiLevelType w:val="hybridMultilevel"/>
    <w:tmpl w:val="D1C067A2"/>
    <w:lvl w:ilvl="0" w:tplc="C406AC24">
      <w:numFmt w:val="decimal"/>
      <w:lvlText w:val=""/>
      <w:lvlJc w:val="left"/>
    </w:lvl>
    <w:lvl w:ilvl="1" w:tplc="04090003">
      <w:numFmt w:val="decimal"/>
      <w:lvlText w:val=""/>
      <w:lvlJc w:val="left"/>
    </w:lvl>
    <w:lvl w:ilvl="2" w:tplc="AB3CB4A4">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20">
    <w:nsid w:val="3A4F361E"/>
    <w:multiLevelType w:val="hybridMultilevel"/>
    <w:tmpl w:val="278C8BA6"/>
    <w:lvl w:ilvl="0" w:tplc="2488CEA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21">
    <w:nsid w:val="3A9F3139"/>
    <w:multiLevelType w:val="singleLevel"/>
    <w:tmpl w:val="EF6ED180"/>
    <w:lvl w:ilvl="0">
      <w:numFmt w:val="decimal"/>
      <w:lvlText w:val=""/>
      <w:lvlJc w:val="left"/>
    </w:lvl>
  </w:abstractNum>
  <w:abstractNum w:abstractNumId="522">
    <w:nsid w:val="3AA22557"/>
    <w:multiLevelType w:val="hybridMultilevel"/>
    <w:tmpl w:val="2298A06E"/>
    <w:lvl w:ilvl="0" w:tplc="BEC4ED2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23">
    <w:nsid w:val="3B3512E4"/>
    <w:multiLevelType w:val="singleLevel"/>
    <w:tmpl w:val="7BB430FE"/>
    <w:lvl w:ilvl="0">
      <w:numFmt w:val="decimal"/>
      <w:lvlText w:val=""/>
      <w:lvlJc w:val="left"/>
    </w:lvl>
  </w:abstractNum>
  <w:abstractNum w:abstractNumId="524">
    <w:nsid w:val="3B503A9D"/>
    <w:multiLevelType w:val="hybridMultilevel"/>
    <w:tmpl w:val="5912945C"/>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25">
    <w:nsid w:val="3B57455F"/>
    <w:multiLevelType w:val="hybridMultilevel"/>
    <w:tmpl w:val="94D42672"/>
    <w:lvl w:ilvl="0" w:tplc="A9F00B0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26">
    <w:nsid w:val="3B8115BB"/>
    <w:multiLevelType w:val="singleLevel"/>
    <w:tmpl w:val="A594A872"/>
    <w:lvl w:ilvl="0">
      <w:start w:val="1"/>
      <w:numFmt w:val="decimal"/>
      <w:lvlText w:val="(%1)"/>
      <w:lvlJc w:val="left"/>
      <w:pPr>
        <w:tabs>
          <w:tab w:val="num" w:pos="360"/>
        </w:tabs>
        <w:ind w:left="360" w:hanging="360"/>
      </w:pPr>
      <w:rPr>
        <w:rFonts w:hint="default"/>
      </w:rPr>
    </w:lvl>
  </w:abstractNum>
  <w:abstractNum w:abstractNumId="527">
    <w:nsid w:val="3B921590"/>
    <w:multiLevelType w:val="singleLevel"/>
    <w:tmpl w:val="7BB430FE"/>
    <w:lvl w:ilvl="0">
      <w:numFmt w:val="decimal"/>
      <w:lvlText w:val=""/>
      <w:lvlJc w:val="left"/>
    </w:lvl>
  </w:abstractNum>
  <w:abstractNum w:abstractNumId="528">
    <w:nsid w:val="3B950BCF"/>
    <w:multiLevelType w:val="singleLevel"/>
    <w:tmpl w:val="77324482"/>
    <w:lvl w:ilvl="0">
      <w:numFmt w:val="decimal"/>
      <w:lvlText w:val=""/>
      <w:lvlJc w:val="left"/>
    </w:lvl>
  </w:abstractNum>
  <w:abstractNum w:abstractNumId="529">
    <w:nsid w:val="3BE45675"/>
    <w:multiLevelType w:val="hybridMultilevel"/>
    <w:tmpl w:val="14CADEF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0">
    <w:nsid w:val="3BE74A93"/>
    <w:multiLevelType w:val="singleLevel"/>
    <w:tmpl w:val="3F80679A"/>
    <w:lvl w:ilvl="0">
      <w:numFmt w:val="decimal"/>
      <w:lvlText w:val=""/>
      <w:lvlJc w:val="left"/>
    </w:lvl>
  </w:abstractNum>
  <w:abstractNum w:abstractNumId="531">
    <w:nsid w:val="3BF56252"/>
    <w:multiLevelType w:val="hybridMultilevel"/>
    <w:tmpl w:val="1506E7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2">
    <w:nsid w:val="3C0F4F03"/>
    <w:multiLevelType w:val="hybridMultilevel"/>
    <w:tmpl w:val="709C9EC0"/>
    <w:lvl w:ilvl="0" w:tplc="B82E5C64">
      <w:numFmt w:val="decimal"/>
      <w:lvlText w:val=""/>
      <w:lvlJc w:val="left"/>
    </w:lvl>
    <w:lvl w:ilvl="1" w:tplc="2CAACB0A">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33">
    <w:nsid w:val="3C3E68EF"/>
    <w:multiLevelType w:val="singleLevel"/>
    <w:tmpl w:val="7BB430FE"/>
    <w:lvl w:ilvl="0">
      <w:numFmt w:val="decimal"/>
      <w:lvlText w:val=""/>
      <w:lvlJc w:val="left"/>
    </w:lvl>
  </w:abstractNum>
  <w:abstractNum w:abstractNumId="534">
    <w:nsid w:val="3C4D12EC"/>
    <w:multiLevelType w:val="hybridMultilevel"/>
    <w:tmpl w:val="A406F6EC"/>
    <w:lvl w:ilvl="0" w:tplc="8940FDC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35">
    <w:nsid w:val="3C7C2327"/>
    <w:multiLevelType w:val="hybridMultilevel"/>
    <w:tmpl w:val="AB30E92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36">
    <w:nsid w:val="3CD15789"/>
    <w:multiLevelType w:val="multilevel"/>
    <w:tmpl w:val="FAAC3B6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7">
    <w:nsid w:val="3CE14088"/>
    <w:multiLevelType w:val="singleLevel"/>
    <w:tmpl w:val="EC10A4A0"/>
    <w:lvl w:ilvl="0">
      <w:numFmt w:val="decimal"/>
      <w:lvlText w:val=""/>
      <w:lvlJc w:val="left"/>
    </w:lvl>
  </w:abstractNum>
  <w:abstractNum w:abstractNumId="538">
    <w:nsid w:val="3CF11C2D"/>
    <w:multiLevelType w:val="singleLevel"/>
    <w:tmpl w:val="730AAE2C"/>
    <w:lvl w:ilvl="0">
      <w:start w:val="11"/>
      <w:numFmt w:val="decimal"/>
      <w:lvlText w:val="%1."/>
      <w:lvlJc w:val="left"/>
      <w:pPr>
        <w:tabs>
          <w:tab w:val="num" w:pos="360"/>
        </w:tabs>
        <w:ind w:left="0" w:firstLine="0"/>
      </w:pPr>
    </w:lvl>
  </w:abstractNum>
  <w:abstractNum w:abstractNumId="539">
    <w:nsid w:val="3CFA783E"/>
    <w:multiLevelType w:val="hybridMultilevel"/>
    <w:tmpl w:val="B8F66854"/>
    <w:lvl w:ilvl="0" w:tplc="529C7D6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40">
    <w:nsid w:val="3D093B4F"/>
    <w:multiLevelType w:val="singleLevel"/>
    <w:tmpl w:val="020E34E2"/>
    <w:lvl w:ilvl="0">
      <w:numFmt w:val="decimal"/>
      <w:lvlText w:val=""/>
      <w:lvlJc w:val="left"/>
    </w:lvl>
  </w:abstractNum>
  <w:abstractNum w:abstractNumId="541">
    <w:nsid w:val="3D1A4D1B"/>
    <w:multiLevelType w:val="hybridMultilevel"/>
    <w:tmpl w:val="A7C6E150"/>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42">
    <w:nsid w:val="3D4C4290"/>
    <w:multiLevelType w:val="singleLevel"/>
    <w:tmpl w:val="8B7A7032"/>
    <w:lvl w:ilvl="0">
      <w:numFmt w:val="decimal"/>
      <w:lvlText w:val=""/>
      <w:lvlJc w:val="left"/>
    </w:lvl>
  </w:abstractNum>
  <w:abstractNum w:abstractNumId="543">
    <w:nsid w:val="3D5F2AC0"/>
    <w:multiLevelType w:val="singleLevel"/>
    <w:tmpl w:val="8D96529E"/>
    <w:lvl w:ilvl="0">
      <w:numFmt w:val="decimal"/>
      <w:lvlText w:val=""/>
      <w:lvlJc w:val="left"/>
    </w:lvl>
  </w:abstractNum>
  <w:abstractNum w:abstractNumId="544">
    <w:nsid w:val="3D7865AF"/>
    <w:multiLevelType w:val="hybridMultilevel"/>
    <w:tmpl w:val="72F6B9DE"/>
    <w:lvl w:ilvl="0" w:tplc="8856E2A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45">
    <w:nsid w:val="3D843A16"/>
    <w:multiLevelType w:val="hybridMultilevel"/>
    <w:tmpl w:val="597A3108"/>
    <w:lvl w:ilvl="0" w:tplc="5EEC210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46">
    <w:nsid w:val="3D8C6D62"/>
    <w:multiLevelType w:val="singleLevel"/>
    <w:tmpl w:val="88E419A6"/>
    <w:lvl w:ilvl="0">
      <w:start w:val="40"/>
      <w:numFmt w:val="decimal"/>
      <w:lvlText w:val="%1."/>
      <w:lvlJc w:val="left"/>
      <w:pPr>
        <w:tabs>
          <w:tab w:val="num" w:pos="360"/>
        </w:tabs>
        <w:ind w:left="0" w:firstLine="0"/>
      </w:pPr>
    </w:lvl>
  </w:abstractNum>
  <w:abstractNum w:abstractNumId="547">
    <w:nsid w:val="3D925489"/>
    <w:multiLevelType w:val="singleLevel"/>
    <w:tmpl w:val="B498B64C"/>
    <w:lvl w:ilvl="0">
      <w:numFmt w:val="decimal"/>
      <w:lvlText w:val=""/>
      <w:lvlJc w:val="left"/>
    </w:lvl>
  </w:abstractNum>
  <w:abstractNum w:abstractNumId="548">
    <w:nsid w:val="3DB50141"/>
    <w:multiLevelType w:val="singleLevel"/>
    <w:tmpl w:val="8B7A7032"/>
    <w:lvl w:ilvl="0">
      <w:numFmt w:val="decimal"/>
      <w:lvlText w:val=""/>
      <w:lvlJc w:val="left"/>
    </w:lvl>
  </w:abstractNum>
  <w:abstractNum w:abstractNumId="549">
    <w:nsid w:val="3DBD3C11"/>
    <w:multiLevelType w:val="singleLevel"/>
    <w:tmpl w:val="0D781446"/>
    <w:lvl w:ilvl="0">
      <w:numFmt w:val="decimal"/>
      <w:lvlText w:val=""/>
      <w:lvlJc w:val="left"/>
    </w:lvl>
  </w:abstractNum>
  <w:abstractNum w:abstractNumId="550">
    <w:nsid w:val="3DF352E0"/>
    <w:multiLevelType w:val="singleLevel"/>
    <w:tmpl w:val="62A02476"/>
    <w:lvl w:ilvl="0">
      <w:numFmt w:val="decimal"/>
      <w:lvlText w:val=""/>
      <w:lvlJc w:val="left"/>
    </w:lvl>
  </w:abstractNum>
  <w:abstractNum w:abstractNumId="551">
    <w:nsid w:val="3DFD6653"/>
    <w:multiLevelType w:val="hybridMultilevel"/>
    <w:tmpl w:val="0180E898"/>
    <w:lvl w:ilvl="0" w:tplc="AB3CB4A4">
      <w:numFmt w:val="decimal"/>
      <w:lvlText w:val=""/>
      <w:lvlJc w:val="left"/>
    </w:lvl>
    <w:lvl w:ilvl="1" w:tplc="04090003">
      <w:numFmt w:val="decimal"/>
      <w:lvlText w:val=""/>
      <w:lvlJc w:val="left"/>
    </w:lvl>
    <w:lvl w:ilvl="2" w:tplc="B9BA9C38">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52">
    <w:nsid w:val="3E1F72E8"/>
    <w:multiLevelType w:val="singleLevel"/>
    <w:tmpl w:val="E15AEEFA"/>
    <w:lvl w:ilvl="0">
      <w:numFmt w:val="decimal"/>
      <w:pStyle w:val="Title"/>
      <w:lvlText w:val=""/>
      <w:lvlJc w:val="left"/>
    </w:lvl>
  </w:abstractNum>
  <w:abstractNum w:abstractNumId="553">
    <w:nsid w:val="3E20089B"/>
    <w:multiLevelType w:val="hybridMultilevel"/>
    <w:tmpl w:val="A8D2F662"/>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54">
    <w:nsid w:val="3E2F5122"/>
    <w:multiLevelType w:val="hybridMultilevel"/>
    <w:tmpl w:val="0180E898"/>
    <w:lvl w:ilvl="0" w:tplc="AB3CB4A4">
      <w:numFmt w:val="decimal"/>
      <w:lvlText w:val=""/>
      <w:lvlJc w:val="left"/>
    </w:lvl>
    <w:lvl w:ilvl="1" w:tplc="04090003">
      <w:numFmt w:val="decimal"/>
      <w:lvlText w:val=""/>
      <w:lvlJc w:val="left"/>
    </w:lvl>
    <w:lvl w:ilvl="2" w:tplc="9B20B970">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55">
    <w:nsid w:val="3E335AA2"/>
    <w:multiLevelType w:val="multilevel"/>
    <w:tmpl w:val="7B2809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6">
    <w:nsid w:val="3E3670F9"/>
    <w:multiLevelType w:val="singleLevel"/>
    <w:tmpl w:val="B8F2CA56"/>
    <w:lvl w:ilvl="0">
      <w:numFmt w:val="decimal"/>
      <w:lvlText w:val=""/>
      <w:lvlJc w:val="left"/>
    </w:lvl>
  </w:abstractNum>
  <w:abstractNum w:abstractNumId="557">
    <w:nsid w:val="3E493C3D"/>
    <w:multiLevelType w:val="singleLevel"/>
    <w:tmpl w:val="6812F22C"/>
    <w:lvl w:ilvl="0">
      <w:start w:val="1"/>
      <w:numFmt w:val="lowerLetter"/>
      <w:lvlText w:val="(%1)"/>
      <w:lvlJc w:val="left"/>
      <w:pPr>
        <w:tabs>
          <w:tab w:val="num" w:pos="375"/>
        </w:tabs>
        <w:ind w:left="375" w:hanging="375"/>
      </w:pPr>
      <w:rPr>
        <w:rFonts w:hint="default"/>
      </w:rPr>
    </w:lvl>
  </w:abstractNum>
  <w:abstractNum w:abstractNumId="558">
    <w:nsid w:val="3EB43A25"/>
    <w:multiLevelType w:val="hybridMultilevel"/>
    <w:tmpl w:val="279C0C04"/>
    <w:lvl w:ilvl="0" w:tplc="05061E3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59">
    <w:nsid w:val="3EEB021F"/>
    <w:multiLevelType w:val="hybridMultilevel"/>
    <w:tmpl w:val="1DF0FDE4"/>
    <w:lvl w:ilvl="0" w:tplc="3C223E7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60">
    <w:nsid w:val="3F1A1922"/>
    <w:multiLevelType w:val="multilevel"/>
    <w:tmpl w:val="0F1E355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1">
    <w:nsid w:val="3F277C77"/>
    <w:multiLevelType w:val="hybridMultilevel"/>
    <w:tmpl w:val="D5BABBB4"/>
    <w:lvl w:ilvl="0" w:tplc="526437EE">
      <w:numFmt w:val="decimal"/>
      <w:lvlText w:val=""/>
      <w:lvlJc w:val="left"/>
    </w:lvl>
    <w:lvl w:ilvl="1" w:tplc="5BCCFD1E">
      <w:numFmt w:val="decimal"/>
      <w:lvlText w:val=""/>
      <w:lvlJc w:val="left"/>
    </w:lvl>
    <w:lvl w:ilvl="2" w:tplc="8404EE82">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62">
    <w:nsid w:val="3F335709"/>
    <w:multiLevelType w:val="hybridMultilevel"/>
    <w:tmpl w:val="AB5688AE"/>
    <w:lvl w:ilvl="0" w:tplc="0662347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63">
    <w:nsid w:val="3F4278BB"/>
    <w:multiLevelType w:val="multilevel"/>
    <w:tmpl w:val="DC508F4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4">
    <w:nsid w:val="3F571EF7"/>
    <w:multiLevelType w:val="singleLevel"/>
    <w:tmpl w:val="2EA4C3EC"/>
    <w:lvl w:ilvl="0">
      <w:numFmt w:val="decimal"/>
      <w:lvlText w:val=""/>
      <w:lvlJc w:val="left"/>
    </w:lvl>
  </w:abstractNum>
  <w:abstractNum w:abstractNumId="565">
    <w:nsid w:val="3F932161"/>
    <w:multiLevelType w:val="singleLevel"/>
    <w:tmpl w:val="7BB430FE"/>
    <w:lvl w:ilvl="0">
      <w:numFmt w:val="decimal"/>
      <w:lvlText w:val=""/>
      <w:lvlJc w:val="left"/>
    </w:lvl>
  </w:abstractNum>
  <w:abstractNum w:abstractNumId="566">
    <w:nsid w:val="3FDE6BDF"/>
    <w:multiLevelType w:val="multilevel"/>
    <w:tmpl w:val="145C9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7">
    <w:nsid w:val="400367AA"/>
    <w:multiLevelType w:val="multilevel"/>
    <w:tmpl w:val="B298F3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8">
    <w:nsid w:val="400B17E5"/>
    <w:multiLevelType w:val="hybridMultilevel"/>
    <w:tmpl w:val="D3A4C486"/>
    <w:lvl w:ilvl="0" w:tplc="BB2AC70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69">
    <w:nsid w:val="40216F1D"/>
    <w:multiLevelType w:val="hybridMultilevel"/>
    <w:tmpl w:val="7B9A32D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0">
    <w:nsid w:val="402B66CD"/>
    <w:multiLevelType w:val="singleLevel"/>
    <w:tmpl w:val="3E5CBC4E"/>
    <w:lvl w:ilvl="0">
      <w:start w:val="1"/>
      <w:numFmt w:val="decimal"/>
      <w:lvlText w:val="%1."/>
      <w:lvlJc w:val="left"/>
      <w:pPr>
        <w:tabs>
          <w:tab w:val="num" w:pos="360"/>
        </w:tabs>
        <w:ind w:left="0" w:firstLine="0"/>
      </w:pPr>
    </w:lvl>
  </w:abstractNum>
  <w:abstractNum w:abstractNumId="571">
    <w:nsid w:val="403E4528"/>
    <w:multiLevelType w:val="singleLevel"/>
    <w:tmpl w:val="7BB430FE"/>
    <w:lvl w:ilvl="0">
      <w:numFmt w:val="decimal"/>
      <w:lvlText w:val=""/>
      <w:lvlJc w:val="left"/>
    </w:lvl>
  </w:abstractNum>
  <w:abstractNum w:abstractNumId="572">
    <w:nsid w:val="406F1D9D"/>
    <w:multiLevelType w:val="multilevel"/>
    <w:tmpl w:val="9DA4450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3">
    <w:nsid w:val="407E5C1E"/>
    <w:multiLevelType w:val="hybridMultilevel"/>
    <w:tmpl w:val="2F425CAE"/>
    <w:lvl w:ilvl="0" w:tplc="C584F6AC">
      <w:numFmt w:val="decimal"/>
      <w:lvlText w:val=""/>
      <w:lvlJc w:val="left"/>
    </w:lvl>
    <w:lvl w:ilvl="1" w:tplc="E194898E">
      <w:numFmt w:val="decimal"/>
      <w:lvlText w:val=""/>
      <w:lvlJc w:val="left"/>
    </w:lvl>
    <w:lvl w:ilvl="2" w:tplc="D12404A4">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74">
    <w:nsid w:val="408D1E6F"/>
    <w:multiLevelType w:val="singleLevel"/>
    <w:tmpl w:val="7BB430FE"/>
    <w:lvl w:ilvl="0">
      <w:numFmt w:val="decimal"/>
      <w:lvlText w:val=""/>
      <w:lvlJc w:val="left"/>
    </w:lvl>
  </w:abstractNum>
  <w:abstractNum w:abstractNumId="575">
    <w:nsid w:val="40A00083"/>
    <w:multiLevelType w:val="singleLevel"/>
    <w:tmpl w:val="3D289AA0"/>
    <w:lvl w:ilvl="0">
      <w:numFmt w:val="decimal"/>
      <w:lvlText w:val=""/>
      <w:lvlJc w:val="left"/>
    </w:lvl>
  </w:abstractNum>
  <w:abstractNum w:abstractNumId="576">
    <w:nsid w:val="40AF4AB3"/>
    <w:multiLevelType w:val="singleLevel"/>
    <w:tmpl w:val="0C04470A"/>
    <w:lvl w:ilvl="0">
      <w:numFmt w:val="decimal"/>
      <w:lvlText w:val=""/>
      <w:lvlJc w:val="left"/>
    </w:lvl>
  </w:abstractNum>
  <w:abstractNum w:abstractNumId="577">
    <w:nsid w:val="40C50205"/>
    <w:multiLevelType w:val="multilevel"/>
    <w:tmpl w:val="F2649C6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8">
    <w:nsid w:val="40DC78B6"/>
    <w:multiLevelType w:val="singleLevel"/>
    <w:tmpl w:val="7BB430FE"/>
    <w:lvl w:ilvl="0">
      <w:numFmt w:val="decimal"/>
      <w:lvlText w:val=""/>
      <w:lvlJc w:val="left"/>
    </w:lvl>
  </w:abstractNum>
  <w:abstractNum w:abstractNumId="579">
    <w:nsid w:val="40F2346D"/>
    <w:multiLevelType w:val="singleLevel"/>
    <w:tmpl w:val="7BB430FE"/>
    <w:lvl w:ilvl="0">
      <w:numFmt w:val="decimal"/>
      <w:lvlText w:val=""/>
      <w:lvlJc w:val="left"/>
    </w:lvl>
  </w:abstractNum>
  <w:abstractNum w:abstractNumId="580">
    <w:nsid w:val="40FC4261"/>
    <w:multiLevelType w:val="singleLevel"/>
    <w:tmpl w:val="7BB430FE"/>
    <w:lvl w:ilvl="0">
      <w:numFmt w:val="decimal"/>
      <w:lvlText w:val=""/>
      <w:lvlJc w:val="left"/>
    </w:lvl>
  </w:abstractNum>
  <w:abstractNum w:abstractNumId="581">
    <w:nsid w:val="41017B35"/>
    <w:multiLevelType w:val="hybridMultilevel"/>
    <w:tmpl w:val="11EA9E3C"/>
    <w:lvl w:ilvl="0" w:tplc="0409000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82">
    <w:nsid w:val="41465B07"/>
    <w:multiLevelType w:val="singleLevel"/>
    <w:tmpl w:val="D4486380"/>
    <w:lvl w:ilvl="0">
      <w:numFmt w:val="decimal"/>
      <w:lvlText w:val=""/>
      <w:lvlJc w:val="left"/>
    </w:lvl>
  </w:abstractNum>
  <w:abstractNum w:abstractNumId="583">
    <w:nsid w:val="414F259A"/>
    <w:multiLevelType w:val="hybridMultilevel"/>
    <w:tmpl w:val="907C664A"/>
    <w:lvl w:ilvl="0" w:tplc="0409000F">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84">
    <w:nsid w:val="41621C11"/>
    <w:multiLevelType w:val="singleLevel"/>
    <w:tmpl w:val="D0FE3B20"/>
    <w:lvl w:ilvl="0">
      <w:numFmt w:val="decimal"/>
      <w:lvlText w:val=""/>
      <w:lvlJc w:val="left"/>
    </w:lvl>
  </w:abstractNum>
  <w:abstractNum w:abstractNumId="585">
    <w:nsid w:val="41A477FD"/>
    <w:multiLevelType w:val="hybridMultilevel"/>
    <w:tmpl w:val="02CC97EA"/>
    <w:lvl w:ilvl="0" w:tplc="8AE8820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86">
    <w:nsid w:val="41CD1054"/>
    <w:multiLevelType w:val="singleLevel"/>
    <w:tmpl w:val="40569742"/>
    <w:lvl w:ilvl="0">
      <w:numFmt w:val="decimal"/>
      <w:lvlText w:val=""/>
      <w:lvlJc w:val="left"/>
    </w:lvl>
  </w:abstractNum>
  <w:abstractNum w:abstractNumId="587">
    <w:nsid w:val="41D30107"/>
    <w:multiLevelType w:val="hybridMultilevel"/>
    <w:tmpl w:val="29B8EEE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88">
    <w:nsid w:val="41D950AE"/>
    <w:multiLevelType w:val="hybridMultilevel"/>
    <w:tmpl w:val="04AA36FE"/>
    <w:lvl w:ilvl="0" w:tplc="717AD02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89">
    <w:nsid w:val="41E667E4"/>
    <w:multiLevelType w:val="singleLevel"/>
    <w:tmpl w:val="E4122B1A"/>
    <w:lvl w:ilvl="0">
      <w:numFmt w:val="decimal"/>
      <w:lvlText w:val=""/>
      <w:lvlJc w:val="left"/>
    </w:lvl>
  </w:abstractNum>
  <w:abstractNum w:abstractNumId="590">
    <w:nsid w:val="41F227E0"/>
    <w:multiLevelType w:val="singleLevel"/>
    <w:tmpl w:val="7BB430FE"/>
    <w:lvl w:ilvl="0">
      <w:numFmt w:val="decimal"/>
      <w:lvlText w:val=""/>
      <w:lvlJc w:val="left"/>
    </w:lvl>
  </w:abstractNum>
  <w:abstractNum w:abstractNumId="591">
    <w:nsid w:val="42004DD0"/>
    <w:multiLevelType w:val="hybridMultilevel"/>
    <w:tmpl w:val="4482A3FE"/>
    <w:lvl w:ilvl="0" w:tplc="6EE8274A">
      <w:numFmt w:val="decimal"/>
      <w:lvlText w:val=""/>
      <w:lvlJc w:val="left"/>
    </w:lvl>
    <w:lvl w:ilvl="1" w:tplc="8B00EC22">
      <w:numFmt w:val="decimal"/>
      <w:lvlText w:val=""/>
      <w:lvlJc w:val="left"/>
    </w:lvl>
    <w:lvl w:ilvl="2" w:tplc="E822ECF8">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92">
    <w:nsid w:val="42034093"/>
    <w:multiLevelType w:val="hybridMultilevel"/>
    <w:tmpl w:val="30523C00"/>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93">
    <w:nsid w:val="424E5E07"/>
    <w:multiLevelType w:val="hybridMultilevel"/>
    <w:tmpl w:val="067AD9AE"/>
    <w:lvl w:ilvl="0" w:tplc="C024984A">
      <w:numFmt w:val="decimal"/>
      <w:lvlText w:val=""/>
      <w:lvlJc w:val="left"/>
    </w:lvl>
    <w:lvl w:ilvl="1" w:tplc="4CC8FB14">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94">
    <w:nsid w:val="4258701A"/>
    <w:multiLevelType w:val="singleLevel"/>
    <w:tmpl w:val="D40C6C8A"/>
    <w:lvl w:ilvl="0">
      <w:numFmt w:val="decimal"/>
      <w:lvlText w:val=""/>
      <w:lvlJc w:val="left"/>
    </w:lvl>
  </w:abstractNum>
  <w:abstractNum w:abstractNumId="595">
    <w:nsid w:val="4285328A"/>
    <w:multiLevelType w:val="hybridMultilevel"/>
    <w:tmpl w:val="2074801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6">
    <w:nsid w:val="4293333D"/>
    <w:multiLevelType w:val="singleLevel"/>
    <w:tmpl w:val="7BB430FE"/>
    <w:lvl w:ilvl="0">
      <w:numFmt w:val="decimal"/>
      <w:lvlText w:val=""/>
      <w:lvlJc w:val="left"/>
    </w:lvl>
  </w:abstractNum>
  <w:abstractNum w:abstractNumId="597">
    <w:nsid w:val="42946EBE"/>
    <w:multiLevelType w:val="hybridMultilevel"/>
    <w:tmpl w:val="57780B2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8">
    <w:nsid w:val="429D39CD"/>
    <w:multiLevelType w:val="hybridMultilevel"/>
    <w:tmpl w:val="6C1E5DC2"/>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99">
    <w:nsid w:val="42A872B8"/>
    <w:multiLevelType w:val="hybridMultilevel"/>
    <w:tmpl w:val="2B4AFCFA"/>
    <w:lvl w:ilvl="0" w:tplc="9602333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00">
    <w:nsid w:val="42BC75B4"/>
    <w:multiLevelType w:val="multilevel"/>
    <w:tmpl w:val="B436F01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1">
    <w:nsid w:val="42C838FF"/>
    <w:multiLevelType w:val="hybridMultilevel"/>
    <w:tmpl w:val="1D06ECB4"/>
    <w:lvl w:ilvl="0" w:tplc="1F38F0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02">
    <w:nsid w:val="42CD0148"/>
    <w:multiLevelType w:val="hybridMultilevel"/>
    <w:tmpl w:val="DCDCA360"/>
    <w:lvl w:ilvl="0" w:tplc="24788B5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03">
    <w:nsid w:val="43043FA3"/>
    <w:multiLevelType w:val="singleLevel"/>
    <w:tmpl w:val="4706134C"/>
    <w:lvl w:ilvl="0">
      <w:numFmt w:val="decimal"/>
      <w:lvlText w:val=""/>
      <w:lvlJc w:val="left"/>
    </w:lvl>
  </w:abstractNum>
  <w:abstractNum w:abstractNumId="604">
    <w:nsid w:val="43165A6D"/>
    <w:multiLevelType w:val="singleLevel"/>
    <w:tmpl w:val="7EF2A844"/>
    <w:lvl w:ilvl="0">
      <w:numFmt w:val="decimal"/>
      <w:lvlText w:val=""/>
      <w:lvlJc w:val="left"/>
    </w:lvl>
  </w:abstractNum>
  <w:abstractNum w:abstractNumId="605">
    <w:nsid w:val="43222DA8"/>
    <w:multiLevelType w:val="multilevel"/>
    <w:tmpl w:val="2486A4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6">
    <w:nsid w:val="43277DC5"/>
    <w:multiLevelType w:val="hybridMultilevel"/>
    <w:tmpl w:val="8D2A1354"/>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07">
    <w:nsid w:val="43333768"/>
    <w:multiLevelType w:val="singleLevel"/>
    <w:tmpl w:val="A9B2BB0C"/>
    <w:lvl w:ilvl="0">
      <w:start w:val="187"/>
      <w:numFmt w:val="decimal"/>
      <w:lvlText w:val="%1."/>
      <w:lvlJc w:val="left"/>
      <w:pPr>
        <w:tabs>
          <w:tab w:val="num" w:pos="360"/>
        </w:tabs>
        <w:ind w:left="360" w:hanging="360"/>
      </w:pPr>
      <w:rPr>
        <w:rFonts w:hint="default"/>
      </w:rPr>
    </w:lvl>
  </w:abstractNum>
  <w:abstractNum w:abstractNumId="608">
    <w:nsid w:val="433C18CE"/>
    <w:multiLevelType w:val="singleLevel"/>
    <w:tmpl w:val="A02E77DA"/>
    <w:lvl w:ilvl="0">
      <w:numFmt w:val="decimal"/>
      <w:lvlText w:val=""/>
      <w:lvlJc w:val="left"/>
    </w:lvl>
  </w:abstractNum>
  <w:abstractNum w:abstractNumId="609">
    <w:nsid w:val="43833BBB"/>
    <w:multiLevelType w:val="hybridMultilevel"/>
    <w:tmpl w:val="9E8A8EEA"/>
    <w:lvl w:ilvl="0" w:tplc="B5FE61B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10">
    <w:nsid w:val="43985F18"/>
    <w:multiLevelType w:val="hybridMultilevel"/>
    <w:tmpl w:val="DA7C73E8"/>
    <w:lvl w:ilvl="0" w:tplc="2B22201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11">
    <w:nsid w:val="43A841C2"/>
    <w:multiLevelType w:val="hybridMultilevel"/>
    <w:tmpl w:val="E026B264"/>
    <w:lvl w:ilvl="0" w:tplc="9190D1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12">
    <w:nsid w:val="43DF7F40"/>
    <w:multiLevelType w:val="hybridMultilevel"/>
    <w:tmpl w:val="3216FB08"/>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13">
    <w:nsid w:val="43E02616"/>
    <w:multiLevelType w:val="singleLevel"/>
    <w:tmpl w:val="7BB430FE"/>
    <w:lvl w:ilvl="0">
      <w:numFmt w:val="decimal"/>
      <w:lvlText w:val=""/>
      <w:lvlJc w:val="left"/>
    </w:lvl>
  </w:abstractNum>
  <w:abstractNum w:abstractNumId="614">
    <w:nsid w:val="43EB5C5A"/>
    <w:multiLevelType w:val="singleLevel"/>
    <w:tmpl w:val="872E8C7E"/>
    <w:lvl w:ilvl="0">
      <w:start w:val="1"/>
      <w:numFmt w:val="decimal"/>
      <w:lvlText w:val="(%1)"/>
      <w:lvlJc w:val="left"/>
      <w:pPr>
        <w:tabs>
          <w:tab w:val="num" w:pos="1125"/>
        </w:tabs>
        <w:ind w:left="1125" w:hanging="405"/>
      </w:pPr>
      <w:rPr>
        <w:rFonts w:hint="default"/>
      </w:rPr>
    </w:lvl>
  </w:abstractNum>
  <w:abstractNum w:abstractNumId="615">
    <w:nsid w:val="43F30AB7"/>
    <w:multiLevelType w:val="singleLevel"/>
    <w:tmpl w:val="7BB430FE"/>
    <w:lvl w:ilvl="0">
      <w:numFmt w:val="decimal"/>
      <w:lvlText w:val=""/>
      <w:lvlJc w:val="left"/>
    </w:lvl>
  </w:abstractNum>
  <w:abstractNum w:abstractNumId="616">
    <w:nsid w:val="44780547"/>
    <w:multiLevelType w:val="singleLevel"/>
    <w:tmpl w:val="30BC2228"/>
    <w:lvl w:ilvl="0">
      <w:start w:val="1"/>
      <w:numFmt w:val="decimal"/>
      <w:lvlText w:val="(%1)"/>
      <w:lvlJc w:val="left"/>
      <w:pPr>
        <w:tabs>
          <w:tab w:val="num" w:pos="375"/>
        </w:tabs>
        <w:ind w:left="375" w:hanging="375"/>
      </w:pPr>
      <w:rPr>
        <w:rFonts w:hint="default"/>
      </w:rPr>
    </w:lvl>
  </w:abstractNum>
  <w:abstractNum w:abstractNumId="617">
    <w:nsid w:val="451B6F1D"/>
    <w:multiLevelType w:val="hybridMultilevel"/>
    <w:tmpl w:val="0C7C67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8">
    <w:nsid w:val="45355250"/>
    <w:multiLevelType w:val="multilevel"/>
    <w:tmpl w:val="393048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9">
    <w:nsid w:val="45365E45"/>
    <w:multiLevelType w:val="singleLevel"/>
    <w:tmpl w:val="7BB430FE"/>
    <w:lvl w:ilvl="0">
      <w:numFmt w:val="decimal"/>
      <w:lvlText w:val=""/>
      <w:lvlJc w:val="left"/>
    </w:lvl>
  </w:abstractNum>
  <w:abstractNum w:abstractNumId="620">
    <w:nsid w:val="45627A3E"/>
    <w:multiLevelType w:val="singleLevel"/>
    <w:tmpl w:val="F0742CB8"/>
    <w:lvl w:ilvl="0">
      <w:numFmt w:val="decimal"/>
      <w:lvlText w:val=""/>
      <w:lvlJc w:val="left"/>
    </w:lvl>
  </w:abstractNum>
  <w:abstractNum w:abstractNumId="621">
    <w:nsid w:val="45A052B7"/>
    <w:multiLevelType w:val="singleLevel"/>
    <w:tmpl w:val="827090E0"/>
    <w:lvl w:ilvl="0">
      <w:start w:val="19"/>
      <w:numFmt w:val="decimal"/>
      <w:lvlText w:val="%1."/>
      <w:lvlJc w:val="left"/>
      <w:pPr>
        <w:tabs>
          <w:tab w:val="num" w:pos="360"/>
        </w:tabs>
        <w:ind w:left="0" w:firstLine="0"/>
      </w:pPr>
    </w:lvl>
  </w:abstractNum>
  <w:abstractNum w:abstractNumId="622">
    <w:nsid w:val="45AD4723"/>
    <w:multiLevelType w:val="hybridMultilevel"/>
    <w:tmpl w:val="EDD0DC48"/>
    <w:lvl w:ilvl="0" w:tplc="0056223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23">
    <w:nsid w:val="45EA6AAA"/>
    <w:multiLevelType w:val="hybridMultilevel"/>
    <w:tmpl w:val="D53286A0"/>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24">
    <w:nsid w:val="45EC2D71"/>
    <w:multiLevelType w:val="hybridMultilevel"/>
    <w:tmpl w:val="3074554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5">
    <w:nsid w:val="46002DF5"/>
    <w:multiLevelType w:val="hybridMultilevel"/>
    <w:tmpl w:val="96AE071A"/>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26">
    <w:nsid w:val="461C5884"/>
    <w:multiLevelType w:val="hybridMultilevel"/>
    <w:tmpl w:val="5B9ABC2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7">
    <w:nsid w:val="463B77AA"/>
    <w:multiLevelType w:val="singleLevel"/>
    <w:tmpl w:val="175699D0"/>
    <w:lvl w:ilvl="0">
      <w:numFmt w:val="decimal"/>
      <w:lvlText w:val=""/>
      <w:lvlJc w:val="left"/>
    </w:lvl>
  </w:abstractNum>
  <w:abstractNum w:abstractNumId="628">
    <w:nsid w:val="4647534A"/>
    <w:multiLevelType w:val="singleLevel"/>
    <w:tmpl w:val="0A024BE4"/>
    <w:lvl w:ilvl="0">
      <w:start w:val="1"/>
      <w:numFmt w:val="decimal"/>
      <w:lvlText w:val="%1."/>
      <w:lvlJc w:val="left"/>
      <w:pPr>
        <w:tabs>
          <w:tab w:val="num" w:pos="360"/>
        </w:tabs>
        <w:ind w:left="0" w:firstLine="0"/>
      </w:pPr>
    </w:lvl>
  </w:abstractNum>
  <w:abstractNum w:abstractNumId="629">
    <w:nsid w:val="46740FDC"/>
    <w:multiLevelType w:val="hybridMultilevel"/>
    <w:tmpl w:val="8350FA72"/>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30">
    <w:nsid w:val="46840A50"/>
    <w:multiLevelType w:val="singleLevel"/>
    <w:tmpl w:val="B9B29256"/>
    <w:lvl w:ilvl="0">
      <w:numFmt w:val="decimal"/>
      <w:lvlText w:val=""/>
      <w:lvlJc w:val="left"/>
    </w:lvl>
  </w:abstractNum>
  <w:abstractNum w:abstractNumId="631">
    <w:nsid w:val="468B0178"/>
    <w:multiLevelType w:val="hybridMultilevel"/>
    <w:tmpl w:val="0180E898"/>
    <w:lvl w:ilvl="0" w:tplc="AB3CB4A4">
      <w:numFmt w:val="decimal"/>
      <w:lvlText w:val=""/>
      <w:lvlJc w:val="left"/>
    </w:lvl>
    <w:lvl w:ilvl="1" w:tplc="04090003">
      <w:numFmt w:val="decimal"/>
      <w:lvlText w:val=""/>
      <w:lvlJc w:val="left"/>
    </w:lvl>
    <w:lvl w:ilvl="2" w:tplc="C0006C9C">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32">
    <w:nsid w:val="468E09F4"/>
    <w:multiLevelType w:val="singleLevel"/>
    <w:tmpl w:val="2DD6ECB0"/>
    <w:lvl w:ilvl="0">
      <w:start w:val="1"/>
      <w:numFmt w:val="decimal"/>
      <w:lvlText w:val="(%1)"/>
      <w:lvlJc w:val="left"/>
      <w:pPr>
        <w:tabs>
          <w:tab w:val="num" w:pos="435"/>
        </w:tabs>
        <w:ind w:left="435" w:hanging="435"/>
      </w:pPr>
      <w:rPr>
        <w:rFonts w:hint="default"/>
      </w:rPr>
    </w:lvl>
  </w:abstractNum>
  <w:abstractNum w:abstractNumId="633">
    <w:nsid w:val="46945452"/>
    <w:multiLevelType w:val="hybridMultilevel"/>
    <w:tmpl w:val="7D186906"/>
    <w:lvl w:ilvl="0" w:tplc="3222CF34">
      <w:numFmt w:val="decimal"/>
      <w:lvlText w:val=""/>
      <w:lvlJc w:val="left"/>
    </w:lvl>
    <w:lvl w:ilvl="1" w:tplc="04090001">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34">
    <w:nsid w:val="4694602C"/>
    <w:multiLevelType w:val="hybridMultilevel"/>
    <w:tmpl w:val="38FA4CD2"/>
    <w:lvl w:ilvl="0" w:tplc="292C06D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35">
    <w:nsid w:val="469A527B"/>
    <w:multiLevelType w:val="singleLevel"/>
    <w:tmpl w:val="7BB430FE"/>
    <w:lvl w:ilvl="0">
      <w:numFmt w:val="decimal"/>
      <w:lvlText w:val=""/>
      <w:lvlJc w:val="left"/>
    </w:lvl>
  </w:abstractNum>
  <w:abstractNum w:abstractNumId="636">
    <w:nsid w:val="46A57249"/>
    <w:multiLevelType w:val="multilevel"/>
    <w:tmpl w:val="6150990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7">
    <w:nsid w:val="46A914CD"/>
    <w:multiLevelType w:val="singleLevel"/>
    <w:tmpl w:val="7BB430FE"/>
    <w:lvl w:ilvl="0">
      <w:numFmt w:val="decimal"/>
      <w:lvlText w:val=""/>
      <w:lvlJc w:val="left"/>
    </w:lvl>
  </w:abstractNum>
  <w:abstractNum w:abstractNumId="638">
    <w:nsid w:val="46B67350"/>
    <w:multiLevelType w:val="singleLevel"/>
    <w:tmpl w:val="15863998"/>
    <w:lvl w:ilvl="0">
      <w:numFmt w:val="decimal"/>
      <w:lvlText w:val=""/>
      <w:lvlJc w:val="left"/>
    </w:lvl>
  </w:abstractNum>
  <w:abstractNum w:abstractNumId="639">
    <w:nsid w:val="46DA51C7"/>
    <w:multiLevelType w:val="singleLevel"/>
    <w:tmpl w:val="FFDC6290"/>
    <w:lvl w:ilvl="0">
      <w:numFmt w:val="decimal"/>
      <w:lvlText w:val=""/>
      <w:lvlJc w:val="left"/>
    </w:lvl>
  </w:abstractNum>
  <w:abstractNum w:abstractNumId="640">
    <w:nsid w:val="46E15AED"/>
    <w:multiLevelType w:val="hybridMultilevel"/>
    <w:tmpl w:val="147A11CC"/>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41">
    <w:nsid w:val="473F764A"/>
    <w:multiLevelType w:val="hybridMultilevel"/>
    <w:tmpl w:val="6F6E5A3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2">
    <w:nsid w:val="47403727"/>
    <w:multiLevelType w:val="hybridMultilevel"/>
    <w:tmpl w:val="282A2BE2"/>
    <w:lvl w:ilvl="0" w:tplc="004A8D9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43">
    <w:nsid w:val="474317F7"/>
    <w:multiLevelType w:val="hybridMultilevel"/>
    <w:tmpl w:val="88BC2C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4">
    <w:nsid w:val="477C2662"/>
    <w:multiLevelType w:val="singleLevel"/>
    <w:tmpl w:val="56AC7582"/>
    <w:lvl w:ilvl="0">
      <w:numFmt w:val="decimal"/>
      <w:lvlText w:val=""/>
      <w:lvlJc w:val="left"/>
    </w:lvl>
  </w:abstractNum>
  <w:abstractNum w:abstractNumId="645">
    <w:nsid w:val="47B819B3"/>
    <w:multiLevelType w:val="singleLevel"/>
    <w:tmpl w:val="1C28A0A0"/>
    <w:lvl w:ilvl="0">
      <w:start w:val="1"/>
      <w:numFmt w:val="decimal"/>
      <w:lvlText w:val="(%1)"/>
      <w:lvlJc w:val="left"/>
      <w:pPr>
        <w:tabs>
          <w:tab w:val="num" w:pos="435"/>
        </w:tabs>
        <w:ind w:left="435" w:hanging="435"/>
      </w:pPr>
      <w:rPr>
        <w:rFonts w:hint="default"/>
      </w:rPr>
    </w:lvl>
  </w:abstractNum>
  <w:abstractNum w:abstractNumId="646">
    <w:nsid w:val="47DB4DA7"/>
    <w:multiLevelType w:val="singleLevel"/>
    <w:tmpl w:val="7BB430FE"/>
    <w:lvl w:ilvl="0">
      <w:numFmt w:val="decimal"/>
      <w:lvlText w:val=""/>
      <w:lvlJc w:val="left"/>
    </w:lvl>
  </w:abstractNum>
  <w:abstractNum w:abstractNumId="647">
    <w:nsid w:val="47F07DE8"/>
    <w:multiLevelType w:val="hybridMultilevel"/>
    <w:tmpl w:val="C144F1DC"/>
    <w:lvl w:ilvl="0" w:tplc="70C840D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48">
    <w:nsid w:val="47F554F8"/>
    <w:multiLevelType w:val="hybridMultilevel"/>
    <w:tmpl w:val="AA8E8276"/>
    <w:lvl w:ilvl="0" w:tplc="A634AF80">
      <w:numFmt w:val="decimal"/>
      <w:lvlText w:val=""/>
      <w:lvlJc w:val="left"/>
    </w:lvl>
    <w:lvl w:ilvl="1" w:tplc="8098BD5A">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49">
    <w:nsid w:val="48122572"/>
    <w:multiLevelType w:val="hybridMultilevel"/>
    <w:tmpl w:val="152CBD40"/>
    <w:lvl w:ilvl="0" w:tplc="C2A2522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50">
    <w:nsid w:val="48233074"/>
    <w:multiLevelType w:val="singleLevel"/>
    <w:tmpl w:val="7BB430FE"/>
    <w:lvl w:ilvl="0">
      <w:numFmt w:val="decimal"/>
      <w:lvlText w:val=""/>
      <w:lvlJc w:val="left"/>
    </w:lvl>
  </w:abstractNum>
  <w:abstractNum w:abstractNumId="651">
    <w:nsid w:val="48373C12"/>
    <w:multiLevelType w:val="singleLevel"/>
    <w:tmpl w:val="A3CA3004"/>
    <w:lvl w:ilvl="0">
      <w:numFmt w:val="decimal"/>
      <w:lvlText w:val=""/>
      <w:lvlJc w:val="left"/>
    </w:lvl>
  </w:abstractNum>
  <w:abstractNum w:abstractNumId="652">
    <w:nsid w:val="484673E4"/>
    <w:multiLevelType w:val="singleLevel"/>
    <w:tmpl w:val="7BB430FE"/>
    <w:lvl w:ilvl="0">
      <w:numFmt w:val="decimal"/>
      <w:lvlText w:val=""/>
      <w:lvlJc w:val="left"/>
    </w:lvl>
  </w:abstractNum>
  <w:abstractNum w:abstractNumId="653">
    <w:nsid w:val="487D36A6"/>
    <w:multiLevelType w:val="hybridMultilevel"/>
    <w:tmpl w:val="F9861358"/>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54">
    <w:nsid w:val="488B48D5"/>
    <w:multiLevelType w:val="multilevel"/>
    <w:tmpl w:val="7140170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5">
    <w:nsid w:val="48994733"/>
    <w:multiLevelType w:val="singleLevel"/>
    <w:tmpl w:val="5596EEAE"/>
    <w:lvl w:ilvl="0">
      <w:start w:val="1"/>
      <w:numFmt w:val="decimal"/>
      <w:lvlText w:val="%1."/>
      <w:lvlJc w:val="left"/>
      <w:pPr>
        <w:tabs>
          <w:tab w:val="num" w:pos="360"/>
        </w:tabs>
        <w:ind w:left="360" w:hanging="360"/>
      </w:pPr>
      <w:rPr>
        <w:rFonts w:hint="default"/>
      </w:rPr>
    </w:lvl>
  </w:abstractNum>
  <w:abstractNum w:abstractNumId="656">
    <w:nsid w:val="48DD149D"/>
    <w:multiLevelType w:val="hybridMultilevel"/>
    <w:tmpl w:val="1BE43DA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7">
    <w:nsid w:val="494D474E"/>
    <w:multiLevelType w:val="singleLevel"/>
    <w:tmpl w:val="7BB430FE"/>
    <w:lvl w:ilvl="0">
      <w:numFmt w:val="decimal"/>
      <w:lvlText w:val=""/>
      <w:lvlJc w:val="left"/>
    </w:lvl>
  </w:abstractNum>
  <w:abstractNum w:abstractNumId="658">
    <w:nsid w:val="495877C6"/>
    <w:multiLevelType w:val="singleLevel"/>
    <w:tmpl w:val="902C74BA"/>
    <w:lvl w:ilvl="0">
      <w:numFmt w:val="decimal"/>
      <w:lvlText w:val=""/>
      <w:lvlJc w:val="left"/>
    </w:lvl>
  </w:abstractNum>
  <w:abstractNum w:abstractNumId="659">
    <w:nsid w:val="496A3300"/>
    <w:multiLevelType w:val="singleLevel"/>
    <w:tmpl w:val="7BB430FE"/>
    <w:lvl w:ilvl="0">
      <w:numFmt w:val="decimal"/>
      <w:lvlText w:val=""/>
      <w:lvlJc w:val="left"/>
    </w:lvl>
  </w:abstractNum>
  <w:abstractNum w:abstractNumId="660">
    <w:nsid w:val="49724D44"/>
    <w:multiLevelType w:val="hybridMultilevel"/>
    <w:tmpl w:val="E1FE80A2"/>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61">
    <w:nsid w:val="4978386B"/>
    <w:multiLevelType w:val="singleLevel"/>
    <w:tmpl w:val="7BB430FE"/>
    <w:lvl w:ilvl="0">
      <w:numFmt w:val="decimal"/>
      <w:lvlText w:val=""/>
      <w:lvlJc w:val="left"/>
    </w:lvl>
  </w:abstractNum>
  <w:abstractNum w:abstractNumId="662">
    <w:nsid w:val="499E6E0B"/>
    <w:multiLevelType w:val="singleLevel"/>
    <w:tmpl w:val="FC8E95EE"/>
    <w:lvl w:ilvl="0">
      <w:numFmt w:val="decimal"/>
      <w:lvlText w:val=""/>
      <w:lvlJc w:val="left"/>
    </w:lvl>
  </w:abstractNum>
  <w:abstractNum w:abstractNumId="663">
    <w:nsid w:val="49A16DB2"/>
    <w:multiLevelType w:val="hybridMultilevel"/>
    <w:tmpl w:val="E5A4517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4">
    <w:nsid w:val="49D1263A"/>
    <w:multiLevelType w:val="hybridMultilevel"/>
    <w:tmpl w:val="DEE464B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5">
    <w:nsid w:val="49DB1570"/>
    <w:multiLevelType w:val="singleLevel"/>
    <w:tmpl w:val="445030D4"/>
    <w:lvl w:ilvl="0">
      <w:numFmt w:val="decimal"/>
      <w:lvlText w:val=""/>
      <w:lvlJc w:val="left"/>
    </w:lvl>
  </w:abstractNum>
  <w:abstractNum w:abstractNumId="666">
    <w:nsid w:val="49F165F3"/>
    <w:multiLevelType w:val="singleLevel"/>
    <w:tmpl w:val="C5D055E2"/>
    <w:lvl w:ilvl="0">
      <w:numFmt w:val="decimal"/>
      <w:lvlText w:val=""/>
      <w:lvlJc w:val="left"/>
    </w:lvl>
  </w:abstractNum>
  <w:abstractNum w:abstractNumId="667">
    <w:nsid w:val="4A014902"/>
    <w:multiLevelType w:val="singleLevel"/>
    <w:tmpl w:val="4404BC3E"/>
    <w:lvl w:ilvl="0">
      <w:numFmt w:val="decimal"/>
      <w:lvlText w:val=""/>
      <w:lvlJc w:val="left"/>
    </w:lvl>
  </w:abstractNum>
  <w:abstractNum w:abstractNumId="668">
    <w:nsid w:val="4A514B9D"/>
    <w:multiLevelType w:val="singleLevel"/>
    <w:tmpl w:val="348A0B44"/>
    <w:lvl w:ilvl="0">
      <w:numFmt w:val="decimal"/>
      <w:lvlText w:val=""/>
      <w:lvlJc w:val="left"/>
    </w:lvl>
  </w:abstractNum>
  <w:abstractNum w:abstractNumId="669">
    <w:nsid w:val="4A5A11AF"/>
    <w:multiLevelType w:val="multilevel"/>
    <w:tmpl w:val="C89A77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0">
    <w:nsid w:val="4A6B3178"/>
    <w:multiLevelType w:val="singleLevel"/>
    <w:tmpl w:val="7BB430FE"/>
    <w:lvl w:ilvl="0">
      <w:numFmt w:val="decimal"/>
      <w:lvlText w:val=""/>
      <w:lvlJc w:val="left"/>
    </w:lvl>
  </w:abstractNum>
  <w:abstractNum w:abstractNumId="671">
    <w:nsid w:val="4AD63268"/>
    <w:multiLevelType w:val="singleLevel"/>
    <w:tmpl w:val="7BB430FE"/>
    <w:lvl w:ilvl="0">
      <w:numFmt w:val="decimal"/>
      <w:lvlText w:val=""/>
      <w:lvlJc w:val="left"/>
    </w:lvl>
  </w:abstractNum>
  <w:abstractNum w:abstractNumId="672">
    <w:nsid w:val="4AE61B9A"/>
    <w:multiLevelType w:val="hybridMultilevel"/>
    <w:tmpl w:val="3AE271CA"/>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73">
    <w:nsid w:val="4B147C45"/>
    <w:multiLevelType w:val="hybridMultilevel"/>
    <w:tmpl w:val="846238A6"/>
    <w:lvl w:ilvl="0" w:tplc="179AB07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74">
    <w:nsid w:val="4B2A3C3B"/>
    <w:multiLevelType w:val="multilevel"/>
    <w:tmpl w:val="24A886A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5">
    <w:nsid w:val="4B4F5B4A"/>
    <w:multiLevelType w:val="multilevel"/>
    <w:tmpl w:val="E1C607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6">
    <w:nsid w:val="4B652D7F"/>
    <w:multiLevelType w:val="hybridMultilevel"/>
    <w:tmpl w:val="2A0A259E"/>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77">
    <w:nsid w:val="4B6B1C34"/>
    <w:multiLevelType w:val="singleLevel"/>
    <w:tmpl w:val="7942747C"/>
    <w:lvl w:ilvl="0">
      <w:numFmt w:val="decimal"/>
      <w:lvlText w:val=""/>
      <w:lvlJc w:val="left"/>
    </w:lvl>
  </w:abstractNum>
  <w:abstractNum w:abstractNumId="678">
    <w:nsid w:val="4B77594A"/>
    <w:multiLevelType w:val="hybridMultilevel"/>
    <w:tmpl w:val="EBCC99D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9">
    <w:nsid w:val="4B780270"/>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680">
    <w:nsid w:val="4B8022A0"/>
    <w:multiLevelType w:val="singleLevel"/>
    <w:tmpl w:val="276E0930"/>
    <w:lvl w:ilvl="0">
      <w:numFmt w:val="decimal"/>
      <w:lvlText w:val=""/>
      <w:lvlJc w:val="left"/>
    </w:lvl>
  </w:abstractNum>
  <w:abstractNum w:abstractNumId="681">
    <w:nsid w:val="4B8616E1"/>
    <w:multiLevelType w:val="singleLevel"/>
    <w:tmpl w:val="7BB430FE"/>
    <w:lvl w:ilvl="0">
      <w:numFmt w:val="decimal"/>
      <w:lvlText w:val=""/>
      <w:lvlJc w:val="left"/>
    </w:lvl>
  </w:abstractNum>
  <w:abstractNum w:abstractNumId="682">
    <w:nsid w:val="4BC2294D"/>
    <w:multiLevelType w:val="singleLevel"/>
    <w:tmpl w:val="7BB430FE"/>
    <w:lvl w:ilvl="0">
      <w:numFmt w:val="decimal"/>
      <w:lvlText w:val=""/>
      <w:lvlJc w:val="left"/>
    </w:lvl>
  </w:abstractNum>
  <w:abstractNum w:abstractNumId="683">
    <w:nsid w:val="4BF35D2A"/>
    <w:multiLevelType w:val="singleLevel"/>
    <w:tmpl w:val="A454C3AE"/>
    <w:lvl w:ilvl="0">
      <w:numFmt w:val="decimal"/>
      <w:lvlText w:val=""/>
      <w:lvlJc w:val="left"/>
    </w:lvl>
  </w:abstractNum>
  <w:abstractNum w:abstractNumId="684">
    <w:nsid w:val="4C1D2FB8"/>
    <w:multiLevelType w:val="hybridMultilevel"/>
    <w:tmpl w:val="81702CCE"/>
    <w:lvl w:ilvl="0" w:tplc="34E24A6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85">
    <w:nsid w:val="4C28608F"/>
    <w:multiLevelType w:val="hybridMultilevel"/>
    <w:tmpl w:val="5B4CFB14"/>
    <w:lvl w:ilvl="0" w:tplc="4232C82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86">
    <w:nsid w:val="4C5403B7"/>
    <w:multiLevelType w:val="singleLevel"/>
    <w:tmpl w:val="527E38D8"/>
    <w:lvl w:ilvl="0">
      <w:numFmt w:val="decimal"/>
      <w:lvlText w:val=""/>
      <w:lvlJc w:val="left"/>
    </w:lvl>
  </w:abstractNum>
  <w:abstractNum w:abstractNumId="687">
    <w:nsid w:val="4C785B39"/>
    <w:multiLevelType w:val="multilevel"/>
    <w:tmpl w:val="A3349BC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8">
    <w:nsid w:val="4C8266AD"/>
    <w:multiLevelType w:val="singleLevel"/>
    <w:tmpl w:val="5F64157C"/>
    <w:lvl w:ilvl="0">
      <w:numFmt w:val="decimal"/>
      <w:lvlText w:val=""/>
      <w:lvlJc w:val="left"/>
    </w:lvl>
  </w:abstractNum>
  <w:abstractNum w:abstractNumId="689">
    <w:nsid w:val="4CC740FE"/>
    <w:multiLevelType w:val="singleLevel"/>
    <w:tmpl w:val="0ADCF8FC"/>
    <w:lvl w:ilvl="0">
      <w:numFmt w:val="decimal"/>
      <w:lvlText w:val=""/>
      <w:lvlJc w:val="left"/>
    </w:lvl>
  </w:abstractNum>
  <w:abstractNum w:abstractNumId="690">
    <w:nsid w:val="4CE93BA1"/>
    <w:multiLevelType w:val="singleLevel"/>
    <w:tmpl w:val="81040BCC"/>
    <w:lvl w:ilvl="0">
      <w:numFmt w:val="decimal"/>
      <w:lvlText w:val=""/>
      <w:lvlJc w:val="left"/>
    </w:lvl>
  </w:abstractNum>
  <w:abstractNum w:abstractNumId="691">
    <w:nsid w:val="4CFD5D7E"/>
    <w:multiLevelType w:val="singleLevel"/>
    <w:tmpl w:val="D9542EEC"/>
    <w:lvl w:ilvl="0">
      <w:numFmt w:val="decimal"/>
      <w:lvlText w:val=""/>
      <w:lvlJc w:val="left"/>
    </w:lvl>
  </w:abstractNum>
  <w:abstractNum w:abstractNumId="692">
    <w:nsid w:val="4D016332"/>
    <w:multiLevelType w:val="multilevel"/>
    <w:tmpl w:val="5BC02A6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3">
    <w:nsid w:val="4D3E7930"/>
    <w:multiLevelType w:val="hybridMultilevel"/>
    <w:tmpl w:val="A2EA6CBE"/>
    <w:lvl w:ilvl="0" w:tplc="570A81F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94">
    <w:nsid w:val="4D4E6AD9"/>
    <w:multiLevelType w:val="multilevel"/>
    <w:tmpl w:val="AAF050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5">
    <w:nsid w:val="4D63183E"/>
    <w:multiLevelType w:val="hybridMultilevel"/>
    <w:tmpl w:val="277639D6"/>
    <w:lvl w:ilvl="0" w:tplc="B4442378">
      <w:numFmt w:val="decimal"/>
      <w:lvlText w:val=""/>
      <w:lvlJc w:val="left"/>
    </w:lvl>
    <w:lvl w:ilvl="1" w:tplc="4B3A5F0C">
      <w:numFmt w:val="decimal"/>
      <w:lvlText w:val=""/>
      <w:lvlJc w:val="left"/>
    </w:lvl>
    <w:lvl w:ilvl="2" w:tplc="0409001B">
      <w:numFmt w:val="decimal"/>
      <w:lvlText w:val=""/>
      <w:lvlJc w:val="left"/>
    </w:lvl>
    <w:lvl w:ilvl="3" w:tplc="FE1044C2">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96">
    <w:nsid w:val="4D6A33A4"/>
    <w:multiLevelType w:val="hybridMultilevel"/>
    <w:tmpl w:val="ECE21A90"/>
    <w:lvl w:ilvl="0" w:tplc="B3902D08">
      <w:numFmt w:val="decimal"/>
      <w:lvlText w:val=""/>
      <w:lvlJc w:val="left"/>
    </w:lvl>
    <w:lvl w:ilvl="1" w:tplc="45621E14">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97">
    <w:nsid w:val="4D6D2002"/>
    <w:multiLevelType w:val="hybridMultilevel"/>
    <w:tmpl w:val="4042AD12"/>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98">
    <w:nsid w:val="4D75362E"/>
    <w:multiLevelType w:val="singleLevel"/>
    <w:tmpl w:val="7BB430FE"/>
    <w:lvl w:ilvl="0">
      <w:numFmt w:val="decimal"/>
      <w:lvlText w:val=""/>
      <w:lvlJc w:val="left"/>
    </w:lvl>
  </w:abstractNum>
  <w:abstractNum w:abstractNumId="699">
    <w:nsid w:val="4DD5224E"/>
    <w:multiLevelType w:val="singleLevel"/>
    <w:tmpl w:val="8DD01114"/>
    <w:lvl w:ilvl="0">
      <w:numFmt w:val="decimal"/>
      <w:lvlText w:val=""/>
      <w:lvlJc w:val="left"/>
    </w:lvl>
  </w:abstractNum>
  <w:abstractNum w:abstractNumId="700">
    <w:nsid w:val="4E317F10"/>
    <w:multiLevelType w:val="hybridMultilevel"/>
    <w:tmpl w:val="1BC817C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1">
    <w:nsid w:val="4E526D29"/>
    <w:multiLevelType w:val="hybridMultilevel"/>
    <w:tmpl w:val="094AB85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02">
    <w:nsid w:val="4E67135E"/>
    <w:multiLevelType w:val="hybridMultilevel"/>
    <w:tmpl w:val="727C8454"/>
    <w:lvl w:ilvl="0" w:tplc="0409000B">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03">
    <w:nsid w:val="4E765683"/>
    <w:multiLevelType w:val="singleLevel"/>
    <w:tmpl w:val="491287E8"/>
    <w:lvl w:ilvl="0">
      <w:numFmt w:val="decimal"/>
      <w:lvlText w:val=""/>
      <w:lvlJc w:val="left"/>
    </w:lvl>
  </w:abstractNum>
  <w:abstractNum w:abstractNumId="704">
    <w:nsid w:val="4ED33B0B"/>
    <w:multiLevelType w:val="hybridMultilevel"/>
    <w:tmpl w:val="0DFE17FC"/>
    <w:lvl w:ilvl="0" w:tplc="98BA82D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05">
    <w:nsid w:val="4F094035"/>
    <w:multiLevelType w:val="multilevel"/>
    <w:tmpl w:val="9C76FD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6">
    <w:nsid w:val="4F4A7EF8"/>
    <w:multiLevelType w:val="singleLevel"/>
    <w:tmpl w:val="4C4C89CE"/>
    <w:lvl w:ilvl="0">
      <w:numFmt w:val="decimal"/>
      <w:lvlText w:val=""/>
      <w:lvlJc w:val="left"/>
    </w:lvl>
  </w:abstractNum>
  <w:abstractNum w:abstractNumId="707">
    <w:nsid w:val="4F5B0C8B"/>
    <w:multiLevelType w:val="hybridMultilevel"/>
    <w:tmpl w:val="C75251F8"/>
    <w:lvl w:ilvl="0" w:tplc="95DCABC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08">
    <w:nsid w:val="4F6B087D"/>
    <w:multiLevelType w:val="singleLevel"/>
    <w:tmpl w:val="041E000F"/>
    <w:lvl w:ilvl="0">
      <w:start w:val="1"/>
      <w:numFmt w:val="decimal"/>
      <w:lvlText w:val="%1."/>
      <w:lvlJc w:val="left"/>
      <w:pPr>
        <w:tabs>
          <w:tab w:val="num" w:pos="360"/>
        </w:tabs>
        <w:ind w:left="360" w:hanging="360"/>
      </w:pPr>
    </w:lvl>
  </w:abstractNum>
  <w:abstractNum w:abstractNumId="709">
    <w:nsid w:val="4F901754"/>
    <w:multiLevelType w:val="hybridMultilevel"/>
    <w:tmpl w:val="327E5790"/>
    <w:lvl w:ilvl="0" w:tplc="2EE67D0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10">
    <w:nsid w:val="4F937DB9"/>
    <w:multiLevelType w:val="singleLevel"/>
    <w:tmpl w:val="7BB430FE"/>
    <w:lvl w:ilvl="0">
      <w:numFmt w:val="decimal"/>
      <w:lvlText w:val=""/>
      <w:lvlJc w:val="left"/>
    </w:lvl>
  </w:abstractNum>
  <w:abstractNum w:abstractNumId="711">
    <w:nsid w:val="4F9F54A7"/>
    <w:multiLevelType w:val="singleLevel"/>
    <w:tmpl w:val="CA0235C4"/>
    <w:lvl w:ilvl="0">
      <w:numFmt w:val="decimal"/>
      <w:pStyle w:val="Heading1"/>
      <w:lvlText w:val=""/>
      <w:lvlJc w:val="left"/>
    </w:lvl>
  </w:abstractNum>
  <w:abstractNum w:abstractNumId="712">
    <w:nsid w:val="4FB75867"/>
    <w:multiLevelType w:val="singleLevel"/>
    <w:tmpl w:val="3D96153A"/>
    <w:lvl w:ilvl="0">
      <w:start w:val="1"/>
      <w:numFmt w:val="decimal"/>
      <w:lvlText w:val="(%1)"/>
      <w:lvlJc w:val="left"/>
      <w:pPr>
        <w:tabs>
          <w:tab w:val="num" w:pos="435"/>
        </w:tabs>
        <w:ind w:left="435" w:hanging="435"/>
      </w:pPr>
      <w:rPr>
        <w:rFonts w:hint="default"/>
      </w:rPr>
    </w:lvl>
  </w:abstractNum>
  <w:abstractNum w:abstractNumId="713">
    <w:nsid w:val="4FBA5DBF"/>
    <w:multiLevelType w:val="singleLevel"/>
    <w:tmpl w:val="7BB430FE"/>
    <w:lvl w:ilvl="0">
      <w:numFmt w:val="decimal"/>
      <w:lvlText w:val=""/>
      <w:lvlJc w:val="left"/>
    </w:lvl>
  </w:abstractNum>
  <w:abstractNum w:abstractNumId="714">
    <w:nsid w:val="4FC87C83"/>
    <w:multiLevelType w:val="singleLevel"/>
    <w:tmpl w:val="7BB430FE"/>
    <w:lvl w:ilvl="0">
      <w:numFmt w:val="decimal"/>
      <w:lvlText w:val=""/>
      <w:lvlJc w:val="left"/>
    </w:lvl>
  </w:abstractNum>
  <w:abstractNum w:abstractNumId="715">
    <w:nsid w:val="4FD74159"/>
    <w:multiLevelType w:val="hybridMultilevel"/>
    <w:tmpl w:val="4C06EB8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16">
    <w:nsid w:val="4FE00135"/>
    <w:multiLevelType w:val="multilevel"/>
    <w:tmpl w:val="E72C080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7">
    <w:nsid w:val="504E79E8"/>
    <w:multiLevelType w:val="hybridMultilevel"/>
    <w:tmpl w:val="2D3A6AB2"/>
    <w:lvl w:ilvl="0" w:tplc="67E0896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18">
    <w:nsid w:val="50784F26"/>
    <w:multiLevelType w:val="singleLevel"/>
    <w:tmpl w:val="52505FAE"/>
    <w:lvl w:ilvl="0">
      <w:numFmt w:val="decimal"/>
      <w:lvlText w:val=""/>
      <w:lvlJc w:val="left"/>
    </w:lvl>
  </w:abstractNum>
  <w:abstractNum w:abstractNumId="719">
    <w:nsid w:val="5089696E"/>
    <w:multiLevelType w:val="singleLevel"/>
    <w:tmpl w:val="7BB430FE"/>
    <w:lvl w:ilvl="0">
      <w:numFmt w:val="decimal"/>
      <w:lvlText w:val=""/>
      <w:lvlJc w:val="left"/>
    </w:lvl>
  </w:abstractNum>
  <w:abstractNum w:abstractNumId="720">
    <w:nsid w:val="50B85FD4"/>
    <w:multiLevelType w:val="hybridMultilevel"/>
    <w:tmpl w:val="91C25134"/>
    <w:lvl w:ilvl="0" w:tplc="E7A8C48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21">
    <w:nsid w:val="50C56AAD"/>
    <w:multiLevelType w:val="hybridMultilevel"/>
    <w:tmpl w:val="86EC75F8"/>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22">
    <w:nsid w:val="50C60C0A"/>
    <w:multiLevelType w:val="singleLevel"/>
    <w:tmpl w:val="7BB430FE"/>
    <w:lvl w:ilvl="0">
      <w:numFmt w:val="decimal"/>
      <w:lvlText w:val=""/>
      <w:lvlJc w:val="left"/>
    </w:lvl>
  </w:abstractNum>
  <w:abstractNum w:abstractNumId="723">
    <w:nsid w:val="50D70B50"/>
    <w:multiLevelType w:val="singleLevel"/>
    <w:tmpl w:val="ABEE3A50"/>
    <w:lvl w:ilvl="0">
      <w:numFmt w:val="decimal"/>
      <w:lvlText w:val=""/>
      <w:lvlJc w:val="left"/>
    </w:lvl>
  </w:abstractNum>
  <w:abstractNum w:abstractNumId="724">
    <w:nsid w:val="50F161B8"/>
    <w:multiLevelType w:val="singleLevel"/>
    <w:tmpl w:val="2C029D64"/>
    <w:lvl w:ilvl="0">
      <w:numFmt w:val="decimal"/>
      <w:lvlText w:val=""/>
      <w:lvlJc w:val="left"/>
    </w:lvl>
  </w:abstractNum>
  <w:abstractNum w:abstractNumId="725">
    <w:nsid w:val="51457BC3"/>
    <w:multiLevelType w:val="hybridMultilevel"/>
    <w:tmpl w:val="77E8879C"/>
    <w:lvl w:ilvl="0" w:tplc="7D721E9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26">
    <w:nsid w:val="515F695C"/>
    <w:multiLevelType w:val="hybridMultilevel"/>
    <w:tmpl w:val="30523C00"/>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27">
    <w:nsid w:val="516F531D"/>
    <w:multiLevelType w:val="singleLevel"/>
    <w:tmpl w:val="7F66F1C6"/>
    <w:lvl w:ilvl="0">
      <w:numFmt w:val="decimal"/>
      <w:lvlText w:val=""/>
      <w:lvlJc w:val="left"/>
    </w:lvl>
  </w:abstractNum>
  <w:abstractNum w:abstractNumId="728">
    <w:nsid w:val="51724CD8"/>
    <w:multiLevelType w:val="hybridMultilevel"/>
    <w:tmpl w:val="97EA8A44"/>
    <w:lvl w:ilvl="0" w:tplc="1C5AF40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29">
    <w:nsid w:val="518A6CC7"/>
    <w:multiLevelType w:val="singleLevel"/>
    <w:tmpl w:val="AFF85362"/>
    <w:lvl w:ilvl="0">
      <w:start w:val="1"/>
      <w:numFmt w:val="decimal"/>
      <w:lvlText w:val="(%1)"/>
      <w:lvlJc w:val="left"/>
      <w:pPr>
        <w:tabs>
          <w:tab w:val="num" w:pos="360"/>
        </w:tabs>
        <w:ind w:left="360" w:hanging="360"/>
      </w:pPr>
      <w:rPr>
        <w:rFonts w:hint="default"/>
      </w:rPr>
    </w:lvl>
  </w:abstractNum>
  <w:abstractNum w:abstractNumId="730">
    <w:nsid w:val="518F1551"/>
    <w:multiLevelType w:val="hybridMultilevel"/>
    <w:tmpl w:val="805A85DE"/>
    <w:lvl w:ilvl="0" w:tplc="2C7014A0">
      <w:numFmt w:val="decimal"/>
      <w:lvlText w:val=""/>
      <w:lvlJc w:val="left"/>
    </w:lvl>
    <w:lvl w:ilvl="1" w:tplc="0D806A5A">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31">
    <w:nsid w:val="51E04F53"/>
    <w:multiLevelType w:val="multilevel"/>
    <w:tmpl w:val="BE2E9FF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2">
    <w:nsid w:val="51ED3998"/>
    <w:multiLevelType w:val="singleLevel"/>
    <w:tmpl w:val="9D6EFF3C"/>
    <w:lvl w:ilvl="0">
      <w:start w:val="1"/>
      <w:numFmt w:val="decimal"/>
      <w:lvlText w:val="(%1)"/>
      <w:lvlJc w:val="left"/>
      <w:pPr>
        <w:tabs>
          <w:tab w:val="num" w:pos="360"/>
        </w:tabs>
        <w:ind w:left="360" w:hanging="360"/>
      </w:pPr>
      <w:rPr>
        <w:rFonts w:hint="default"/>
      </w:rPr>
    </w:lvl>
  </w:abstractNum>
  <w:abstractNum w:abstractNumId="733">
    <w:nsid w:val="52153286"/>
    <w:multiLevelType w:val="singleLevel"/>
    <w:tmpl w:val="F52AD752"/>
    <w:lvl w:ilvl="0">
      <w:numFmt w:val="decimal"/>
      <w:lvlText w:val=""/>
      <w:lvlJc w:val="left"/>
    </w:lvl>
  </w:abstractNum>
  <w:abstractNum w:abstractNumId="734">
    <w:nsid w:val="52280917"/>
    <w:multiLevelType w:val="multilevel"/>
    <w:tmpl w:val="6390171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5">
    <w:nsid w:val="525311ED"/>
    <w:multiLevelType w:val="singleLevel"/>
    <w:tmpl w:val="7BB430FE"/>
    <w:lvl w:ilvl="0">
      <w:numFmt w:val="decimal"/>
      <w:lvlText w:val=""/>
      <w:lvlJc w:val="left"/>
    </w:lvl>
  </w:abstractNum>
  <w:abstractNum w:abstractNumId="736">
    <w:nsid w:val="5274623C"/>
    <w:multiLevelType w:val="hybridMultilevel"/>
    <w:tmpl w:val="B1CC51DA"/>
    <w:lvl w:ilvl="0" w:tplc="7758D63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37">
    <w:nsid w:val="5277550E"/>
    <w:multiLevelType w:val="singleLevel"/>
    <w:tmpl w:val="E1E6F278"/>
    <w:lvl w:ilvl="0">
      <w:start w:val="55"/>
      <w:numFmt w:val="decimal"/>
      <w:lvlText w:val="%1."/>
      <w:lvlJc w:val="left"/>
      <w:pPr>
        <w:tabs>
          <w:tab w:val="num" w:pos="360"/>
        </w:tabs>
        <w:ind w:left="0" w:firstLine="0"/>
      </w:pPr>
    </w:lvl>
  </w:abstractNum>
  <w:abstractNum w:abstractNumId="738">
    <w:nsid w:val="52B0015D"/>
    <w:multiLevelType w:val="hybridMultilevel"/>
    <w:tmpl w:val="DD326C80"/>
    <w:lvl w:ilvl="0" w:tplc="D36ED908">
      <w:numFmt w:val="decimal"/>
      <w:lvlText w:val=""/>
      <w:lvlJc w:val="left"/>
    </w:lvl>
    <w:lvl w:ilvl="1" w:tplc="96E2ED20">
      <w:numFmt w:val="decimal"/>
      <w:lvlText w:val=""/>
      <w:lvlJc w:val="left"/>
    </w:lvl>
    <w:lvl w:ilvl="2" w:tplc="7292A7BE">
      <w:numFmt w:val="decimal"/>
      <w:lvlText w:val=""/>
      <w:lvlJc w:val="left"/>
    </w:lvl>
    <w:lvl w:ilvl="3" w:tplc="BC382100">
      <w:numFmt w:val="decimal"/>
      <w:lvlText w:val=""/>
      <w:lvlJc w:val="left"/>
    </w:lvl>
    <w:lvl w:ilvl="4" w:tplc="724425BA">
      <w:numFmt w:val="decimal"/>
      <w:lvlText w:val=""/>
      <w:lvlJc w:val="left"/>
    </w:lvl>
    <w:lvl w:ilvl="5" w:tplc="CC1E42A8">
      <w:numFmt w:val="decimal"/>
      <w:lvlText w:val=""/>
      <w:lvlJc w:val="left"/>
    </w:lvl>
    <w:lvl w:ilvl="6" w:tplc="74D0D63A">
      <w:numFmt w:val="decimal"/>
      <w:lvlText w:val=""/>
      <w:lvlJc w:val="left"/>
    </w:lvl>
    <w:lvl w:ilvl="7" w:tplc="26562062">
      <w:numFmt w:val="decimal"/>
      <w:lvlText w:val=""/>
      <w:lvlJc w:val="left"/>
    </w:lvl>
    <w:lvl w:ilvl="8" w:tplc="B1CA1F1E">
      <w:numFmt w:val="decimal"/>
      <w:lvlText w:val=""/>
      <w:lvlJc w:val="left"/>
    </w:lvl>
  </w:abstractNum>
  <w:abstractNum w:abstractNumId="739">
    <w:nsid w:val="52CF10B3"/>
    <w:multiLevelType w:val="hybridMultilevel"/>
    <w:tmpl w:val="BE22C9F4"/>
    <w:lvl w:ilvl="0" w:tplc="9190D1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40">
    <w:nsid w:val="52DA354C"/>
    <w:multiLevelType w:val="hybridMultilevel"/>
    <w:tmpl w:val="C3AE6DC0"/>
    <w:lvl w:ilvl="0" w:tplc="04090019">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41">
    <w:nsid w:val="53082A08"/>
    <w:multiLevelType w:val="singleLevel"/>
    <w:tmpl w:val="5E3A40B6"/>
    <w:lvl w:ilvl="0">
      <w:start w:val="8"/>
      <w:numFmt w:val="decimal"/>
      <w:lvlText w:val="%1."/>
      <w:lvlJc w:val="left"/>
      <w:pPr>
        <w:tabs>
          <w:tab w:val="num" w:pos="360"/>
        </w:tabs>
        <w:ind w:left="0" w:firstLine="0"/>
      </w:pPr>
    </w:lvl>
  </w:abstractNum>
  <w:abstractNum w:abstractNumId="742">
    <w:nsid w:val="53313C19"/>
    <w:multiLevelType w:val="singleLevel"/>
    <w:tmpl w:val="9934F284"/>
    <w:lvl w:ilvl="0">
      <w:numFmt w:val="decimal"/>
      <w:lvlText w:val=""/>
      <w:lvlJc w:val="left"/>
    </w:lvl>
  </w:abstractNum>
  <w:abstractNum w:abstractNumId="743">
    <w:nsid w:val="53593FBC"/>
    <w:multiLevelType w:val="singleLevel"/>
    <w:tmpl w:val="9FBC685E"/>
    <w:lvl w:ilvl="0">
      <w:start w:val="1"/>
      <w:numFmt w:val="decimal"/>
      <w:lvlText w:val="(%1)"/>
      <w:lvlJc w:val="left"/>
      <w:pPr>
        <w:tabs>
          <w:tab w:val="num" w:pos="375"/>
        </w:tabs>
        <w:ind w:left="375" w:hanging="375"/>
      </w:pPr>
      <w:rPr>
        <w:rFonts w:hint="default"/>
      </w:rPr>
    </w:lvl>
  </w:abstractNum>
  <w:abstractNum w:abstractNumId="744">
    <w:nsid w:val="53757E6E"/>
    <w:multiLevelType w:val="hybridMultilevel"/>
    <w:tmpl w:val="74A68358"/>
    <w:lvl w:ilvl="0" w:tplc="38CC4A58">
      <w:numFmt w:val="decimal"/>
      <w:lvlText w:val=""/>
      <w:lvlJc w:val="left"/>
    </w:lvl>
    <w:lvl w:ilvl="1" w:tplc="04090003">
      <w:numFmt w:val="decimal"/>
      <w:lvlText w:val=""/>
      <w:lvlJc w:val="left"/>
    </w:lvl>
    <w:lvl w:ilvl="2" w:tplc="C406AC24">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45">
    <w:nsid w:val="53843032"/>
    <w:multiLevelType w:val="multilevel"/>
    <w:tmpl w:val="87203A4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6">
    <w:nsid w:val="53A4024D"/>
    <w:multiLevelType w:val="singleLevel"/>
    <w:tmpl w:val="D30E7EF4"/>
    <w:lvl w:ilvl="0">
      <w:numFmt w:val="decimal"/>
      <w:lvlText w:val=""/>
      <w:lvlJc w:val="left"/>
    </w:lvl>
  </w:abstractNum>
  <w:abstractNum w:abstractNumId="747">
    <w:nsid w:val="53B76564"/>
    <w:multiLevelType w:val="singleLevel"/>
    <w:tmpl w:val="7BB430FE"/>
    <w:lvl w:ilvl="0">
      <w:numFmt w:val="decimal"/>
      <w:lvlText w:val=""/>
      <w:lvlJc w:val="left"/>
    </w:lvl>
  </w:abstractNum>
  <w:abstractNum w:abstractNumId="748">
    <w:nsid w:val="53C85674"/>
    <w:multiLevelType w:val="singleLevel"/>
    <w:tmpl w:val="7BB430FE"/>
    <w:lvl w:ilvl="0">
      <w:numFmt w:val="decimal"/>
      <w:lvlText w:val=""/>
      <w:lvlJc w:val="left"/>
    </w:lvl>
  </w:abstractNum>
  <w:abstractNum w:abstractNumId="749">
    <w:nsid w:val="53CB643E"/>
    <w:multiLevelType w:val="hybridMultilevel"/>
    <w:tmpl w:val="0AB64E30"/>
    <w:lvl w:ilvl="0" w:tplc="2F3A3B0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50">
    <w:nsid w:val="53F17C25"/>
    <w:multiLevelType w:val="multilevel"/>
    <w:tmpl w:val="5E9CDFA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1">
    <w:nsid w:val="53F76ED4"/>
    <w:multiLevelType w:val="hybridMultilevel"/>
    <w:tmpl w:val="761440F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2">
    <w:nsid w:val="53F80C57"/>
    <w:multiLevelType w:val="singleLevel"/>
    <w:tmpl w:val="28884BC8"/>
    <w:lvl w:ilvl="0">
      <w:numFmt w:val="decimal"/>
      <w:lvlText w:val=""/>
      <w:lvlJc w:val="left"/>
    </w:lvl>
  </w:abstractNum>
  <w:abstractNum w:abstractNumId="753">
    <w:nsid w:val="540C134B"/>
    <w:multiLevelType w:val="singleLevel"/>
    <w:tmpl w:val="C3484314"/>
    <w:lvl w:ilvl="0">
      <w:numFmt w:val="decimal"/>
      <w:lvlText w:val=""/>
      <w:lvlJc w:val="left"/>
    </w:lvl>
  </w:abstractNum>
  <w:abstractNum w:abstractNumId="754">
    <w:nsid w:val="54866D59"/>
    <w:multiLevelType w:val="singleLevel"/>
    <w:tmpl w:val="7BB430FE"/>
    <w:lvl w:ilvl="0">
      <w:numFmt w:val="decimal"/>
      <w:lvlText w:val=""/>
      <w:lvlJc w:val="left"/>
    </w:lvl>
  </w:abstractNum>
  <w:abstractNum w:abstractNumId="755">
    <w:nsid w:val="54B2738A"/>
    <w:multiLevelType w:val="hybridMultilevel"/>
    <w:tmpl w:val="CE40093E"/>
    <w:lvl w:ilvl="0" w:tplc="D786AAF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56">
    <w:nsid w:val="54D94697"/>
    <w:multiLevelType w:val="multilevel"/>
    <w:tmpl w:val="9634B0E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7">
    <w:nsid w:val="54E631B4"/>
    <w:multiLevelType w:val="hybridMultilevel"/>
    <w:tmpl w:val="C65C3C0C"/>
    <w:lvl w:ilvl="0" w:tplc="992CDB0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58">
    <w:nsid w:val="55196CD0"/>
    <w:multiLevelType w:val="singleLevel"/>
    <w:tmpl w:val="77FC7D5C"/>
    <w:lvl w:ilvl="0">
      <w:numFmt w:val="decimal"/>
      <w:lvlText w:val=""/>
      <w:lvlJc w:val="left"/>
    </w:lvl>
  </w:abstractNum>
  <w:abstractNum w:abstractNumId="759">
    <w:nsid w:val="5524172E"/>
    <w:multiLevelType w:val="singleLevel"/>
    <w:tmpl w:val="D25CCF26"/>
    <w:lvl w:ilvl="0">
      <w:numFmt w:val="decimal"/>
      <w:lvlText w:val=""/>
      <w:lvlJc w:val="left"/>
    </w:lvl>
  </w:abstractNum>
  <w:abstractNum w:abstractNumId="760">
    <w:nsid w:val="553E7268"/>
    <w:multiLevelType w:val="hybridMultilevel"/>
    <w:tmpl w:val="7E32CDB4"/>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61">
    <w:nsid w:val="55821AA9"/>
    <w:multiLevelType w:val="singleLevel"/>
    <w:tmpl w:val="D5FCB9F6"/>
    <w:lvl w:ilvl="0">
      <w:numFmt w:val="decimal"/>
      <w:lvlText w:val=""/>
      <w:lvlJc w:val="left"/>
    </w:lvl>
  </w:abstractNum>
  <w:abstractNum w:abstractNumId="762">
    <w:nsid w:val="559A45F7"/>
    <w:multiLevelType w:val="hybridMultilevel"/>
    <w:tmpl w:val="85349064"/>
    <w:lvl w:ilvl="0" w:tplc="0B9249D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63">
    <w:nsid w:val="559E5F44"/>
    <w:multiLevelType w:val="hybridMultilevel"/>
    <w:tmpl w:val="01D0E0B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4">
    <w:nsid w:val="55FA1FE2"/>
    <w:multiLevelType w:val="hybridMultilevel"/>
    <w:tmpl w:val="14E0192E"/>
    <w:lvl w:ilvl="0" w:tplc="F078BAD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65">
    <w:nsid w:val="5656794F"/>
    <w:multiLevelType w:val="hybridMultilevel"/>
    <w:tmpl w:val="3BCEE0BA"/>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66">
    <w:nsid w:val="56D324C1"/>
    <w:multiLevelType w:val="hybridMultilevel"/>
    <w:tmpl w:val="538EFEE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67">
    <w:nsid w:val="56E564D1"/>
    <w:multiLevelType w:val="singleLevel"/>
    <w:tmpl w:val="F36E5028"/>
    <w:lvl w:ilvl="0">
      <w:numFmt w:val="decimal"/>
      <w:lvlText w:val=""/>
      <w:lvlJc w:val="left"/>
    </w:lvl>
  </w:abstractNum>
  <w:abstractNum w:abstractNumId="768">
    <w:nsid w:val="57191E94"/>
    <w:multiLevelType w:val="singleLevel"/>
    <w:tmpl w:val="B6C2A3C4"/>
    <w:lvl w:ilvl="0">
      <w:numFmt w:val="decimal"/>
      <w:lvlText w:val=""/>
      <w:lvlJc w:val="left"/>
    </w:lvl>
  </w:abstractNum>
  <w:abstractNum w:abstractNumId="769">
    <w:nsid w:val="57226DF4"/>
    <w:multiLevelType w:val="singleLevel"/>
    <w:tmpl w:val="DBBC6FAC"/>
    <w:lvl w:ilvl="0">
      <w:numFmt w:val="decimal"/>
      <w:lvlText w:val=""/>
      <w:lvlJc w:val="left"/>
    </w:lvl>
  </w:abstractNum>
  <w:abstractNum w:abstractNumId="770">
    <w:nsid w:val="572C0BF9"/>
    <w:multiLevelType w:val="hybridMultilevel"/>
    <w:tmpl w:val="DDD83FF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1">
    <w:nsid w:val="57400BCD"/>
    <w:multiLevelType w:val="hybridMultilevel"/>
    <w:tmpl w:val="B5087320"/>
    <w:lvl w:ilvl="0" w:tplc="2C7014A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72">
    <w:nsid w:val="574D6D59"/>
    <w:multiLevelType w:val="singleLevel"/>
    <w:tmpl w:val="7BB430FE"/>
    <w:lvl w:ilvl="0">
      <w:numFmt w:val="decimal"/>
      <w:lvlText w:val=""/>
      <w:lvlJc w:val="left"/>
    </w:lvl>
  </w:abstractNum>
  <w:abstractNum w:abstractNumId="773">
    <w:nsid w:val="57674DE7"/>
    <w:multiLevelType w:val="singleLevel"/>
    <w:tmpl w:val="9E603A1A"/>
    <w:lvl w:ilvl="0">
      <w:numFmt w:val="decimal"/>
      <w:lvlText w:val=""/>
      <w:lvlJc w:val="left"/>
    </w:lvl>
  </w:abstractNum>
  <w:abstractNum w:abstractNumId="774">
    <w:nsid w:val="57A40125"/>
    <w:multiLevelType w:val="hybridMultilevel"/>
    <w:tmpl w:val="192E71A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5">
    <w:nsid w:val="57AA67F9"/>
    <w:multiLevelType w:val="hybridMultilevel"/>
    <w:tmpl w:val="803AA77C"/>
    <w:lvl w:ilvl="0" w:tplc="5C408B9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76">
    <w:nsid w:val="57B21DF7"/>
    <w:multiLevelType w:val="hybridMultilevel"/>
    <w:tmpl w:val="8378FC5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77">
    <w:nsid w:val="57D671E1"/>
    <w:multiLevelType w:val="singleLevel"/>
    <w:tmpl w:val="09008B6A"/>
    <w:lvl w:ilvl="0">
      <w:start w:val="1"/>
      <w:numFmt w:val="lowerLetter"/>
      <w:lvlText w:val="(%1)"/>
      <w:lvlJc w:val="left"/>
      <w:pPr>
        <w:tabs>
          <w:tab w:val="num" w:pos="360"/>
        </w:tabs>
        <w:ind w:left="360" w:hanging="360"/>
      </w:pPr>
      <w:rPr>
        <w:rFonts w:hint="default"/>
      </w:rPr>
    </w:lvl>
  </w:abstractNum>
  <w:abstractNum w:abstractNumId="778">
    <w:nsid w:val="57E1218F"/>
    <w:multiLevelType w:val="hybridMultilevel"/>
    <w:tmpl w:val="9722883A"/>
    <w:lvl w:ilvl="0" w:tplc="84DC521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79">
    <w:nsid w:val="580C06F4"/>
    <w:multiLevelType w:val="hybridMultilevel"/>
    <w:tmpl w:val="28D4CC26"/>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80">
    <w:nsid w:val="58200FF4"/>
    <w:multiLevelType w:val="singleLevel"/>
    <w:tmpl w:val="7BB430FE"/>
    <w:lvl w:ilvl="0">
      <w:numFmt w:val="decimal"/>
      <w:lvlText w:val=""/>
      <w:lvlJc w:val="left"/>
    </w:lvl>
  </w:abstractNum>
  <w:abstractNum w:abstractNumId="781">
    <w:nsid w:val="582A156A"/>
    <w:multiLevelType w:val="singleLevel"/>
    <w:tmpl w:val="5B4C02FA"/>
    <w:lvl w:ilvl="0">
      <w:start w:val="1"/>
      <w:numFmt w:val="decimal"/>
      <w:lvlText w:val="%1."/>
      <w:lvlJc w:val="left"/>
      <w:pPr>
        <w:tabs>
          <w:tab w:val="num" w:pos="360"/>
        </w:tabs>
        <w:ind w:left="0" w:firstLine="0"/>
      </w:pPr>
    </w:lvl>
  </w:abstractNum>
  <w:abstractNum w:abstractNumId="782">
    <w:nsid w:val="58B01BB5"/>
    <w:multiLevelType w:val="hybridMultilevel"/>
    <w:tmpl w:val="CE6234A0"/>
    <w:lvl w:ilvl="0" w:tplc="475292F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83">
    <w:nsid w:val="58C24837"/>
    <w:multiLevelType w:val="singleLevel"/>
    <w:tmpl w:val="3AE2831C"/>
    <w:lvl w:ilvl="0">
      <w:numFmt w:val="decimal"/>
      <w:lvlText w:val=""/>
      <w:lvlJc w:val="left"/>
    </w:lvl>
  </w:abstractNum>
  <w:abstractNum w:abstractNumId="784">
    <w:nsid w:val="58D9501E"/>
    <w:multiLevelType w:val="hybridMultilevel"/>
    <w:tmpl w:val="44501010"/>
    <w:lvl w:ilvl="0" w:tplc="2122995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85">
    <w:nsid w:val="58EB68FB"/>
    <w:multiLevelType w:val="hybridMultilevel"/>
    <w:tmpl w:val="30E2B7B4"/>
    <w:lvl w:ilvl="0" w:tplc="6E62178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86">
    <w:nsid w:val="592C37B0"/>
    <w:multiLevelType w:val="hybridMultilevel"/>
    <w:tmpl w:val="28D4CC2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87">
    <w:nsid w:val="594E592D"/>
    <w:multiLevelType w:val="singleLevel"/>
    <w:tmpl w:val="CC265ACE"/>
    <w:lvl w:ilvl="0">
      <w:numFmt w:val="decimal"/>
      <w:lvlText w:val=""/>
      <w:lvlJc w:val="left"/>
    </w:lvl>
  </w:abstractNum>
  <w:abstractNum w:abstractNumId="788">
    <w:nsid w:val="59793CCB"/>
    <w:multiLevelType w:val="singleLevel"/>
    <w:tmpl w:val="CAA46E58"/>
    <w:lvl w:ilvl="0">
      <w:start w:val="40"/>
      <w:numFmt w:val="decimal"/>
      <w:lvlText w:val="%1."/>
      <w:lvlJc w:val="left"/>
      <w:pPr>
        <w:tabs>
          <w:tab w:val="num" w:pos="360"/>
        </w:tabs>
        <w:ind w:left="0" w:firstLine="0"/>
      </w:pPr>
    </w:lvl>
  </w:abstractNum>
  <w:abstractNum w:abstractNumId="789">
    <w:nsid w:val="597D54A4"/>
    <w:multiLevelType w:val="singleLevel"/>
    <w:tmpl w:val="B0DC5ECE"/>
    <w:lvl w:ilvl="0">
      <w:numFmt w:val="decimal"/>
      <w:lvlText w:val=""/>
      <w:lvlJc w:val="left"/>
    </w:lvl>
  </w:abstractNum>
  <w:abstractNum w:abstractNumId="790">
    <w:nsid w:val="599A3C01"/>
    <w:multiLevelType w:val="hybridMultilevel"/>
    <w:tmpl w:val="4C0CC96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91">
    <w:nsid w:val="59CC372C"/>
    <w:multiLevelType w:val="singleLevel"/>
    <w:tmpl w:val="7BB430FE"/>
    <w:lvl w:ilvl="0">
      <w:numFmt w:val="decimal"/>
      <w:lvlText w:val=""/>
      <w:lvlJc w:val="left"/>
    </w:lvl>
  </w:abstractNum>
  <w:abstractNum w:abstractNumId="792">
    <w:nsid w:val="59D32A79"/>
    <w:multiLevelType w:val="singleLevel"/>
    <w:tmpl w:val="5FC8F9B2"/>
    <w:lvl w:ilvl="0">
      <w:numFmt w:val="decimal"/>
      <w:lvlText w:val=""/>
      <w:lvlJc w:val="left"/>
    </w:lvl>
  </w:abstractNum>
  <w:abstractNum w:abstractNumId="793">
    <w:nsid w:val="59E15A0C"/>
    <w:multiLevelType w:val="singleLevel"/>
    <w:tmpl w:val="AFD2993C"/>
    <w:lvl w:ilvl="0">
      <w:numFmt w:val="decimal"/>
      <w:lvlText w:val=""/>
      <w:lvlJc w:val="left"/>
    </w:lvl>
  </w:abstractNum>
  <w:abstractNum w:abstractNumId="794">
    <w:nsid w:val="5A2327FC"/>
    <w:multiLevelType w:val="singleLevel"/>
    <w:tmpl w:val="7BB430FE"/>
    <w:lvl w:ilvl="0">
      <w:numFmt w:val="decimal"/>
      <w:lvlText w:val=""/>
      <w:lvlJc w:val="left"/>
    </w:lvl>
  </w:abstractNum>
  <w:abstractNum w:abstractNumId="795">
    <w:nsid w:val="5A3032E7"/>
    <w:multiLevelType w:val="singleLevel"/>
    <w:tmpl w:val="146CF19A"/>
    <w:lvl w:ilvl="0">
      <w:numFmt w:val="decimal"/>
      <w:lvlText w:val=""/>
      <w:lvlJc w:val="left"/>
    </w:lvl>
  </w:abstractNum>
  <w:abstractNum w:abstractNumId="796">
    <w:nsid w:val="5A345804"/>
    <w:multiLevelType w:val="hybridMultilevel"/>
    <w:tmpl w:val="8B8286EC"/>
    <w:lvl w:ilvl="0" w:tplc="D67A936E">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97">
    <w:nsid w:val="5A397FCB"/>
    <w:multiLevelType w:val="singleLevel"/>
    <w:tmpl w:val="7BB430FE"/>
    <w:lvl w:ilvl="0">
      <w:numFmt w:val="decimal"/>
      <w:lvlText w:val=""/>
      <w:lvlJc w:val="left"/>
    </w:lvl>
  </w:abstractNum>
  <w:abstractNum w:abstractNumId="798">
    <w:nsid w:val="5A7C1EE6"/>
    <w:multiLevelType w:val="singleLevel"/>
    <w:tmpl w:val="22D22F1C"/>
    <w:lvl w:ilvl="0">
      <w:start w:val="1"/>
      <w:numFmt w:val="lowerLetter"/>
      <w:lvlText w:val="(%1)"/>
      <w:lvlJc w:val="left"/>
      <w:pPr>
        <w:tabs>
          <w:tab w:val="num" w:pos="360"/>
        </w:tabs>
        <w:ind w:left="360" w:hanging="360"/>
      </w:pPr>
      <w:rPr>
        <w:rFonts w:hint="default"/>
      </w:rPr>
    </w:lvl>
  </w:abstractNum>
  <w:abstractNum w:abstractNumId="799">
    <w:nsid w:val="5AA94E68"/>
    <w:multiLevelType w:val="hybridMultilevel"/>
    <w:tmpl w:val="4B707098"/>
    <w:lvl w:ilvl="0" w:tplc="83B2CC5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00">
    <w:nsid w:val="5ABA6093"/>
    <w:multiLevelType w:val="hybridMultilevel"/>
    <w:tmpl w:val="4178FF9C"/>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01">
    <w:nsid w:val="5B6338EE"/>
    <w:multiLevelType w:val="hybridMultilevel"/>
    <w:tmpl w:val="5D364DB8"/>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02">
    <w:nsid w:val="5B7A1A89"/>
    <w:multiLevelType w:val="hybridMultilevel"/>
    <w:tmpl w:val="72BAD8A6"/>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03">
    <w:nsid w:val="5B8F3AD6"/>
    <w:multiLevelType w:val="singleLevel"/>
    <w:tmpl w:val="C5D055E2"/>
    <w:lvl w:ilvl="0">
      <w:numFmt w:val="decimal"/>
      <w:lvlText w:val=""/>
      <w:lvlJc w:val="left"/>
    </w:lvl>
  </w:abstractNum>
  <w:abstractNum w:abstractNumId="804">
    <w:nsid w:val="5B9473F6"/>
    <w:multiLevelType w:val="singleLevel"/>
    <w:tmpl w:val="7BB430FE"/>
    <w:lvl w:ilvl="0">
      <w:numFmt w:val="decimal"/>
      <w:lvlText w:val=""/>
      <w:lvlJc w:val="left"/>
    </w:lvl>
  </w:abstractNum>
  <w:abstractNum w:abstractNumId="805">
    <w:nsid w:val="5B964DD0"/>
    <w:multiLevelType w:val="hybridMultilevel"/>
    <w:tmpl w:val="B3903E5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06">
    <w:nsid w:val="5BA9233B"/>
    <w:multiLevelType w:val="singleLevel"/>
    <w:tmpl w:val="0A024BE4"/>
    <w:lvl w:ilvl="0">
      <w:start w:val="1"/>
      <w:numFmt w:val="decimal"/>
      <w:lvlText w:val="%1."/>
      <w:lvlJc w:val="left"/>
      <w:pPr>
        <w:tabs>
          <w:tab w:val="num" w:pos="360"/>
        </w:tabs>
        <w:ind w:left="0" w:firstLine="0"/>
      </w:pPr>
    </w:lvl>
  </w:abstractNum>
  <w:abstractNum w:abstractNumId="807">
    <w:nsid w:val="5BAA5E3C"/>
    <w:multiLevelType w:val="singleLevel"/>
    <w:tmpl w:val="BE48868A"/>
    <w:lvl w:ilvl="0">
      <w:numFmt w:val="decimal"/>
      <w:lvlText w:val=""/>
      <w:lvlJc w:val="left"/>
    </w:lvl>
  </w:abstractNum>
  <w:abstractNum w:abstractNumId="808">
    <w:nsid w:val="5BB9216C"/>
    <w:multiLevelType w:val="hybridMultilevel"/>
    <w:tmpl w:val="A4A4C554"/>
    <w:lvl w:ilvl="0" w:tplc="622C8B7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09">
    <w:nsid w:val="5BC141ED"/>
    <w:multiLevelType w:val="hybridMultilevel"/>
    <w:tmpl w:val="B9243FB0"/>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10">
    <w:nsid w:val="5BCF6CEF"/>
    <w:multiLevelType w:val="singleLevel"/>
    <w:tmpl w:val="A86E082C"/>
    <w:lvl w:ilvl="0">
      <w:start w:val="28"/>
      <w:numFmt w:val="decimal"/>
      <w:lvlText w:val="%1."/>
      <w:lvlJc w:val="left"/>
      <w:pPr>
        <w:tabs>
          <w:tab w:val="num" w:pos="360"/>
        </w:tabs>
        <w:ind w:left="0" w:firstLine="0"/>
      </w:pPr>
    </w:lvl>
  </w:abstractNum>
  <w:abstractNum w:abstractNumId="811">
    <w:nsid w:val="5C4928EB"/>
    <w:multiLevelType w:val="singleLevel"/>
    <w:tmpl w:val="04090001"/>
    <w:lvl w:ilvl="0">
      <w:numFmt w:val="decimal"/>
      <w:lvlText w:val=""/>
      <w:lvlJc w:val="left"/>
    </w:lvl>
  </w:abstractNum>
  <w:abstractNum w:abstractNumId="812">
    <w:nsid w:val="5C7E1370"/>
    <w:multiLevelType w:val="hybridMultilevel"/>
    <w:tmpl w:val="DDFEE3A6"/>
    <w:lvl w:ilvl="0" w:tplc="6A12B0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13">
    <w:nsid w:val="5CCD712D"/>
    <w:multiLevelType w:val="singleLevel"/>
    <w:tmpl w:val="338032A4"/>
    <w:lvl w:ilvl="0">
      <w:numFmt w:val="decimal"/>
      <w:lvlText w:val=""/>
      <w:lvlJc w:val="left"/>
    </w:lvl>
  </w:abstractNum>
  <w:abstractNum w:abstractNumId="814">
    <w:nsid w:val="5D334A1D"/>
    <w:multiLevelType w:val="singleLevel"/>
    <w:tmpl w:val="0C82525A"/>
    <w:lvl w:ilvl="0">
      <w:numFmt w:val="decimal"/>
      <w:lvlText w:val=""/>
      <w:lvlJc w:val="left"/>
    </w:lvl>
  </w:abstractNum>
  <w:abstractNum w:abstractNumId="815">
    <w:nsid w:val="5D54331A"/>
    <w:multiLevelType w:val="hybridMultilevel"/>
    <w:tmpl w:val="75721BF0"/>
    <w:lvl w:ilvl="0" w:tplc="B1741C6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16">
    <w:nsid w:val="5D640610"/>
    <w:multiLevelType w:val="singleLevel"/>
    <w:tmpl w:val="7F2EA230"/>
    <w:lvl w:ilvl="0">
      <w:numFmt w:val="decimal"/>
      <w:lvlText w:val=""/>
      <w:lvlJc w:val="left"/>
    </w:lvl>
  </w:abstractNum>
  <w:abstractNum w:abstractNumId="817">
    <w:nsid w:val="5D677D62"/>
    <w:multiLevelType w:val="singleLevel"/>
    <w:tmpl w:val="CECC0628"/>
    <w:lvl w:ilvl="0">
      <w:numFmt w:val="decimal"/>
      <w:lvlText w:val=""/>
      <w:lvlJc w:val="left"/>
    </w:lvl>
  </w:abstractNum>
  <w:abstractNum w:abstractNumId="818">
    <w:nsid w:val="5D6D5C68"/>
    <w:multiLevelType w:val="singleLevel"/>
    <w:tmpl w:val="C5D055E2"/>
    <w:lvl w:ilvl="0">
      <w:numFmt w:val="decimal"/>
      <w:lvlText w:val=""/>
      <w:lvlJc w:val="left"/>
    </w:lvl>
  </w:abstractNum>
  <w:abstractNum w:abstractNumId="819">
    <w:nsid w:val="5D986A0F"/>
    <w:multiLevelType w:val="singleLevel"/>
    <w:tmpl w:val="3E5CBC4E"/>
    <w:lvl w:ilvl="0">
      <w:start w:val="1"/>
      <w:numFmt w:val="decimal"/>
      <w:lvlText w:val="%1."/>
      <w:lvlJc w:val="left"/>
      <w:pPr>
        <w:tabs>
          <w:tab w:val="num" w:pos="360"/>
        </w:tabs>
        <w:ind w:left="0" w:firstLine="0"/>
      </w:pPr>
    </w:lvl>
  </w:abstractNum>
  <w:abstractNum w:abstractNumId="820">
    <w:nsid w:val="5DA30E7E"/>
    <w:multiLevelType w:val="singleLevel"/>
    <w:tmpl w:val="8B7A7032"/>
    <w:lvl w:ilvl="0">
      <w:numFmt w:val="decimal"/>
      <w:lvlText w:val=""/>
      <w:lvlJc w:val="left"/>
    </w:lvl>
  </w:abstractNum>
  <w:abstractNum w:abstractNumId="821">
    <w:nsid w:val="5DC63360"/>
    <w:multiLevelType w:val="singleLevel"/>
    <w:tmpl w:val="7BB430FE"/>
    <w:lvl w:ilvl="0">
      <w:numFmt w:val="decimal"/>
      <w:lvlText w:val=""/>
      <w:lvlJc w:val="left"/>
    </w:lvl>
  </w:abstractNum>
  <w:abstractNum w:abstractNumId="822">
    <w:nsid w:val="5E232676"/>
    <w:multiLevelType w:val="multilevel"/>
    <w:tmpl w:val="48C2CFE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3">
    <w:nsid w:val="5E465F8F"/>
    <w:multiLevelType w:val="singleLevel"/>
    <w:tmpl w:val="12F2511A"/>
    <w:lvl w:ilvl="0">
      <w:numFmt w:val="decimal"/>
      <w:lvlText w:val=""/>
      <w:lvlJc w:val="left"/>
    </w:lvl>
  </w:abstractNum>
  <w:abstractNum w:abstractNumId="824">
    <w:nsid w:val="5E7914A8"/>
    <w:multiLevelType w:val="singleLevel"/>
    <w:tmpl w:val="3FDE9C98"/>
    <w:lvl w:ilvl="0">
      <w:start w:val="1"/>
      <w:numFmt w:val="decimal"/>
      <w:lvlText w:val="(%1)"/>
      <w:lvlJc w:val="left"/>
      <w:pPr>
        <w:tabs>
          <w:tab w:val="num" w:pos="360"/>
        </w:tabs>
        <w:ind w:left="360" w:hanging="360"/>
      </w:pPr>
      <w:rPr>
        <w:rFonts w:hint="default"/>
      </w:rPr>
    </w:lvl>
  </w:abstractNum>
  <w:abstractNum w:abstractNumId="825">
    <w:nsid w:val="5ECD383D"/>
    <w:multiLevelType w:val="hybridMultilevel"/>
    <w:tmpl w:val="8684F132"/>
    <w:lvl w:ilvl="0" w:tplc="4CC6D45A">
      <w:numFmt w:val="decimal"/>
      <w:lvlText w:val=""/>
      <w:lvlJc w:val="left"/>
    </w:lvl>
    <w:lvl w:ilvl="1" w:tplc="8CC6F614">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26">
    <w:nsid w:val="5ECE3FE4"/>
    <w:multiLevelType w:val="hybridMultilevel"/>
    <w:tmpl w:val="ADFAFF68"/>
    <w:lvl w:ilvl="0" w:tplc="5C929F2E">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27">
    <w:nsid w:val="5ED439F2"/>
    <w:multiLevelType w:val="singleLevel"/>
    <w:tmpl w:val="64E079A2"/>
    <w:lvl w:ilvl="0">
      <w:numFmt w:val="decimal"/>
      <w:lvlText w:val=""/>
      <w:lvlJc w:val="left"/>
    </w:lvl>
  </w:abstractNum>
  <w:abstractNum w:abstractNumId="828">
    <w:nsid w:val="5F162C52"/>
    <w:multiLevelType w:val="singleLevel"/>
    <w:tmpl w:val="2732FB64"/>
    <w:lvl w:ilvl="0">
      <w:numFmt w:val="decimal"/>
      <w:lvlText w:val=""/>
      <w:lvlJc w:val="left"/>
    </w:lvl>
  </w:abstractNum>
  <w:abstractNum w:abstractNumId="829">
    <w:nsid w:val="5F2A18FD"/>
    <w:multiLevelType w:val="multilevel"/>
    <w:tmpl w:val="B436F01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0">
    <w:nsid w:val="5F3E26C8"/>
    <w:multiLevelType w:val="hybridMultilevel"/>
    <w:tmpl w:val="1FCC46AE"/>
    <w:lvl w:ilvl="0" w:tplc="589A9BE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31">
    <w:nsid w:val="5F7E2FC3"/>
    <w:multiLevelType w:val="hybridMultilevel"/>
    <w:tmpl w:val="F9861358"/>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32">
    <w:nsid w:val="5FD54A32"/>
    <w:multiLevelType w:val="singleLevel"/>
    <w:tmpl w:val="545003C4"/>
    <w:lvl w:ilvl="0">
      <w:numFmt w:val="decimal"/>
      <w:lvlText w:val=""/>
      <w:lvlJc w:val="left"/>
    </w:lvl>
  </w:abstractNum>
  <w:abstractNum w:abstractNumId="833">
    <w:nsid w:val="5FE63899"/>
    <w:multiLevelType w:val="hybridMultilevel"/>
    <w:tmpl w:val="C6A43E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4">
    <w:nsid w:val="5FEA519A"/>
    <w:multiLevelType w:val="hybridMultilevel"/>
    <w:tmpl w:val="425C1FC4"/>
    <w:lvl w:ilvl="0" w:tplc="26E8D5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35">
    <w:nsid w:val="5FEC1E7B"/>
    <w:multiLevelType w:val="hybridMultilevel"/>
    <w:tmpl w:val="3634BB78"/>
    <w:lvl w:ilvl="0" w:tplc="43E04FA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36">
    <w:nsid w:val="5FF9217C"/>
    <w:multiLevelType w:val="singleLevel"/>
    <w:tmpl w:val="7BB430FE"/>
    <w:lvl w:ilvl="0">
      <w:numFmt w:val="decimal"/>
      <w:lvlText w:val=""/>
      <w:lvlJc w:val="left"/>
    </w:lvl>
  </w:abstractNum>
  <w:abstractNum w:abstractNumId="837">
    <w:nsid w:val="602364F9"/>
    <w:multiLevelType w:val="multilevel"/>
    <w:tmpl w:val="983A66B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8">
    <w:nsid w:val="603518A6"/>
    <w:multiLevelType w:val="hybridMultilevel"/>
    <w:tmpl w:val="C00067AA"/>
    <w:lvl w:ilvl="0" w:tplc="882EE9B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39">
    <w:nsid w:val="604C1FFA"/>
    <w:multiLevelType w:val="hybridMultilevel"/>
    <w:tmpl w:val="3AAE6E2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0">
    <w:nsid w:val="60795FA9"/>
    <w:multiLevelType w:val="hybridMultilevel"/>
    <w:tmpl w:val="577A7606"/>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41">
    <w:nsid w:val="608349D4"/>
    <w:multiLevelType w:val="hybridMultilevel"/>
    <w:tmpl w:val="7F3A359C"/>
    <w:lvl w:ilvl="0" w:tplc="3C061FDA">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42">
    <w:nsid w:val="60850D85"/>
    <w:multiLevelType w:val="multilevel"/>
    <w:tmpl w:val="277639D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3">
    <w:nsid w:val="60B603B0"/>
    <w:multiLevelType w:val="hybridMultilevel"/>
    <w:tmpl w:val="633E9B52"/>
    <w:lvl w:ilvl="0" w:tplc="A610530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44">
    <w:nsid w:val="60FC5FC3"/>
    <w:multiLevelType w:val="singleLevel"/>
    <w:tmpl w:val="27B0FE0A"/>
    <w:lvl w:ilvl="0">
      <w:start w:val="1"/>
      <w:numFmt w:val="decimal"/>
      <w:lvlText w:val="(%1)"/>
      <w:lvlJc w:val="left"/>
      <w:pPr>
        <w:tabs>
          <w:tab w:val="num" w:pos="360"/>
        </w:tabs>
        <w:ind w:left="360" w:hanging="360"/>
      </w:pPr>
      <w:rPr>
        <w:rFonts w:hint="default"/>
      </w:rPr>
    </w:lvl>
  </w:abstractNum>
  <w:abstractNum w:abstractNumId="845">
    <w:nsid w:val="61123AF8"/>
    <w:multiLevelType w:val="singleLevel"/>
    <w:tmpl w:val="DEE228E0"/>
    <w:lvl w:ilvl="0">
      <w:numFmt w:val="decimal"/>
      <w:lvlText w:val=""/>
      <w:lvlJc w:val="left"/>
    </w:lvl>
  </w:abstractNum>
  <w:abstractNum w:abstractNumId="846">
    <w:nsid w:val="61195722"/>
    <w:multiLevelType w:val="hybridMultilevel"/>
    <w:tmpl w:val="E42C2C2E"/>
    <w:lvl w:ilvl="0" w:tplc="67E0896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47">
    <w:nsid w:val="615252C5"/>
    <w:multiLevelType w:val="hybridMultilevel"/>
    <w:tmpl w:val="339674D0"/>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48">
    <w:nsid w:val="61A95A15"/>
    <w:multiLevelType w:val="singleLevel"/>
    <w:tmpl w:val="5B4C02FA"/>
    <w:lvl w:ilvl="0">
      <w:start w:val="1"/>
      <w:numFmt w:val="decimal"/>
      <w:lvlText w:val="%1."/>
      <w:lvlJc w:val="left"/>
      <w:pPr>
        <w:tabs>
          <w:tab w:val="num" w:pos="360"/>
        </w:tabs>
        <w:ind w:left="0" w:firstLine="0"/>
      </w:pPr>
    </w:lvl>
  </w:abstractNum>
  <w:abstractNum w:abstractNumId="849">
    <w:nsid w:val="61B40562"/>
    <w:multiLevelType w:val="hybridMultilevel"/>
    <w:tmpl w:val="6980C520"/>
    <w:lvl w:ilvl="0" w:tplc="B5F4EED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50">
    <w:nsid w:val="61F40D68"/>
    <w:multiLevelType w:val="multilevel"/>
    <w:tmpl w:val="11A423D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1">
    <w:nsid w:val="61FE0D9C"/>
    <w:multiLevelType w:val="hybridMultilevel"/>
    <w:tmpl w:val="8300264C"/>
    <w:lvl w:ilvl="0" w:tplc="8856E2A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52">
    <w:nsid w:val="62162D42"/>
    <w:multiLevelType w:val="hybridMultilevel"/>
    <w:tmpl w:val="76E6F328"/>
    <w:lvl w:ilvl="0" w:tplc="E1145E5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53">
    <w:nsid w:val="621D3D02"/>
    <w:multiLevelType w:val="singleLevel"/>
    <w:tmpl w:val="0409000F"/>
    <w:lvl w:ilvl="0">
      <w:numFmt w:val="decimal"/>
      <w:lvlText w:val=""/>
      <w:lvlJc w:val="left"/>
    </w:lvl>
  </w:abstractNum>
  <w:abstractNum w:abstractNumId="854">
    <w:nsid w:val="622E410A"/>
    <w:multiLevelType w:val="singleLevel"/>
    <w:tmpl w:val="B7E0A05C"/>
    <w:lvl w:ilvl="0">
      <w:numFmt w:val="decimal"/>
      <w:lvlText w:val=""/>
      <w:lvlJc w:val="left"/>
    </w:lvl>
  </w:abstractNum>
  <w:abstractNum w:abstractNumId="855">
    <w:nsid w:val="622F6AD3"/>
    <w:multiLevelType w:val="singleLevel"/>
    <w:tmpl w:val="B002BCA0"/>
    <w:lvl w:ilvl="0">
      <w:numFmt w:val="decimal"/>
      <w:lvlText w:val=""/>
      <w:lvlJc w:val="left"/>
    </w:lvl>
  </w:abstractNum>
  <w:abstractNum w:abstractNumId="856">
    <w:nsid w:val="622F6DB4"/>
    <w:multiLevelType w:val="singleLevel"/>
    <w:tmpl w:val="64E079A2"/>
    <w:lvl w:ilvl="0">
      <w:numFmt w:val="decimal"/>
      <w:lvlText w:val=""/>
      <w:lvlJc w:val="left"/>
    </w:lvl>
  </w:abstractNum>
  <w:abstractNum w:abstractNumId="857">
    <w:nsid w:val="62872FE1"/>
    <w:multiLevelType w:val="multilevel"/>
    <w:tmpl w:val="59F8D3A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8">
    <w:nsid w:val="62B04504"/>
    <w:multiLevelType w:val="hybridMultilevel"/>
    <w:tmpl w:val="E34EDB2C"/>
    <w:lvl w:ilvl="0" w:tplc="26E8D5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59">
    <w:nsid w:val="62DA009B"/>
    <w:multiLevelType w:val="hybridMultilevel"/>
    <w:tmpl w:val="7A6E5C6E"/>
    <w:lvl w:ilvl="0" w:tplc="A2D43D26">
      <w:numFmt w:val="decimal"/>
      <w:lvlText w:val=""/>
      <w:lvlJc w:val="left"/>
    </w:lvl>
    <w:lvl w:ilvl="1" w:tplc="4014D474">
      <w:numFmt w:val="decimal"/>
      <w:lvlText w:val=""/>
      <w:lvlJc w:val="left"/>
    </w:lvl>
    <w:lvl w:ilvl="2" w:tplc="A740E4C4">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60">
    <w:nsid w:val="62E12F71"/>
    <w:multiLevelType w:val="singleLevel"/>
    <w:tmpl w:val="A2703786"/>
    <w:lvl w:ilvl="0">
      <w:numFmt w:val="decimal"/>
      <w:lvlText w:val=""/>
      <w:lvlJc w:val="left"/>
    </w:lvl>
  </w:abstractNum>
  <w:abstractNum w:abstractNumId="861">
    <w:nsid w:val="630E5FAF"/>
    <w:multiLevelType w:val="singleLevel"/>
    <w:tmpl w:val="7BB430FE"/>
    <w:lvl w:ilvl="0">
      <w:numFmt w:val="decimal"/>
      <w:lvlText w:val=""/>
      <w:lvlJc w:val="left"/>
    </w:lvl>
  </w:abstractNum>
  <w:abstractNum w:abstractNumId="862">
    <w:nsid w:val="634923B9"/>
    <w:multiLevelType w:val="hybridMultilevel"/>
    <w:tmpl w:val="21B6A33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3">
    <w:nsid w:val="634A6770"/>
    <w:multiLevelType w:val="multilevel"/>
    <w:tmpl w:val="065C488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64">
    <w:nsid w:val="63B96BA3"/>
    <w:multiLevelType w:val="hybridMultilevel"/>
    <w:tmpl w:val="17F8EFCA"/>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65">
    <w:nsid w:val="63D352ED"/>
    <w:multiLevelType w:val="hybridMultilevel"/>
    <w:tmpl w:val="0BC28AB8"/>
    <w:lvl w:ilvl="0" w:tplc="C406AC2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66">
    <w:nsid w:val="644E45FD"/>
    <w:multiLevelType w:val="multilevel"/>
    <w:tmpl w:val="3EF219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7">
    <w:nsid w:val="64573B46"/>
    <w:multiLevelType w:val="hybridMultilevel"/>
    <w:tmpl w:val="2A0A259E"/>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68">
    <w:nsid w:val="647C40F1"/>
    <w:multiLevelType w:val="singleLevel"/>
    <w:tmpl w:val="7BB430FE"/>
    <w:lvl w:ilvl="0">
      <w:numFmt w:val="decimal"/>
      <w:lvlText w:val=""/>
      <w:lvlJc w:val="left"/>
    </w:lvl>
  </w:abstractNum>
  <w:abstractNum w:abstractNumId="869">
    <w:nsid w:val="647F1C09"/>
    <w:multiLevelType w:val="hybridMultilevel"/>
    <w:tmpl w:val="773EE766"/>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70">
    <w:nsid w:val="64834718"/>
    <w:multiLevelType w:val="hybridMultilevel"/>
    <w:tmpl w:val="94980706"/>
    <w:lvl w:ilvl="0" w:tplc="6E0A0CE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71">
    <w:nsid w:val="648A3BCF"/>
    <w:multiLevelType w:val="multilevel"/>
    <w:tmpl w:val="1BA6173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2">
    <w:nsid w:val="64A3112B"/>
    <w:multiLevelType w:val="hybridMultilevel"/>
    <w:tmpl w:val="C84698B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3">
    <w:nsid w:val="64A90509"/>
    <w:multiLevelType w:val="hybridMultilevel"/>
    <w:tmpl w:val="A5846756"/>
    <w:lvl w:ilvl="0" w:tplc="FCC4A95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74">
    <w:nsid w:val="64A9056B"/>
    <w:multiLevelType w:val="hybridMultilevel"/>
    <w:tmpl w:val="F5A4237E"/>
    <w:lvl w:ilvl="0" w:tplc="8856E2A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75">
    <w:nsid w:val="64B8232C"/>
    <w:multiLevelType w:val="singleLevel"/>
    <w:tmpl w:val="7BB430FE"/>
    <w:lvl w:ilvl="0">
      <w:numFmt w:val="decimal"/>
      <w:lvlText w:val=""/>
      <w:lvlJc w:val="left"/>
    </w:lvl>
  </w:abstractNum>
  <w:abstractNum w:abstractNumId="876">
    <w:nsid w:val="64DB0130"/>
    <w:multiLevelType w:val="hybridMultilevel"/>
    <w:tmpl w:val="74A68358"/>
    <w:lvl w:ilvl="0" w:tplc="38CC4A5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77">
    <w:nsid w:val="6512431F"/>
    <w:multiLevelType w:val="hybridMultilevel"/>
    <w:tmpl w:val="389AD4EA"/>
    <w:lvl w:ilvl="0" w:tplc="493E4EC6">
      <w:numFmt w:val="decimal"/>
      <w:lvlText w:val=""/>
      <w:lvlJc w:val="left"/>
    </w:lvl>
    <w:lvl w:ilvl="1" w:tplc="61E63976">
      <w:numFmt w:val="decimal"/>
      <w:lvlText w:val=""/>
      <w:lvlJc w:val="left"/>
    </w:lvl>
    <w:lvl w:ilvl="2" w:tplc="8ECEF860">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78">
    <w:nsid w:val="65621AD3"/>
    <w:multiLevelType w:val="hybridMultilevel"/>
    <w:tmpl w:val="91F6060E"/>
    <w:lvl w:ilvl="0" w:tplc="BE182A4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79">
    <w:nsid w:val="65814CE2"/>
    <w:multiLevelType w:val="singleLevel"/>
    <w:tmpl w:val="04090003"/>
    <w:lvl w:ilvl="0">
      <w:numFmt w:val="decimal"/>
      <w:lvlText w:val=""/>
      <w:lvlJc w:val="left"/>
    </w:lvl>
  </w:abstractNum>
  <w:abstractNum w:abstractNumId="880">
    <w:nsid w:val="65897A78"/>
    <w:multiLevelType w:val="hybridMultilevel"/>
    <w:tmpl w:val="29726A98"/>
    <w:lvl w:ilvl="0" w:tplc="04090019">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81">
    <w:nsid w:val="65A664FC"/>
    <w:multiLevelType w:val="hybridMultilevel"/>
    <w:tmpl w:val="961E94EC"/>
    <w:lvl w:ilvl="0" w:tplc="FE50FFE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82">
    <w:nsid w:val="65BA617F"/>
    <w:multiLevelType w:val="singleLevel"/>
    <w:tmpl w:val="7BB430FE"/>
    <w:lvl w:ilvl="0">
      <w:numFmt w:val="decimal"/>
      <w:lvlText w:val=""/>
      <w:lvlJc w:val="left"/>
    </w:lvl>
  </w:abstractNum>
  <w:abstractNum w:abstractNumId="883">
    <w:nsid w:val="65C04F99"/>
    <w:multiLevelType w:val="singleLevel"/>
    <w:tmpl w:val="7BB430FE"/>
    <w:lvl w:ilvl="0">
      <w:numFmt w:val="decimal"/>
      <w:lvlText w:val=""/>
      <w:lvlJc w:val="left"/>
    </w:lvl>
  </w:abstractNum>
  <w:abstractNum w:abstractNumId="884">
    <w:nsid w:val="65D72C06"/>
    <w:multiLevelType w:val="singleLevel"/>
    <w:tmpl w:val="E7460388"/>
    <w:lvl w:ilvl="0">
      <w:start w:val="19"/>
      <w:numFmt w:val="decimal"/>
      <w:lvlText w:val="%1."/>
      <w:lvlJc w:val="left"/>
      <w:pPr>
        <w:tabs>
          <w:tab w:val="num" w:pos="360"/>
        </w:tabs>
        <w:ind w:left="0" w:firstLine="0"/>
      </w:pPr>
    </w:lvl>
  </w:abstractNum>
  <w:abstractNum w:abstractNumId="885">
    <w:nsid w:val="65E30406"/>
    <w:multiLevelType w:val="hybridMultilevel"/>
    <w:tmpl w:val="800259A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6">
    <w:nsid w:val="65EB2CB7"/>
    <w:multiLevelType w:val="singleLevel"/>
    <w:tmpl w:val="6186B460"/>
    <w:lvl w:ilvl="0">
      <w:numFmt w:val="decimal"/>
      <w:lvlText w:val=""/>
      <w:lvlJc w:val="left"/>
    </w:lvl>
  </w:abstractNum>
  <w:abstractNum w:abstractNumId="887">
    <w:nsid w:val="65EF4D52"/>
    <w:multiLevelType w:val="singleLevel"/>
    <w:tmpl w:val="0E0E6C28"/>
    <w:lvl w:ilvl="0">
      <w:numFmt w:val="decimal"/>
      <w:lvlText w:val=""/>
      <w:lvlJc w:val="left"/>
    </w:lvl>
  </w:abstractNum>
  <w:abstractNum w:abstractNumId="888">
    <w:nsid w:val="65FF23A0"/>
    <w:multiLevelType w:val="singleLevel"/>
    <w:tmpl w:val="D3B4615A"/>
    <w:lvl w:ilvl="0">
      <w:numFmt w:val="decimal"/>
      <w:lvlText w:val=""/>
      <w:lvlJc w:val="left"/>
    </w:lvl>
  </w:abstractNum>
  <w:abstractNum w:abstractNumId="889">
    <w:nsid w:val="665C18BC"/>
    <w:multiLevelType w:val="hybridMultilevel"/>
    <w:tmpl w:val="7E3C4C5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0">
    <w:nsid w:val="66662699"/>
    <w:multiLevelType w:val="hybridMultilevel"/>
    <w:tmpl w:val="50EE504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1">
    <w:nsid w:val="666F7536"/>
    <w:multiLevelType w:val="singleLevel"/>
    <w:tmpl w:val="C5D055E2"/>
    <w:lvl w:ilvl="0">
      <w:numFmt w:val="decimal"/>
      <w:lvlText w:val=""/>
      <w:lvlJc w:val="left"/>
    </w:lvl>
  </w:abstractNum>
  <w:abstractNum w:abstractNumId="892">
    <w:nsid w:val="66743066"/>
    <w:multiLevelType w:val="hybridMultilevel"/>
    <w:tmpl w:val="B9243FB0"/>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93">
    <w:nsid w:val="66976F0C"/>
    <w:multiLevelType w:val="hybridMultilevel"/>
    <w:tmpl w:val="FC5A98F8"/>
    <w:lvl w:ilvl="0" w:tplc="FC82BEB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94">
    <w:nsid w:val="669773C7"/>
    <w:multiLevelType w:val="singleLevel"/>
    <w:tmpl w:val="7BB430FE"/>
    <w:lvl w:ilvl="0">
      <w:numFmt w:val="decimal"/>
      <w:lvlText w:val=""/>
      <w:lvlJc w:val="left"/>
    </w:lvl>
  </w:abstractNum>
  <w:abstractNum w:abstractNumId="895">
    <w:nsid w:val="66BD2A90"/>
    <w:multiLevelType w:val="multilevel"/>
    <w:tmpl w:val="C96A623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6">
    <w:nsid w:val="66CB4BF2"/>
    <w:multiLevelType w:val="hybridMultilevel"/>
    <w:tmpl w:val="90D4B2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7">
    <w:nsid w:val="66D846DA"/>
    <w:multiLevelType w:val="singleLevel"/>
    <w:tmpl w:val="B54A7D14"/>
    <w:lvl w:ilvl="0">
      <w:numFmt w:val="decimal"/>
      <w:lvlText w:val=""/>
      <w:lvlJc w:val="left"/>
    </w:lvl>
  </w:abstractNum>
  <w:abstractNum w:abstractNumId="898">
    <w:nsid w:val="671D0E6C"/>
    <w:multiLevelType w:val="hybridMultilevel"/>
    <w:tmpl w:val="B69ABA78"/>
    <w:lvl w:ilvl="0" w:tplc="618EF48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899">
    <w:nsid w:val="672702A1"/>
    <w:multiLevelType w:val="singleLevel"/>
    <w:tmpl w:val="FB30FFDE"/>
    <w:lvl w:ilvl="0">
      <w:numFmt w:val="decimal"/>
      <w:lvlText w:val=""/>
      <w:lvlJc w:val="left"/>
    </w:lvl>
  </w:abstractNum>
  <w:abstractNum w:abstractNumId="900">
    <w:nsid w:val="675B53F6"/>
    <w:multiLevelType w:val="singleLevel"/>
    <w:tmpl w:val="836EA15E"/>
    <w:lvl w:ilvl="0">
      <w:numFmt w:val="decimal"/>
      <w:lvlText w:val=""/>
      <w:lvlJc w:val="left"/>
    </w:lvl>
  </w:abstractNum>
  <w:abstractNum w:abstractNumId="901">
    <w:nsid w:val="677B2FFE"/>
    <w:multiLevelType w:val="singleLevel"/>
    <w:tmpl w:val="A112DE0A"/>
    <w:lvl w:ilvl="0">
      <w:numFmt w:val="decimal"/>
      <w:lvlText w:val=""/>
      <w:lvlJc w:val="left"/>
    </w:lvl>
  </w:abstractNum>
  <w:abstractNum w:abstractNumId="902">
    <w:nsid w:val="67AF6333"/>
    <w:multiLevelType w:val="singleLevel"/>
    <w:tmpl w:val="C038D590"/>
    <w:lvl w:ilvl="0">
      <w:start w:val="1"/>
      <w:numFmt w:val="decimal"/>
      <w:lvlText w:val="(%1)"/>
      <w:lvlJc w:val="left"/>
      <w:pPr>
        <w:tabs>
          <w:tab w:val="num" w:pos="360"/>
        </w:tabs>
        <w:ind w:left="360" w:hanging="360"/>
      </w:pPr>
      <w:rPr>
        <w:rFonts w:hint="default"/>
      </w:rPr>
    </w:lvl>
  </w:abstractNum>
  <w:abstractNum w:abstractNumId="903">
    <w:nsid w:val="67D34952"/>
    <w:multiLevelType w:val="multilevel"/>
    <w:tmpl w:val="35DC85F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4">
    <w:nsid w:val="67DC3DCA"/>
    <w:multiLevelType w:val="singleLevel"/>
    <w:tmpl w:val="4FCE03E4"/>
    <w:lvl w:ilvl="0">
      <w:numFmt w:val="decimal"/>
      <w:lvlText w:val=""/>
      <w:lvlJc w:val="left"/>
    </w:lvl>
  </w:abstractNum>
  <w:abstractNum w:abstractNumId="905">
    <w:nsid w:val="67ED31AD"/>
    <w:multiLevelType w:val="hybridMultilevel"/>
    <w:tmpl w:val="ADFAFF68"/>
    <w:lvl w:ilvl="0" w:tplc="E082941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06">
    <w:nsid w:val="680C581C"/>
    <w:multiLevelType w:val="singleLevel"/>
    <w:tmpl w:val="CECA98D8"/>
    <w:lvl w:ilvl="0">
      <w:numFmt w:val="decimal"/>
      <w:lvlText w:val=""/>
      <w:lvlJc w:val="left"/>
    </w:lvl>
  </w:abstractNum>
  <w:abstractNum w:abstractNumId="907">
    <w:nsid w:val="681F3F12"/>
    <w:multiLevelType w:val="singleLevel"/>
    <w:tmpl w:val="65C4AF5E"/>
    <w:lvl w:ilvl="0">
      <w:numFmt w:val="decimal"/>
      <w:lvlText w:val=""/>
      <w:lvlJc w:val="left"/>
    </w:lvl>
  </w:abstractNum>
  <w:abstractNum w:abstractNumId="908">
    <w:nsid w:val="68460E03"/>
    <w:multiLevelType w:val="singleLevel"/>
    <w:tmpl w:val="7BB430FE"/>
    <w:lvl w:ilvl="0">
      <w:numFmt w:val="decimal"/>
      <w:lvlText w:val=""/>
      <w:lvlJc w:val="left"/>
    </w:lvl>
  </w:abstractNum>
  <w:abstractNum w:abstractNumId="909">
    <w:nsid w:val="68F70BA1"/>
    <w:multiLevelType w:val="hybridMultilevel"/>
    <w:tmpl w:val="A3DCC4A8"/>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10">
    <w:nsid w:val="6914638B"/>
    <w:multiLevelType w:val="hybridMultilevel"/>
    <w:tmpl w:val="4724B8C4"/>
    <w:lvl w:ilvl="0" w:tplc="C406AC2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11">
    <w:nsid w:val="693029B6"/>
    <w:multiLevelType w:val="singleLevel"/>
    <w:tmpl w:val="1304F398"/>
    <w:lvl w:ilvl="0">
      <w:start w:val="19"/>
      <w:numFmt w:val="decimal"/>
      <w:lvlText w:val="%1."/>
      <w:lvlJc w:val="left"/>
      <w:pPr>
        <w:tabs>
          <w:tab w:val="num" w:pos="360"/>
        </w:tabs>
        <w:ind w:left="0" w:firstLine="0"/>
      </w:pPr>
    </w:lvl>
  </w:abstractNum>
  <w:abstractNum w:abstractNumId="912">
    <w:nsid w:val="69453A14"/>
    <w:multiLevelType w:val="hybridMultilevel"/>
    <w:tmpl w:val="87D0C350"/>
    <w:lvl w:ilvl="0" w:tplc="F8A0A7E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13">
    <w:nsid w:val="69540237"/>
    <w:multiLevelType w:val="hybridMultilevel"/>
    <w:tmpl w:val="5A1EC0C4"/>
    <w:lvl w:ilvl="0" w:tplc="04090019">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14">
    <w:nsid w:val="69D00FA2"/>
    <w:multiLevelType w:val="hybridMultilevel"/>
    <w:tmpl w:val="290E5034"/>
    <w:lvl w:ilvl="0" w:tplc="ECDEC38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15">
    <w:nsid w:val="6A725CA8"/>
    <w:multiLevelType w:val="singleLevel"/>
    <w:tmpl w:val="C69E1F30"/>
    <w:lvl w:ilvl="0">
      <w:numFmt w:val="decimal"/>
      <w:lvlText w:val=""/>
      <w:lvlJc w:val="left"/>
    </w:lvl>
  </w:abstractNum>
  <w:abstractNum w:abstractNumId="916">
    <w:nsid w:val="6A7A18D7"/>
    <w:multiLevelType w:val="multilevel"/>
    <w:tmpl w:val="9A4CD6B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7">
    <w:nsid w:val="6A896AD7"/>
    <w:multiLevelType w:val="hybridMultilevel"/>
    <w:tmpl w:val="2F820968"/>
    <w:lvl w:ilvl="0" w:tplc="3C223E7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18">
    <w:nsid w:val="6A9A7560"/>
    <w:multiLevelType w:val="singleLevel"/>
    <w:tmpl w:val="7BB430FE"/>
    <w:lvl w:ilvl="0">
      <w:numFmt w:val="decimal"/>
      <w:lvlText w:val=""/>
      <w:lvlJc w:val="left"/>
    </w:lvl>
  </w:abstractNum>
  <w:abstractNum w:abstractNumId="919">
    <w:nsid w:val="6AC136F9"/>
    <w:multiLevelType w:val="singleLevel"/>
    <w:tmpl w:val="6BD08344"/>
    <w:lvl w:ilvl="0">
      <w:numFmt w:val="decimal"/>
      <w:lvlText w:val=""/>
      <w:lvlJc w:val="left"/>
    </w:lvl>
  </w:abstractNum>
  <w:abstractNum w:abstractNumId="920">
    <w:nsid w:val="6AC37726"/>
    <w:multiLevelType w:val="singleLevel"/>
    <w:tmpl w:val="ABEE3A50"/>
    <w:lvl w:ilvl="0">
      <w:numFmt w:val="decimal"/>
      <w:lvlText w:val=""/>
      <w:lvlJc w:val="left"/>
    </w:lvl>
  </w:abstractNum>
  <w:abstractNum w:abstractNumId="921">
    <w:nsid w:val="6ACE23A8"/>
    <w:multiLevelType w:val="singleLevel"/>
    <w:tmpl w:val="7BB430FE"/>
    <w:lvl w:ilvl="0">
      <w:numFmt w:val="decimal"/>
      <w:lvlText w:val=""/>
      <w:lvlJc w:val="left"/>
    </w:lvl>
  </w:abstractNum>
  <w:abstractNum w:abstractNumId="922">
    <w:nsid w:val="6AE52C7A"/>
    <w:multiLevelType w:val="hybridMultilevel"/>
    <w:tmpl w:val="2592980E"/>
    <w:lvl w:ilvl="0" w:tplc="04090019">
      <w:numFmt w:val="decimal"/>
      <w:lvlText w:val=""/>
      <w:lvlJc w:val="left"/>
    </w:lvl>
    <w:lvl w:ilvl="1" w:tplc="A740E4C4">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23">
    <w:nsid w:val="6B130445"/>
    <w:multiLevelType w:val="hybridMultilevel"/>
    <w:tmpl w:val="E48C94D2"/>
    <w:lvl w:ilvl="0" w:tplc="8FE822D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24">
    <w:nsid w:val="6B381AA9"/>
    <w:multiLevelType w:val="hybridMultilevel"/>
    <w:tmpl w:val="E3A8344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25">
    <w:nsid w:val="6B45788A"/>
    <w:multiLevelType w:val="hybridMultilevel"/>
    <w:tmpl w:val="A3DCC4A8"/>
    <w:lvl w:ilvl="0" w:tplc="C0006C9C">
      <w:numFmt w:val="decimal"/>
      <w:lvlText w:val=""/>
      <w:lvlJc w:val="left"/>
    </w:lvl>
    <w:lvl w:ilvl="1" w:tplc="04090003">
      <w:numFmt w:val="decimal"/>
      <w:lvlText w:val=""/>
      <w:lvlJc w:val="left"/>
    </w:lvl>
    <w:lvl w:ilvl="2" w:tplc="C406AC24">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26">
    <w:nsid w:val="6B4D4152"/>
    <w:multiLevelType w:val="singleLevel"/>
    <w:tmpl w:val="524EC99A"/>
    <w:lvl w:ilvl="0">
      <w:start w:val="25"/>
      <w:numFmt w:val="decimal"/>
      <w:lvlText w:val="%1."/>
      <w:lvlJc w:val="left"/>
      <w:pPr>
        <w:tabs>
          <w:tab w:val="num" w:pos="360"/>
        </w:tabs>
        <w:ind w:left="0" w:firstLine="0"/>
      </w:pPr>
    </w:lvl>
  </w:abstractNum>
  <w:abstractNum w:abstractNumId="927">
    <w:nsid w:val="6B591492"/>
    <w:multiLevelType w:val="hybridMultilevel"/>
    <w:tmpl w:val="61C671BC"/>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28">
    <w:nsid w:val="6B5C7481"/>
    <w:multiLevelType w:val="singleLevel"/>
    <w:tmpl w:val="7BB430FE"/>
    <w:lvl w:ilvl="0">
      <w:numFmt w:val="decimal"/>
      <w:lvlText w:val=""/>
      <w:lvlJc w:val="left"/>
    </w:lvl>
  </w:abstractNum>
  <w:abstractNum w:abstractNumId="929">
    <w:nsid w:val="6BA025AF"/>
    <w:multiLevelType w:val="singleLevel"/>
    <w:tmpl w:val="7BB430FE"/>
    <w:lvl w:ilvl="0">
      <w:numFmt w:val="decimal"/>
      <w:lvlText w:val=""/>
      <w:lvlJc w:val="left"/>
    </w:lvl>
  </w:abstractNum>
  <w:abstractNum w:abstractNumId="930">
    <w:nsid w:val="6BB437C9"/>
    <w:multiLevelType w:val="hybridMultilevel"/>
    <w:tmpl w:val="1024AD44"/>
    <w:lvl w:ilvl="0" w:tplc="8F3C968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31">
    <w:nsid w:val="6BDD5091"/>
    <w:multiLevelType w:val="hybridMultilevel"/>
    <w:tmpl w:val="2FB23DB8"/>
    <w:lvl w:ilvl="0" w:tplc="447A596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32">
    <w:nsid w:val="6BE039A3"/>
    <w:multiLevelType w:val="hybridMultilevel"/>
    <w:tmpl w:val="05B6783A"/>
    <w:lvl w:ilvl="0" w:tplc="882EE9B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33">
    <w:nsid w:val="6C007CA4"/>
    <w:multiLevelType w:val="singleLevel"/>
    <w:tmpl w:val="CD1C550C"/>
    <w:lvl w:ilvl="0">
      <w:numFmt w:val="decimal"/>
      <w:lvlText w:val=""/>
      <w:lvlJc w:val="left"/>
    </w:lvl>
  </w:abstractNum>
  <w:abstractNum w:abstractNumId="934">
    <w:nsid w:val="6C03035D"/>
    <w:multiLevelType w:val="hybridMultilevel"/>
    <w:tmpl w:val="453A3E46"/>
    <w:lvl w:ilvl="0" w:tplc="BE9297F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35">
    <w:nsid w:val="6C1645B7"/>
    <w:multiLevelType w:val="singleLevel"/>
    <w:tmpl w:val="9F68EAAA"/>
    <w:lvl w:ilvl="0">
      <w:numFmt w:val="decimal"/>
      <w:lvlText w:val=""/>
      <w:lvlJc w:val="left"/>
    </w:lvl>
  </w:abstractNum>
  <w:abstractNum w:abstractNumId="936">
    <w:nsid w:val="6C247AEB"/>
    <w:multiLevelType w:val="multilevel"/>
    <w:tmpl w:val="114CE28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7">
    <w:nsid w:val="6C26429C"/>
    <w:multiLevelType w:val="singleLevel"/>
    <w:tmpl w:val="7BB430FE"/>
    <w:lvl w:ilvl="0">
      <w:numFmt w:val="decimal"/>
      <w:lvlText w:val=""/>
      <w:lvlJc w:val="left"/>
    </w:lvl>
  </w:abstractNum>
  <w:abstractNum w:abstractNumId="938">
    <w:nsid w:val="6C2774ED"/>
    <w:multiLevelType w:val="singleLevel"/>
    <w:tmpl w:val="4114E738"/>
    <w:lvl w:ilvl="0">
      <w:numFmt w:val="decimal"/>
      <w:lvlText w:val=""/>
      <w:lvlJc w:val="left"/>
    </w:lvl>
  </w:abstractNum>
  <w:abstractNum w:abstractNumId="939">
    <w:nsid w:val="6C2D55BB"/>
    <w:multiLevelType w:val="singleLevel"/>
    <w:tmpl w:val="7BB430FE"/>
    <w:lvl w:ilvl="0">
      <w:numFmt w:val="decimal"/>
      <w:lvlText w:val=""/>
      <w:lvlJc w:val="left"/>
    </w:lvl>
  </w:abstractNum>
  <w:abstractNum w:abstractNumId="940">
    <w:nsid w:val="6C473C1F"/>
    <w:multiLevelType w:val="hybridMultilevel"/>
    <w:tmpl w:val="EFC63B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1">
    <w:nsid w:val="6C554DBA"/>
    <w:multiLevelType w:val="singleLevel"/>
    <w:tmpl w:val="7BB430FE"/>
    <w:lvl w:ilvl="0">
      <w:numFmt w:val="decimal"/>
      <w:lvlText w:val=""/>
      <w:lvlJc w:val="left"/>
    </w:lvl>
  </w:abstractNum>
  <w:abstractNum w:abstractNumId="942">
    <w:nsid w:val="6C5E1BB6"/>
    <w:multiLevelType w:val="singleLevel"/>
    <w:tmpl w:val="7BB430FE"/>
    <w:lvl w:ilvl="0">
      <w:numFmt w:val="decimal"/>
      <w:lvlText w:val=""/>
      <w:lvlJc w:val="left"/>
    </w:lvl>
  </w:abstractNum>
  <w:abstractNum w:abstractNumId="943">
    <w:nsid w:val="6C7A58F6"/>
    <w:multiLevelType w:val="hybridMultilevel"/>
    <w:tmpl w:val="A95A59CC"/>
    <w:lvl w:ilvl="0" w:tplc="1DB2A76A">
      <w:numFmt w:val="decimal"/>
      <w:lvlText w:val=""/>
      <w:lvlJc w:val="left"/>
    </w:lvl>
    <w:lvl w:ilvl="1" w:tplc="55C016F6">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44">
    <w:nsid w:val="6C7C0D4A"/>
    <w:multiLevelType w:val="hybridMultilevel"/>
    <w:tmpl w:val="03F047B4"/>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45">
    <w:nsid w:val="6C886412"/>
    <w:multiLevelType w:val="hybridMultilevel"/>
    <w:tmpl w:val="E96EE3EC"/>
    <w:lvl w:ilvl="0" w:tplc="57D612D0">
      <w:numFmt w:val="decimal"/>
      <w:lvlText w:val=""/>
      <w:lvlJc w:val="left"/>
    </w:lvl>
    <w:lvl w:ilvl="1" w:tplc="3C061FDA">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46">
    <w:nsid w:val="6C8E4CBA"/>
    <w:multiLevelType w:val="singleLevel"/>
    <w:tmpl w:val="9C3E80CE"/>
    <w:lvl w:ilvl="0">
      <w:numFmt w:val="decimal"/>
      <w:lvlText w:val=""/>
      <w:lvlJc w:val="left"/>
    </w:lvl>
  </w:abstractNum>
  <w:abstractNum w:abstractNumId="947">
    <w:nsid w:val="6C996E4F"/>
    <w:multiLevelType w:val="hybridMultilevel"/>
    <w:tmpl w:val="14CADEF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8">
    <w:nsid w:val="6C997C1B"/>
    <w:multiLevelType w:val="singleLevel"/>
    <w:tmpl w:val="E5FC9D38"/>
    <w:lvl w:ilvl="0">
      <w:numFmt w:val="decimal"/>
      <w:lvlText w:val=""/>
      <w:lvlJc w:val="left"/>
    </w:lvl>
  </w:abstractNum>
  <w:abstractNum w:abstractNumId="949">
    <w:nsid w:val="6CAA1582"/>
    <w:multiLevelType w:val="hybridMultilevel"/>
    <w:tmpl w:val="FA3EDAD8"/>
    <w:lvl w:ilvl="0" w:tplc="2D58F98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50">
    <w:nsid w:val="6CC3491B"/>
    <w:multiLevelType w:val="hybridMultilevel"/>
    <w:tmpl w:val="4C92CC04"/>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51">
    <w:nsid w:val="6CC51C21"/>
    <w:multiLevelType w:val="hybridMultilevel"/>
    <w:tmpl w:val="ECA664E8"/>
    <w:lvl w:ilvl="0" w:tplc="3C9444C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52">
    <w:nsid w:val="6CD279E5"/>
    <w:multiLevelType w:val="hybridMultilevel"/>
    <w:tmpl w:val="3FEA4AA0"/>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53">
    <w:nsid w:val="6CEB4092"/>
    <w:multiLevelType w:val="singleLevel"/>
    <w:tmpl w:val="A86E082C"/>
    <w:lvl w:ilvl="0">
      <w:start w:val="28"/>
      <w:numFmt w:val="decimal"/>
      <w:lvlText w:val="%1."/>
      <w:lvlJc w:val="left"/>
      <w:pPr>
        <w:tabs>
          <w:tab w:val="num" w:pos="360"/>
        </w:tabs>
        <w:ind w:left="0" w:firstLine="0"/>
      </w:pPr>
    </w:lvl>
  </w:abstractNum>
  <w:abstractNum w:abstractNumId="954">
    <w:nsid w:val="6CF41183"/>
    <w:multiLevelType w:val="hybridMultilevel"/>
    <w:tmpl w:val="E3361986"/>
    <w:lvl w:ilvl="0" w:tplc="F3B6207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55">
    <w:nsid w:val="6D0078D4"/>
    <w:multiLevelType w:val="hybridMultilevel"/>
    <w:tmpl w:val="4010F60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6">
    <w:nsid w:val="6D081C68"/>
    <w:multiLevelType w:val="singleLevel"/>
    <w:tmpl w:val="07CA3B30"/>
    <w:lvl w:ilvl="0">
      <w:numFmt w:val="decimal"/>
      <w:lvlText w:val=""/>
      <w:lvlJc w:val="left"/>
    </w:lvl>
  </w:abstractNum>
  <w:abstractNum w:abstractNumId="957">
    <w:nsid w:val="6D2F646E"/>
    <w:multiLevelType w:val="hybridMultilevel"/>
    <w:tmpl w:val="1F8CC6B4"/>
    <w:lvl w:ilvl="0" w:tplc="9190D1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58">
    <w:nsid w:val="6D440590"/>
    <w:multiLevelType w:val="hybridMultilevel"/>
    <w:tmpl w:val="44469156"/>
    <w:lvl w:ilvl="0" w:tplc="4128267C">
      <w:numFmt w:val="decimal"/>
      <w:lvlText w:val=""/>
      <w:lvlJc w:val="left"/>
    </w:lvl>
    <w:lvl w:ilvl="1" w:tplc="970C2012">
      <w:numFmt w:val="decimal"/>
      <w:lvlText w:val=""/>
      <w:lvlJc w:val="left"/>
    </w:lvl>
    <w:lvl w:ilvl="2" w:tplc="0BE253CC">
      <w:numFmt w:val="decimal"/>
      <w:lvlText w:val=""/>
      <w:lvlJc w:val="left"/>
    </w:lvl>
    <w:lvl w:ilvl="3" w:tplc="3C22307C">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59">
    <w:nsid w:val="6D577724"/>
    <w:multiLevelType w:val="singleLevel"/>
    <w:tmpl w:val="7BB430FE"/>
    <w:lvl w:ilvl="0">
      <w:numFmt w:val="decimal"/>
      <w:lvlText w:val=""/>
      <w:lvlJc w:val="left"/>
    </w:lvl>
  </w:abstractNum>
  <w:abstractNum w:abstractNumId="960">
    <w:nsid w:val="6DE1267B"/>
    <w:multiLevelType w:val="singleLevel"/>
    <w:tmpl w:val="7BB430FE"/>
    <w:lvl w:ilvl="0">
      <w:numFmt w:val="decimal"/>
      <w:lvlText w:val=""/>
      <w:lvlJc w:val="left"/>
    </w:lvl>
  </w:abstractNum>
  <w:abstractNum w:abstractNumId="961">
    <w:nsid w:val="6DF34312"/>
    <w:multiLevelType w:val="hybridMultilevel"/>
    <w:tmpl w:val="F192F55A"/>
    <w:lvl w:ilvl="0" w:tplc="2620DEA8">
      <w:numFmt w:val="decimal"/>
      <w:lvlText w:val=""/>
      <w:lvlJc w:val="left"/>
    </w:lvl>
    <w:lvl w:ilvl="1" w:tplc="79C60E74">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62">
    <w:nsid w:val="6E0D27F8"/>
    <w:multiLevelType w:val="singleLevel"/>
    <w:tmpl w:val="B73283FE"/>
    <w:lvl w:ilvl="0">
      <w:numFmt w:val="decimal"/>
      <w:pStyle w:val="Heading3"/>
      <w:lvlText w:val=""/>
      <w:lvlJc w:val="left"/>
    </w:lvl>
  </w:abstractNum>
  <w:abstractNum w:abstractNumId="963">
    <w:nsid w:val="6E1152AE"/>
    <w:multiLevelType w:val="singleLevel"/>
    <w:tmpl w:val="4342C5FA"/>
    <w:lvl w:ilvl="0">
      <w:numFmt w:val="decimal"/>
      <w:lvlText w:val=""/>
      <w:lvlJc w:val="left"/>
    </w:lvl>
  </w:abstractNum>
  <w:abstractNum w:abstractNumId="964">
    <w:nsid w:val="6E213209"/>
    <w:multiLevelType w:val="hybridMultilevel"/>
    <w:tmpl w:val="61C671BC"/>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65">
    <w:nsid w:val="6E307471"/>
    <w:multiLevelType w:val="hybridMultilevel"/>
    <w:tmpl w:val="9E62C15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6">
    <w:nsid w:val="6E655AB6"/>
    <w:multiLevelType w:val="multilevel"/>
    <w:tmpl w:val="DF44D9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7">
    <w:nsid w:val="6EA33212"/>
    <w:multiLevelType w:val="singleLevel"/>
    <w:tmpl w:val="7BB430FE"/>
    <w:lvl w:ilvl="0">
      <w:numFmt w:val="decimal"/>
      <w:lvlText w:val=""/>
      <w:lvlJc w:val="left"/>
    </w:lvl>
  </w:abstractNum>
  <w:abstractNum w:abstractNumId="968">
    <w:nsid w:val="6EB850C8"/>
    <w:multiLevelType w:val="singleLevel"/>
    <w:tmpl w:val="7BB430FE"/>
    <w:lvl w:ilvl="0">
      <w:numFmt w:val="decimal"/>
      <w:lvlText w:val=""/>
      <w:lvlJc w:val="left"/>
    </w:lvl>
  </w:abstractNum>
  <w:abstractNum w:abstractNumId="969">
    <w:nsid w:val="6EC26A90"/>
    <w:multiLevelType w:val="hybridMultilevel"/>
    <w:tmpl w:val="051EC554"/>
    <w:lvl w:ilvl="0" w:tplc="2062A450">
      <w:numFmt w:val="decimal"/>
      <w:lvlText w:val=""/>
      <w:lvlJc w:val="left"/>
    </w:lvl>
    <w:lvl w:ilvl="1" w:tplc="BC56DDC4">
      <w:numFmt w:val="decimal"/>
      <w:lvlText w:val=""/>
      <w:lvlJc w:val="left"/>
    </w:lvl>
    <w:lvl w:ilvl="2" w:tplc="892AA0FC">
      <w:numFmt w:val="decimal"/>
      <w:lvlText w:val=""/>
      <w:lvlJc w:val="left"/>
    </w:lvl>
    <w:lvl w:ilvl="3" w:tplc="1890A0C4">
      <w:numFmt w:val="decimal"/>
      <w:lvlText w:val=""/>
      <w:lvlJc w:val="left"/>
    </w:lvl>
    <w:lvl w:ilvl="4" w:tplc="D4240144">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70">
    <w:nsid w:val="6EC41555"/>
    <w:multiLevelType w:val="hybridMultilevel"/>
    <w:tmpl w:val="FF1A2B4E"/>
    <w:lvl w:ilvl="0" w:tplc="04090003">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71">
    <w:nsid w:val="6F58540A"/>
    <w:multiLevelType w:val="hybridMultilevel"/>
    <w:tmpl w:val="B33821C4"/>
    <w:lvl w:ilvl="0" w:tplc="F44ED920">
      <w:numFmt w:val="decimal"/>
      <w:lvlText w:val=""/>
      <w:lvlJc w:val="left"/>
    </w:lvl>
    <w:lvl w:ilvl="1" w:tplc="246496F4">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72">
    <w:nsid w:val="6F5967EC"/>
    <w:multiLevelType w:val="hybridMultilevel"/>
    <w:tmpl w:val="DF3A4E0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3">
    <w:nsid w:val="6F736116"/>
    <w:multiLevelType w:val="singleLevel"/>
    <w:tmpl w:val="7BB430FE"/>
    <w:lvl w:ilvl="0">
      <w:numFmt w:val="decimal"/>
      <w:lvlText w:val=""/>
      <w:lvlJc w:val="left"/>
    </w:lvl>
  </w:abstractNum>
  <w:abstractNum w:abstractNumId="974">
    <w:nsid w:val="6F816657"/>
    <w:multiLevelType w:val="hybridMultilevel"/>
    <w:tmpl w:val="57D4E26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5">
    <w:nsid w:val="6FCD55A6"/>
    <w:multiLevelType w:val="hybridMultilevel"/>
    <w:tmpl w:val="2BF4BB22"/>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76">
    <w:nsid w:val="6FCF16A9"/>
    <w:multiLevelType w:val="singleLevel"/>
    <w:tmpl w:val="9CE484A2"/>
    <w:lvl w:ilvl="0">
      <w:start w:val="30"/>
      <w:numFmt w:val="decimal"/>
      <w:lvlText w:val="%1."/>
      <w:lvlJc w:val="left"/>
      <w:pPr>
        <w:tabs>
          <w:tab w:val="num" w:pos="360"/>
        </w:tabs>
        <w:ind w:left="0" w:firstLine="0"/>
      </w:pPr>
    </w:lvl>
  </w:abstractNum>
  <w:abstractNum w:abstractNumId="977">
    <w:nsid w:val="6FE90467"/>
    <w:multiLevelType w:val="hybridMultilevel"/>
    <w:tmpl w:val="264469CC"/>
    <w:lvl w:ilvl="0" w:tplc="08F271F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78">
    <w:nsid w:val="70007E59"/>
    <w:multiLevelType w:val="singleLevel"/>
    <w:tmpl w:val="C5D055E2"/>
    <w:lvl w:ilvl="0">
      <w:numFmt w:val="decimal"/>
      <w:lvlText w:val=""/>
      <w:lvlJc w:val="left"/>
    </w:lvl>
  </w:abstractNum>
  <w:abstractNum w:abstractNumId="979">
    <w:nsid w:val="700124D7"/>
    <w:multiLevelType w:val="hybridMultilevel"/>
    <w:tmpl w:val="F1503AB6"/>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80">
    <w:nsid w:val="7013607B"/>
    <w:multiLevelType w:val="multilevel"/>
    <w:tmpl w:val="D36A165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1">
    <w:nsid w:val="70147664"/>
    <w:multiLevelType w:val="singleLevel"/>
    <w:tmpl w:val="7BB430FE"/>
    <w:lvl w:ilvl="0">
      <w:numFmt w:val="decimal"/>
      <w:lvlText w:val=""/>
      <w:lvlJc w:val="left"/>
    </w:lvl>
  </w:abstractNum>
  <w:abstractNum w:abstractNumId="982">
    <w:nsid w:val="701812F4"/>
    <w:multiLevelType w:val="singleLevel"/>
    <w:tmpl w:val="7BB430FE"/>
    <w:lvl w:ilvl="0">
      <w:numFmt w:val="decimal"/>
      <w:lvlText w:val=""/>
      <w:lvlJc w:val="left"/>
    </w:lvl>
  </w:abstractNum>
  <w:abstractNum w:abstractNumId="983">
    <w:nsid w:val="70361B8A"/>
    <w:multiLevelType w:val="singleLevel"/>
    <w:tmpl w:val="7BB430FE"/>
    <w:lvl w:ilvl="0">
      <w:numFmt w:val="decimal"/>
      <w:lvlText w:val=""/>
      <w:lvlJc w:val="left"/>
    </w:lvl>
  </w:abstractNum>
  <w:abstractNum w:abstractNumId="984">
    <w:nsid w:val="70640A3F"/>
    <w:multiLevelType w:val="singleLevel"/>
    <w:tmpl w:val="7BB430FE"/>
    <w:lvl w:ilvl="0">
      <w:numFmt w:val="decimal"/>
      <w:lvlText w:val=""/>
      <w:lvlJc w:val="left"/>
    </w:lvl>
  </w:abstractNum>
  <w:abstractNum w:abstractNumId="985">
    <w:nsid w:val="706C2FB0"/>
    <w:multiLevelType w:val="hybridMultilevel"/>
    <w:tmpl w:val="4724B8C4"/>
    <w:lvl w:ilvl="0" w:tplc="C406AC24">
      <w:numFmt w:val="decimal"/>
      <w:lvlText w:val=""/>
      <w:lvlJc w:val="left"/>
    </w:lvl>
    <w:lvl w:ilvl="1" w:tplc="04090003">
      <w:numFmt w:val="decimal"/>
      <w:lvlText w:val=""/>
      <w:lvlJc w:val="left"/>
    </w:lvl>
    <w:lvl w:ilvl="2" w:tplc="C0006C9C">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86">
    <w:nsid w:val="707A381E"/>
    <w:multiLevelType w:val="hybridMultilevel"/>
    <w:tmpl w:val="0C7C67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7">
    <w:nsid w:val="708F5D51"/>
    <w:multiLevelType w:val="hybridMultilevel"/>
    <w:tmpl w:val="0CA8E908"/>
    <w:lvl w:ilvl="0" w:tplc="04090019">
      <w:numFmt w:val="decimal"/>
      <w:lvlText w:val=""/>
      <w:lvlJc w:val="left"/>
    </w:lvl>
    <w:lvl w:ilvl="1" w:tplc="B7E671D4">
      <w:numFmt w:val="decimal"/>
      <w:lvlText w:val=""/>
      <w:lvlJc w:val="left"/>
    </w:lvl>
    <w:lvl w:ilvl="2" w:tplc="3F5E72A8">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88">
    <w:nsid w:val="709E3ADF"/>
    <w:multiLevelType w:val="singleLevel"/>
    <w:tmpl w:val="E6D2C638"/>
    <w:lvl w:ilvl="0">
      <w:numFmt w:val="decimal"/>
      <w:lvlText w:val=""/>
      <w:lvlJc w:val="left"/>
    </w:lvl>
  </w:abstractNum>
  <w:abstractNum w:abstractNumId="989">
    <w:nsid w:val="70E54063"/>
    <w:multiLevelType w:val="singleLevel"/>
    <w:tmpl w:val="CCFA24D2"/>
    <w:lvl w:ilvl="0">
      <w:numFmt w:val="decimal"/>
      <w:lvlText w:val=""/>
      <w:lvlJc w:val="left"/>
    </w:lvl>
  </w:abstractNum>
  <w:abstractNum w:abstractNumId="990">
    <w:nsid w:val="70EC4C81"/>
    <w:multiLevelType w:val="singleLevel"/>
    <w:tmpl w:val="C5D055E2"/>
    <w:lvl w:ilvl="0">
      <w:numFmt w:val="decimal"/>
      <w:lvlText w:val=""/>
      <w:lvlJc w:val="left"/>
    </w:lvl>
  </w:abstractNum>
  <w:abstractNum w:abstractNumId="991">
    <w:nsid w:val="70F949C7"/>
    <w:multiLevelType w:val="singleLevel"/>
    <w:tmpl w:val="327C344E"/>
    <w:lvl w:ilvl="0">
      <w:numFmt w:val="decimal"/>
      <w:lvlText w:val=""/>
      <w:lvlJc w:val="left"/>
    </w:lvl>
  </w:abstractNum>
  <w:abstractNum w:abstractNumId="992">
    <w:nsid w:val="71103B64"/>
    <w:multiLevelType w:val="singleLevel"/>
    <w:tmpl w:val="4300C04E"/>
    <w:lvl w:ilvl="0">
      <w:numFmt w:val="decimal"/>
      <w:lvlText w:val=""/>
      <w:lvlJc w:val="left"/>
    </w:lvl>
  </w:abstractNum>
  <w:abstractNum w:abstractNumId="993">
    <w:nsid w:val="716C1858"/>
    <w:multiLevelType w:val="singleLevel"/>
    <w:tmpl w:val="2D1CD6EC"/>
    <w:lvl w:ilvl="0">
      <w:numFmt w:val="decimal"/>
      <w:lvlText w:val=""/>
      <w:lvlJc w:val="left"/>
    </w:lvl>
  </w:abstractNum>
  <w:abstractNum w:abstractNumId="994">
    <w:nsid w:val="71BB6B00"/>
    <w:multiLevelType w:val="hybridMultilevel"/>
    <w:tmpl w:val="66009F00"/>
    <w:lvl w:ilvl="0" w:tplc="17E4007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995">
    <w:nsid w:val="71BF04F9"/>
    <w:multiLevelType w:val="singleLevel"/>
    <w:tmpl w:val="429E1BAC"/>
    <w:lvl w:ilvl="0">
      <w:start w:val="3"/>
      <w:numFmt w:val="decimal"/>
      <w:lvlText w:val="%1."/>
      <w:lvlJc w:val="left"/>
      <w:pPr>
        <w:tabs>
          <w:tab w:val="num" w:pos="360"/>
        </w:tabs>
        <w:ind w:left="0" w:firstLine="0"/>
      </w:pPr>
    </w:lvl>
  </w:abstractNum>
  <w:abstractNum w:abstractNumId="996">
    <w:nsid w:val="71DE13C7"/>
    <w:multiLevelType w:val="hybridMultilevel"/>
    <w:tmpl w:val="DF020328"/>
    <w:lvl w:ilvl="0" w:tplc="8AC2B47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97">
    <w:nsid w:val="7203350C"/>
    <w:multiLevelType w:val="singleLevel"/>
    <w:tmpl w:val="AABECE1E"/>
    <w:lvl w:ilvl="0">
      <w:start w:val="43"/>
      <w:numFmt w:val="decimal"/>
      <w:lvlText w:val="%1."/>
      <w:lvlJc w:val="left"/>
      <w:pPr>
        <w:tabs>
          <w:tab w:val="num" w:pos="360"/>
        </w:tabs>
        <w:ind w:left="0" w:firstLine="0"/>
      </w:pPr>
    </w:lvl>
  </w:abstractNum>
  <w:abstractNum w:abstractNumId="998">
    <w:nsid w:val="721C660D"/>
    <w:multiLevelType w:val="singleLevel"/>
    <w:tmpl w:val="A5703C6A"/>
    <w:lvl w:ilvl="0">
      <w:numFmt w:val="decimal"/>
      <w:lvlText w:val=""/>
      <w:lvlJc w:val="left"/>
    </w:lvl>
  </w:abstractNum>
  <w:abstractNum w:abstractNumId="999">
    <w:nsid w:val="723116B3"/>
    <w:multiLevelType w:val="hybridMultilevel"/>
    <w:tmpl w:val="11EA9E3C"/>
    <w:lvl w:ilvl="0" w:tplc="04090019">
      <w:numFmt w:val="decimal"/>
      <w:lvlText w:val=""/>
      <w:lvlJc w:val="left"/>
    </w:lvl>
    <w:lvl w:ilvl="1" w:tplc="04090001">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00">
    <w:nsid w:val="725F7046"/>
    <w:multiLevelType w:val="hybridMultilevel"/>
    <w:tmpl w:val="2A0A259E"/>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01">
    <w:nsid w:val="727135D7"/>
    <w:multiLevelType w:val="singleLevel"/>
    <w:tmpl w:val="87487A9C"/>
    <w:lvl w:ilvl="0">
      <w:numFmt w:val="decimal"/>
      <w:lvlText w:val=""/>
      <w:lvlJc w:val="left"/>
    </w:lvl>
  </w:abstractNum>
  <w:abstractNum w:abstractNumId="1002">
    <w:nsid w:val="72810120"/>
    <w:multiLevelType w:val="hybridMultilevel"/>
    <w:tmpl w:val="BDB2F34C"/>
    <w:lvl w:ilvl="0" w:tplc="04090003">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03">
    <w:nsid w:val="72FA2485"/>
    <w:multiLevelType w:val="hybridMultilevel"/>
    <w:tmpl w:val="96AE071A"/>
    <w:lvl w:ilvl="0" w:tplc="B82E5C64">
      <w:numFmt w:val="decimal"/>
      <w:lvlText w:val=""/>
      <w:lvlJc w:val="left"/>
    </w:lvl>
    <w:lvl w:ilvl="1" w:tplc="04090003">
      <w:numFmt w:val="decimal"/>
      <w:lvlText w:val=""/>
      <w:lvlJc w:val="left"/>
    </w:lvl>
    <w:lvl w:ilvl="2" w:tplc="26E8D512">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04">
    <w:nsid w:val="731D7C68"/>
    <w:multiLevelType w:val="singleLevel"/>
    <w:tmpl w:val="7BB430FE"/>
    <w:lvl w:ilvl="0">
      <w:numFmt w:val="decimal"/>
      <w:lvlText w:val=""/>
      <w:lvlJc w:val="left"/>
    </w:lvl>
  </w:abstractNum>
  <w:abstractNum w:abstractNumId="1005">
    <w:nsid w:val="73456E92"/>
    <w:multiLevelType w:val="hybridMultilevel"/>
    <w:tmpl w:val="5B7C094E"/>
    <w:lvl w:ilvl="0" w:tplc="3C061FDA">
      <w:numFmt w:val="decimal"/>
      <w:lvlText w:val=""/>
      <w:lvlJc w:val="left"/>
    </w:lvl>
    <w:lvl w:ilvl="1" w:tplc="6376151C">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06">
    <w:nsid w:val="73457B31"/>
    <w:multiLevelType w:val="singleLevel"/>
    <w:tmpl w:val="8F3C8334"/>
    <w:lvl w:ilvl="0">
      <w:start w:val="1"/>
      <w:numFmt w:val="lowerLetter"/>
      <w:lvlText w:val="%1)"/>
      <w:lvlJc w:val="left"/>
      <w:pPr>
        <w:tabs>
          <w:tab w:val="num" w:pos="1080"/>
        </w:tabs>
        <w:ind w:left="1080" w:hanging="360"/>
      </w:pPr>
      <w:rPr>
        <w:rFonts w:hint="default"/>
      </w:rPr>
    </w:lvl>
  </w:abstractNum>
  <w:abstractNum w:abstractNumId="1007">
    <w:nsid w:val="73850B93"/>
    <w:multiLevelType w:val="singleLevel"/>
    <w:tmpl w:val="9B9662DC"/>
    <w:lvl w:ilvl="0">
      <w:start w:val="33"/>
      <w:numFmt w:val="decimal"/>
      <w:lvlText w:val="%1."/>
      <w:lvlJc w:val="left"/>
      <w:pPr>
        <w:tabs>
          <w:tab w:val="num" w:pos="360"/>
        </w:tabs>
        <w:ind w:left="0" w:firstLine="0"/>
      </w:pPr>
    </w:lvl>
  </w:abstractNum>
  <w:abstractNum w:abstractNumId="1008">
    <w:nsid w:val="739B464E"/>
    <w:multiLevelType w:val="singleLevel"/>
    <w:tmpl w:val="7BB430FE"/>
    <w:lvl w:ilvl="0">
      <w:numFmt w:val="decimal"/>
      <w:lvlText w:val=""/>
      <w:lvlJc w:val="left"/>
    </w:lvl>
  </w:abstractNum>
  <w:abstractNum w:abstractNumId="1009">
    <w:nsid w:val="739F624B"/>
    <w:multiLevelType w:val="singleLevel"/>
    <w:tmpl w:val="99B68872"/>
    <w:lvl w:ilvl="0">
      <w:start w:val="6"/>
      <w:numFmt w:val="decimal"/>
      <w:lvlText w:val="%1."/>
      <w:lvlJc w:val="left"/>
      <w:pPr>
        <w:tabs>
          <w:tab w:val="num" w:pos="360"/>
        </w:tabs>
        <w:ind w:left="0" w:firstLine="0"/>
      </w:pPr>
    </w:lvl>
  </w:abstractNum>
  <w:abstractNum w:abstractNumId="1010">
    <w:nsid w:val="73D50EC4"/>
    <w:multiLevelType w:val="hybridMultilevel"/>
    <w:tmpl w:val="727EA7F2"/>
    <w:lvl w:ilvl="0" w:tplc="5B30CFF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11">
    <w:nsid w:val="74082024"/>
    <w:multiLevelType w:val="hybridMultilevel"/>
    <w:tmpl w:val="5B60DC94"/>
    <w:lvl w:ilvl="0" w:tplc="0409000F">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12">
    <w:nsid w:val="741D5EF7"/>
    <w:multiLevelType w:val="singleLevel"/>
    <w:tmpl w:val="F91C39D0"/>
    <w:lvl w:ilvl="0">
      <w:numFmt w:val="decimal"/>
      <w:lvlText w:val=""/>
      <w:lvlJc w:val="left"/>
    </w:lvl>
  </w:abstractNum>
  <w:abstractNum w:abstractNumId="1013">
    <w:nsid w:val="745120B6"/>
    <w:multiLevelType w:val="singleLevel"/>
    <w:tmpl w:val="7BB430FE"/>
    <w:lvl w:ilvl="0">
      <w:numFmt w:val="decimal"/>
      <w:lvlText w:val=""/>
      <w:lvlJc w:val="left"/>
    </w:lvl>
  </w:abstractNum>
  <w:abstractNum w:abstractNumId="1014">
    <w:nsid w:val="746B0561"/>
    <w:multiLevelType w:val="hybridMultilevel"/>
    <w:tmpl w:val="159C6C68"/>
    <w:lvl w:ilvl="0" w:tplc="FBF4894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15">
    <w:nsid w:val="746E7649"/>
    <w:multiLevelType w:val="singleLevel"/>
    <w:tmpl w:val="21BC9670"/>
    <w:lvl w:ilvl="0">
      <w:numFmt w:val="decimal"/>
      <w:lvlText w:val=""/>
      <w:lvlJc w:val="left"/>
    </w:lvl>
  </w:abstractNum>
  <w:abstractNum w:abstractNumId="1016">
    <w:nsid w:val="746F2893"/>
    <w:multiLevelType w:val="singleLevel"/>
    <w:tmpl w:val="8EF4A6CC"/>
    <w:lvl w:ilvl="0">
      <w:numFmt w:val="decimal"/>
      <w:lvlText w:val=""/>
      <w:lvlJc w:val="left"/>
    </w:lvl>
  </w:abstractNum>
  <w:abstractNum w:abstractNumId="1017">
    <w:nsid w:val="74757A30"/>
    <w:multiLevelType w:val="singleLevel"/>
    <w:tmpl w:val="612E766E"/>
    <w:lvl w:ilvl="0">
      <w:numFmt w:val="decimal"/>
      <w:lvlText w:val=""/>
      <w:lvlJc w:val="left"/>
    </w:lvl>
  </w:abstractNum>
  <w:abstractNum w:abstractNumId="1018">
    <w:nsid w:val="7479272B"/>
    <w:multiLevelType w:val="hybridMultilevel"/>
    <w:tmpl w:val="96C4699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9">
    <w:nsid w:val="74802AE6"/>
    <w:multiLevelType w:val="singleLevel"/>
    <w:tmpl w:val="CCB6F2FE"/>
    <w:lvl w:ilvl="0">
      <w:numFmt w:val="decimal"/>
      <w:lvlText w:val=""/>
      <w:lvlJc w:val="left"/>
    </w:lvl>
  </w:abstractNum>
  <w:abstractNum w:abstractNumId="1020">
    <w:nsid w:val="748611BE"/>
    <w:multiLevelType w:val="singleLevel"/>
    <w:tmpl w:val="26AA9B1C"/>
    <w:lvl w:ilvl="0">
      <w:start w:val="41"/>
      <w:numFmt w:val="decimal"/>
      <w:lvlText w:val="%1."/>
      <w:lvlJc w:val="left"/>
      <w:pPr>
        <w:tabs>
          <w:tab w:val="num" w:pos="360"/>
        </w:tabs>
        <w:ind w:left="0" w:firstLine="0"/>
      </w:pPr>
    </w:lvl>
  </w:abstractNum>
  <w:abstractNum w:abstractNumId="1021">
    <w:nsid w:val="748C786C"/>
    <w:multiLevelType w:val="hybridMultilevel"/>
    <w:tmpl w:val="74D82114"/>
    <w:lvl w:ilvl="0" w:tplc="4658FA4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22">
    <w:nsid w:val="748C7F3F"/>
    <w:multiLevelType w:val="singleLevel"/>
    <w:tmpl w:val="04B4B400"/>
    <w:lvl w:ilvl="0">
      <w:start w:val="32"/>
      <w:numFmt w:val="decimal"/>
      <w:lvlText w:val="%1."/>
      <w:lvlJc w:val="left"/>
      <w:pPr>
        <w:tabs>
          <w:tab w:val="num" w:pos="360"/>
        </w:tabs>
        <w:ind w:left="0" w:firstLine="0"/>
      </w:pPr>
    </w:lvl>
  </w:abstractNum>
  <w:abstractNum w:abstractNumId="1023">
    <w:nsid w:val="74AA7B98"/>
    <w:multiLevelType w:val="hybridMultilevel"/>
    <w:tmpl w:val="A682711E"/>
    <w:lvl w:ilvl="0" w:tplc="7A2082F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24">
    <w:nsid w:val="74BC2487"/>
    <w:multiLevelType w:val="hybridMultilevel"/>
    <w:tmpl w:val="2716FA12"/>
    <w:lvl w:ilvl="0" w:tplc="2DDA8C4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25">
    <w:nsid w:val="74C277D9"/>
    <w:multiLevelType w:val="hybridMultilevel"/>
    <w:tmpl w:val="03B2302E"/>
    <w:lvl w:ilvl="0" w:tplc="5756F5D6">
      <w:numFmt w:val="decimal"/>
      <w:lvlText w:val=""/>
      <w:lvlJc w:val="left"/>
    </w:lvl>
    <w:lvl w:ilvl="1" w:tplc="C7DE339A">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26">
    <w:nsid w:val="74CE4BDC"/>
    <w:multiLevelType w:val="hybridMultilevel"/>
    <w:tmpl w:val="DA0463FE"/>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27">
    <w:nsid w:val="74DE2E51"/>
    <w:multiLevelType w:val="multilevel"/>
    <w:tmpl w:val="87203A4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8">
    <w:nsid w:val="74EC537B"/>
    <w:multiLevelType w:val="hybridMultilevel"/>
    <w:tmpl w:val="ABE062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9">
    <w:nsid w:val="74F0626D"/>
    <w:multiLevelType w:val="hybridMultilevel"/>
    <w:tmpl w:val="E34EDB2C"/>
    <w:lvl w:ilvl="0" w:tplc="26E8D512">
      <w:numFmt w:val="decimal"/>
      <w:lvlText w:val=""/>
      <w:lvlJc w:val="left"/>
    </w:lvl>
    <w:lvl w:ilvl="1" w:tplc="04090003">
      <w:numFmt w:val="decimal"/>
      <w:lvlText w:val=""/>
      <w:lvlJc w:val="left"/>
    </w:lvl>
    <w:lvl w:ilvl="2" w:tplc="26E8D512">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30">
    <w:nsid w:val="750B73C8"/>
    <w:multiLevelType w:val="hybridMultilevel"/>
    <w:tmpl w:val="0E0C5924"/>
    <w:lvl w:ilvl="0" w:tplc="C00E4F0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31">
    <w:nsid w:val="75120B91"/>
    <w:multiLevelType w:val="singleLevel"/>
    <w:tmpl w:val="E340C308"/>
    <w:lvl w:ilvl="0">
      <w:numFmt w:val="decimal"/>
      <w:lvlText w:val=""/>
      <w:lvlJc w:val="left"/>
    </w:lvl>
  </w:abstractNum>
  <w:abstractNum w:abstractNumId="1032">
    <w:nsid w:val="752B3236"/>
    <w:multiLevelType w:val="multilevel"/>
    <w:tmpl w:val="8AA8D4C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3">
    <w:nsid w:val="75434EF1"/>
    <w:multiLevelType w:val="singleLevel"/>
    <w:tmpl w:val="7BB430FE"/>
    <w:lvl w:ilvl="0">
      <w:numFmt w:val="decimal"/>
      <w:lvlText w:val=""/>
      <w:lvlJc w:val="left"/>
    </w:lvl>
  </w:abstractNum>
  <w:abstractNum w:abstractNumId="1034">
    <w:nsid w:val="755932BF"/>
    <w:multiLevelType w:val="hybridMultilevel"/>
    <w:tmpl w:val="124C5F5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5">
    <w:nsid w:val="755D534F"/>
    <w:multiLevelType w:val="hybridMultilevel"/>
    <w:tmpl w:val="714CE1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6">
    <w:nsid w:val="75A04C87"/>
    <w:multiLevelType w:val="multilevel"/>
    <w:tmpl w:val="F6A021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7">
    <w:nsid w:val="75A6287E"/>
    <w:multiLevelType w:val="singleLevel"/>
    <w:tmpl w:val="7BB430FE"/>
    <w:lvl w:ilvl="0">
      <w:numFmt w:val="decimal"/>
      <w:lvlText w:val=""/>
      <w:lvlJc w:val="left"/>
    </w:lvl>
  </w:abstractNum>
  <w:abstractNum w:abstractNumId="1038">
    <w:nsid w:val="75A632C0"/>
    <w:multiLevelType w:val="singleLevel"/>
    <w:tmpl w:val="4956B85E"/>
    <w:lvl w:ilvl="0">
      <w:numFmt w:val="decimal"/>
      <w:lvlText w:val=""/>
      <w:lvlJc w:val="left"/>
    </w:lvl>
  </w:abstractNum>
  <w:abstractNum w:abstractNumId="1039">
    <w:nsid w:val="75D3657C"/>
    <w:multiLevelType w:val="hybridMultilevel"/>
    <w:tmpl w:val="1A267940"/>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40">
    <w:nsid w:val="761B2CAC"/>
    <w:multiLevelType w:val="singleLevel"/>
    <w:tmpl w:val="50E6F176"/>
    <w:lvl w:ilvl="0">
      <w:start w:val="32"/>
      <w:numFmt w:val="decimal"/>
      <w:lvlText w:val="%1."/>
      <w:lvlJc w:val="left"/>
      <w:pPr>
        <w:tabs>
          <w:tab w:val="num" w:pos="360"/>
        </w:tabs>
        <w:ind w:left="0" w:firstLine="0"/>
      </w:pPr>
    </w:lvl>
  </w:abstractNum>
  <w:abstractNum w:abstractNumId="1041">
    <w:nsid w:val="761F515E"/>
    <w:multiLevelType w:val="multilevel"/>
    <w:tmpl w:val="9C2CCC8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2">
    <w:nsid w:val="7622420C"/>
    <w:multiLevelType w:val="singleLevel"/>
    <w:tmpl w:val="7BB430FE"/>
    <w:lvl w:ilvl="0">
      <w:numFmt w:val="decimal"/>
      <w:lvlText w:val=""/>
      <w:lvlJc w:val="left"/>
    </w:lvl>
  </w:abstractNum>
  <w:abstractNum w:abstractNumId="1043">
    <w:nsid w:val="762A6B07"/>
    <w:multiLevelType w:val="singleLevel"/>
    <w:tmpl w:val="868AD0F6"/>
    <w:lvl w:ilvl="0">
      <w:numFmt w:val="decimal"/>
      <w:lvlText w:val=""/>
      <w:lvlJc w:val="left"/>
    </w:lvl>
  </w:abstractNum>
  <w:abstractNum w:abstractNumId="1044">
    <w:nsid w:val="76A43E9F"/>
    <w:multiLevelType w:val="singleLevel"/>
    <w:tmpl w:val="7BB430FE"/>
    <w:lvl w:ilvl="0">
      <w:numFmt w:val="decimal"/>
      <w:lvlText w:val=""/>
      <w:lvlJc w:val="left"/>
    </w:lvl>
  </w:abstractNum>
  <w:abstractNum w:abstractNumId="1045">
    <w:nsid w:val="76DF15A2"/>
    <w:multiLevelType w:val="hybridMultilevel"/>
    <w:tmpl w:val="709C9EC0"/>
    <w:lvl w:ilvl="0" w:tplc="8856E2A4">
      <w:numFmt w:val="decimal"/>
      <w:lvlText w:val=""/>
      <w:lvlJc w:val="left"/>
    </w:lvl>
    <w:lvl w:ilvl="1" w:tplc="2CAACB0A">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46">
    <w:nsid w:val="76F9720C"/>
    <w:multiLevelType w:val="hybridMultilevel"/>
    <w:tmpl w:val="F21EFE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7">
    <w:nsid w:val="77096817"/>
    <w:multiLevelType w:val="hybridMultilevel"/>
    <w:tmpl w:val="190EA80C"/>
    <w:lvl w:ilvl="0" w:tplc="4DBEC78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48">
    <w:nsid w:val="77292582"/>
    <w:multiLevelType w:val="hybridMultilevel"/>
    <w:tmpl w:val="BBE0030C"/>
    <w:lvl w:ilvl="0" w:tplc="859E7D4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49">
    <w:nsid w:val="7729270E"/>
    <w:multiLevelType w:val="hybridMultilevel"/>
    <w:tmpl w:val="E21CD2F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0">
    <w:nsid w:val="77303D03"/>
    <w:multiLevelType w:val="singleLevel"/>
    <w:tmpl w:val="7BB430FE"/>
    <w:lvl w:ilvl="0">
      <w:numFmt w:val="decimal"/>
      <w:lvlText w:val=""/>
      <w:lvlJc w:val="left"/>
    </w:lvl>
  </w:abstractNum>
  <w:abstractNum w:abstractNumId="1051">
    <w:nsid w:val="77374285"/>
    <w:multiLevelType w:val="hybridMultilevel"/>
    <w:tmpl w:val="A7F053BA"/>
    <w:lvl w:ilvl="0" w:tplc="DD9086E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52">
    <w:nsid w:val="7763696E"/>
    <w:multiLevelType w:val="hybridMultilevel"/>
    <w:tmpl w:val="E7A6580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3">
    <w:nsid w:val="7785789F"/>
    <w:multiLevelType w:val="hybridMultilevel"/>
    <w:tmpl w:val="00AABC24"/>
    <w:lvl w:ilvl="0" w:tplc="BD4A42FA">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54">
    <w:nsid w:val="778E5BD9"/>
    <w:multiLevelType w:val="hybridMultilevel"/>
    <w:tmpl w:val="C45A451A"/>
    <w:lvl w:ilvl="0" w:tplc="04090019">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55">
    <w:nsid w:val="779F658E"/>
    <w:multiLevelType w:val="singleLevel"/>
    <w:tmpl w:val="7BB430FE"/>
    <w:lvl w:ilvl="0">
      <w:numFmt w:val="decimal"/>
      <w:lvlText w:val=""/>
      <w:lvlJc w:val="left"/>
    </w:lvl>
  </w:abstractNum>
  <w:abstractNum w:abstractNumId="1056">
    <w:nsid w:val="77EF694A"/>
    <w:multiLevelType w:val="hybridMultilevel"/>
    <w:tmpl w:val="D0807626"/>
    <w:lvl w:ilvl="0" w:tplc="F328E05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57">
    <w:nsid w:val="78330E5C"/>
    <w:multiLevelType w:val="singleLevel"/>
    <w:tmpl w:val="FB802B64"/>
    <w:lvl w:ilvl="0">
      <w:start w:val="37"/>
      <w:numFmt w:val="decimal"/>
      <w:lvlText w:val="%1."/>
      <w:lvlJc w:val="left"/>
      <w:pPr>
        <w:tabs>
          <w:tab w:val="num" w:pos="360"/>
        </w:tabs>
        <w:ind w:left="0" w:firstLine="0"/>
      </w:pPr>
    </w:lvl>
  </w:abstractNum>
  <w:abstractNum w:abstractNumId="1058">
    <w:nsid w:val="78495212"/>
    <w:multiLevelType w:val="multilevel"/>
    <w:tmpl w:val="6346060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9">
    <w:nsid w:val="785D6BDC"/>
    <w:multiLevelType w:val="singleLevel"/>
    <w:tmpl w:val="317A9A9E"/>
    <w:lvl w:ilvl="0">
      <w:numFmt w:val="decimal"/>
      <w:lvlText w:val=""/>
      <w:lvlJc w:val="left"/>
    </w:lvl>
  </w:abstractNum>
  <w:abstractNum w:abstractNumId="1060">
    <w:nsid w:val="78B05B91"/>
    <w:multiLevelType w:val="singleLevel"/>
    <w:tmpl w:val="14CC3672"/>
    <w:lvl w:ilvl="0">
      <w:numFmt w:val="decimal"/>
      <w:lvlText w:val=""/>
      <w:lvlJc w:val="left"/>
    </w:lvl>
  </w:abstractNum>
  <w:abstractNum w:abstractNumId="1061">
    <w:nsid w:val="78BB781D"/>
    <w:multiLevelType w:val="hybridMultilevel"/>
    <w:tmpl w:val="6C52010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2">
    <w:nsid w:val="78D55B40"/>
    <w:multiLevelType w:val="singleLevel"/>
    <w:tmpl w:val="7BB430FE"/>
    <w:lvl w:ilvl="0">
      <w:numFmt w:val="decimal"/>
      <w:lvlText w:val=""/>
      <w:lvlJc w:val="left"/>
    </w:lvl>
  </w:abstractNum>
  <w:abstractNum w:abstractNumId="1063">
    <w:nsid w:val="790450B3"/>
    <w:multiLevelType w:val="multilevel"/>
    <w:tmpl w:val="7076CAA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4">
    <w:nsid w:val="79283E47"/>
    <w:multiLevelType w:val="hybridMultilevel"/>
    <w:tmpl w:val="CF98A458"/>
    <w:lvl w:ilvl="0" w:tplc="FA1A48A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65">
    <w:nsid w:val="798F4884"/>
    <w:multiLevelType w:val="multilevel"/>
    <w:tmpl w:val="AA0CFFD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6">
    <w:nsid w:val="79A21231"/>
    <w:multiLevelType w:val="hybridMultilevel"/>
    <w:tmpl w:val="DA102A7A"/>
    <w:lvl w:ilvl="0" w:tplc="792627A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67">
    <w:nsid w:val="79AA4973"/>
    <w:multiLevelType w:val="singleLevel"/>
    <w:tmpl w:val="7BB430FE"/>
    <w:lvl w:ilvl="0">
      <w:numFmt w:val="decimal"/>
      <w:lvlText w:val=""/>
      <w:lvlJc w:val="left"/>
    </w:lvl>
  </w:abstractNum>
  <w:abstractNum w:abstractNumId="1068">
    <w:nsid w:val="79B44956"/>
    <w:multiLevelType w:val="singleLevel"/>
    <w:tmpl w:val="7B3C4D0C"/>
    <w:lvl w:ilvl="0">
      <w:numFmt w:val="decimal"/>
      <w:lvlText w:val=""/>
      <w:lvlJc w:val="left"/>
    </w:lvl>
  </w:abstractNum>
  <w:abstractNum w:abstractNumId="1069">
    <w:nsid w:val="79B724AC"/>
    <w:multiLevelType w:val="hybridMultilevel"/>
    <w:tmpl w:val="05B6783A"/>
    <w:lvl w:ilvl="0" w:tplc="C0006C9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70">
    <w:nsid w:val="79C83340"/>
    <w:multiLevelType w:val="hybridMultilevel"/>
    <w:tmpl w:val="D1C067A2"/>
    <w:lvl w:ilvl="0" w:tplc="C406AC24">
      <w:numFmt w:val="decimal"/>
      <w:lvlText w:val=""/>
      <w:lvlJc w:val="left"/>
    </w:lvl>
    <w:lvl w:ilvl="1" w:tplc="04090003">
      <w:numFmt w:val="decimal"/>
      <w:lvlText w:val=""/>
      <w:lvlJc w:val="left"/>
    </w:lvl>
    <w:lvl w:ilvl="2" w:tplc="0828514A">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71">
    <w:nsid w:val="79CB23AC"/>
    <w:multiLevelType w:val="hybridMultilevel"/>
    <w:tmpl w:val="62D051D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2">
    <w:nsid w:val="79CD04BF"/>
    <w:multiLevelType w:val="hybridMultilevel"/>
    <w:tmpl w:val="A6C0B5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3">
    <w:nsid w:val="79E7650B"/>
    <w:multiLevelType w:val="singleLevel"/>
    <w:tmpl w:val="F9664C98"/>
    <w:lvl w:ilvl="0">
      <w:numFmt w:val="decimal"/>
      <w:lvlText w:val=""/>
      <w:lvlJc w:val="left"/>
    </w:lvl>
  </w:abstractNum>
  <w:abstractNum w:abstractNumId="1074">
    <w:nsid w:val="79F45CAF"/>
    <w:multiLevelType w:val="singleLevel"/>
    <w:tmpl w:val="E0640870"/>
    <w:lvl w:ilvl="0">
      <w:numFmt w:val="decimal"/>
      <w:lvlText w:val=""/>
      <w:lvlJc w:val="left"/>
    </w:lvl>
  </w:abstractNum>
  <w:abstractNum w:abstractNumId="1075">
    <w:nsid w:val="79FC0E6B"/>
    <w:multiLevelType w:val="hybridMultilevel"/>
    <w:tmpl w:val="5622E9FA"/>
    <w:lvl w:ilvl="0" w:tplc="D47AEC7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76">
    <w:nsid w:val="7A2656CD"/>
    <w:multiLevelType w:val="singleLevel"/>
    <w:tmpl w:val="7BB430FE"/>
    <w:lvl w:ilvl="0">
      <w:numFmt w:val="decimal"/>
      <w:lvlText w:val=""/>
      <w:lvlJc w:val="left"/>
    </w:lvl>
  </w:abstractNum>
  <w:abstractNum w:abstractNumId="1077">
    <w:nsid w:val="7A3347FF"/>
    <w:multiLevelType w:val="hybridMultilevel"/>
    <w:tmpl w:val="948C490C"/>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78">
    <w:nsid w:val="7A8756FD"/>
    <w:multiLevelType w:val="singleLevel"/>
    <w:tmpl w:val="E4DAFAA2"/>
    <w:lvl w:ilvl="0">
      <w:numFmt w:val="decimal"/>
      <w:lvlText w:val=""/>
      <w:lvlJc w:val="left"/>
    </w:lvl>
  </w:abstractNum>
  <w:abstractNum w:abstractNumId="1079">
    <w:nsid w:val="7AA863DD"/>
    <w:multiLevelType w:val="hybridMultilevel"/>
    <w:tmpl w:val="99E0A460"/>
    <w:lvl w:ilvl="0" w:tplc="F92A7F8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80">
    <w:nsid w:val="7AB8498B"/>
    <w:multiLevelType w:val="hybridMultilevel"/>
    <w:tmpl w:val="5AE46A3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1">
    <w:nsid w:val="7ABE118E"/>
    <w:multiLevelType w:val="hybridMultilevel"/>
    <w:tmpl w:val="1CCC1390"/>
    <w:lvl w:ilvl="0" w:tplc="B0F63EB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82">
    <w:nsid w:val="7AD1050B"/>
    <w:multiLevelType w:val="singleLevel"/>
    <w:tmpl w:val="728864EC"/>
    <w:lvl w:ilvl="0">
      <w:numFmt w:val="decimal"/>
      <w:lvlText w:val=""/>
      <w:lvlJc w:val="left"/>
    </w:lvl>
  </w:abstractNum>
  <w:abstractNum w:abstractNumId="1083">
    <w:nsid w:val="7AF97D8E"/>
    <w:multiLevelType w:val="multilevel"/>
    <w:tmpl w:val="323CA8E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4">
    <w:nsid w:val="7B170319"/>
    <w:multiLevelType w:val="hybridMultilevel"/>
    <w:tmpl w:val="6BF032B4"/>
    <w:lvl w:ilvl="0" w:tplc="FFFFFFFF">
      <w:numFmt w:val="decimal"/>
      <w:pStyle w:val="a"/>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5">
    <w:nsid w:val="7B4302E6"/>
    <w:multiLevelType w:val="singleLevel"/>
    <w:tmpl w:val="7BB430FE"/>
    <w:lvl w:ilvl="0">
      <w:numFmt w:val="decimal"/>
      <w:lvlText w:val=""/>
      <w:lvlJc w:val="left"/>
    </w:lvl>
  </w:abstractNum>
  <w:abstractNum w:abstractNumId="1086">
    <w:nsid w:val="7B77576E"/>
    <w:multiLevelType w:val="hybridMultilevel"/>
    <w:tmpl w:val="D9DA16A4"/>
    <w:lvl w:ilvl="0" w:tplc="A740E4C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87">
    <w:nsid w:val="7B9F4C52"/>
    <w:multiLevelType w:val="singleLevel"/>
    <w:tmpl w:val="469E76E4"/>
    <w:lvl w:ilvl="0">
      <w:numFmt w:val="decimal"/>
      <w:lvlText w:val=""/>
      <w:lvlJc w:val="left"/>
    </w:lvl>
  </w:abstractNum>
  <w:abstractNum w:abstractNumId="1088">
    <w:nsid w:val="7BA712FD"/>
    <w:multiLevelType w:val="hybridMultilevel"/>
    <w:tmpl w:val="62BE740C"/>
    <w:lvl w:ilvl="0" w:tplc="7A70BCE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89">
    <w:nsid w:val="7BB521FA"/>
    <w:multiLevelType w:val="singleLevel"/>
    <w:tmpl w:val="594E8EBC"/>
    <w:lvl w:ilvl="0">
      <w:numFmt w:val="decimal"/>
      <w:lvlText w:val=""/>
      <w:lvlJc w:val="left"/>
    </w:lvl>
  </w:abstractNum>
  <w:abstractNum w:abstractNumId="1090">
    <w:nsid w:val="7BB80DC7"/>
    <w:multiLevelType w:val="hybridMultilevel"/>
    <w:tmpl w:val="13B8BEB4"/>
    <w:lvl w:ilvl="0" w:tplc="72D2501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91">
    <w:nsid w:val="7C342484"/>
    <w:multiLevelType w:val="hybridMultilevel"/>
    <w:tmpl w:val="18A6F9EA"/>
    <w:lvl w:ilvl="0" w:tplc="5DAAC2DC">
      <w:numFmt w:val="decimal"/>
      <w:lvlText w:val=""/>
      <w:lvlJc w:val="left"/>
    </w:lvl>
    <w:lvl w:ilvl="1" w:tplc="52C24C88">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092">
    <w:nsid w:val="7C59418C"/>
    <w:multiLevelType w:val="hybridMultilevel"/>
    <w:tmpl w:val="C898F4E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3">
    <w:nsid w:val="7C702F47"/>
    <w:multiLevelType w:val="singleLevel"/>
    <w:tmpl w:val="0AFE2B7A"/>
    <w:lvl w:ilvl="0">
      <w:numFmt w:val="decimal"/>
      <w:lvlText w:val=""/>
      <w:lvlJc w:val="left"/>
    </w:lvl>
  </w:abstractNum>
  <w:abstractNum w:abstractNumId="1094">
    <w:nsid w:val="7C744C17"/>
    <w:multiLevelType w:val="hybridMultilevel"/>
    <w:tmpl w:val="9ECEAB8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5">
    <w:nsid w:val="7C981435"/>
    <w:multiLevelType w:val="singleLevel"/>
    <w:tmpl w:val="797E40B8"/>
    <w:lvl w:ilvl="0">
      <w:start w:val="1"/>
      <w:numFmt w:val="lowerLetter"/>
      <w:lvlText w:val="(%1)"/>
      <w:lvlJc w:val="left"/>
      <w:pPr>
        <w:tabs>
          <w:tab w:val="num" w:pos="720"/>
        </w:tabs>
        <w:ind w:left="0" w:firstLine="360"/>
      </w:pPr>
      <w:rPr>
        <w:b w:val="0"/>
        <w:i/>
      </w:rPr>
    </w:lvl>
  </w:abstractNum>
  <w:abstractNum w:abstractNumId="1096">
    <w:nsid w:val="7CA93D65"/>
    <w:multiLevelType w:val="singleLevel"/>
    <w:tmpl w:val="05FE219E"/>
    <w:lvl w:ilvl="0">
      <w:numFmt w:val="decimal"/>
      <w:lvlText w:val=""/>
      <w:lvlJc w:val="left"/>
    </w:lvl>
  </w:abstractNum>
  <w:abstractNum w:abstractNumId="1097">
    <w:nsid w:val="7CE2310E"/>
    <w:multiLevelType w:val="singleLevel"/>
    <w:tmpl w:val="464C4A92"/>
    <w:lvl w:ilvl="0">
      <w:start w:val="1"/>
      <w:numFmt w:val="decimal"/>
      <w:lvlText w:val="(%1)"/>
      <w:lvlJc w:val="left"/>
      <w:pPr>
        <w:tabs>
          <w:tab w:val="num" w:pos="360"/>
        </w:tabs>
        <w:ind w:left="360" w:hanging="360"/>
      </w:pPr>
      <w:rPr>
        <w:rFonts w:hint="default"/>
      </w:rPr>
    </w:lvl>
  </w:abstractNum>
  <w:abstractNum w:abstractNumId="1098">
    <w:nsid w:val="7D003F8C"/>
    <w:multiLevelType w:val="singleLevel"/>
    <w:tmpl w:val="1A7A4208"/>
    <w:lvl w:ilvl="0">
      <w:numFmt w:val="decimal"/>
      <w:lvlText w:val=""/>
      <w:lvlJc w:val="left"/>
    </w:lvl>
  </w:abstractNum>
  <w:abstractNum w:abstractNumId="1099">
    <w:nsid w:val="7D0A49B5"/>
    <w:multiLevelType w:val="hybridMultilevel"/>
    <w:tmpl w:val="FED26776"/>
    <w:lvl w:ilvl="0" w:tplc="5A98F16E">
      <w:numFmt w:val="decimal"/>
      <w:lvlText w:val=""/>
      <w:lvlJc w:val="left"/>
    </w:lvl>
    <w:lvl w:ilvl="1" w:tplc="AD344014">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100">
    <w:nsid w:val="7D19049E"/>
    <w:multiLevelType w:val="singleLevel"/>
    <w:tmpl w:val="B2E8F890"/>
    <w:lvl w:ilvl="0">
      <w:numFmt w:val="decimal"/>
      <w:lvlText w:val=""/>
      <w:lvlJc w:val="left"/>
    </w:lvl>
  </w:abstractNum>
  <w:abstractNum w:abstractNumId="1101">
    <w:nsid w:val="7D6310C2"/>
    <w:multiLevelType w:val="singleLevel"/>
    <w:tmpl w:val="2182C36C"/>
    <w:lvl w:ilvl="0">
      <w:numFmt w:val="decimal"/>
      <w:lvlText w:val=""/>
      <w:lvlJc w:val="left"/>
    </w:lvl>
  </w:abstractNum>
  <w:abstractNum w:abstractNumId="1102">
    <w:nsid w:val="7D772035"/>
    <w:multiLevelType w:val="multilevel"/>
    <w:tmpl w:val="C898243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3">
    <w:nsid w:val="7DA047B0"/>
    <w:multiLevelType w:val="singleLevel"/>
    <w:tmpl w:val="F3140F24"/>
    <w:lvl w:ilvl="0">
      <w:numFmt w:val="decimal"/>
      <w:lvlText w:val=""/>
      <w:lvlJc w:val="left"/>
    </w:lvl>
  </w:abstractNum>
  <w:abstractNum w:abstractNumId="1104">
    <w:nsid w:val="7DBB3C64"/>
    <w:multiLevelType w:val="singleLevel"/>
    <w:tmpl w:val="F982BACC"/>
    <w:lvl w:ilvl="0">
      <w:numFmt w:val="decimal"/>
      <w:lvlText w:val=""/>
      <w:lvlJc w:val="left"/>
    </w:lvl>
  </w:abstractNum>
  <w:abstractNum w:abstractNumId="1105">
    <w:nsid w:val="7DBB4550"/>
    <w:multiLevelType w:val="hybridMultilevel"/>
    <w:tmpl w:val="C7F246E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6">
    <w:nsid w:val="7DCC4170"/>
    <w:multiLevelType w:val="hybridMultilevel"/>
    <w:tmpl w:val="6A2CA306"/>
    <w:lvl w:ilvl="0" w:tplc="B82E5C6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107">
    <w:nsid w:val="7DD115CD"/>
    <w:multiLevelType w:val="hybridMultilevel"/>
    <w:tmpl w:val="896EDEE6"/>
    <w:lvl w:ilvl="0" w:tplc="E0CA448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108">
    <w:nsid w:val="7DD81CAC"/>
    <w:multiLevelType w:val="singleLevel"/>
    <w:tmpl w:val="7BB430FE"/>
    <w:lvl w:ilvl="0">
      <w:numFmt w:val="decimal"/>
      <w:lvlText w:val=""/>
      <w:lvlJc w:val="left"/>
    </w:lvl>
  </w:abstractNum>
  <w:abstractNum w:abstractNumId="1109">
    <w:nsid w:val="7DE76A4E"/>
    <w:multiLevelType w:val="singleLevel"/>
    <w:tmpl w:val="059C794E"/>
    <w:lvl w:ilvl="0">
      <w:numFmt w:val="decimal"/>
      <w:lvlText w:val=""/>
      <w:lvlJc w:val="left"/>
    </w:lvl>
  </w:abstractNum>
  <w:abstractNum w:abstractNumId="1110">
    <w:nsid w:val="7E304BA8"/>
    <w:multiLevelType w:val="hybridMultilevel"/>
    <w:tmpl w:val="5B7E51A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1">
    <w:nsid w:val="7E6122CE"/>
    <w:multiLevelType w:val="singleLevel"/>
    <w:tmpl w:val="D9E25570"/>
    <w:lvl w:ilvl="0">
      <w:numFmt w:val="decimal"/>
      <w:lvlText w:val=""/>
      <w:lvlJc w:val="left"/>
    </w:lvl>
  </w:abstractNum>
  <w:abstractNum w:abstractNumId="1112">
    <w:nsid w:val="7E636BA7"/>
    <w:multiLevelType w:val="singleLevel"/>
    <w:tmpl w:val="62E45B88"/>
    <w:lvl w:ilvl="0">
      <w:numFmt w:val="decimal"/>
      <w:lvlText w:val=""/>
      <w:lvlJc w:val="left"/>
    </w:lvl>
  </w:abstractNum>
  <w:abstractNum w:abstractNumId="1113">
    <w:nsid w:val="7E985750"/>
    <w:multiLevelType w:val="hybridMultilevel"/>
    <w:tmpl w:val="2A0A259E"/>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114">
    <w:nsid w:val="7EC81D2D"/>
    <w:multiLevelType w:val="singleLevel"/>
    <w:tmpl w:val="0B18F55A"/>
    <w:lvl w:ilvl="0">
      <w:numFmt w:val="decimal"/>
      <w:lvlText w:val=""/>
      <w:lvlJc w:val="left"/>
    </w:lvl>
  </w:abstractNum>
  <w:abstractNum w:abstractNumId="1115">
    <w:nsid w:val="7ED22500"/>
    <w:multiLevelType w:val="hybridMultilevel"/>
    <w:tmpl w:val="5218BF94"/>
    <w:lvl w:ilvl="0" w:tplc="9020C3C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116">
    <w:nsid w:val="7F123889"/>
    <w:multiLevelType w:val="hybridMultilevel"/>
    <w:tmpl w:val="256AA8CE"/>
    <w:lvl w:ilvl="0" w:tplc="6A12B01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117">
    <w:nsid w:val="7F292703"/>
    <w:multiLevelType w:val="singleLevel"/>
    <w:tmpl w:val="778830EE"/>
    <w:lvl w:ilvl="0">
      <w:numFmt w:val="decimal"/>
      <w:lvlText w:val=""/>
      <w:lvlJc w:val="left"/>
    </w:lvl>
  </w:abstractNum>
  <w:abstractNum w:abstractNumId="1118">
    <w:nsid w:val="7F4E160E"/>
    <w:multiLevelType w:val="singleLevel"/>
    <w:tmpl w:val="BA3631F8"/>
    <w:lvl w:ilvl="0">
      <w:numFmt w:val="decimal"/>
      <w:lvlText w:val=""/>
      <w:lvlJc w:val="left"/>
    </w:lvl>
  </w:abstractNum>
  <w:abstractNum w:abstractNumId="1119">
    <w:nsid w:val="7F5662F7"/>
    <w:multiLevelType w:val="singleLevel"/>
    <w:tmpl w:val="BC92DF3E"/>
    <w:lvl w:ilvl="0">
      <w:start w:val="1"/>
      <w:numFmt w:val="lowerLetter"/>
      <w:lvlText w:val="(%1)"/>
      <w:lvlJc w:val="left"/>
      <w:pPr>
        <w:tabs>
          <w:tab w:val="num" w:pos="360"/>
        </w:tabs>
        <w:ind w:left="360" w:hanging="360"/>
      </w:pPr>
      <w:rPr>
        <w:rFonts w:hint="default"/>
      </w:rPr>
    </w:lvl>
  </w:abstractNum>
  <w:abstractNum w:abstractNumId="1120">
    <w:nsid w:val="7F787C69"/>
    <w:multiLevelType w:val="multilevel"/>
    <w:tmpl w:val="EC843B3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1">
    <w:nsid w:val="7FB339D8"/>
    <w:multiLevelType w:val="singleLevel"/>
    <w:tmpl w:val="9AD8C89C"/>
    <w:lvl w:ilvl="0">
      <w:numFmt w:val="decimal"/>
      <w:lvlText w:val=""/>
      <w:lvlJc w:val="left"/>
    </w:lvl>
  </w:abstractNum>
  <w:abstractNum w:abstractNumId="1122">
    <w:nsid w:val="7FE6626E"/>
    <w:multiLevelType w:val="singleLevel"/>
    <w:tmpl w:val="C4AEF7DC"/>
    <w:lvl w:ilvl="0">
      <w:numFmt w:val="decimal"/>
      <w:lvlText w:val=""/>
      <w:lvlJc w:val="left"/>
    </w:lvl>
  </w:abstractNum>
  <w:abstractNum w:abstractNumId="1123">
    <w:nsid w:val="7FEC667A"/>
    <w:multiLevelType w:val="hybridMultilevel"/>
    <w:tmpl w:val="1D06ECB4"/>
    <w:lvl w:ilvl="0" w:tplc="4CC6D45A">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num w:numId="1">
    <w:abstractNumId w:val="669"/>
  </w:num>
  <w:num w:numId="2">
    <w:abstractNumId w:val="35"/>
  </w:num>
  <w:num w:numId="3">
    <w:abstractNumId w:val="179"/>
  </w:num>
  <w:num w:numId="4">
    <w:abstractNumId w:val="567"/>
  </w:num>
  <w:num w:numId="5">
    <w:abstractNumId w:val="322"/>
  </w:num>
  <w:num w:numId="6">
    <w:abstractNumId w:val="347"/>
  </w:num>
  <w:num w:numId="7">
    <w:abstractNumId w:val="675"/>
  </w:num>
  <w:num w:numId="8">
    <w:abstractNumId w:val="509"/>
  </w:num>
  <w:num w:numId="9">
    <w:abstractNumId w:val="731"/>
  </w:num>
  <w:num w:numId="10">
    <w:abstractNumId w:val="829"/>
  </w:num>
  <w:num w:numId="11">
    <w:abstractNumId w:val="600"/>
  </w:num>
  <w:num w:numId="12">
    <w:abstractNumId w:val="823"/>
  </w:num>
  <w:num w:numId="13">
    <w:abstractNumId w:val="484"/>
  </w:num>
  <w:num w:numId="14">
    <w:abstractNumId w:val="248"/>
  </w:num>
  <w:num w:numId="15">
    <w:abstractNumId w:val="348"/>
  </w:num>
  <w:num w:numId="16">
    <w:abstractNumId w:val="549"/>
  </w:num>
  <w:num w:numId="17">
    <w:abstractNumId w:val="440"/>
  </w:num>
  <w:num w:numId="18">
    <w:abstractNumId w:val="442"/>
  </w:num>
  <w:num w:numId="19">
    <w:abstractNumId w:val="211"/>
  </w:num>
  <w:num w:numId="20">
    <w:abstractNumId w:val="560"/>
  </w:num>
  <w:num w:numId="21">
    <w:abstractNumId w:val="420"/>
  </w:num>
  <w:num w:numId="22">
    <w:abstractNumId w:val="364"/>
  </w:num>
  <w:num w:numId="23">
    <w:abstractNumId w:val="886"/>
  </w:num>
  <w:num w:numId="24">
    <w:abstractNumId w:val="474"/>
  </w:num>
  <w:num w:numId="25">
    <w:abstractNumId w:val="832"/>
  </w:num>
  <w:num w:numId="26">
    <w:abstractNumId w:val="227"/>
  </w:num>
  <w:num w:numId="27">
    <w:abstractNumId w:val="716"/>
  </w:num>
  <w:num w:numId="28">
    <w:abstractNumId w:val="1036"/>
  </w:num>
  <w:num w:numId="29">
    <w:abstractNumId w:val="966"/>
  </w:num>
  <w:num w:numId="30">
    <w:abstractNumId w:val="854"/>
  </w:num>
  <w:num w:numId="31">
    <w:abstractNumId w:val="998"/>
  </w:num>
  <w:num w:numId="32">
    <w:abstractNumId w:val="1101"/>
  </w:num>
  <w:num w:numId="33">
    <w:abstractNumId w:val="711"/>
  </w:num>
  <w:num w:numId="34">
    <w:abstractNumId w:val="789"/>
  </w:num>
  <w:num w:numId="35">
    <w:abstractNumId w:val="389"/>
  </w:num>
  <w:num w:numId="36">
    <w:abstractNumId w:val="550"/>
  </w:num>
  <w:num w:numId="37">
    <w:abstractNumId w:val="1031"/>
  </w:num>
  <w:num w:numId="38">
    <w:abstractNumId w:val="692"/>
  </w:num>
  <w:num w:numId="39">
    <w:abstractNumId w:val="232"/>
  </w:num>
  <w:num w:numId="40">
    <w:abstractNumId w:val="658"/>
  </w:num>
  <w:num w:numId="41">
    <w:abstractNumId w:val="665"/>
  </w:num>
  <w:num w:numId="42">
    <w:abstractNumId w:val="1121"/>
  </w:num>
  <w:num w:numId="43">
    <w:abstractNumId w:val="699"/>
  </w:num>
  <w:num w:numId="44">
    <w:abstractNumId w:val="586"/>
  </w:num>
  <w:num w:numId="45">
    <w:abstractNumId w:val="1089"/>
  </w:num>
  <w:num w:numId="46">
    <w:abstractNumId w:val="537"/>
  </w:num>
  <w:num w:numId="47">
    <w:abstractNumId w:val="1096"/>
  </w:num>
  <w:num w:numId="48">
    <w:abstractNumId w:val="129"/>
  </w:num>
  <w:num w:numId="49">
    <w:abstractNumId w:val="1016"/>
  </w:num>
  <w:num w:numId="50">
    <w:abstractNumId w:val="540"/>
  </w:num>
  <w:num w:numId="51">
    <w:abstractNumId w:val="224"/>
  </w:num>
  <w:num w:numId="52">
    <w:abstractNumId w:val="25"/>
  </w:num>
  <w:num w:numId="53">
    <w:abstractNumId w:val="314"/>
  </w:num>
  <w:num w:numId="54">
    <w:abstractNumId w:val="259"/>
  </w:num>
  <w:num w:numId="55">
    <w:abstractNumId w:val="795"/>
  </w:num>
  <w:num w:numId="56">
    <w:abstractNumId w:val="430"/>
  </w:num>
  <w:num w:numId="57">
    <w:abstractNumId w:val="638"/>
  </w:num>
  <w:num w:numId="58">
    <w:abstractNumId w:val="79"/>
  </w:num>
  <w:num w:numId="59">
    <w:abstractNumId w:val="547"/>
  </w:num>
  <w:num w:numId="60">
    <w:abstractNumId w:val="175"/>
  </w:num>
  <w:num w:numId="61">
    <w:abstractNumId w:val="463"/>
  </w:num>
  <w:num w:numId="62">
    <w:abstractNumId w:val="144"/>
  </w:num>
  <w:num w:numId="63">
    <w:abstractNumId w:val="329"/>
  </w:num>
  <w:num w:numId="64">
    <w:abstractNumId w:val="644"/>
  </w:num>
  <w:num w:numId="65">
    <w:abstractNumId w:val="651"/>
  </w:num>
  <w:num w:numId="66">
    <w:abstractNumId w:val="1083"/>
  </w:num>
  <w:num w:numId="67">
    <w:abstractNumId w:val="866"/>
  </w:num>
  <w:num w:numId="68">
    <w:abstractNumId w:val="155"/>
  </w:num>
  <w:num w:numId="69">
    <w:abstractNumId w:val="78"/>
  </w:num>
  <w:num w:numId="70">
    <w:abstractNumId w:val="556"/>
  </w:num>
  <w:num w:numId="71">
    <w:abstractNumId w:val="564"/>
  </w:num>
  <w:num w:numId="72">
    <w:abstractNumId w:val="1060"/>
  </w:num>
  <w:num w:numId="73">
    <w:abstractNumId w:val="140"/>
  </w:num>
  <w:num w:numId="74">
    <w:abstractNumId w:val="481"/>
  </w:num>
  <w:num w:numId="75">
    <w:abstractNumId w:val="543"/>
  </w:num>
  <w:num w:numId="76">
    <w:abstractNumId w:val="907"/>
  </w:num>
  <w:num w:numId="77">
    <w:abstractNumId w:val="115"/>
  </w:num>
  <w:num w:numId="78">
    <w:abstractNumId w:val="102"/>
  </w:num>
  <w:num w:numId="79">
    <w:abstractNumId w:val="916"/>
  </w:num>
  <w:num w:numId="80">
    <w:abstractNumId w:val="901"/>
  </w:num>
  <w:num w:numId="81">
    <w:abstractNumId w:val="654"/>
  </w:num>
  <w:num w:numId="82">
    <w:abstractNumId w:val="1063"/>
  </w:num>
  <w:num w:numId="83">
    <w:abstractNumId w:val="74"/>
  </w:num>
  <w:num w:numId="84">
    <w:abstractNumId w:val="76"/>
  </w:num>
  <w:num w:numId="85">
    <w:abstractNumId w:val="903"/>
  </w:num>
  <w:num w:numId="86">
    <w:abstractNumId w:val="1120"/>
  </w:num>
  <w:num w:numId="87">
    <w:abstractNumId w:val="431"/>
  </w:num>
  <w:num w:numId="88">
    <w:abstractNumId w:val="576"/>
  </w:num>
  <w:num w:numId="89">
    <w:abstractNumId w:val="948"/>
  </w:num>
  <w:num w:numId="90">
    <w:abstractNumId w:val="1103"/>
  </w:num>
  <w:num w:numId="91">
    <w:abstractNumId w:val="136"/>
  </w:num>
  <w:num w:numId="92">
    <w:abstractNumId w:val="237"/>
  </w:num>
  <w:num w:numId="93">
    <w:abstractNumId w:val="138"/>
  </w:num>
  <w:num w:numId="94">
    <w:abstractNumId w:val="604"/>
  </w:num>
  <w:num w:numId="95">
    <w:abstractNumId w:val="956"/>
  </w:num>
  <w:num w:numId="96">
    <w:abstractNumId w:val="165"/>
  </w:num>
  <w:num w:numId="97">
    <w:abstractNumId w:val="1100"/>
  </w:num>
  <w:num w:numId="98">
    <w:abstractNumId w:val="452"/>
  </w:num>
  <w:num w:numId="99">
    <w:abstractNumId w:val="153"/>
  </w:num>
  <w:num w:numId="100">
    <w:abstractNumId w:val="253"/>
  </w:num>
  <w:num w:numId="101">
    <w:abstractNumId w:val="518"/>
  </w:num>
  <w:num w:numId="102">
    <w:abstractNumId w:val="432"/>
  </w:num>
  <w:num w:numId="103">
    <w:abstractNumId w:val="400"/>
  </w:num>
  <w:num w:numId="104">
    <w:abstractNumId w:val="198"/>
  </w:num>
  <w:num w:numId="105">
    <w:abstractNumId w:val="528"/>
  </w:num>
  <w:num w:numId="106">
    <w:abstractNumId w:val="589"/>
  </w:num>
  <w:num w:numId="107">
    <w:abstractNumId w:val="904"/>
  </w:num>
  <w:num w:numId="108">
    <w:abstractNumId w:val="783"/>
  </w:num>
  <w:num w:numId="109">
    <w:abstractNumId w:val="154"/>
  </w:num>
  <w:num w:numId="110">
    <w:abstractNumId w:val="304"/>
  </w:num>
  <w:num w:numId="111">
    <w:abstractNumId w:val="1093"/>
  </w:num>
  <w:num w:numId="112">
    <w:abstractNumId w:val="407"/>
  </w:num>
  <w:num w:numId="113">
    <w:abstractNumId w:val="897"/>
  </w:num>
  <w:num w:numId="114">
    <w:abstractNumId w:val="753"/>
  </w:num>
  <w:num w:numId="115">
    <w:abstractNumId w:val="820"/>
  </w:num>
  <w:num w:numId="116">
    <w:abstractNumId w:val="542"/>
  </w:num>
  <w:num w:numId="117">
    <w:abstractNumId w:val="548"/>
  </w:num>
  <w:num w:numId="118">
    <w:abstractNumId w:val="787"/>
  </w:num>
  <w:num w:numId="119">
    <w:abstractNumId w:val="112"/>
  </w:num>
  <w:num w:numId="120">
    <w:abstractNumId w:val="345"/>
  </w:num>
  <w:num w:numId="121">
    <w:abstractNumId w:val="287"/>
  </w:num>
  <w:num w:numId="122">
    <w:abstractNumId w:val="1082"/>
  </w:num>
  <w:num w:numId="123">
    <w:abstractNumId w:val="199"/>
  </w:num>
  <w:num w:numId="124">
    <w:abstractNumId w:val="1038"/>
  </w:num>
  <w:num w:numId="125">
    <w:abstractNumId w:val="636"/>
  </w:num>
  <w:num w:numId="126">
    <w:abstractNumId w:val="871"/>
  </w:num>
  <w:num w:numId="127">
    <w:abstractNumId w:val="338"/>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51"/>
  </w:num>
  <w:num w:numId="139">
    <w:abstractNumId w:val="839"/>
  </w:num>
  <w:num w:numId="140">
    <w:abstractNumId w:val="188"/>
  </w:num>
  <w:num w:numId="141">
    <w:abstractNumId w:val="1058"/>
  </w:num>
  <w:num w:numId="142">
    <w:abstractNumId w:val="687"/>
  </w:num>
  <w:num w:numId="143">
    <w:abstractNumId w:val="83"/>
  </w:num>
  <w:num w:numId="144">
    <w:abstractNumId w:val="860"/>
  </w:num>
  <w:num w:numId="145">
    <w:abstractNumId w:val="694"/>
  </w:num>
  <w:num w:numId="146">
    <w:abstractNumId w:val="245"/>
  </w:num>
  <w:num w:numId="147">
    <w:abstractNumId w:val="962"/>
  </w:num>
  <w:num w:numId="148">
    <w:abstractNumId w:val="758"/>
  </w:num>
  <w:num w:numId="149">
    <w:abstractNumId w:val="418"/>
  </w:num>
  <w:num w:numId="150">
    <w:abstractNumId w:val="662"/>
  </w:num>
  <w:num w:numId="151">
    <w:abstractNumId w:val="423"/>
  </w:num>
  <w:num w:numId="152">
    <w:abstractNumId w:val="193"/>
  </w:num>
  <w:num w:numId="153">
    <w:abstractNumId w:val="117"/>
  </w:num>
  <w:num w:numId="154">
    <w:abstractNumId w:val="43"/>
  </w:num>
  <w:num w:numId="155">
    <w:abstractNumId w:val="900"/>
  </w:num>
  <w:num w:numId="156">
    <w:abstractNumId w:val="1068"/>
  </w:num>
  <w:num w:numId="157">
    <w:abstractNumId w:val="396"/>
  </w:num>
  <w:num w:numId="158">
    <w:abstractNumId w:val="303"/>
  </w:num>
  <w:num w:numId="159">
    <w:abstractNumId w:val="196"/>
  </w:num>
  <w:num w:numId="160">
    <w:abstractNumId w:val="792"/>
  </w:num>
  <w:num w:numId="161">
    <w:abstractNumId w:val="919"/>
  </w:num>
  <w:num w:numId="162">
    <w:abstractNumId w:val="375"/>
  </w:num>
  <w:num w:numId="163">
    <w:abstractNumId w:val="946"/>
  </w:num>
  <w:num w:numId="164">
    <w:abstractNumId w:val="690"/>
  </w:num>
  <w:num w:numId="165">
    <w:abstractNumId w:val="1078"/>
  </w:num>
  <w:num w:numId="166">
    <w:abstractNumId w:val="746"/>
  </w:num>
  <w:num w:numId="167">
    <w:abstractNumId w:val="813"/>
  </w:num>
  <w:num w:numId="168">
    <w:abstractNumId w:val="582"/>
  </w:num>
  <w:num w:numId="169">
    <w:abstractNumId w:val="16"/>
  </w:num>
  <w:num w:numId="170">
    <w:abstractNumId w:val="1059"/>
  </w:num>
  <w:num w:numId="171">
    <w:abstractNumId w:val="530"/>
  </w:num>
  <w:num w:numId="172">
    <w:abstractNumId w:val="158"/>
  </w:num>
  <w:num w:numId="173">
    <w:abstractNumId w:val="435"/>
  </w:num>
  <w:num w:numId="174">
    <w:abstractNumId w:val="398"/>
  </w:num>
  <w:num w:numId="175">
    <w:abstractNumId w:val="12"/>
  </w:num>
  <w:num w:numId="176">
    <w:abstractNumId w:val="480"/>
  </w:num>
  <w:num w:numId="177">
    <w:abstractNumId w:val="584"/>
  </w:num>
  <w:num w:numId="178">
    <w:abstractNumId w:val="879"/>
  </w:num>
  <w:num w:numId="179">
    <w:abstractNumId w:val="424"/>
  </w:num>
  <w:num w:numId="180">
    <w:abstractNumId w:val="973"/>
  </w:num>
  <w:num w:numId="181">
    <w:abstractNumId w:val="754"/>
  </w:num>
  <w:num w:numId="182">
    <w:abstractNumId w:val="499"/>
  </w:num>
  <w:num w:numId="183">
    <w:abstractNumId w:val="942"/>
  </w:num>
  <w:num w:numId="184">
    <w:abstractNumId w:val="804"/>
  </w:num>
  <w:num w:numId="185">
    <w:abstractNumId w:val="1008"/>
  </w:num>
  <w:num w:numId="186">
    <w:abstractNumId w:val="894"/>
  </w:num>
  <w:num w:numId="187">
    <w:abstractNumId w:val="875"/>
  </w:num>
  <w:num w:numId="188">
    <w:abstractNumId w:val="119"/>
  </w:num>
  <w:num w:numId="189">
    <w:abstractNumId w:val="313"/>
  </w:num>
  <w:num w:numId="190">
    <w:abstractNumId w:val="1004"/>
  </w:num>
  <w:num w:numId="191">
    <w:abstractNumId w:val="918"/>
  </w:num>
  <w:num w:numId="192">
    <w:abstractNumId w:val="615"/>
  </w:num>
  <w:num w:numId="193">
    <w:abstractNumId w:val="735"/>
  </w:num>
  <w:num w:numId="194">
    <w:abstractNumId w:val="981"/>
  </w:num>
  <w:num w:numId="195">
    <w:abstractNumId w:val="359"/>
  </w:num>
  <w:num w:numId="196">
    <w:abstractNumId w:val="390"/>
  </w:num>
  <w:num w:numId="197">
    <w:abstractNumId w:val="294"/>
  </w:num>
  <w:num w:numId="198">
    <w:abstractNumId w:val="928"/>
  </w:num>
  <w:num w:numId="199">
    <w:abstractNumId w:val="659"/>
  </w:num>
  <w:num w:numId="200">
    <w:abstractNumId w:val="459"/>
  </w:num>
  <w:num w:numId="201">
    <w:abstractNumId w:val="380"/>
  </w:num>
  <w:num w:numId="202">
    <w:abstractNumId w:val="868"/>
  </w:num>
  <w:num w:numId="203">
    <w:abstractNumId w:val="339"/>
  </w:num>
  <w:num w:numId="204">
    <w:abstractNumId w:val="29"/>
  </w:num>
  <w:num w:numId="205">
    <w:abstractNumId w:val="821"/>
  </w:num>
  <w:num w:numId="206">
    <w:abstractNumId w:val="415"/>
  </w:num>
  <w:num w:numId="207">
    <w:abstractNumId w:val="470"/>
  </w:num>
  <w:num w:numId="208">
    <w:abstractNumId w:val="613"/>
  </w:num>
  <w:num w:numId="209">
    <w:abstractNumId w:val="748"/>
  </w:num>
  <w:num w:numId="210">
    <w:abstractNumId w:val="983"/>
  </w:num>
  <w:num w:numId="211">
    <w:abstractNumId w:val="61"/>
  </w:num>
  <w:num w:numId="212">
    <w:abstractNumId w:val="73"/>
  </w:num>
  <w:num w:numId="213">
    <w:abstractNumId w:val="1037"/>
  </w:num>
  <w:num w:numId="214">
    <w:abstractNumId w:val="262"/>
  </w:num>
  <w:num w:numId="215">
    <w:abstractNumId w:val="661"/>
  </w:num>
  <w:num w:numId="216">
    <w:abstractNumId w:val="331"/>
  </w:num>
  <w:num w:numId="217">
    <w:abstractNumId w:val="921"/>
  </w:num>
  <w:num w:numId="218">
    <w:abstractNumId w:val="110"/>
  </w:num>
  <w:num w:numId="219">
    <w:abstractNumId w:val="428"/>
  </w:num>
  <w:num w:numId="220">
    <w:abstractNumId w:val="747"/>
  </w:num>
  <w:num w:numId="221">
    <w:abstractNumId w:val="58"/>
  </w:num>
  <w:num w:numId="222">
    <w:abstractNumId w:val="571"/>
  </w:num>
  <w:num w:numId="223">
    <w:abstractNumId w:val="579"/>
  </w:num>
  <w:num w:numId="224">
    <w:abstractNumId w:val="1108"/>
  </w:num>
  <w:num w:numId="225">
    <w:abstractNumId w:val="512"/>
  </w:num>
  <w:num w:numId="226">
    <w:abstractNumId w:val="929"/>
  </w:num>
  <w:num w:numId="227">
    <w:abstractNumId w:val="1013"/>
  </w:num>
  <w:num w:numId="228">
    <w:abstractNumId w:val="187"/>
  </w:num>
  <w:num w:numId="229">
    <w:abstractNumId w:val="719"/>
  </w:num>
  <w:num w:numId="230">
    <w:abstractNumId w:val="982"/>
  </w:num>
  <w:num w:numId="231">
    <w:abstractNumId w:val="580"/>
  </w:num>
  <w:num w:numId="232">
    <w:abstractNumId w:val="670"/>
  </w:num>
  <w:num w:numId="233">
    <w:abstractNumId w:val="53"/>
  </w:num>
  <w:num w:numId="234">
    <w:abstractNumId w:val="565"/>
  </w:num>
  <w:num w:numId="235">
    <w:abstractNumId w:val="361"/>
  </w:num>
  <w:num w:numId="236">
    <w:abstractNumId w:val="204"/>
  </w:num>
  <w:num w:numId="237">
    <w:abstractNumId w:val="578"/>
  </w:num>
  <w:num w:numId="238">
    <w:abstractNumId w:val="321"/>
  </w:num>
  <w:num w:numId="239">
    <w:abstractNumId w:val="368"/>
  </w:num>
  <w:num w:numId="240">
    <w:abstractNumId w:val="447"/>
  </w:num>
  <w:num w:numId="241">
    <w:abstractNumId w:val="596"/>
  </w:num>
  <w:num w:numId="242">
    <w:abstractNumId w:val="794"/>
  </w:num>
  <w:num w:numId="243">
    <w:abstractNumId w:val="239"/>
  </w:num>
  <w:num w:numId="244">
    <w:abstractNumId w:val="44"/>
  </w:num>
  <w:num w:numId="245">
    <w:abstractNumId w:val="657"/>
  </w:num>
  <w:num w:numId="246">
    <w:abstractNumId w:val="468"/>
  </w:num>
  <w:num w:numId="247">
    <w:abstractNumId w:val="883"/>
  </w:num>
  <w:num w:numId="248">
    <w:abstractNumId w:val="984"/>
  </w:num>
  <w:num w:numId="249">
    <w:abstractNumId w:val="652"/>
  </w:num>
  <w:num w:numId="250">
    <w:abstractNumId w:val="682"/>
  </w:num>
  <w:num w:numId="251">
    <w:abstractNumId w:val="523"/>
  </w:num>
  <w:num w:numId="252">
    <w:abstractNumId w:val="836"/>
  </w:num>
  <w:num w:numId="253">
    <w:abstractNumId w:val="698"/>
  </w:num>
  <w:num w:numId="254">
    <w:abstractNumId w:val="500"/>
  </w:num>
  <w:num w:numId="255">
    <w:abstractNumId w:val="184"/>
  </w:num>
  <w:num w:numId="256">
    <w:abstractNumId w:val="1033"/>
  </w:num>
  <w:num w:numId="257">
    <w:abstractNumId w:val="650"/>
  </w:num>
  <w:num w:numId="258">
    <w:abstractNumId w:val="49"/>
  </w:num>
  <w:num w:numId="259">
    <w:abstractNumId w:val="142"/>
  </w:num>
  <w:num w:numId="260">
    <w:abstractNumId w:val="28"/>
  </w:num>
  <w:num w:numId="261">
    <w:abstractNumId w:val="908"/>
  </w:num>
  <w:num w:numId="262">
    <w:abstractNumId w:val="527"/>
  </w:num>
  <w:num w:numId="263">
    <w:abstractNumId w:val="882"/>
  </w:num>
  <w:num w:numId="264">
    <w:abstractNumId w:val="21"/>
  </w:num>
  <w:num w:numId="265">
    <w:abstractNumId w:val="180"/>
  </w:num>
  <w:num w:numId="266">
    <w:abstractNumId w:val="791"/>
  </w:num>
  <w:num w:numId="267">
    <w:abstractNumId w:val="861"/>
  </w:num>
  <w:num w:numId="268">
    <w:abstractNumId w:val="15"/>
  </w:num>
  <w:num w:numId="269">
    <w:abstractNumId w:val="300"/>
  </w:num>
  <w:num w:numId="270">
    <w:abstractNumId w:val="267"/>
  </w:num>
  <w:num w:numId="271">
    <w:abstractNumId w:val="797"/>
  </w:num>
  <w:num w:numId="272">
    <w:abstractNumId w:val="722"/>
  </w:num>
  <w:num w:numId="273">
    <w:abstractNumId w:val="1085"/>
  </w:num>
  <w:num w:numId="274">
    <w:abstractNumId w:val="772"/>
  </w:num>
  <w:num w:numId="275">
    <w:abstractNumId w:val="453"/>
  </w:num>
  <w:num w:numId="276">
    <w:abstractNumId w:val="1062"/>
  </w:num>
  <w:num w:numId="277">
    <w:abstractNumId w:val="26"/>
  </w:num>
  <w:num w:numId="278">
    <w:abstractNumId w:val="374"/>
  </w:num>
  <w:num w:numId="279">
    <w:abstractNumId w:val="937"/>
  </w:num>
  <w:num w:numId="280">
    <w:abstractNumId w:val="176"/>
  </w:num>
  <w:num w:numId="281">
    <w:abstractNumId w:val="967"/>
  </w:num>
  <w:num w:numId="282">
    <w:abstractNumId w:val="244"/>
  </w:num>
  <w:num w:numId="283">
    <w:abstractNumId w:val="143"/>
  </w:num>
  <w:num w:numId="284">
    <w:abstractNumId w:val="713"/>
  </w:num>
  <w:num w:numId="285">
    <w:abstractNumId w:val="426"/>
  </w:num>
  <w:num w:numId="286">
    <w:abstractNumId w:val="710"/>
  </w:num>
  <w:num w:numId="287">
    <w:abstractNumId w:val="1042"/>
  </w:num>
  <w:num w:numId="288">
    <w:abstractNumId w:val="100"/>
  </w:num>
  <w:num w:numId="289">
    <w:abstractNumId w:val="421"/>
  </w:num>
  <w:num w:numId="290">
    <w:abstractNumId w:val="959"/>
  </w:num>
  <w:num w:numId="291">
    <w:abstractNumId w:val="968"/>
  </w:num>
  <w:num w:numId="292">
    <w:abstractNumId w:val="619"/>
  </w:num>
  <w:num w:numId="293">
    <w:abstractNumId w:val="574"/>
  </w:num>
  <w:num w:numId="294">
    <w:abstractNumId w:val="503"/>
  </w:num>
  <w:num w:numId="295">
    <w:abstractNumId w:val="133"/>
  </w:num>
  <w:num w:numId="296">
    <w:abstractNumId w:val="108"/>
  </w:num>
  <w:num w:numId="297">
    <w:abstractNumId w:val="714"/>
  </w:num>
  <w:num w:numId="298">
    <w:abstractNumId w:val="169"/>
  </w:num>
  <w:num w:numId="299">
    <w:abstractNumId w:val="960"/>
  </w:num>
  <w:num w:numId="300">
    <w:abstractNumId w:val="88"/>
  </w:num>
  <w:num w:numId="301">
    <w:abstractNumId w:val="482"/>
  </w:num>
  <w:num w:numId="302">
    <w:abstractNumId w:val="161"/>
  </w:num>
  <w:num w:numId="303">
    <w:abstractNumId w:val="197"/>
  </w:num>
  <w:num w:numId="304">
    <w:abstractNumId w:val="337"/>
  </w:num>
  <w:num w:numId="305">
    <w:abstractNumId w:val="1055"/>
  </w:num>
  <w:num w:numId="306">
    <w:abstractNumId w:val="780"/>
  </w:num>
  <w:num w:numId="307">
    <w:abstractNumId w:val="454"/>
  </w:num>
  <w:num w:numId="308">
    <w:abstractNumId w:val="1067"/>
  </w:num>
  <w:num w:numId="309">
    <w:abstractNumId w:val="1076"/>
  </w:num>
  <w:num w:numId="310">
    <w:abstractNumId w:val="467"/>
  </w:num>
  <w:num w:numId="311">
    <w:abstractNumId w:val="495"/>
  </w:num>
  <w:num w:numId="312">
    <w:abstractNumId w:val="533"/>
  </w:num>
  <w:num w:numId="313">
    <w:abstractNumId w:val="1044"/>
  </w:num>
  <w:num w:numId="314">
    <w:abstractNumId w:val="174"/>
  </w:num>
  <w:num w:numId="315">
    <w:abstractNumId w:val="671"/>
  </w:num>
  <w:num w:numId="316">
    <w:abstractNumId w:val="148"/>
  </w:num>
  <w:num w:numId="317">
    <w:abstractNumId w:val="646"/>
  </w:num>
  <w:num w:numId="318">
    <w:abstractNumId w:val="637"/>
  </w:num>
  <w:num w:numId="319">
    <w:abstractNumId w:val="590"/>
  </w:num>
  <w:num w:numId="320">
    <w:abstractNumId w:val="1050"/>
  </w:num>
  <w:num w:numId="321">
    <w:abstractNumId w:val="941"/>
  </w:num>
  <w:num w:numId="322">
    <w:abstractNumId w:val="289"/>
  </w:num>
  <w:num w:numId="323">
    <w:abstractNumId w:val="466"/>
  </w:num>
  <w:num w:numId="324">
    <w:abstractNumId w:val="310"/>
  </w:num>
  <w:num w:numId="325">
    <w:abstractNumId w:val="828"/>
  </w:num>
  <w:num w:numId="326">
    <w:abstractNumId w:val="635"/>
  </w:num>
  <w:num w:numId="327">
    <w:abstractNumId w:val="152"/>
  </w:num>
  <w:num w:numId="328">
    <w:abstractNumId w:val="212"/>
  </w:num>
  <w:num w:numId="329">
    <w:abstractNumId w:val="377"/>
  </w:num>
  <w:num w:numId="330">
    <w:abstractNumId w:val="302"/>
  </w:num>
  <w:num w:numId="331">
    <w:abstractNumId w:val="251"/>
  </w:num>
  <w:num w:numId="332">
    <w:abstractNumId w:val="41"/>
  </w:num>
  <w:num w:numId="333">
    <w:abstractNumId w:val="939"/>
  </w:num>
  <w:num w:numId="334">
    <w:abstractNumId w:val="403"/>
  </w:num>
  <w:num w:numId="335">
    <w:abstractNumId w:val="681"/>
  </w:num>
  <w:num w:numId="336">
    <w:abstractNumId w:val="1035"/>
  </w:num>
  <w:num w:numId="337">
    <w:abstractNumId w:val="201"/>
  </w:num>
  <w:num w:numId="338">
    <w:abstractNumId w:val="511"/>
  </w:num>
  <w:num w:numId="339">
    <w:abstractNumId w:val="955"/>
  </w:num>
  <w:num w:numId="340">
    <w:abstractNumId w:val="107"/>
  </w:num>
  <w:num w:numId="341">
    <w:abstractNumId w:val="202"/>
  </w:num>
  <w:num w:numId="342">
    <w:abstractNumId w:val="330"/>
  </w:num>
  <w:num w:numId="343">
    <w:abstractNumId w:val="55"/>
  </w:num>
  <w:num w:numId="344">
    <w:abstractNumId w:val="296"/>
  </w:num>
  <w:num w:numId="345">
    <w:abstractNumId w:val="624"/>
  </w:num>
  <w:num w:numId="346">
    <w:abstractNumId w:val="277"/>
  </w:num>
  <w:num w:numId="347">
    <w:abstractNumId w:val="96"/>
  </w:num>
  <w:num w:numId="348">
    <w:abstractNumId w:val="742"/>
  </w:num>
  <w:num w:numId="349">
    <w:abstractNumId w:val="915"/>
  </w:num>
  <w:num w:numId="350">
    <w:abstractNumId w:val="814"/>
  </w:num>
  <w:num w:numId="351">
    <w:abstractNumId w:val="627"/>
  </w:num>
  <w:num w:numId="352">
    <w:abstractNumId w:val="309"/>
  </w:num>
  <w:num w:numId="353">
    <w:abstractNumId w:val="1028"/>
  </w:num>
  <w:num w:numId="354">
    <w:abstractNumId w:val="940"/>
  </w:num>
  <w:num w:numId="355">
    <w:abstractNumId w:val="332"/>
  </w:num>
  <w:num w:numId="356">
    <w:abstractNumId w:val="751"/>
  </w:num>
  <w:num w:numId="357">
    <w:abstractNumId w:val="1034"/>
  </w:num>
  <w:num w:numId="358">
    <w:abstractNumId w:val="355"/>
  </w:num>
  <w:num w:numId="359">
    <w:abstractNumId w:val="444"/>
  </w:num>
  <w:num w:numId="360">
    <w:abstractNumId w:val="618"/>
  </w:num>
  <w:num w:numId="361">
    <w:abstractNumId w:val="498"/>
  </w:num>
  <w:num w:numId="362">
    <w:abstractNumId w:val="1018"/>
  </w:num>
  <w:num w:numId="363">
    <w:abstractNumId w:val="208"/>
  </w:num>
  <w:num w:numId="364">
    <w:abstractNumId w:val="896"/>
  </w:num>
  <w:num w:numId="365">
    <w:abstractNumId w:val="889"/>
  </w:num>
  <w:num w:numId="366">
    <w:abstractNumId w:val="34"/>
  </w:num>
  <w:num w:numId="367">
    <w:abstractNumId w:val="705"/>
  </w:num>
  <w:num w:numId="368">
    <w:abstractNumId w:val="367"/>
  </w:num>
  <w:num w:numId="369">
    <w:abstractNumId w:val="965"/>
  </w:num>
  <w:num w:numId="370">
    <w:abstractNumId w:val="505"/>
  </w:num>
  <w:num w:numId="371">
    <w:abstractNumId w:val="700"/>
  </w:num>
  <w:num w:numId="372">
    <w:abstractNumId w:val="569"/>
  </w:num>
  <w:num w:numId="373">
    <w:abstractNumId w:val="862"/>
  </w:num>
  <w:num w:numId="374">
    <w:abstractNumId w:val="54"/>
  </w:num>
  <w:num w:numId="375">
    <w:abstractNumId w:val="1072"/>
  </w:num>
  <w:num w:numId="376">
    <w:abstractNumId w:val="94"/>
  </w:num>
  <w:num w:numId="377">
    <w:abstractNumId w:val="323"/>
  </w:num>
  <w:num w:numId="378">
    <w:abstractNumId w:val="1110"/>
  </w:num>
  <w:num w:numId="379">
    <w:abstractNumId w:val="663"/>
  </w:num>
  <w:num w:numId="380">
    <w:abstractNumId w:val="641"/>
  </w:num>
  <w:num w:numId="381">
    <w:abstractNumId w:val="261"/>
  </w:num>
  <w:num w:numId="382">
    <w:abstractNumId w:val="358"/>
  </w:num>
  <w:num w:numId="383">
    <w:abstractNumId w:val="448"/>
  </w:num>
  <w:num w:numId="384">
    <w:abstractNumId w:val="833"/>
  </w:num>
  <w:num w:numId="385">
    <w:abstractNumId w:val="381"/>
  </w:num>
  <w:num w:numId="386">
    <w:abstractNumId w:val="305"/>
  </w:num>
  <w:num w:numId="387">
    <w:abstractNumId w:val="305"/>
    <w:lvlOverride w:ilvl="0"/>
    <w:lvlOverride w:ilvl="1"/>
    <w:lvlOverride w:ilvl="2"/>
    <w:lvlOverride w:ilvl="3"/>
    <w:lvlOverride w:ilvl="4"/>
    <w:lvlOverride w:ilvl="5"/>
    <w:lvlOverride w:ilvl="6"/>
    <w:lvlOverride w:ilvl="7"/>
    <w:lvlOverride w:ilvl="8"/>
  </w:num>
  <w:num w:numId="388">
    <w:abstractNumId w:val="256"/>
  </w:num>
  <w:num w:numId="389">
    <w:abstractNumId w:val="166"/>
  </w:num>
  <w:num w:numId="390">
    <w:abstractNumId w:val="386"/>
  </w:num>
  <w:num w:numId="391">
    <w:abstractNumId w:val="305"/>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763"/>
  </w:num>
  <w:num w:numId="393">
    <w:abstractNumId w:val="172"/>
  </w:num>
  <w:num w:numId="394">
    <w:abstractNumId w:val="972"/>
  </w:num>
  <w:num w:numId="395">
    <w:abstractNumId w:val="9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97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419"/>
  </w:num>
  <w:num w:numId="398">
    <w:abstractNumId w:val="733"/>
  </w:num>
  <w:num w:numId="399">
    <w:abstractNumId w:val="18"/>
  </w:num>
  <w:num w:numId="400">
    <w:abstractNumId w:val="727"/>
  </w:num>
  <w:num w:numId="401">
    <w:abstractNumId w:val="906"/>
  </w:num>
  <w:num w:numId="402">
    <w:abstractNumId w:val="1073"/>
  </w:num>
  <w:num w:numId="403">
    <w:abstractNumId w:val="508"/>
  </w:num>
  <w:num w:numId="404">
    <w:abstractNumId w:val="240"/>
  </w:num>
  <w:num w:numId="405">
    <w:abstractNumId w:val="1017"/>
  </w:num>
  <w:num w:numId="406">
    <w:abstractNumId w:val="723"/>
  </w:num>
  <w:num w:numId="407">
    <w:abstractNumId w:val="575"/>
  </w:num>
  <w:num w:numId="408">
    <w:abstractNumId w:val="608"/>
  </w:num>
  <w:num w:numId="409">
    <w:abstractNumId w:val="855"/>
  </w:num>
  <w:num w:numId="410">
    <w:abstractNumId w:val="920"/>
  </w:num>
  <w:num w:numId="411">
    <w:abstractNumId w:val="853"/>
  </w:num>
  <w:num w:numId="412">
    <w:abstractNumId w:val="219"/>
  </w:num>
  <w:num w:numId="413">
    <w:abstractNumId w:val="770"/>
  </w:num>
  <w:num w:numId="414">
    <w:abstractNumId w:val="1052"/>
  </w:num>
  <w:num w:numId="415">
    <w:abstractNumId w:val="1094"/>
  </w:num>
  <w:num w:numId="416">
    <w:abstractNumId w:val="65"/>
  </w:num>
  <w:num w:numId="417">
    <w:abstractNumId w:val="80"/>
  </w:num>
  <w:num w:numId="418">
    <w:abstractNumId w:val="885"/>
  </w:num>
  <w:num w:numId="419">
    <w:abstractNumId w:val="137"/>
  </w:num>
  <w:num w:numId="420">
    <w:abstractNumId w:val="947"/>
  </w:num>
  <w:num w:numId="421">
    <w:abstractNumId w:val="225"/>
  </w:num>
  <w:num w:numId="422">
    <w:abstractNumId w:val="278"/>
  </w:num>
  <w:num w:numId="423">
    <w:abstractNumId w:val="656"/>
  </w:num>
  <w:num w:numId="424">
    <w:abstractNumId w:val="1080"/>
  </w:num>
  <w:num w:numId="425">
    <w:abstractNumId w:val="352"/>
  </w:num>
  <w:num w:numId="426">
    <w:abstractNumId w:val="774"/>
  </w:num>
  <w:num w:numId="427">
    <w:abstractNumId w:val="105"/>
  </w:num>
  <w:num w:numId="428">
    <w:abstractNumId w:val="529"/>
  </w:num>
  <w:num w:numId="429">
    <w:abstractNumId w:val="280"/>
  </w:num>
  <w:num w:numId="430">
    <w:abstractNumId w:val="36"/>
  </w:num>
  <w:num w:numId="431">
    <w:abstractNumId w:val="595"/>
  </w:num>
  <w:num w:numId="432">
    <w:abstractNumId w:val="872"/>
  </w:num>
  <w:num w:numId="433">
    <w:abstractNumId w:val="394"/>
  </w:num>
  <w:num w:numId="434">
    <w:abstractNumId w:val="203"/>
  </w:num>
  <w:num w:numId="435">
    <w:abstractNumId w:val="320"/>
  </w:num>
  <w:num w:numId="436">
    <w:abstractNumId w:val="478"/>
  </w:num>
  <w:num w:numId="437">
    <w:abstractNumId w:val="1105"/>
  </w:num>
  <w:num w:numId="438">
    <w:abstractNumId w:val="1092"/>
  </w:num>
  <w:num w:numId="439">
    <w:abstractNumId w:val="492"/>
  </w:num>
  <w:num w:numId="440">
    <w:abstractNumId w:val="664"/>
  </w:num>
  <w:num w:numId="441">
    <w:abstractNumId w:val="147"/>
  </w:num>
  <w:num w:numId="442">
    <w:abstractNumId w:val="103"/>
  </w:num>
  <w:num w:numId="443">
    <w:abstractNumId w:val="95"/>
  </w:num>
  <w:num w:numId="444">
    <w:abstractNumId w:val="181"/>
  </w:num>
  <w:num w:numId="445">
    <w:abstractNumId w:val="643"/>
  </w:num>
  <w:num w:numId="446">
    <w:abstractNumId w:val="1046"/>
  </w:num>
  <w:num w:numId="447">
    <w:abstractNumId w:val="458"/>
  </w:num>
  <w:num w:numId="448">
    <w:abstractNumId w:val="1071"/>
  </w:num>
  <w:num w:numId="449">
    <w:abstractNumId w:val="1061"/>
  </w:num>
  <w:num w:numId="450">
    <w:abstractNumId w:val="186"/>
  </w:num>
  <w:num w:numId="451">
    <w:abstractNumId w:val="488"/>
  </w:num>
  <w:num w:numId="452">
    <w:abstractNumId w:val="233"/>
  </w:num>
  <w:num w:numId="453">
    <w:abstractNumId w:val="416"/>
  </w:num>
  <w:num w:numId="454">
    <w:abstractNumId w:val="626"/>
  </w:num>
  <w:num w:numId="455">
    <w:abstractNumId w:val="170"/>
  </w:num>
  <w:num w:numId="456">
    <w:abstractNumId w:val="974"/>
  </w:num>
  <w:num w:numId="457">
    <w:abstractNumId w:val="443"/>
  </w:num>
  <w:num w:numId="458">
    <w:abstractNumId w:val="678"/>
  </w:num>
  <w:num w:numId="459">
    <w:abstractNumId w:val="185"/>
  </w:num>
  <w:num w:numId="460">
    <w:abstractNumId w:val="890"/>
  </w:num>
  <w:num w:numId="461">
    <w:abstractNumId w:val="597"/>
  </w:num>
  <w:num w:numId="462">
    <w:abstractNumId w:val="131"/>
  </w:num>
  <w:num w:numId="463">
    <w:abstractNumId w:val="531"/>
  </w:num>
  <w:num w:numId="464">
    <w:abstractNumId w:val="104"/>
  </w:num>
  <w:num w:numId="465">
    <w:abstractNumId w:val="101"/>
  </w:num>
  <w:num w:numId="466">
    <w:abstractNumId w:val="157"/>
  </w:num>
  <w:num w:numId="467">
    <w:abstractNumId w:val="356"/>
  </w:num>
  <w:num w:numId="468">
    <w:abstractNumId w:val="691"/>
  </w:num>
  <w:num w:numId="469">
    <w:abstractNumId w:val="1049"/>
  </w:num>
  <w:num w:numId="470">
    <w:abstractNumId w:val="126"/>
  </w:num>
  <w:num w:numId="471">
    <w:abstractNumId w:val="63"/>
  </w:num>
  <w:num w:numId="472">
    <w:abstractNumId w:val="496"/>
  </w:num>
  <w:num w:numId="473">
    <w:abstractNumId w:val="234"/>
  </w:num>
  <w:num w:numId="474">
    <w:abstractNumId w:val="433"/>
  </w:num>
  <w:num w:numId="475">
    <w:abstractNumId w:val="213"/>
  </w:num>
  <w:num w:numId="476">
    <w:abstractNumId w:val="617"/>
  </w:num>
  <w:num w:numId="477">
    <w:abstractNumId w:val="986"/>
  </w:num>
  <w:num w:numId="478">
    <w:abstractNumId w:val="218"/>
  </w:num>
  <w:num w:numId="479">
    <w:abstractNumId w:val="427"/>
  </w:num>
  <w:num w:numId="480">
    <w:abstractNumId w:val="703"/>
  </w:num>
  <w:num w:numId="481">
    <w:abstractNumId w:val="372"/>
  </w:num>
  <w:num w:numId="482">
    <w:abstractNumId w:val="857"/>
  </w:num>
  <w:num w:numId="483">
    <w:abstractNumId w:val="489"/>
  </w:num>
  <w:num w:numId="484">
    <w:abstractNumId w:val="1032"/>
  </w:num>
  <w:num w:numId="485">
    <w:abstractNumId w:val="734"/>
  </w:num>
  <w:num w:numId="486">
    <w:abstractNumId w:val="563"/>
  </w:num>
  <w:num w:numId="487">
    <w:abstractNumId w:val="837"/>
  </w:num>
  <w:num w:numId="488">
    <w:abstractNumId w:val="37"/>
  </w:num>
  <w:num w:numId="489">
    <w:abstractNumId w:val="462"/>
  </w:num>
  <w:num w:numId="490">
    <w:abstractNumId w:val="192"/>
  </w:num>
  <w:num w:numId="491">
    <w:abstractNumId w:val="895"/>
  </w:num>
  <w:num w:numId="492">
    <w:abstractNumId w:val="811"/>
  </w:num>
  <w:num w:numId="493">
    <w:abstractNumId w:val="577"/>
  </w:num>
  <w:num w:numId="494">
    <w:abstractNumId w:val="168"/>
  </w:num>
  <w:num w:numId="495">
    <w:abstractNumId w:val="57"/>
  </w:num>
  <w:num w:numId="496">
    <w:abstractNumId w:val="594"/>
  </w:num>
  <w:num w:numId="497">
    <w:abstractNumId w:val="1098"/>
  </w:num>
  <w:num w:numId="498">
    <w:abstractNumId w:val="222"/>
  </w:num>
  <w:num w:numId="499">
    <w:abstractNumId w:val="891"/>
  </w:num>
  <w:num w:numId="500">
    <w:abstractNumId w:val="803"/>
  </w:num>
  <w:num w:numId="501">
    <w:abstractNumId w:val="990"/>
  </w:num>
  <w:num w:numId="502">
    <w:abstractNumId w:val="688"/>
  </w:num>
  <w:num w:numId="503">
    <w:abstractNumId w:val="487"/>
  </w:num>
  <w:num w:numId="504">
    <w:abstractNumId w:val="988"/>
  </w:num>
  <w:num w:numId="505">
    <w:abstractNumId w:val="856"/>
  </w:num>
  <w:num w:numId="506">
    <w:abstractNumId w:val="827"/>
  </w:num>
  <w:num w:numId="507">
    <w:abstractNumId w:val="371"/>
  </w:num>
  <w:num w:numId="508">
    <w:abstractNumId w:val="85"/>
  </w:num>
  <w:num w:numId="509">
    <w:abstractNumId w:val="286"/>
  </w:num>
  <w:num w:numId="510">
    <w:abstractNumId w:val="818"/>
  </w:num>
  <w:num w:numId="511">
    <w:abstractNumId w:val="666"/>
  </w:num>
  <w:num w:numId="512">
    <w:abstractNumId w:val="978"/>
  </w:num>
  <w:num w:numId="513">
    <w:abstractNumId w:val="42"/>
  </w:num>
  <w:num w:numId="514">
    <w:abstractNumId w:val="306"/>
  </w:num>
  <w:num w:numId="515">
    <w:abstractNumId w:val="226"/>
  </w:num>
  <w:num w:numId="516">
    <w:abstractNumId w:val="91"/>
  </w:num>
  <w:num w:numId="517">
    <w:abstractNumId w:val="724"/>
  </w:num>
  <w:num w:numId="518">
    <w:abstractNumId w:val="279"/>
  </w:num>
  <w:num w:numId="519">
    <w:abstractNumId w:val="1012"/>
  </w:num>
  <w:num w:numId="520">
    <w:abstractNumId w:val="291"/>
  </w:num>
  <w:num w:numId="521">
    <w:abstractNumId w:val="989"/>
  </w:num>
  <w:num w:numId="522">
    <w:abstractNumId w:val="52"/>
  </w:num>
  <w:num w:numId="523">
    <w:abstractNumId w:val="845"/>
  </w:num>
  <w:num w:numId="524">
    <w:abstractNumId w:val="680"/>
  </w:num>
  <w:num w:numId="525">
    <w:abstractNumId w:val="888"/>
  </w:num>
  <w:num w:numId="526">
    <w:abstractNumId w:val="401"/>
  </w:num>
  <w:num w:numId="527">
    <w:abstractNumId w:val="933"/>
  </w:num>
  <w:num w:numId="528">
    <w:abstractNumId w:val="295"/>
  </w:num>
  <w:num w:numId="529">
    <w:abstractNumId w:val="1002"/>
  </w:num>
  <w:num w:numId="530">
    <w:abstractNumId w:val="308"/>
  </w:num>
  <w:num w:numId="531">
    <w:abstractNumId w:val="258"/>
  </w:num>
  <w:num w:numId="532">
    <w:abstractNumId w:val="215"/>
  </w:num>
  <w:num w:numId="533">
    <w:abstractNumId w:val="363"/>
  </w:num>
  <w:num w:numId="534">
    <w:abstractNumId w:val="14"/>
  </w:num>
  <w:num w:numId="535">
    <w:abstractNumId w:val="477"/>
  </w:num>
  <w:num w:numId="536">
    <w:abstractNumId w:val="970"/>
  </w:num>
  <w:num w:numId="537">
    <w:abstractNumId w:val="717"/>
  </w:num>
  <w:num w:numId="538">
    <w:abstractNumId w:val="846"/>
  </w:num>
  <w:num w:numId="539">
    <w:abstractNumId w:val="23"/>
  </w:num>
  <w:num w:numId="540">
    <w:abstractNumId w:val="707"/>
  </w:num>
  <w:num w:numId="541">
    <w:abstractNumId w:val="826"/>
  </w:num>
  <w:num w:numId="542">
    <w:abstractNumId w:val="905"/>
  </w:num>
  <w:num w:numId="543">
    <w:abstractNumId w:val="13"/>
  </w:num>
  <w:num w:numId="544">
    <w:abstractNumId w:val="393"/>
  </w:num>
  <w:num w:numId="545">
    <w:abstractNumId w:val="84"/>
  </w:num>
  <w:num w:numId="546">
    <w:abstractNumId w:val="159"/>
  </w:num>
  <w:num w:numId="547">
    <w:abstractNumId w:val="257"/>
  </w:num>
  <w:num w:numId="548">
    <w:abstractNumId w:val="815"/>
  </w:num>
  <w:num w:numId="549">
    <w:abstractNumId w:val="246"/>
  </w:num>
  <w:num w:numId="550">
    <w:abstractNumId w:val="114"/>
  </w:num>
  <w:num w:numId="551">
    <w:abstractNumId w:val="525"/>
  </w:num>
  <w:num w:numId="552">
    <w:abstractNumId w:val="1079"/>
  </w:num>
  <w:num w:numId="553">
    <w:abstractNumId w:val="736"/>
  </w:num>
  <w:num w:numId="554">
    <w:abstractNumId w:val="47"/>
  </w:num>
  <w:num w:numId="555">
    <w:abstractNumId w:val="949"/>
  </w:num>
  <w:num w:numId="556">
    <w:abstractNumId w:val="410"/>
  </w:num>
  <w:num w:numId="557">
    <w:abstractNumId w:val="858"/>
  </w:num>
  <w:num w:numId="558">
    <w:abstractNumId w:val="1029"/>
  </w:num>
  <w:num w:numId="559">
    <w:abstractNumId w:val="601"/>
  </w:num>
  <w:num w:numId="560">
    <w:abstractNumId w:val="1123"/>
  </w:num>
  <w:num w:numId="561">
    <w:abstractNumId w:val="335"/>
  </w:num>
  <w:num w:numId="562">
    <w:abstractNumId w:val="247"/>
  </w:num>
  <w:num w:numId="563">
    <w:abstractNumId w:val="950"/>
  </w:num>
  <w:num w:numId="564">
    <w:abstractNumId w:val="625"/>
  </w:num>
  <w:num w:numId="565">
    <w:abstractNumId w:val="1003"/>
  </w:num>
  <w:num w:numId="566">
    <w:abstractNumId w:val="395"/>
  </w:num>
  <w:num w:numId="567">
    <w:abstractNumId w:val="64"/>
  </w:num>
  <w:num w:numId="568">
    <w:abstractNumId w:val="623"/>
  </w:num>
  <w:num w:numId="569">
    <w:abstractNumId w:val="504"/>
  </w:num>
  <w:num w:numId="570">
    <w:abstractNumId w:val="825"/>
  </w:num>
  <w:num w:numId="571">
    <w:abstractNumId w:val="975"/>
  </w:num>
  <w:num w:numId="572">
    <w:abstractNumId w:val="790"/>
  </w:num>
  <w:num w:numId="573">
    <w:abstractNumId w:val="1045"/>
  </w:num>
  <w:num w:numId="574">
    <w:abstractNumId w:val="851"/>
  </w:num>
  <w:num w:numId="575">
    <w:abstractNumId w:val="544"/>
  </w:num>
  <w:num w:numId="576">
    <w:abstractNumId w:val="177"/>
  </w:num>
  <w:num w:numId="577">
    <w:abstractNumId w:val="874"/>
  </w:num>
  <w:num w:numId="578">
    <w:abstractNumId w:val="127"/>
  </w:num>
  <w:num w:numId="579">
    <w:abstractNumId w:val="1024"/>
  </w:num>
  <w:num w:numId="580">
    <w:abstractNumId w:val="336"/>
  </w:num>
  <w:num w:numId="581">
    <w:abstractNumId w:val="275"/>
  </w:num>
  <w:num w:numId="582">
    <w:abstractNumId w:val="243"/>
  </w:num>
  <w:num w:numId="583">
    <w:abstractNumId w:val="739"/>
  </w:num>
  <w:num w:numId="584">
    <w:abstractNumId w:val="269"/>
  </w:num>
  <w:num w:numId="585">
    <w:abstractNumId w:val="957"/>
  </w:num>
  <w:num w:numId="586">
    <w:abstractNumId w:val="611"/>
  </w:num>
  <w:num w:numId="587">
    <w:abstractNumId w:val="255"/>
  </w:num>
  <w:num w:numId="588">
    <w:abstractNumId w:val="77"/>
  </w:num>
  <w:num w:numId="589">
    <w:abstractNumId w:val="532"/>
  </w:num>
  <w:num w:numId="590">
    <w:abstractNumId w:val="139"/>
  </w:num>
  <w:num w:numId="591">
    <w:abstractNumId w:val="195"/>
  </w:num>
  <w:num w:numId="592">
    <w:abstractNumId w:val="887"/>
  </w:num>
  <w:num w:numId="593">
    <w:abstractNumId w:val="944"/>
  </w:num>
  <w:num w:numId="594">
    <w:abstractNumId w:val="1122"/>
  </w:num>
  <w:num w:numId="595">
    <w:abstractNumId w:val="761"/>
  </w:num>
  <w:num w:numId="596">
    <w:abstractNumId w:val="639"/>
  </w:num>
  <w:num w:numId="597">
    <w:abstractNumId w:val="816"/>
  </w:num>
  <w:num w:numId="598">
    <w:abstractNumId w:val="603"/>
  </w:num>
  <w:num w:numId="599">
    <w:abstractNumId w:val="1065"/>
  </w:num>
  <w:num w:numId="600">
    <w:abstractNumId w:val="457"/>
  </w:num>
  <w:num w:numId="601">
    <w:abstractNumId w:val="1041"/>
  </w:num>
  <w:num w:numId="602">
    <w:abstractNumId w:val="555"/>
  </w:num>
  <w:num w:numId="603">
    <w:abstractNumId w:val="991"/>
  </w:num>
  <w:num w:numId="604">
    <w:abstractNumId w:val="963"/>
  </w:num>
  <w:num w:numId="605">
    <w:abstractNumId w:val="759"/>
  </w:num>
  <w:num w:numId="606">
    <w:abstractNumId w:val="620"/>
  </w:num>
  <w:num w:numId="607">
    <w:abstractNumId w:val="683"/>
  </w:num>
  <w:num w:numId="608">
    <w:abstractNumId w:val="1015"/>
  </w:num>
  <w:num w:numId="609">
    <w:abstractNumId w:val="376"/>
  </w:num>
  <w:num w:numId="610">
    <w:abstractNumId w:val="120"/>
  </w:num>
  <w:num w:numId="611">
    <w:abstractNumId w:val="145"/>
  </w:num>
  <w:num w:numId="612">
    <w:abstractNumId w:val="156"/>
  </w:num>
  <w:num w:numId="613">
    <w:abstractNumId w:val="850"/>
  </w:num>
  <w:num w:numId="614">
    <w:abstractNumId w:val="319"/>
  </w:num>
  <w:num w:numId="615">
    <w:abstractNumId w:val="98"/>
  </w:num>
  <w:num w:numId="616">
    <w:abstractNumId w:val="263"/>
  </w:num>
  <w:num w:numId="617">
    <w:abstractNumId w:val="1104"/>
  </w:num>
  <w:num w:numId="618">
    <w:abstractNumId w:val="1043"/>
  </w:num>
  <w:num w:numId="619">
    <w:abstractNumId w:val="992"/>
  </w:num>
  <w:num w:numId="620">
    <w:abstractNumId w:val="1112"/>
  </w:num>
  <w:num w:numId="621">
    <w:abstractNumId w:val="171"/>
  </w:num>
  <w:num w:numId="622">
    <w:abstractNumId w:val="667"/>
  </w:num>
  <w:num w:numId="623">
    <w:abstractNumId w:val="236"/>
  </w:num>
  <w:num w:numId="624">
    <w:abstractNumId w:val="1114"/>
  </w:num>
  <w:num w:numId="625">
    <w:abstractNumId w:val="807"/>
  </w:num>
  <w:num w:numId="626">
    <w:abstractNumId w:val="360"/>
  </w:num>
  <w:num w:numId="627">
    <w:abstractNumId w:val="413"/>
  </w:num>
  <w:num w:numId="628">
    <w:abstractNumId w:val="346"/>
  </w:num>
  <w:num w:numId="629">
    <w:abstractNumId w:val="340"/>
  </w:num>
  <w:num w:numId="630">
    <w:abstractNumId w:val="1106"/>
  </w:num>
  <w:num w:numId="631">
    <w:abstractNumId w:val="612"/>
  </w:num>
  <w:num w:numId="632">
    <w:abstractNumId w:val="1051"/>
  </w:num>
  <w:num w:numId="633">
    <w:abstractNumId w:val="880"/>
  </w:num>
  <w:num w:numId="634">
    <w:abstractNumId w:val="8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023"/>
  </w:num>
  <w:num w:numId="636">
    <w:abstractNumId w:val="106"/>
  </w:num>
  <w:num w:numId="637">
    <w:abstractNumId w:val="1030"/>
  </w:num>
  <w:num w:numId="638">
    <w:abstractNumId w:val="740"/>
  </w:num>
  <w:num w:numId="639">
    <w:abstractNumId w:val="999"/>
  </w:num>
  <w:num w:numId="640">
    <w:abstractNumId w:val="999"/>
    <w:lvlOverride w:ilvl="0"/>
    <w:lvlOverride w:ilvl="1"/>
    <w:lvlOverride w:ilvl="2"/>
    <w:lvlOverride w:ilvl="3"/>
    <w:lvlOverride w:ilvl="4"/>
    <w:lvlOverride w:ilvl="5"/>
    <w:lvlOverride w:ilvl="6"/>
    <w:lvlOverride w:ilvl="7"/>
    <w:lvlOverride w:ilvl="8"/>
  </w:num>
  <w:num w:numId="641">
    <w:abstractNumId w:val="581"/>
  </w:num>
  <w:num w:numId="642">
    <w:abstractNumId w:val="446"/>
  </w:num>
  <w:num w:numId="643">
    <w:abstractNumId w:val="1054"/>
  </w:num>
  <w:num w:numId="644">
    <w:abstractNumId w:val="362"/>
  </w:num>
  <w:num w:numId="645">
    <w:abstractNumId w:val="913"/>
  </w:num>
  <w:num w:numId="646">
    <w:abstractNumId w:val="292"/>
  </w:num>
  <w:num w:numId="647">
    <w:abstractNumId w:val="633"/>
  </w:num>
  <w:num w:numId="648">
    <w:abstractNumId w:val="501"/>
  </w:num>
  <w:num w:numId="649">
    <w:abstractNumId w:val="720"/>
  </w:num>
  <w:num w:numId="650">
    <w:abstractNumId w:val="113"/>
  </w:num>
  <w:num w:numId="651">
    <w:abstractNumId w:val="254"/>
  </w:num>
  <w:num w:numId="652">
    <w:abstractNumId w:val="333"/>
  </w:num>
  <w:num w:numId="653">
    <w:abstractNumId w:val="1010"/>
  </w:num>
  <w:num w:numId="654">
    <w:abstractNumId w:val="266"/>
  </w:num>
  <w:num w:numId="655">
    <w:abstractNumId w:val="934"/>
  </w:num>
  <w:num w:numId="656">
    <w:abstractNumId w:val="353"/>
  </w:num>
  <w:num w:numId="657">
    <w:abstractNumId w:val="307"/>
  </w:num>
  <w:num w:numId="658">
    <w:abstractNumId w:val="1099"/>
  </w:num>
  <w:num w:numId="659">
    <w:abstractNumId w:val="436"/>
  </w:num>
  <w:num w:numId="660">
    <w:abstractNumId w:val="785"/>
  </w:num>
  <w:num w:numId="661">
    <w:abstractNumId w:val="242"/>
  </w:num>
  <w:num w:numId="662">
    <w:abstractNumId w:val="762"/>
  </w:num>
  <w:num w:numId="663">
    <w:abstractNumId w:val="812"/>
  </w:num>
  <w:num w:numId="664">
    <w:abstractNumId w:val="69"/>
  </w:num>
  <w:num w:numId="665">
    <w:abstractNumId w:val="1116"/>
  </w:num>
  <w:num w:numId="666">
    <w:abstractNumId w:val="535"/>
  </w:num>
  <w:num w:numId="667">
    <w:abstractNumId w:val="881"/>
  </w:num>
  <w:num w:numId="668">
    <w:abstractNumId w:val="784"/>
  </w:num>
  <w:num w:numId="669">
    <w:abstractNumId w:val="515"/>
  </w:num>
  <w:num w:numId="670">
    <w:abstractNumId w:val="366"/>
  </w:num>
  <w:num w:numId="671">
    <w:abstractNumId w:val="1109"/>
  </w:num>
  <w:num w:numId="672">
    <w:abstractNumId w:val="97"/>
  </w:num>
  <w:num w:numId="673">
    <w:abstractNumId w:val="1117"/>
  </w:num>
  <w:num w:numId="674">
    <w:abstractNumId w:val="40"/>
  </w:num>
  <w:num w:numId="675">
    <w:abstractNumId w:val="349"/>
  </w:num>
  <w:num w:numId="676">
    <w:abstractNumId w:val="404"/>
  </w:num>
  <w:num w:numId="677">
    <w:abstractNumId w:val="524"/>
  </w:num>
  <w:num w:numId="678">
    <w:abstractNumId w:val="1014"/>
  </w:num>
  <w:num w:numId="679">
    <w:abstractNumId w:val="265"/>
  </w:num>
  <w:num w:numId="680">
    <w:abstractNumId w:val="834"/>
  </w:num>
  <w:num w:numId="681">
    <w:abstractNumId w:val="877"/>
  </w:num>
  <w:num w:numId="682">
    <w:abstractNumId w:val="50"/>
  </w:num>
  <w:num w:numId="683">
    <w:abstractNumId w:val="285"/>
  </w:num>
  <w:num w:numId="684">
    <w:abstractNumId w:val="599"/>
  </w:num>
  <w:num w:numId="685">
    <w:abstractNumId w:val="843"/>
  </w:num>
  <w:num w:numId="686">
    <w:abstractNumId w:val="693"/>
  </w:num>
  <w:num w:numId="687">
    <w:abstractNumId w:val="977"/>
  </w:num>
  <w:num w:numId="688">
    <w:abstractNumId w:val="610"/>
  </w:num>
  <w:num w:numId="689">
    <w:abstractNumId w:val="384"/>
  </w:num>
  <w:num w:numId="690">
    <w:abstractNumId w:val="673"/>
  </w:num>
  <w:num w:numId="691">
    <w:abstractNumId w:val="696"/>
  </w:num>
  <w:num w:numId="692">
    <w:abstractNumId w:val="228"/>
  </w:num>
  <w:num w:numId="693">
    <w:abstractNumId w:val="930"/>
  </w:num>
  <w:num w:numId="694">
    <w:abstractNumId w:val="588"/>
  </w:num>
  <w:num w:numId="695">
    <w:abstractNumId w:val="252"/>
  </w:num>
  <w:num w:numId="696">
    <w:abstractNumId w:val="270"/>
  </w:num>
  <w:num w:numId="697">
    <w:abstractNumId w:val="24"/>
  </w:num>
  <w:num w:numId="698">
    <w:abstractNumId w:val="931"/>
  </w:num>
  <w:num w:numId="699">
    <w:abstractNumId w:val="757"/>
  </w:num>
  <w:num w:numId="700">
    <w:abstractNumId w:val="870"/>
  </w:num>
  <w:num w:numId="701">
    <w:abstractNumId w:val="385"/>
  </w:num>
  <w:num w:numId="702">
    <w:abstractNumId w:val="520"/>
  </w:num>
  <w:num w:numId="703">
    <w:abstractNumId w:val="1021"/>
  </w:num>
  <w:num w:numId="704">
    <w:abstractNumId w:val="1075"/>
  </w:num>
  <w:num w:numId="705">
    <w:abstractNumId w:val="852"/>
  </w:num>
  <w:num w:numId="706">
    <w:abstractNumId w:val="51"/>
  </w:num>
  <w:num w:numId="707">
    <w:abstractNumId w:val="191"/>
  </w:num>
  <w:num w:numId="708">
    <w:abstractNumId w:val="609"/>
  </w:num>
  <w:num w:numId="709">
    <w:abstractNumId w:val="250"/>
  </w:num>
  <w:num w:numId="710">
    <w:abstractNumId w:val="39"/>
  </w:num>
  <w:num w:numId="711">
    <w:abstractNumId w:val="455"/>
  </w:num>
  <w:num w:numId="712">
    <w:abstractNumId w:val="1056"/>
  </w:num>
  <w:num w:numId="713">
    <w:abstractNumId w:val="121"/>
  </w:num>
  <w:num w:numId="714">
    <w:abstractNumId w:val="585"/>
  </w:num>
  <w:num w:numId="715">
    <w:abstractNumId w:val="328"/>
  </w:num>
  <w:num w:numId="716">
    <w:abstractNumId w:val="534"/>
  </w:num>
  <w:num w:numId="717">
    <w:abstractNumId w:val="379"/>
  </w:num>
  <w:num w:numId="718">
    <w:abstractNumId w:val="951"/>
  </w:num>
  <w:num w:numId="719">
    <w:abstractNumId w:val="497"/>
  </w:num>
  <w:num w:numId="720">
    <w:abstractNumId w:val="60"/>
  </w:num>
  <w:num w:numId="721">
    <w:abstractNumId w:val="81"/>
  </w:num>
  <w:num w:numId="722">
    <w:abstractNumId w:val="954"/>
  </w:num>
  <w:num w:numId="723">
    <w:abstractNumId w:val="642"/>
  </w:num>
  <w:num w:numId="724">
    <w:abstractNumId w:val="898"/>
  </w:num>
  <w:num w:numId="725">
    <w:abstractNumId w:val="552"/>
  </w:num>
  <w:num w:numId="726">
    <w:abstractNumId w:val="1111"/>
  </w:num>
  <w:num w:numId="727">
    <w:abstractNumId w:val="66"/>
  </w:num>
  <w:num w:numId="728">
    <w:abstractNumId w:val="1118"/>
  </w:num>
  <w:num w:numId="729">
    <w:abstractNumId w:val="718"/>
  </w:num>
  <w:num w:numId="730">
    <w:abstractNumId w:val="552"/>
    <w:lvlOverride w:ilvl="0">
      <w:startOverride w:val="1"/>
    </w:lvlOverride>
  </w:num>
  <w:num w:numId="731">
    <w:abstractNumId w:val="479"/>
  </w:num>
  <w:num w:numId="732">
    <w:abstractNumId w:val="238"/>
  </w:num>
  <w:num w:numId="733">
    <w:abstractNumId w:val="486"/>
  </w:num>
  <w:num w:numId="734">
    <w:abstractNumId w:val="668"/>
  </w:num>
  <w:num w:numId="735">
    <w:abstractNumId w:val="521"/>
  </w:num>
  <w:num w:numId="736">
    <w:abstractNumId w:val="689"/>
  </w:num>
  <w:num w:numId="737">
    <w:abstractNumId w:val="72"/>
  </w:num>
  <w:num w:numId="738">
    <w:abstractNumId w:val="1001"/>
  </w:num>
  <w:num w:numId="739">
    <w:abstractNumId w:val="558"/>
  </w:num>
  <w:num w:numId="740">
    <w:abstractNumId w:val="943"/>
  </w:num>
  <w:num w:numId="741">
    <w:abstractNumId w:val="438"/>
  </w:num>
  <w:num w:numId="742">
    <w:abstractNumId w:val="200"/>
  </w:num>
  <w:num w:numId="743">
    <w:abstractNumId w:val="591"/>
  </w:num>
  <w:num w:numId="744">
    <w:abstractNumId w:val="704"/>
  </w:num>
  <w:num w:numId="745">
    <w:abstractNumId w:val="111"/>
  </w:num>
  <w:num w:numId="746">
    <w:abstractNumId w:val="86"/>
  </w:num>
  <w:num w:numId="747">
    <w:abstractNumId w:val="93"/>
  </w:num>
  <w:num w:numId="748">
    <w:abstractNumId w:val="122"/>
  </w:num>
  <w:num w:numId="749">
    <w:abstractNumId w:val="59"/>
  </w:num>
  <w:num w:numId="750">
    <w:abstractNumId w:val="755"/>
  </w:num>
  <w:num w:numId="751">
    <w:abstractNumId w:val="622"/>
  </w:num>
  <w:num w:numId="752">
    <w:abstractNumId w:val="284"/>
  </w:num>
  <w:num w:numId="753">
    <w:abstractNumId w:val="1088"/>
  </w:num>
  <w:num w:numId="754">
    <w:abstractNumId w:val="22"/>
  </w:num>
  <w:num w:numId="755">
    <w:abstractNumId w:val="22"/>
    <w:lvlOverride w:ilvl="0">
      <w:lvl w:ilvl="0">
        <w:start w:val="2"/>
        <w:numFmt w:val="decimal"/>
        <w:lvlText w:val="%1)"/>
        <w:legacy w:legacy="1" w:legacySpace="0" w:legacyIndent="360"/>
        <w:lvlJc w:val="left"/>
        <w:pPr>
          <w:ind w:left="360" w:hanging="360"/>
        </w:pPr>
      </w:lvl>
    </w:lvlOverride>
  </w:num>
  <w:num w:numId="756">
    <w:abstractNumId w:val="10"/>
    <w:lvlOverride w:ilvl="0">
      <w:lvl w:ilvl="0">
        <w:numFmt w:val="bullet"/>
        <w:lvlText w:val="-"/>
        <w:legacy w:legacy="1" w:legacySpace="0" w:legacyIndent="360"/>
        <w:lvlJc w:val="left"/>
        <w:pPr>
          <w:ind w:left="360" w:hanging="360"/>
        </w:pPr>
      </w:lvl>
    </w:lvlOverride>
  </w:num>
  <w:num w:numId="7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938"/>
  </w:num>
  <w:num w:numId="762">
    <w:abstractNumId w:val="938"/>
    <w:lvlOverride w:ilvl="0">
      <w:lvl w:ilvl="0">
        <w:start w:val="2"/>
        <w:numFmt w:val="decimal"/>
        <w:lvlText w:val="%1)"/>
        <w:legacy w:legacy="1" w:legacySpace="0" w:legacyIndent="360"/>
        <w:lvlJc w:val="left"/>
        <w:pPr>
          <w:ind w:left="360" w:hanging="360"/>
        </w:pPr>
      </w:lvl>
    </w:lvlOverride>
  </w:num>
  <w:num w:numId="763">
    <w:abstractNumId w:val="68"/>
  </w:num>
  <w:num w:numId="764">
    <w:abstractNumId w:val="996"/>
  </w:num>
  <w:num w:numId="765">
    <w:abstractNumId w:val="849"/>
  </w:num>
  <w:num w:numId="766">
    <w:abstractNumId w:val="1047"/>
  </w:num>
  <w:num w:numId="767">
    <w:abstractNumId w:val="311"/>
  </w:num>
  <w:num w:numId="768">
    <w:abstractNumId w:val="764"/>
  </w:num>
  <w:num w:numId="769">
    <w:abstractNumId w:val="878"/>
  </w:num>
  <w:num w:numId="770">
    <w:abstractNumId w:val="796"/>
  </w:num>
  <w:num w:numId="771">
    <w:abstractNumId w:val="483"/>
  </w:num>
  <w:num w:numId="772">
    <w:abstractNumId w:val="510"/>
  </w:num>
  <w:num w:numId="773">
    <w:abstractNumId w:val="99"/>
  </w:num>
  <w:num w:numId="774">
    <w:abstractNumId w:val="1053"/>
  </w:num>
  <w:num w:numId="775">
    <w:abstractNumId w:val="909"/>
  </w:num>
  <w:num w:numId="776">
    <w:abstractNumId w:val="925"/>
  </w:num>
  <w:num w:numId="777">
    <w:abstractNumId w:val="865"/>
  </w:num>
  <w:num w:numId="778">
    <w:abstractNumId w:val="268"/>
  </w:num>
  <w:num w:numId="779">
    <w:abstractNumId w:val="461"/>
  </w:num>
  <w:num w:numId="780">
    <w:abstractNumId w:val="910"/>
  </w:num>
  <w:num w:numId="781">
    <w:abstractNumId w:val="985"/>
  </w:num>
  <w:num w:numId="782">
    <w:abstractNumId w:val="301"/>
  </w:num>
  <w:num w:numId="783">
    <w:abstractNumId w:val="283"/>
  </w:num>
  <w:num w:numId="784">
    <w:abstractNumId w:val="876"/>
  </w:num>
  <w:num w:numId="785">
    <w:abstractNumId w:val="274"/>
  </w:num>
  <w:num w:numId="786">
    <w:abstractNumId w:val="744"/>
  </w:num>
  <w:num w:numId="787">
    <w:abstractNumId w:val="276"/>
  </w:num>
  <w:num w:numId="788">
    <w:abstractNumId w:val="1070"/>
  </w:num>
  <w:num w:numId="789">
    <w:abstractNumId w:val="519"/>
  </w:num>
  <w:num w:numId="790">
    <w:abstractNumId w:val="392"/>
  </w:num>
  <w:num w:numId="791">
    <w:abstractNumId w:val="554"/>
  </w:num>
  <w:num w:numId="792">
    <w:abstractNumId w:val="551"/>
  </w:num>
  <w:num w:numId="793">
    <w:abstractNumId w:val="631"/>
  </w:num>
  <w:num w:numId="794">
    <w:abstractNumId w:val="522"/>
  </w:num>
  <w:num w:numId="795">
    <w:abstractNumId w:val="223"/>
  </w:num>
  <w:num w:numId="796">
    <w:abstractNumId w:val="572"/>
  </w:num>
  <w:num w:numId="797">
    <w:abstractNumId w:val="786"/>
  </w:num>
  <w:num w:numId="798">
    <w:abstractNumId w:val="647"/>
  </w:num>
  <w:num w:numId="799">
    <w:abstractNumId w:val="373"/>
  </w:num>
  <w:num w:numId="800">
    <w:abstractNumId w:val="715"/>
  </w:num>
  <w:num w:numId="801">
    <w:abstractNumId w:val="1026"/>
  </w:num>
  <w:num w:numId="802">
    <w:abstractNumId w:val="805"/>
  </w:num>
  <w:num w:numId="803">
    <w:abstractNumId w:val="924"/>
  </w:num>
  <w:num w:numId="804">
    <w:abstractNumId w:val="702"/>
  </w:num>
  <w:num w:numId="805">
    <w:abstractNumId w:val="298"/>
  </w:num>
  <w:num w:numId="806">
    <w:abstractNumId w:val="273"/>
  </w:num>
  <w:num w:numId="807">
    <w:abstractNumId w:val="378"/>
  </w:num>
  <w:num w:numId="808">
    <w:abstractNumId w:val="451"/>
  </w:num>
  <w:num w:numId="809">
    <w:abstractNumId w:val="132"/>
  </w:num>
  <w:num w:numId="810">
    <w:abstractNumId w:val="209"/>
  </w:num>
  <w:num w:numId="811">
    <w:abstractNumId w:val="701"/>
  </w:num>
  <w:num w:numId="812">
    <w:abstractNumId w:val="776"/>
  </w:num>
  <w:num w:numId="813">
    <w:abstractNumId w:val="494"/>
  </w:num>
  <w:num w:numId="814">
    <w:abstractNumId w:val="766"/>
  </w:num>
  <w:num w:numId="815">
    <w:abstractNumId w:val="471"/>
  </w:num>
  <w:num w:numId="816">
    <w:abstractNumId w:val="299"/>
  </w:num>
  <w:num w:numId="817">
    <w:abstractNumId w:val="387"/>
  </w:num>
  <w:num w:numId="818">
    <w:abstractNumId w:val="162"/>
  </w:num>
  <w:num w:numId="819">
    <w:abstractNumId w:val="553"/>
  </w:num>
  <w:num w:numId="820">
    <w:abstractNumId w:val="587"/>
  </w:num>
  <w:num w:numId="821">
    <w:abstractNumId w:val="840"/>
  </w:num>
  <w:num w:numId="822">
    <w:abstractNumId w:val="163"/>
  </w:num>
  <w:num w:numId="823">
    <w:abstractNumId w:val="779"/>
  </w:num>
  <w:num w:numId="824">
    <w:abstractNumId w:val="1069"/>
  </w:num>
  <w:num w:numId="825">
    <w:abstractNumId w:val="932"/>
  </w:num>
  <w:num w:numId="826">
    <w:abstractNumId w:val="838"/>
  </w:num>
  <w:num w:numId="827">
    <w:abstractNumId w:val="514"/>
  </w:num>
  <w:num w:numId="828">
    <w:abstractNumId w:val="629"/>
  </w:num>
  <w:num w:numId="829">
    <w:abstractNumId w:val="351"/>
  </w:num>
  <w:num w:numId="830">
    <w:abstractNumId w:val="592"/>
  </w:num>
  <w:num w:numId="831">
    <w:abstractNumId w:val="388"/>
  </w:num>
  <w:num w:numId="832">
    <w:abstractNumId w:val="726"/>
  </w:num>
  <w:num w:numId="833">
    <w:abstractNumId w:val="676"/>
  </w:num>
  <w:num w:numId="834">
    <w:abstractNumId w:val="475"/>
  </w:num>
  <w:num w:numId="835">
    <w:abstractNumId w:val="979"/>
  </w:num>
  <w:num w:numId="836">
    <w:abstractNumId w:val="765"/>
  </w:num>
  <w:num w:numId="837">
    <w:abstractNumId w:val="1000"/>
  </w:num>
  <w:num w:numId="838">
    <w:abstractNumId w:val="1113"/>
  </w:num>
  <w:num w:numId="839">
    <w:abstractNumId w:val="867"/>
  </w:num>
  <w:num w:numId="840">
    <w:abstractNumId w:val="293"/>
  </w:num>
  <w:num w:numId="841">
    <w:abstractNumId w:val="194"/>
  </w:num>
  <w:num w:numId="842">
    <w:abstractNumId w:val="1019"/>
  </w:num>
  <w:num w:numId="843">
    <w:abstractNumId w:val="773"/>
  </w:num>
  <w:num w:numId="844">
    <w:abstractNumId w:val="449"/>
  </w:num>
  <w:num w:numId="845">
    <w:abstractNumId w:val="935"/>
  </w:num>
  <w:num w:numId="846">
    <w:abstractNumId w:val="45"/>
  </w:num>
  <w:num w:numId="847">
    <w:abstractNumId w:val="434"/>
  </w:num>
  <w:num w:numId="848">
    <w:abstractNumId w:val="767"/>
  </w:num>
  <w:num w:numId="849">
    <w:abstractNumId w:val="677"/>
  </w:num>
  <w:num w:numId="850">
    <w:abstractNumId w:val="417"/>
  </w:num>
  <w:num w:numId="851">
    <w:abstractNumId w:val="630"/>
  </w:num>
  <w:num w:numId="852">
    <w:abstractNumId w:val="517"/>
  </w:num>
  <w:num w:numId="853">
    <w:abstractNumId w:val="178"/>
  </w:num>
  <w:num w:numId="854">
    <w:abstractNumId w:val="507"/>
  </w:num>
  <w:num w:numId="855">
    <w:abstractNumId w:val="768"/>
  </w:num>
  <w:num w:numId="856">
    <w:abstractNumId w:val="31"/>
  </w:num>
  <w:num w:numId="857">
    <w:abstractNumId w:val="354"/>
  </w:num>
  <w:num w:numId="858">
    <w:abstractNumId w:val="118"/>
  </w:num>
  <w:num w:numId="859">
    <w:abstractNumId w:val="167"/>
  </w:num>
  <w:num w:numId="860">
    <w:abstractNumId w:val="1090"/>
  </w:num>
  <w:num w:numId="861">
    <w:abstractNumId w:val="782"/>
  </w:num>
  <w:num w:numId="862">
    <w:abstractNumId w:val="315"/>
  </w:num>
  <w:num w:numId="863">
    <w:abstractNumId w:val="634"/>
  </w:num>
  <w:num w:numId="864">
    <w:abstractNumId w:val="808"/>
  </w:num>
  <w:num w:numId="865">
    <w:abstractNumId w:val="809"/>
  </w:num>
  <w:num w:numId="866">
    <w:abstractNumId w:val="892"/>
  </w:num>
  <w:num w:numId="867">
    <w:abstractNumId w:val="1039"/>
  </w:num>
  <w:num w:numId="868">
    <w:abstractNumId w:val="1077"/>
  </w:num>
  <w:num w:numId="869">
    <w:abstractNumId w:val="775"/>
  </w:num>
  <w:num w:numId="870">
    <w:abstractNumId w:val="1025"/>
  </w:num>
  <w:num w:numId="871">
    <w:abstractNumId w:val="125"/>
  </w:num>
  <w:num w:numId="872">
    <w:abstractNumId w:val="539"/>
  </w:num>
  <w:num w:numId="873">
    <w:abstractNumId w:val="327"/>
  </w:num>
  <w:num w:numId="874">
    <w:abstractNumId w:val="830"/>
  </w:num>
  <w:num w:numId="875">
    <w:abstractNumId w:val="969"/>
  </w:num>
  <w:num w:numId="876">
    <w:abstractNumId w:val="408"/>
  </w:num>
  <w:num w:numId="877">
    <w:abstractNumId w:val="958"/>
  </w:num>
  <w:num w:numId="878">
    <w:abstractNumId w:val="697"/>
  </w:num>
  <w:num w:numId="879">
    <w:abstractNumId w:val="205"/>
  </w:num>
  <w:num w:numId="880">
    <w:abstractNumId w:val="365"/>
  </w:num>
  <w:num w:numId="881">
    <w:abstractNumId w:val="802"/>
  </w:num>
  <w:num w:numId="882">
    <w:abstractNumId w:val="38"/>
  </w:num>
  <w:num w:numId="883">
    <w:abstractNumId w:val="17"/>
  </w:num>
  <w:num w:numId="884">
    <w:abstractNumId w:val="491"/>
  </w:num>
  <w:num w:numId="885">
    <w:abstractNumId w:val="640"/>
  </w:num>
  <w:num w:numId="886">
    <w:abstractNumId w:val="19"/>
  </w:num>
  <w:num w:numId="887">
    <w:abstractNumId w:val="964"/>
  </w:num>
  <w:num w:numId="888">
    <w:abstractNumId w:val="927"/>
  </w:num>
  <w:num w:numId="889">
    <w:abstractNumId w:val="721"/>
  </w:num>
  <w:num w:numId="890">
    <w:abstractNumId w:val="357"/>
  </w:num>
  <w:num w:numId="891">
    <w:abstractNumId w:val="92"/>
  </w:num>
  <w:num w:numId="892">
    <w:abstractNumId w:val="831"/>
  </w:num>
  <w:num w:numId="893">
    <w:abstractNumId w:val="653"/>
  </w:num>
  <w:num w:numId="894">
    <w:abstractNumId w:val="649"/>
  </w:num>
  <w:num w:numId="895">
    <w:abstractNumId w:val="290"/>
  </w:num>
  <w:num w:numId="896">
    <w:abstractNumId w:val="778"/>
  </w:num>
  <w:num w:numId="897">
    <w:abstractNumId w:val="27"/>
  </w:num>
  <w:num w:numId="898">
    <w:abstractNumId w:val="684"/>
  </w:num>
  <w:num w:numId="899">
    <w:abstractNumId w:val="370"/>
  </w:num>
  <w:num w:numId="900">
    <w:abstractNumId w:val="914"/>
  </w:num>
  <w:num w:numId="901">
    <w:abstractNumId w:val="738"/>
  </w:num>
  <w:num w:numId="902">
    <w:abstractNumId w:val="150"/>
  </w:num>
  <w:num w:numId="903">
    <w:abstractNumId w:val="476"/>
  </w:num>
  <w:num w:numId="904">
    <w:abstractNumId w:val="1066"/>
  </w:num>
  <w:num w:numId="905">
    <w:abstractNumId w:val="562"/>
  </w:num>
  <w:num w:numId="906">
    <w:abstractNumId w:val="672"/>
  </w:num>
  <w:num w:numId="907">
    <w:abstractNumId w:val="135"/>
  </w:num>
  <w:num w:numId="908">
    <w:abstractNumId w:val="342"/>
  </w:num>
  <w:num w:numId="909">
    <w:abstractNumId w:val="756"/>
  </w:num>
  <w:num w:numId="910">
    <w:abstractNumId w:val="1087"/>
  </w:num>
  <w:num w:numId="911">
    <w:abstractNumId w:val="32"/>
  </w:num>
  <w:num w:numId="912">
    <w:abstractNumId w:val="793"/>
  </w:num>
  <w:num w:numId="913">
    <w:abstractNumId w:val="817"/>
  </w:num>
  <w:num w:numId="914">
    <w:abstractNumId w:val="536"/>
  </w:num>
  <w:num w:numId="915">
    <w:abstractNumId w:val="412"/>
  </w:num>
  <w:num w:numId="916">
    <w:abstractNumId w:val="566"/>
  </w:num>
  <w:num w:numId="917">
    <w:abstractNumId w:val="210"/>
  </w:num>
  <w:num w:numId="918">
    <w:abstractNumId w:val="993"/>
  </w:num>
  <w:num w:numId="919">
    <w:abstractNumId w:val="686"/>
  </w:num>
  <w:num w:numId="920">
    <w:abstractNumId w:val="141"/>
  </w:num>
  <w:num w:numId="921">
    <w:abstractNumId w:val="11"/>
  </w:num>
  <w:num w:numId="922">
    <w:abstractNumId w:val="271"/>
  </w:num>
  <w:num w:numId="923">
    <w:abstractNumId w:val="752"/>
  </w:num>
  <w:num w:numId="924">
    <w:abstractNumId w:val="1011"/>
  </w:num>
  <w:num w:numId="925">
    <w:abstractNumId w:val="1115"/>
  </w:num>
  <w:num w:numId="926">
    <w:abstractNumId w:val="422"/>
  </w:num>
  <w:num w:numId="927">
    <w:abstractNumId w:val="598"/>
  </w:num>
  <w:num w:numId="928">
    <w:abstractNumId w:val="541"/>
  </w:num>
  <w:num w:numId="929">
    <w:abstractNumId w:val="545"/>
  </w:num>
  <w:num w:numId="930">
    <w:abstractNumId w:val="516"/>
  </w:num>
  <w:num w:numId="931">
    <w:abstractNumId w:val="660"/>
  </w:num>
  <w:num w:numId="932">
    <w:abstractNumId w:val="441"/>
  </w:num>
  <w:num w:numId="933">
    <w:abstractNumId w:val="425"/>
  </w:num>
  <w:num w:numId="934">
    <w:abstractNumId w:val="847"/>
  </w:num>
  <w:num w:numId="935">
    <w:abstractNumId w:val="801"/>
  </w:num>
  <w:num w:numId="936">
    <w:abstractNumId w:val="134"/>
  </w:num>
  <w:num w:numId="937">
    <w:abstractNumId w:val="869"/>
  </w:num>
  <w:num w:numId="938">
    <w:abstractNumId w:val="128"/>
  </w:num>
  <w:num w:numId="939">
    <w:abstractNumId w:val="10"/>
    <w:lvlOverride w:ilvl="0">
      <w:lvl w:ilvl="0">
        <w:numFmt w:val="bullet"/>
        <w:lvlText w:val=""/>
        <w:legacy w:legacy="1" w:legacySpace="0" w:legacyIndent="360"/>
        <w:lvlJc w:val="left"/>
        <w:rPr>
          <w:rFonts w:ascii="Symbol" w:hAnsi="Symbol" w:cs="Symbol" w:hint="default"/>
        </w:rPr>
      </w:lvl>
    </w:lvlOverride>
  </w:num>
  <w:num w:numId="940">
    <w:abstractNumId w:val="1084"/>
  </w:num>
  <w:num w:numId="941">
    <w:abstractNumId w:val="221"/>
  </w:num>
  <w:num w:numId="942">
    <w:abstractNumId w:val="146"/>
  </w:num>
  <w:num w:numId="943">
    <w:abstractNumId w:val="899"/>
  </w:num>
  <w:num w:numId="944">
    <w:abstractNumId w:val="297"/>
  </w:num>
  <w:num w:numId="945">
    <w:abstractNumId w:val="749"/>
  </w:num>
  <w:num w:numId="946">
    <w:abstractNumId w:val="90"/>
  </w:num>
  <w:num w:numId="947">
    <w:abstractNumId w:val="56"/>
  </w:num>
  <w:num w:numId="948">
    <w:abstractNumId w:val="493"/>
  </w:num>
  <w:num w:numId="949">
    <w:abstractNumId w:val="1107"/>
  </w:num>
  <w:num w:numId="950">
    <w:abstractNumId w:val="70"/>
  </w:num>
  <w:num w:numId="951">
    <w:abstractNumId w:val="109"/>
    <w:lvlOverride w:ilvl="0">
      <w:startOverride w:val="1"/>
    </w:lvlOverride>
  </w:num>
  <w:num w:numId="952">
    <w:abstractNumId w:val="1074"/>
  </w:num>
  <w:num w:numId="953">
    <w:abstractNumId w:val="706"/>
  </w:num>
  <w:num w:numId="954">
    <w:abstractNumId w:val="189"/>
  </w:num>
  <w:num w:numId="955">
    <w:abstractNumId w:val="10"/>
    <w:lvlOverride w:ilvl="0">
      <w:lvl w:ilvl="0">
        <w:numFmt w:val="bullet"/>
        <w:lvlText w:val=""/>
        <w:legacy w:legacy="1" w:legacySpace="0" w:legacyIndent="360"/>
        <w:lvlJc w:val="left"/>
        <w:rPr>
          <w:rFonts w:ascii="Symbol" w:hAnsi="Symbol" w:hint="default"/>
        </w:rPr>
      </w:lvl>
    </w:lvlOverride>
  </w:num>
  <w:num w:numId="956">
    <w:abstractNumId w:val="769"/>
  </w:num>
  <w:num w:numId="957">
    <w:abstractNumId w:val="414"/>
  </w:num>
  <w:num w:numId="958">
    <w:abstractNumId w:val="799"/>
  </w:num>
  <w:num w:numId="959">
    <w:abstractNumId w:val="46"/>
  </w:num>
  <w:num w:numId="960">
    <w:abstractNumId w:val="602"/>
  </w:num>
  <w:num w:numId="961">
    <w:abstractNumId w:val="48"/>
  </w:num>
  <w:num w:numId="962">
    <w:abstractNumId w:val="559"/>
  </w:num>
  <w:num w:numId="963">
    <w:abstractNumId w:val="917"/>
  </w:num>
  <w:num w:numId="964">
    <w:abstractNumId w:val="568"/>
  </w:num>
  <w:num w:numId="965">
    <w:abstractNumId w:val="561"/>
  </w:num>
  <w:num w:numId="966">
    <w:abstractNumId w:val="182"/>
  </w:num>
  <w:num w:numId="967">
    <w:abstractNumId w:val="873"/>
  </w:num>
  <w:num w:numId="968">
    <w:abstractNumId w:val="859"/>
  </w:num>
  <w:num w:numId="969">
    <w:abstractNumId w:val="573"/>
  </w:num>
  <w:num w:numId="970">
    <w:abstractNumId w:val="20"/>
  </w:num>
  <w:num w:numId="971">
    <w:abstractNumId w:val="648"/>
  </w:num>
  <w:num w:numId="972">
    <w:abstractNumId w:val="593"/>
  </w:num>
  <w:num w:numId="973">
    <w:abstractNumId w:val="583"/>
  </w:num>
  <w:num w:numId="974">
    <w:abstractNumId w:val="249"/>
  </w:num>
  <w:num w:numId="975">
    <w:abstractNumId w:val="207"/>
  </w:num>
  <w:num w:numId="976">
    <w:abstractNumId w:val="750"/>
  </w:num>
  <w:num w:numId="977">
    <w:abstractNumId w:val="214"/>
  </w:num>
  <w:num w:numId="978">
    <w:abstractNumId w:val="402"/>
  </w:num>
  <w:num w:numId="979">
    <w:abstractNumId w:val="116"/>
  </w:num>
  <w:num w:numId="980">
    <w:abstractNumId w:val="383"/>
  </w:num>
  <w:num w:numId="981">
    <w:abstractNumId w:val="725"/>
  </w:num>
  <w:num w:numId="982">
    <w:abstractNumId w:val="994"/>
  </w:num>
  <w:num w:numId="983">
    <w:abstractNumId w:val="835"/>
  </w:num>
  <w:num w:numId="984">
    <w:abstractNumId w:val="893"/>
  </w:num>
  <w:num w:numId="985">
    <w:abstractNumId w:val="71"/>
  </w:num>
  <w:num w:numId="986">
    <w:abstractNumId w:val="220"/>
  </w:num>
  <w:num w:numId="987">
    <w:abstractNumId w:val="1064"/>
  </w:num>
  <w:num w:numId="988">
    <w:abstractNumId w:val="730"/>
  </w:num>
  <w:num w:numId="989">
    <w:abstractNumId w:val="771"/>
  </w:num>
  <w:num w:numId="990">
    <w:abstractNumId w:val="922"/>
  </w:num>
  <w:num w:numId="991">
    <w:abstractNumId w:val="411"/>
  </w:num>
  <w:num w:numId="992">
    <w:abstractNumId w:val="318"/>
  </w:num>
  <w:num w:numId="993">
    <w:abstractNumId w:val="406"/>
  </w:num>
  <w:num w:numId="994">
    <w:abstractNumId w:val="341"/>
  </w:num>
  <w:num w:numId="995">
    <w:abstractNumId w:val="260"/>
  </w:num>
  <w:num w:numId="996">
    <w:abstractNumId w:val="971"/>
  </w:num>
  <w:num w:numId="997">
    <w:abstractNumId w:val="30"/>
  </w:num>
  <w:num w:numId="998">
    <w:abstractNumId w:val="506"/>
  </w:num>
  <w:num w:numId="999">
    <w:abstractNumId w:val="89"/>
  </w:num>
  <w:num w:numId="1000">
    <w:abstractNumId w:val="82"/>
  </w:num>
  <w:num w:numId="1001">
    <w:abstractNumId w:val="429"/>
  </w:num>
  <w:num w:numId="1002">
    <w:abstractNumId w:val="1091"/>
  </w:num>
  <w:num w:numId="1003">
    <w:abstractNumId w:val="485"/>
  </w:num>
  <w:num w:numId="1004">
    <w:abstractNumId w:val="912"/>
  </w:num>
  <w:num w:numId="1005">
    <w:abstractNumId w:val="987"/>
  </w:num>
  <w:num w:numId="1006">
    <w:abstractNumId w:val="216"/>
  </w:num>
  <w:num w:numId="1007">
    <w:abstractNumId w:val="745"/>
  </w:num>
  <w:num w:numId="1008">
    <w:abstractNumId w:val="456"/>
  </w:num>
  <w:num w:numId="1009">
    <w:abstractNumId w:val="980"/>
  </w:num>
  <w:num w:numId="1010">
    <w:abstractNumId w:val="409"/>
  </w:num>
  <w:num w:numId="1011">
    <w:abstractNumId w:val="936"/>
  </w:num>
  <w:num w:numId="1012">
    <w:abstractNumId w:val="923"/>
  </w:num>
  <w:num w:numId="1013">
    <w:abstractNumId w:val="1027"/>
  </w:num>
  <w:num w:numId="1014">
    <w:abstractNumId w:val="465"/>
  </w:num>
  <w:num w:numId="1015">
    <w:abstractNumId w:val="33"/>
  </w:num>
  <w:num w:numId="1016">
    <w:abstractNumId w:val="685"/>
  </w:num>
  <w:num w:numId="1017">
    <w:abstractNumId w:val="382"/>
  </w:num>
  <w:num w:numId="1018">
    <w:abstractNumId w:val="728"/>
  </w:num>
  <w:num w:numId="1019">
    <w:abstractNumId w:val="1048"/>
  </w:num>
  <w:num w:numId="1020">
    <w:abstractNumId w:val="324"/>
  </w:num>
  <w:num w:numId="1021">
    <w:abstractNumId w:val="800"/>
  </w:num>
  <w:num w:numId="1022">
    <w:abstractNumId w:val="864"/>
  </w:num>
  <w:num w:numId="1023">
    <w:abstractNumId w:val="760"/>
  </w:num>
  <w:num w:numId="1024">
    <w:abstractNumId w:val="206"/>
  </w:num>
  <w:num w:numId="1025">
    <w:abstractNumId w:val="606"/>
  </w:num>
  <w:num w:numId="1026">
    <w:abstractNumId w:val="1086"/>
  </w:num>
  <w:num w:numId="1027">
    <w:abstractNumId w:val="952"/>
  </w:num>
  <w:num w:numId="1028">
    <w:abstractNumId w:val="272"/>
  </w:num>
  <w:num w:numId="1029">
    <w:abstractNumId w:val="695"/>
  </w:num>
  <w:num w:numId="1030">
    <w:abstractNumId w:val="822"/>
  </w:num>
  <w:num w:numId="1031">
    <w:abstractNumId w:val="709"/>
  </w:num>
  <w:num w:numId="1032">
    <w:abstractNumId w:val="160"/>
  </w:num>
  <w:num w:numId="1033">
    <w:abstractNumId w:val="605"/>
  </w:num>
  <w:num w:numId="1034">
    <w:abstractNumId w:val="130"/>
  </w:num>
  <w:num w:numId="1035">
    <w:abstractNumId w:val="842"/>
  </w:num>
  <w:num w:numId="1036">
    <w:abstractNumId w:val="281"/>
  </w:num>
  <w:num w:numId="1037">
    <w:abstractNumId w:val="961"/>
  </w:num>
  <w:num w:numId="1038">
    <w:abstractNumId w:val="674"/>
  </w:num>
  <w:num w:numId="1039">
    <w:abstractNumId w:val="1102"/>
  </w:num>
  <w:num w:numId="1040">
    <w:abstractNumId w:val="405"/>
  </w:num>
  <w:num w:numId="1041">
    <w:abstractNumId w:val="945"/>
  </w:num>
  <w:num w:numId="1042">
    <w:abstractNumId w:val="1005"/>
  </w:num>
  <w:num w:numId="1043">
    <w:abstractNumId w:val="445"/>
  </w:num>
  <w:num w:numId="1044">
    <w:abstractNumId w:val="841"/>
  </w:num>
  <w:num w:numId="1045">
    <w:abstractNumId w:val="149"/>
  </w:num>
  <w:num w:numId="1046">
    <w:abstractNumId w:val="1081"/>
  </w:num>
  <w:num w:numId="1047">
    <w:abstractNumId w:val="190"/>
  </w:num>
  <w:num w:numId="1048">
    <w:abstractNumId w:val="317"/>
  </w:num>
  <w:num w:numId="1049">
    <w:abstractNumId w:val="848"/>
  </w:num>
  <w:num w:numId="1050">
    <w:abstractNumId w:val="75"/>
  </w:num>
  <w:num w:numId="1051">
    <w:abstractNumId w:val="538"/>
  </w:num>
  <w:num w:numId="1052">
    <w:abstractNumId w:val="884"/>
  </w:num>
  <w:num w:numId="1053">
    <w:abstractNumId w:val="343"/>
  </w:num>
  <w:num w:numId="1054">
    <w:abstractNumId w:val="1006"/>
  </w:num>
  <w:num w:numId="1055">
    <w:abstractNumId w:val="708"/>
  </w:num>
  <w:num w:numId="1056">
    <w:abstractNumId w:val="628"/>
  </w:num>
  <w:num w:numId="1057">
    <w:abstractNumId w:val="806"/>
  </w:num>
  <w:num w:numId="1058">
    <w:abstractNumId w:val="464"/>
  </w:num>
  <w:num w:numId="1059">
    <w:abstractNumId w:val="1009"/>
  </w:num>
  <w:num w:numId="1060">
    <w:abstractNumId w:val="241"/>
  </w:num>
  <w:num w:numId="1061">
    <w:abstractNumId w:val="282"/>
  </w:num>
  <w:num w:numId="1062">
    <w:abstractNumId w:val="819"/>
  </w:num>
  <w:num w:numId="1063">
    <w:abstractNumId w:val="570"/>
  </w:num>
  <w:num w:numId="1064">
    <w:abstractNumId w:val="995"/>
  </w:num>
  <w:num w:numId="1065">
    <w:abstractNumId w:val="781"/>
  </w:num>
  <w:num w:numId="1066">
    <w:abstractNumId w:val="741"/>
  </w:num>
  <w:num w:numId="1067">
    <w:abstractNumId w:val="183"/>
  </w:num>
  <w:num w:numId="1068">
    <w:abstractNumId w:val="621"/>
  </w:num>
  <w:num w:numId="1069">
    <w:abstractNumId w:val="911"/>
  </w:num>
  <w:num w:numId="1070">
    <w:abstractNumId w:val="397"/>
  </w:num>
  <w:num w:numId="1071">
    <w:abstractNumId w:val="926"/>
  </w:num>
  <w:num w:numId="1072">
    <w:abstractNumId w:val="679"/>
  </w:num>
  <w:num w:numId="1073">
    <w:abstractNumId w:val="369"/>
  </w:num>
  <w:num w:numId="1074">
    <w:abstractNumId w:val="953"/>
  </w:num>
  <w:num w:numId="1075">
    <w:abstractNumId w:val="810"/>
  </w:num>
  <w:num w:numId="1076">
    <w:abstractNumId w:val="976"/>
  </w:num>
  <w:num w:numId="1077">
    <w:abstractNumId w:val="1095"/>
  </w:num>
  <w:num w:numId="1078">
    <w:abstractNumId w:val="124"/>
  </w:num>
  <w:num w:numId="1079">
    <w:abstractNumId w:val="1040"/>
  </w:num>
  <w:num w:numId="1080">
    <w:abstractNumId w:val="67"/>
  </w:num>
  <w:num w:numId="1081">
    <w:abstractNumId w:val="164"/>
  </w:num>
  <w:num w:numId="1082">
    <w:abstractNumId w:val="1007"/>
  </w:num>
  <w:num w:numId="1083">
    <w:abstractNumId w:val="645"/>
  </w:num>
  <w:num w:numId="1084">
    <w:abstractNumId w:val="399"/>
  </w:num>
  <w:num w:numId="1085">
    <w:abstractNumId w:val="824"/>
  </w:num>
  <w:num w:numId="1086">
    <w:abstractNumId w:val="173"/>
  </w:num>
  <w:num w:numId="1087">
    <w:abstractNumId w:val="312"/>
  </w:num>
  <w:num w:numId="1088">
    <w:abstractNumId w:val="1022"/>
  </w:num>
  <w:num w:numId="1089">
    <w:abstractNumId w:val="439"/>
  </w:num>
  <w:num w:numId="1090">
    <w:abstractNumId w:val="350"/>
  </w:num>
  <w:num w:numId="1091">
    <w:abstractNumId w:val="546"/>
  </w:num>
  <w:num w:numId="1092">
    <w:abstractNumId w:val="62"/>
  </w:num>
  <w:num w:numId="1093">
    <w:abstractNumId w:val="1020"/>
  </w:num>
  <w:num w:numId="1094">
    <w:abstractNumId w:val="712"/>
  </w:num>
  <w:num w:numId="1095">
    <w:abstractNumId w:val="123"/>
  </w:num>
  <w:num w:numId="1096">
    <w:abstractNumId w:val="469"/>
  </w:num>
  <w:num w:numId="1097">
    <w:abstractNumId w:val="316"/>
  </w:num>
  <w:num w:numId="1098">
    <w:abstractNumId w:val="557"/>
  </w:num>
  <w:num w:numId="1099">
    <w:abstractNumId w:val="325"/>
  </w:num>
  <w:num w:numId="1100">
    <w:abstractNumId w:val="743"/>
  </w:num>
  <w:num w:numId="1101">
    <w:abstractNumId w:val="334"/>
  </w:num>
  <w:num w:numId="1102">
    <w:abstractNumId w:val="997"/>
  </w:num>
  <w:num w:numId="1103">
    <w:abstractNumId w:val="460"/>
  </w:num>
  <w:num w:numId="1104">
    <w:abstractNumId w:val="326"/>
  </w:num>
  <w:num w:numId="1105">
    <w:abstractNumId w:val="788"/>
  </w:num>
  <w:num w:numId="1106">
    <w:abstractNumId w:val="1057"/>
  </w:num>
  <w:num w:numId="1107">
    <w:abstractNumId w:val="450"/>
  </w:num>
  <w:num w:numId="1108">
    <w:abstractNumId w:val="87"/>
  </w:num>
  <w:num w:numId="1109">
    <w:abstractNumId w:val="235"/>
  </w:num>
  <w:num w:numId="1110">
    <w:abstractNumId w:val="490"/>
  </w:num>
  <w:num w:numId="1111">
    <w:abstractNumId w:val="737"/>
  </w:num>
  <w:num w:numId="1112">
    <w:abstractNumId w:val="729"/>
  </w:num>
  <w:num w:numId="1113">
    <w:abstractNumId w:val="391"/>
  </w:num>
  <w:num w:numId="1114">
    <w:abstractNumId w:val="614"/>
  </w:num>
  <w:num w:numId="1115">
    <w:abstractNumId w:val="526"/>
  </w:num>
  <w:num w:numId="1116">
    <w:abstractNumId w:val="632"/>
  </w:num>
  <w:num w:numId="1117">
    <w:abstractNumId w:val="732"/>
  </w:num>
  <w:num w:numId="1118">
    <w:abstractNumId w:val="863"/>
  </w:num>
  <w:num w:numId="1119">
    <w:abstractNumId w:val="217"/>
  </w:num>
  <w:num w:numId="1120">
    <w:abstractNumId w:val="437"/>
  </w:num>
  <w:num w:numId="1121">
    <w:abstractNumId w:val="502"/>
  </w:num>
  <w:num w:numId="1122">
    <w:abstractNumId w:val="288"/>
  </w:num>
  <w:num w:numId="1123">
    <w:abstractNumId w:val="264"/>
  </w:num>
  <w:num w:numId="1124">
    <w:abstractNumId w:val="473"/>
  </w:num>
  <w:num w:numId="1125">
    <w:abstractNumId w:val="472"/>
  </w:num>
  <w:num w:numId="1126">
    <w:abstractNumId w:val="230"/>
  </w:num>
  <w:num w:numId="1127">
    <w:abstractNumId w:val="344"/>
  </w:num>
  <w:num w:numId="1128">
    <w:abstractNumId w:val="902"/>
  </w:num>
  <w:num w:numId="1129">
    <w:abstractNumId w:val="607"/>
  </w:num>
  <w:num w:numId="1130">
    <w:abstractNumId w:val="513"/>
  </w:num>
  <w:num w:numId="1131">
    <w:abstractNumId w:val="798"/>
  </w:num>
  <w:num w:numId="1132">
    <w:abstractNumId w:val="844"/>
  </w:num>
  <w:num w:numId="1133">
    <w:abstractNumId w:val="231"/>
  </w:num>
  <w:num w:numId="1134">
    <w:abstractNumId w:val="1119"/>
  </w:num>
  <w:num w:numId="1135">
    <w:abstractNumId w:val="1097"/>
  </w:num>
  <w:num w:numId="1136">
    <w:abstractNumId w:val="655"/>
  </w:num>
  <w:num w:numId="1137">
    <w:abstractNumId w:val="229"/>
  </w:num>
  <w:num w:numId="1138">
    <w:abstractNumId w:val="777"/>
  </w:num>
  <w:num w:numId="1139">
    <w:abstractNumId w:val="616"/>
  </w:num>
  <w:num w:numId="1140">
    <w:abstractNumId w:val="962"/>
  </w:num>
  <w:num w:numId="1141">
    <w:abstractNumId w:val="962"/>
  </w:num>
  <w:num w:numId="1142">
    <w:abstractNumId w:val="962"/>
  </w:num>
  <w:num w:numId="1143">
    <w:abstractNumId w:val="962"/>
  </w:num>
  <w:num w:numId="1144">
    <w:abstractNumId w:val="962"/>
  </w:num>
  <w:num w:numId="1145">
    <w:abstractNumId w:val="962"/>
  </w:num>
  <w:num w:numId="1146">
    <w:abstractNumId w:val="962"/>
  </w:num>
  <w:num w:numId="1147">
    <w:abstractNumId w:val="962"/>
  </w:num>
  <w:num w:numId="1148">
    <w:abstractNumId w:val="962"/>
  </w:num>
  <w:num w:numId="1149">
    <w:abstractNumId w:val="962"/>
  </w:num>
  <w:num w:numId="1150">
    <w:abstractNumId w:val="9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3709"/>
    <w:rsid w:val="00B83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aliases w:val="带编号的标题1"/>
    <w:basedOn w:val="Normal"/>
    <w:next w:val="Normal"/>
    <w:qFormat/>
    <w:pPr>
      <w:keepNext/>
      <w:numPr>
        <w:numId w:val="33"/>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styleId="Subtitle">
    <w:name w:val="Subtitle"/>
    <w:basedOn w:val="Normal"/>
    <w:qFormat/>
    <w:pPr>
      <w:widowControl/>
      <w:pBdr>
        <w:bottom w:val="thinThickSmallGap" w:sz="24" w:space="1" w:color="auto"/>
      </w:pBdr>
      <w:adjustRightInd/>
      <w:spacing w:before="120" w:after="60" w:line="240" w:lineRule="auto"/>
      <w:jc w:val="left"/>
      <w:textAlignment w:val="auto"/>
      <w:outlineLvl w:val="1"/>
    </w:pPr>
    <w:rPr>
      <w:rFonts w:ascii="Arial" w:hAnsi="Arial"/>
      <w:b/>
      <w:smallCaps/>
      <w:sz w:val="48"/>
      <w:lang w:eastAsia="en-US"/>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rFonts w:ascii="SimSun" w:hAnsi="SimSu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un02075-1.dot</Template>
  <TotalTime>4</TotalTime>
  <Pages>58</Pages>
  <Words>9928</Words>
  <Characters>56595</Characters>
  <Application>Microsoft Office Word</Application>
  <DocSecurity>4</DocSecurity>
  <Lines>471</Lines>
  <Paragraphs>113</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69502</CharactersWithSpaces>
  <SharedDoc>false</SharedDoc>
  <HLinks>
    <vt:vector size="12" baseType="variant">
      <vt:variant>
        <vt:i4>8257630</vt:i4>
      </vt:variant>
      <vt:variant>
        <vt:i4>137576</vt:i4>
      </vt:variant>
      <vt:variant>
        <vt:i4>1025</vt:i4>
      </vt:variant>
      <vt:variant>
        <vt:i4>1</vt:i4>
      </vt:variant>
      <vt:variant>
        <vt:lpwstr>_unlogo</vt:lpwstr>
      </vt:variant>
      <vt:variant>
        <vt:lpwstr/>
      </vt:variant>
      <vt:variant>
        <vt:i4>262151</vt:i4>
      </vt:variant>
      <vt:variant>
        <vt:i4>138288</vt:i4>
      </vt:variant>
      <vt:variant>
        <vt:i4>1026</vt:i4>
      </vt:variant>
      <vt:variant>
        <vt:i4>1</vt:i4>
      </vt:variant>
      <vt:variant>
        <vt:lpwstr>CEDAW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Xinlu.Wu</cp:lastModifiedBy>
  <cp:revision>7</cp:revision>
  <cp:lastPrinted>2004-11-01T09:34:00Z</cp:lastPrinted>
  <dcterms:created xsi:type="dcterms:W3CDTF">2004-11-01T09:34:00Z</dcterms:created>
  <dcterms:modified xsi:type="dcterms:W3CDTF">2004-11-01T10:16:00Z</dcterms:modified>
</cp:coreProperties>
</file>