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F386230" w14:textId="77777777" w:rsidTr="008D2AAD">
        <w:trPr>
          <w:trHeight w:hRule="exact" w:val="851"/>
        </w:trPr>
        <w:tc>
          <w:tcPr>
            <w:tcW w:w="142" w:type="dxa"/>
            <w:tcBorders>
              <w:bottom w:val="single" w:sz="4" w:space="0" w:color="auto"/>
            </w:tcBorders>
          </w:tcPr>
          <w:p w14:paraId="556A0BF1" w14:textId="77777777" w:rsidR="002D5AAC" w:rsidRDefault="002D5AAC" w:rsidP="00ED462E">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6058F736" w14:textId="77777777" w:rsidR="002D5AAC" w:rsidRPr="00BD33EE" w:rsidRDefault="00DF71B9" w:rsidP="008D2AAD">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5010CA94" w14:textId="51F44383" w:rsidR="002D5AAC" w:rsidRDefault="00ED462E" w:rsidP="00ED462E">
            <w:pPr>
              <w:jc w:val="right"/>
            </w:pPr>
            <w:r w:rsidRPr="00ED462E">
              <w:rPr>
                <w:sz w:val="40"/>
              </w:rPr>
              <w:t>CERD</w:t>
            </w:r>
            <w:r>
              <w:t>/C/505</w:t>
            </w:r>
          </w:p>
        </w:tc>
      </w:tr>
      <w:tr w:rsidR="002D5AAC" w14:paraId="588C99B6" w14:textId="77777777" w:rsidTr="008D2AAD">
        <w:trPr>
          <w:trHeight w:hRule="exact" w:val="2835"/>
        </w:trPr>
        <w:tc>
          <w:tcPr>
            <w:tcW w:w="1280" w:type="dxa"/>
            <w:gridSpan w:val="2"/>
            <w:tcBorders>
              <w:top w:val="single" w:sz="4" w:space="0" w:color="auto"/>
              <w:bottom w:val="single" w:sz="12" w:space="0" w:color="auto"/>
            </w:tcBorders>
          </w:tcPr>
          <w:p w14:paraId="211B9DC9" w14:textId="77777777" w:rsidR="002D5AAC" w:rsidRDefault="002E5067" w:rsidP="008D2AAD">
            <w:pPr>
              <w:spacing w:before="120"/>
              <w:jc w:val="center"/>
            </w:pPr>
            <w:r>
              <w:rPr>
                <w:noProof/>
                <w:lang w:val="fr-CH" w:eastAsia="fr-CH"/>
              </w:rPr>
              <w:drawing>
                <wp:inline distT="0" distB="0" distL="0" distR="0" wp14:anchorId="66A3F917" wp14:editId="3B97CCB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B80F366" w14:textId="77777777" w:rsidR="002D5AAC" w:rsidRPr="00033EE1" w:rsidRDefault="002B74B1" w:rsidP="008D2AAD">
            <w:pPr>
              <w:spacing w:before="120" w:line="360" w:lineRule="exact"/>
              <w:rPr>
                <w:b/>
                <w:sz w:val="34"/>
                <w:szCs w:val="34"/>
              </w:rPr>
            </w:pPr>
            <w:r w:rsidRPr="007511D7">
              <w:rPr>
                <w:b/>
                <w:spacing w:val="-4"/>
                <w:sz w:val="34"/>
                <w:szCs w:val="40"/>
              </w:rPr>
              <w:t>Международная конвенция</w:t>
            </w:r>
            <w:r w:rsidRPr="007511D7">
              <w:rPr>
                <w:b/>
                <w:spacing w:val="-4"/>
                <w:sz w:val="34"/>
                <w:szCs w:val="40"/>
              </w:rPr>
              <w:br/>
              <w:t>о ликвидации всех форм</w:t>
            </w:r>
            <w:r w:rsidRPr="007511D7">
              <w:rPr>
                <w:b/>
                <w:spacing w:val="-4"/>
                <w:sz w:val="34"/>
                <w:szCs w:val="40"/>
              </w:rPr>
              <w:br/>
              <w:t>расовой дискриминации</w:t>
            </w:r>
          </w:p>
        </w:tc>
        <w:tc>
          <w:tcPr>
            <w:tcW w:w="2819" w:type="dxa"/>
            <w:tcBorders>
              <w:top w:val="single" w:sz="4" w:space="0" w:color="auto"/>
              <w:bottom w:val="single" w:sz="12" w:space="0" w:color="auto"/>
            </w:tcBorders>
          </w:tcPr>
          <w:p w14:paraId="7408FC86" w14:textId="77777777" w:rsidR="002D5AAC" w:rsidRDefault="00ED462E" w:rsidP="008D2AAD">
            <w:pPr>
              <w:spacing w:before="240"/>
            </w:pPr>
            <w:r>
              <w:t>Distr.: General</w:t>
            </w:r>
          </w:p>
          <w:p w14:paraId="36D20049" w14:textId="77777777" w:rsidR="00ED462E" w:rsidRDefault="00ED462E" w:rsidP="00ED462E">
            <w:pPr>
              <w:spacing w:line="240" w:lineRule="exact"/>
            </w:pPr>
            <w:r>
              <w:t>2 June 2022</w:t>
            </w:r>
          </w:p>
          <w:p w14:paraId="6FC8BF40" w14:textId="77777777" w:rsidR="00ED462E" w:rsidRDefault="00ED462E" w:rsidP="00ED462E">
            <w:pPr>
              <w:spacing w:line="240" w:lineRule="exact"/>
            </w:pPr>
            <w:r>
              <w:t>Russian</w:t>
            </w:r>
          </w:p>
          <w:p w14:paraId="5D065F8D" w14:textId="465E3179" w:rsidR="00ED462E" w:rsidRPr="007C46C9" w:rsidRDefault="00ED462E" w:rsidP="00ED462E">
            <w:pPr>
              <w:spacing w:line="240" w:lineRule="exact"/>
            </w:pPr>
            <w:r>
              <w:t>Original: English</w:t>
            </w:r>
          </w:p>
        </w:tc>
      </w:tr>
    </w:tbl>
    <w:p w14:paraId="458E2D20" w14:textId="77777777" w:rsidR="00ED462E" w:rsidRPr="004D5DE3" w:rsidRDefault="00ED462E" w:rsidP="00ED462E">
      <w:pPr>
        <w:spacing w:before="120"/>
        <w:rPr>
          <w:b/>
          <w:sz w:val="24"/>
          <w:szCs w:val="24"/>
        </w:rPr>
      </w:pPr>
      <w:r w:rsidRPr="004D5DE3">
        <w:rPr>
          <w:b/>
          <w:bCs/>
          <w:sz w:val="24"/>
          <w:szCs w:val="24"/>
        </w:rPr>
        <w:t>Комитет по ликвидации расовой дискриминации</w:t>
      </w:r>
    </w:p>
    <w:p w14:paraId="7A660820" w14:textId="029AA88B" w:rsidR="00ED462E" w:rsidRPr="006B6006" w:rsidRDefault="00ED462E" w:rsidP="00ED462E">
      <w:pPr>
        <w:pStyle w:val="HChG"/>
      </w:pPr>
      <w:r>
        <w:tab/>
      </w:r>
      <w:r>
        <w:tab/>
      </w:r>
      <w:r>
        <w:rPr>
          <w:bCs/>
        </w:rPr>
        <w:t>Руководящие принципы сотрудничества Комитета с</w:t>
      </w:r>
      <w:r>
        <w:rPr>
          <w:bCs/>
        </w:rPr>
        <w:t> </w:t>
      </w:r>
      <w:r>
        <w:rPr>
          <w:bCs/>
        </w:rPr>
        <w:t>национальными правозащитными учреждениями</w:t>
      </w:r>
      <w:r w:rsidRPr="00ED462E">
        <w:rPr>
          <w:rStyle w:val="aa"/>
          <w:b w:val="0"/>
          <w:bCs/>
          <w:sz w:val="20"/>
          <w:vertAlign w:val="baseline"/>
        </w:rPr>
        <w:footnoteReference w:customMarkFollows="1" w:id="1"/>
        <w:t>*</w:t>
      </w:r>
    </w:p>
    <w:p w14:paraId="3752BC38" w14:textId="77777777" w:rsidR="00ED462E" w:rsidRPr="006B6006" w:rsidRDefault="00ED462E" w:rsidP="00ED462E">
      <w:pPr>
        <w:pStyle w:val="H1G"/>
        <w:jc w:val="both"/>
      </w:pPr>
      <w:r>
        <w:rPr>
          <w:bCs/>
        </w:rPr>
        <w:tab/>
        <w:t>A.</w:t>
      </w:r>
      <w:r>
        <w:tab/>
      </w:r>
      <w:r>
        <w:rPr>
          <w:bCs/>
        </w:rPr>
        <w:t>Общие замечания</w:t>
      </w:r>
    </w:p>
    <w:p w14:paraId="7C0B8F46" w14:textId="77777777" w:rsidR="00ED462E" w:rsidRPr="006B6006" w:rsidRDefault="00ED462E" w:rsidP="00ED462E">
      <w:pPr>
        <w:pStyle w:val="SingleTxtG"/>
      </w:pPr>
      <w:r>
        <w:t>1.</w:t>
      </w:r>
      <w:r>
        <w:tab/>
        <w:t>Комитет по ликвидации расовой дискриминации считает, что тесное сотрудничество между Комитетом и национальными правозащитными учреждениями имеет важное значение для содействия эффективному осуществлению Международной конвенции о ликвидации всех форм расовой дискриминации на национальном и международном уровнях.</w:t>
      </w:r>
    </w:p>
    <w:p w14:paraId="628475F3" w14:textId="77777777" w:rsidR="00ED462E" w:rsidRPr="006B6006" w:rsidRDefault="00ED462E" w:rsidP="00ED462E">
      <w:pPr>
        <w:pStyle w:val="SingleTxtG"/>
      </w:pPr>
      <w:r>
        <w:t>2.</w:t>
      </w:r>
      <w:r>
        <w:tab/>
        <w:t>Настоящий документ был подготовлен в соответствии с решением Комитета разработать руководящие принципы его сотрудничества с национальными правозащитными учреждениями с целью уточнения и дальнейшего развития такого сотрудничества</w:t>
      </w:r>
      <w:r w:rsidRPr="000B34D7">
        <w:rPr>
          <w:rStyle w:val="aa"/>
        </w:rPr>
        <w:footnoteReference w:id="2"/>
      </w:r>
      <w:r>
        <w:t>. В настоящих руководящих принципах Комитет опирается на свою общую рекомендацию № 17 (1993) о создании национальных учреждений по содействию осуществлению Конвенции, принимая во внимание процедуры и практику, разработанные впоследствии Комитетом и другими договорными органами.</w:t>
      </w:r>
    </w:p>
    <w:p w14:paraId="0EADDF7F" w14:textId="36623761" w:rsidR="00ED462E" w:rsidRPr="006B6006" w:rsidRDefault="00ED462E" w:rsidP="006B3B0F">
      <w:pPr>
        <w:pStyle w:val="SingleTxtG"/>
      </w:pPr>
      <w:r>
        <w:t>3.</w:t>
      </w:r>
      <w:r>
        <w:tab/>
        <w:t>Комитет отмечает, что для эффективного выполнения ими своих функций национальные правозащитные учреждения следует создавать</w:t>
      </w:r>
      <w:r w:rsidRPr="002D22D2">
        <w:t xml:space="preserve"> </w:t>
      </w:r>
      <w:r>
        <w:t>и, при необходимости, укреплять в полном соответствии с принципами, касающимися статуса национальных учреждений по поощрению и защите прав человека (Парижские принципы), и их следует должным образом аккредитовывать в качестве таковых при Глобальном альянсе национальных правозащитных учреждений. Комитет рекомендовал и, в соответствующих случаях, будет продолжать рекомендовать всем</w:t>
      </w:r>
      <w:r>
        <w:t xml:space="preserve"> </w:t>
      </w:r>
      <w:r>
        <w:t>государствам</w:t>
      </w:r>
      <w:r w:rsidR="006B3B0F" w:rsidRPr="006B3B0F">
        <w:t xml:space="preserve"> — </w:t>
      </w:r>
      <w:r>
        <w:t>участникам Конвенции создавать и укреплять национальные правозащитные учреждения в полном соответствии с Парижскими принципами. Комитет рекомендует государствам-участникам наделять такие учреждения компетенцией по рассмотрению индивидуальных жалоб на расовую дискриминацию.</w:t>
      </w:r>
    </w:p>
    <w:p w14:paraId="3F63B40C" w14:textId="46456650" w:rsidR="00ED462E" w:rsidRPr="006B6006" w:rsidRDefault="00ED462E" w:rsidP="00ED462E">
      <w:pPr>
        <w:pStyle w:val="SingleTxtG"/>
      </w:pPr>
      <w:r>
        <w:t>4.</w:t>
      </w:r>
      <w:r>
        <w:tab/>
        <w:t>Национальные правозащитные учреждения являются важными национальными партнерами Комитета в деле содействия соблюдению Конвенции. На национальном уровне такие учреждения могут осуществлять обзор законопроектов и государственной политики в области защиты от расовой дискриминации; обеспечивать контроль за соответствием внутригосударственного законодательства положениям Конвенции; учитывать общие рекомендации и правовую практику Комитета при выполнении своих мандатов; информировать общественность об обязательствах государств-участников; и оказывать правительству содействие в подготовке представляемых Комитету докладов. На международном</w:t>
      </w:r>
      <w:r>
        <w:t xml:space="preserve"> </w:t>
      </w:r>
      <w:r>
        <w:t>уровне национальным правозащитным учреждениям следует поощрять</w:t>
      </w:r>
      <w:r>
        <w:t xml:space="preserve"> </w:t>
      </w:r>
      <w:r>
        <w:t xml:space="preserve">государство-участника к выполнению своих обязательств по представлению докладов; они могут </w:t>
      </w:r>
      <w:r>
        <w:lastRenderedPageBreak/>
        <w:t xml:space="preserve">предоставлять Комитету независимую информацию о выполнении Конвенции на национальном уровне; и могут заниматься принятием последующих мер и контролировать выполнение рекомендаций, содержащихся в заключительных замечаниях, </w:t>
      </w:r>
      <w:r>
        <w:t>соображениях</w:t>
      </w:r>
      <w:r>
        <w:t xml:space="preserve"> и других решениях Комитета. В государствах, не являющихся участниками Конвенции, национальные правозащитные учреждения могут способствовать ее ратификации.</w:t>
      </w:r>
    </w:p>
    <w:p w14:paraId="6EFF10F0" w14:textId="77777777" w:rsidR="00ED462E" w:rsidRPr="006B6006" w:rsidRDefault="00ED462E" w:rsidP="00ED462E">
      <w:pPr>
        <w:pStyle w:val="SingleTxtG"/>
      </w:pPr>
      <w:r>
        <w:t>5.</w:t>
      </w:r>
      <w:r>
        <w:tab/>
        <w:t>Комитет привержен тому, чтобы сделать свою работу более доступной для национальных правозащитных учреждений. Соответственно, секретариат Комитета своевременно предоставляет таким учреждениям информацию и консультирует их о возможностях участия в работе Комитета. Кроме того, секретариат поддерживает связь с главным офисом Глобального альянса национальных правозащитных учреждений в Женеве, который поощряет национальные правозащитные учреждения к налаживанию более эффективного сотрудничества с Комитетом в его работе и оказывает им поддержку путем обмена информацией, распространения подготавливаемых Комитетом материалов и документов и консультирования таких учреждений относительно возможностей внесения вклада в его работу.</w:t>
      </w:r>
    </w:p>
    <w:p w14:paraId="4A39CC8F" w14:textId="77777777" w:rsidR="00ED462E" w:rsidRPr="006B6006" w:rsidRDefault="00ED462E" w:rsidP="00ED462E">
      <w:pPr>
        <w:pStyle w:val="SingleTxtG"/>
      </w:pPr>
      <w:r>
        <w:t>6.</w:t>
      </w:r>
      <w:r>
        <w:tab/>
        <w:t>Комитет приветствует тот факт, что представители национальных правозащитных учреждений участвуют в его сессиях и заседаниях и вносят в них свой вклад. Он также приветствует использование информационно-коммуникационных технологий, таких как видеоконференции, для расширения вклада в работу сессий таких учреждений из всех регионов.</w:t>
      </w:r>
    </w:p>
    <w:p w14:paraId="26697014" w14:textId="77777777" w:rsidR="00ED462E" w:rsidRPr="006B6006" w:rsidRDefault="00ED462E" w:rsidP="00ED462E">
      <w:pPr>
        <w:pStyle w:val="H1G"/>
      </w:pPr>
      <w:r>
        <w:rPr>
          <w:bCs/>
        </w:rPr>
        <w:tab/>
        <w:t>B.</w:t>
      </w:r>
      <w:r>
        <w:tab/>
      </w:r>
      <w:r>
        <w:rPr>
          <w:bCs/>
        </w:rPr>
        <w:t>Независимая роль национальных правозащитных учреждений</w:t>
      </w:r>
    </w:p>
    <w:p w14:paraId="35FD78D9" w14:textId="137208CF" w:rsidR="00ED462E" w:rsidRPr="006B6006" w:rsidRDefault="00ED462E" w:rsidP="00ED462E">
      <w:pPr>
        <w:pStyle w:val="SingleTxtG"/>
      </w:pPr>
      <w:r>
        <w:t>7.</w:t>
      </w:r>
      <w:r>
        <w:tab/>
        <w:t>Комитет признает, что в силу своих мандатов в соответствии с Парижскими принципами национальные правозащитные учреждения имеют независимые и особые отношения с Комитетом. Эти отношения отличаются от отношений с государствами-участниками, гражданским обществом, неправительственными организациями и другими субъектами, но в то же время дополняют их. Национальные правозащитные учреждения являются тем мостиком, который приближает работу Комитета ко всем заинтересованным сторонам на национальном уровне и приближает национальные реалии к Комитету. Соответственно, Комитет предоставляет национальным правозащитным учреждениям, аккредитованным при Глобальном альянсе национальных правозащитных учреждений, возможности для взаимодействия с ним, отличные от возможностей других субъектов. Порядок взаимодействия Комитета с этими аккредитованными учреждениями включает в себя отдельные рассадку и порядок выступления для представления информации на конкретных встречах с Комитетом, в частности до и во время сессий. Для национальных правозащитных учреждений, аккредитованных при Глобальном альянсе национальных правозащитных учреждений со статусом А, возможен дополнительный порядок выступлений во время рассмотрения доклада государства-участника, если соответствующее государство-участник дает на это согласие.</w:t>
      </w:r>
    </w:p>
    <w:p w14:paraId="5811DE8B" w14:textId="77777777" w:rsidR="00ED462E" w:rsidRPr="006B6006" w:rsidRDefault="00ED462E" w:rsidP="00ED462E">
      <w:pPr>
        <w:pStyle w:val="H1G"/>
      </w:pPr>
      <w:r>
        <w:rPr>
          <w:bCs/>
        </w:rPr>
        <w:tab/>
        <w:t>C.</w:t>
      </w:r>
      <w:r>
        <w:tab/>
      </w:r>
      <w:r>
        <w:rPr>
          <w:bCs/>
        </w:rPr>
        <w:t>Роль национальных правозащитных учреждений в процедуре представления докладов</w:t>
      </w:r>
    </w:p>
    <w:p w14:paraId="40935FCD" w14:textId="77777777" w:rsidR="00ED462E" w:rsidRPr="006B6006" w:rsidRDefault="00ED462E" w:rsidP="00ED462E">
      <w:pPr>
        <w:pStyle w:val="SingleTxtG"/>
      </w:pPr>
      <w:r>
        <w:t>8.</w:t>
      </w:r>
      <w:r>
        <w:tab/>
        <w:t>Комитет признает, что национальные правозащитные учреждения, соблюдающие Парижские принципы, могут вносить свой вклад на всех этапах процесса подготовки докладов в соответствии с Конвенцией, в том числе путем предоставления информации для подготовки перечней тем и перечней вопросов до представления доклада, до и во время рассмотрения доклада государства-участника, а также в связи с последующими действиями по заключительным замечаниям.</w:t>
      </w:r>
    </w:p>
    <w:p w14:paraId="70CF0520" w14:textId="77777777" w:rsidR="00ED462E" w:rsidRPr="006B6006" w:rsidRDefault="00ED462E" w:rsidP="00ED462E">
      <w:pPr>
        <w:pStyle w:val="SingleTxtG"/>
      </w:pPr>
      <w:r>
        <w:t>9.</w:t>
      </w:r>
      <w:r>
        <w:tab/>
        <w:t>Национальным правозащитным учреждениям рекомендуется представлять альтернативные доклады, содержащие:</w:t>
      </w:r>
    </w:p>
    <w:p w14:paraId="51048BAB" w14:textId="77777777" w:rsidR="00ED462E" w:rsidRPr="006B6006" w:rsidRDefault="00ED462E" w:rsidP="00ED462E">
      <w:pPr>
        <w:pStyle w:val="SingleTxtG"/>
      </w:pPr>
      <w:r>
        <w:tab/>
        <w:t>a)</w:t>
      </w:r>
      <w:r>
        <w:tab/>
        <w:t>информацию о выполнении некоторых или всех положений Конвенции;</w:t>
      </w:r>
    </w:p>
    <w:p w14:paraId="366F0074" w14:textId="77777777" w:rsidR="00ED462E" w:rsidRPr="006B6006" w:rsidRDefault="00ED462E" w:rsidP="00ED462E">
      <w:pPr>
        <w:pStyle w:val="SingleTxtG"/>
      </w:pPr>
      <w:r>
        <w:lastRenderedPageBreak/>
        <w:tab/>
        <w:t>b)</w:t>
      </w:r>
      <w:r>
        <w:tab/>
        <w:t>комментарии к докладу государства-участника;</w:t>
      </w:r>
    </w:p>
    <w:p w14:paraId="5B713A1B" w14:textId="77777777" w:rsidR="00ED462E" w:rsidRPr="006B6006" w:rsidRDefault="00ED462E" w:rsidP="00ED462E">
      <w:pPr>
        <w:pStyle w:val="SingleTxtG"/>
      </w:pPr>
      <w:r>
        <w:tab/>
        <w:t>c)</w:t>
      </w:r>
      <w:r>
        <w:tab/>
        <w:t>информацию о выполнении государством-участником рекомендаций, содержащихся в предыдущих заключительных замечаниях Комитета.</w:t>
      </w:r>
    </w:p>
    <w:p w14:paraId="21CF0117" w14:textId="77777777" w:rsidR="00ED462E" w:rsidRPr="006B6006" w:rsidRDefault="00ED462E" w:rsidP="00ED462E">
      <w:pPr>
        <w:pStyle w:val="SingleTxtG"/>
      </w:pPr>
      <w:r>
        <w:t>10.</w:t>
      </w:r>
      <w:r>
        <w:tab/>
        <w:t>Национальным правозащитным учреждениям следует обеспечивать представление своих докладов в сроки, устанавливаемые секретариатом. Им следует предоставлять информацию, ориентированную на области, которые охватываются Конвенцией, и обеспечивать ее соответствие критериям, обеспечивающим ее достоверность, краткость, актуальность и неизвращенность. В докладах следует обеспечивать анонимность и не упоминать имена людей, если только они уже не стали достоянием гласности или если соответствующие лица не дали на то свое согласие. Национальным правозащитным учреждениям рекомендуется представлять доклады объемом не более 20 страниц.</w:t>
      </w:r>
    </w:p>
    <w:p w14:paraId="1D699CAF" w14:textId="77777777" w:rsidR="00ED462E" w:rsidRPr="006B6006" w:rsidRDefault="00ED462E" w:rsidP="00ED462E">
      <w:pPr>
        <w:pStyle w:val="H23G"/>
      </w:pPr>
      <w:r>
        <w:tab/>
        <w:t>1.</w:t>
      </w:r>
      <w:r>
        <w:tab/>
      </w:r>
      <w:r>
        <w:rPr>
          <w:bCs/>
        </w:rPr>
        <w:t>Требования в отношении представления докладов в соответствии с Конвенцией</w:t>
      </w:r>
    </w:p>
    <w:p w14:paraId="77ACAA6E" w14:textId="77777777" w:rsidR="00ED462E" w:rsidRPr="006B6006" w:rsidRDefault="00ED462E" w:rsidP="00ED462E">
      <w:pPr>
        <w:pStyle w:val="SingleTxtG"/>
      </w:pPr>
      <w:r>
        <w:t>11.</w:t>
      </w:r>
      <w:r>
        <w:tab/>
        <w:t>Комитет считает, что национальные правозащитные учреждения играют важную роль в поощрении своих соответствующих государств к выполнению обязательств по представлению докладов. Комитет рекомендует национальным правозащитным учреждениям осуществлять информационно-разъяснительные программы по правам человека с целью информирования и повышения уровня осведомленности государственных должностных лиц и других заинтересованных сторон, включая представителей гражданского общества, об обязательствах государств-участников по представлению докладов в соответствии с Конвенцией.</w:t>
      </w:r>
    </w:p>
    <w:p w14:paraId="36133B64" w14:textId="77777777" w:rsidR="00ED462E" w:rsidRPr="006B6006" w:rsidRDefault="00ED462E" w:rsidP="00ED462E">
      <w:pPr>
        <w:pStyle w:val="H23G"/>
      </w:pPr>
      <w:r>
        <w:rPr>
          <w:bCs/>
        </w:rPr>
        <w:tab/>
        <w:t>2.</w:t>
      </w:r>
      <w:r>
        <w:tab/>
      </w:r>
      <w:r>
        <w:rPr>
          <w:bCs/>
        </w:rPr>
        <w:t>Консультации и вклад в подготовку доклада государства-участника</w:t>
      </w:r>
    </w:p>
    <w:p w14:paraId="1ADA47DE" w14:textId="77777777" w:rsidR="00ED462E" w:rsidRPr="006B6006" w:rsidRDefault="00ED462E" w:rsidP="00ED462E">
      <w:pPr>
        <w:pStyle w:val="SingleTxtG"/>
      </w:pPr>
      <w:r>
        <w:t>12.</w:t>
      </w:r>
      <w:r>
        <w:tab/>
        <w:t>Комитет признает важность организации государствами-участниками широких национальных консультаций при составлении своих докладов по Конвенции. В этой связи Комитет также признает важность заблаговременного предоставления государствами своих докладов национальным правозащитным учреждениям и всем секторам гражданского общества, а также направления всем заинтересованным сторонам приглашения принять участие в консультациях по ним. Роль национального правозащитного учреждения в предоставлении информации, которая может способствовать подготовке доклада государства-участника, не препятствует тому, чтобы национальные правозащитные учреждения представляли Комитету свои собственные независимые альтернативные доклады.</w:t>
      </w:r>
    </w:p>
    <w:p w14:paraId="4303CFA3" w14:textId="77777777" w:rsidR="00ED462E" w:rsidRPr="006B6006" w:rsidRDefault="00ED462E" w:rsidP="00ED462E">
      <w:pPr>
        <w:pStyle w:val="H23G"/>
      </w:pPr>
      <w:r>
        <w:rPr>
          <w:bCs/>
        </w:rPr>
        <w:tab/>
        <w:t>3.</w:t>
      </w:r>
      <w:r>
        <w:tab/>
      </w:r>
      <w:r>
        <w:rPr>
          <w:bCs/>
        </w:rPr>
        <w:t>Вклад в составление перечней тем и перечней вопросов перед подготовкой доклада</w:t>
      </w:r>
    </w:p>
    <w:p w14:paraId="04417EB4" w14:textId="77777777" w:rsidR="00ED462E" w:rsidRPr="006B6006" w:rsidRDefault="00ED462E" w:rsidP="00ED462E">
      <w:pPr>
        <w:pStyle w:val="SingleTxtG"/>
      </w:pPr>
      <w:r>
        <w:t>13.</w:t>
      </w:r>
      <w:r>
        <w:tab/>
        <w:t>Важнейшее значение для работы Комитета</w:t>
      </w:r>
      <w:r w:rsidRPr="009251E6">
        <w:t xml:space="preserve"> </w:t>
      </w:r>
      <w:r>
        <w:t>имеет</w:t>
      </w:r>
      <w:r w:rsidRPr="009251E6">
        <w:t xml:space="preserve"> </w:t>
      </w:r>
      <w:r>
        <w:t>получение от национальных правозащитных учреждений информации на ранней стадии процесса подготовки докладов. Соответственно, Комитет предлагает таким учреждениям представлять письменные материалы в качестве вклада в составление перечней тем и перечней вопросов до представления докладов.</w:t>
      </w:r>
    </w:p>
    <w:p w14:paraId="5FA674BD" w14:textId="77777777" w:rsidR="00ED462E" w:rsidRPr="006B6006" w:rsidRDefault="00ED462E" w:rsidP="00ED462E">
      <w:pPr>
        <w:pStyle w:val="SingleTxtG"/>
      </w:pPr>
      <w:r>
        <w:t>14.</w:t>
      </w:r>
      <w:r>
        <w:tab/>
        <w:t>Для содействия своевременному представлению докладов национальных правозащитных учреждений секретариат Комитета заблаговременно уведомляет соответствующее учреждение о графике представления докладов и консультирует его о возможностях внесения вклада в этом контексте.</w:t>
      </w:r>
    </w:p>
    <w:p w14:paraId="0FD95D17" w14:textId="77777777" w:rsidR="00ED462E" w:rsidRPr="006B6006" w:rsidRDefault="00ED462E" w:rsidP="00ED462E">
      <w:pPr>
        <w:pStyle w:val="H23G"/>
      </w:pPr>
      <w:r>
        <w:rPr>
          <w:bCs/>
        </w:rPr>
        <w:tab/>
        <w:t>4.</w:t>
      </w:r>
      <w:r>
        <w:tab/>
      </w:r>
      <w:r>
        <w:rPr>
          <w:bCs/>
        </w:rPr>
        <w:t>Представление материалов к сессиям Комитета и в ходе их проведения</w:t>
      </w:r>
    </w:p>
    <w:p w14:paraId="20D4FA73" w14:textId="77777777" w:rsidR="00ED462E" w:rsidRPr="006B6006" w:rsidRDefault="00ED462E" w:rsidP="00ED462E">
      <w:pPr>
        <w:pStyle w:val="SingleTxtG"/>
      </w:pPr>
      <w:r>
        <w:t>15.</w:t>
      </w:r>
      <w:r>
        <w:tab/>
        <w:t>Комитет приветствует представление альтернативных докладов национальных правозащитных учреждений и их устные выступления и рекомендует таким учреждениям присутствовать при рассмотрении доклада государства-участника.</w:t>
      </w:r>
    </w:p>
    <w:p w14:paraId="2598BF02" w14:textId="77777777" w:rsidR="00ED462E" w:rsidRPr="006B6006" w:rsidRDefault="00ED462E" w:rsidP="00ED462E">
      <w:pPr>
        <w:pStyle w:val="SingleTxtG"/>
      </w:pPr>
      <w:r>
        <w:t>16.</w:t>
      </w:r>
      <w:r>
        <w:tab/>
        <w:t>Национальные правозащитные учреждения имеют возможность выступать перед Комитетом на официальных закрытых заседаниях с устным переводом и неофициальных конфиденциальных встречах, по просьбе национального правозащитного учреждения и непосредственно перед диалогом с государством-</w:t>
      </w:r>
      <w:r>
        <w:lastRenderedPageBreak/>
        <w:t>участником. Такие заседания позволяют проводить интерактивные дискуссии и обмениваться между Комитетом и национальными правозащитными учреждениями обновленной дополнительной информацией. По запросу такие учреждения имеют дополнительные возможности предоставить Комитету подробную информацию в ходе неофициальных конфиденциальных встреч. Конфиденциальность встречи призвана обеспечивать беспрепятственное и эффективное взаимодействие национальных правозащитных учреждений с Комитетом без опасений репрессий или запугивания. Для содействия проведению этих неофициальных конфиденциальных встреч секретариат Комитета будет как можно раньше в ходе процесса налаживать связь с национальным правозащитным учреждением.</w:t>
      </w:r>
    </w:p>
    <w:p w14:paraId="6FE4702A" w14:textId="77777777" w:rsidR="00ED462E" w:rsidRPr="006B6006" w:rsidRDefault="00ED462E" w:rsidP="00ED462E">
      <w:pPr>
        <w:pStyle w:val="SingleTxtG"/>
      </w:pPr>
      <w:r>
        <w:t>17.</w:t>
      </w:r>
      <w:r>
        <w:tab/>
        <w:t>Национальные правозащитные учреждения, аккредитованные при Глобальном альянсе национальных правозащитных учреждений со статусом А, имеют возможность, по их просьбе, получать определенное Комитетом количество времени для выступления с заявлением в ходе официального диалога с государством-участником. Такой запрос следует направлять в секретариат как можно раньше.</w:t>
      </w:r>
    </w:p>
    <w:p w14:paraId="29AFDD31" w14:textId="77777777" w:rsidR="00ED462E" w:rsidRPr="006B6006" w:rsidRDefault="00ED462E" w:rsidP="00ED462E">
      <w:pPr>
        <w:pStyle w:val="H23G"/>
      </w:pPr>
      <w:r>
        <w:rPr>
          <w:bCs/>
        </w:rPr>
        <w:tab/>
        <w:t>5.</w:t>
      </w:r>
      <w:r>
        <w:tab/>
      </w:r>
      <w:r>
        <w:rPr>
          <w:bCs/>
        </w:rPr>
        <w:t>Вклад в последующую деятельность в связи с заключительными замечаниями</w:t>
      </w:r>
    </w:p>
    <w:p w14:paraId="5AC563DC" w14:textId="25AA64C1" w:rsidR="00ED462E" w:rsidRPr="006B6006" w:rsidRDefault="00ED462E" w:rsidP="00ED462E">
      <w:pPr>
        <w:pStyle w:val="SingleTxtG"/>
      </w:pPr>
      <w:r>
        <w:t>18.</w:t>
      </w:r>
      <w:r>
        <w:tab/>
        <w:t>В соответствии с Парижскими принципами национальные правозащитные учреждения наделены конкретным мандатом осуществлять наблюдение за соблюдением их соответствующим государством международных договоров по правам человека и докладывать об этом, в том числе о выполнении рекомендаций, выносимых международными правозащитными органами. Национальные правозащитные учреждения могут предоставлять Комитету письменную информацию, включая оценку мер, принимаемых государством-участником для выполнения рекомендаций, которые были отобраны Комитетом для процедуры последующих действий. Эти материалы должны быть представлены Комитету, когда должен быть представлен доклад о последующих мерах государства-участника (в</w:t>
      </w:r>
      <w:r>
        <w:t> </w:t>
      </w:r>
      <w:r>
        <w:t>течение одного года после принятия заключительных замечаний государства-участника) или после обнародования доклада в установленные сроки.</w:t>
      </w:r>
    </w:p>
    <w:p w14:paraId="6194DE90" w14:textId="77777777" w:rsidR="00ED462E" w:rsidRPr="006B6006" w:rsidRDefault="00ED462E" w:rsidP="00ED462E">
      <w:pPr>
        <w:pStyle w:val="SingleTxtG"/>
      </w:pPr>
      <w:r>
        <w:t>19.</w:t>
      </w:r>
      <w:r>
        <w:tab/>
        <w:t>Комитет приветствует и поддерживает важную роль национальных правозащитных учреждений в содействии выполнению в стране рекомендаций, содержащихся в заключительных замечаниях, напоминая при этом, что обязанность по выполнению Конвенции лежит на самих государствах. Национальные правозащитные учреждения могут оказывать содействие осуществлению Конвенции целым рядом способов, которые включают в себя следующее: широкое распространение принципов Конвенции и заключительных замечаний среди всех заинтересованных сторон; организация последующих консультаций и семинаров с участием правительства и неправительственных организаций, а также парламента и других органов; и доведение до сведения своих государств своего мнения о необходимости учитывать содержащиеся в заключительных замечаниях рекомендации в процессах национального планирования и обзора законодательства. Кроме того, Комитет рекомендует национальным правозащитным учреждениям использовать свои ежегодные доклады для осуществления наблюдения за выполнением рекомендаций, содержащихся в заключительных замечаниях Комитета.</w:t>
      </w:r>
    </w:p>
    <w:p w14:paraId="272B2CE1" w14:textId="77777777" w:rsidR="00ED462E" w:rsidRPr="006B6006" w:rsidRDefault="00ED462E" w:rsidP="00ED462E">
      <w:pPr>
        <w:pStyle w:val="SingleTxtG"/>
      </w:pPr>
      <w:r>
        <w:t>20.</w:t>
      </w:r>
      <w:r>
        <w:tab/>
        <w:t>В целях обеспечения наиболее эффективного участия национальных правозащитных учреждений в процедуре последующих действий секретариат Комитета заблаговременно уведомляет соответствующие учреждения о графике осуществления процедуры последующих действий, а также консультирует их о возможностях внесения вклада в этот процесс.</w:t>
      </w:r>
    </w:p>
    <w:p w14:paraId="3E65832A" w14:textId="77777777" w:rsidR="00ED462E" w:rsidRPr="006B6006" w:rsidRDefault="00ED462E" w:rsidP="00ED462E">
      <w:pPr>
        <w:pStyle w:val="H23G"/>
      </w:pPr>
      <w:r>
        <w:rPr>
          <w:bCs/>
        </w:rPr>
        <w:tab/>
        <w:t>6.</w:t>
      </w:r>
      <w:r>
        <w:tab/>
      </w:r>
      <w:r>
        <w:rPr>
          <w:bCs/>
        </w:rPr>
        <w:t>Вклад в рамках процедуры обзора</w:t>
      </w:r>
    </w:p>
    <w:p w14:paraId="5765AA6A" w14:textId="77777777" w:rsidR="00ED462E" w:rsidRPr="006B6006" w:rsidRDefault="00ED462E" w:rsidP="00ED462E">
      <w:pPr>
        <w:pStyle w:val="SingleTxtG"/>
      </w:pPr>
      <w:r>
        <w:t>21.</w:t>
      </w:r>
      <w:r>
        <w:tab/>
        <w:t xml:space="preserve">Комитет рекомендует национальным правозащитным учреждениям представлять альтернативные доклады в случаях, когда Комитет принимает решение о рассмотрении положения дел в государстве-участнике в отсутствие представленного государством доклада. Национальным правозащитным учреждениям будут предоставлены те же возможности для внесения вклада, что и в рамках обычной </w:t>
      </w:r>
      <w:r>
        <w:lastRenderedPageBreak/>
        <w:t>процедуры представления докладов, в том числе в отношении перечня тем, если Комитет примет решение о его утверждении.</w:t>
      </w:r>
    </w:p>
    <w:p w14:paraId="72477B46" w14:textId="77777777" w:rsidR="00ED462E" w:rsidRPr="006B6006" w:rsidRDefault="00ED462E" w:rsidP="00ED462E">
      <w:pPr>
        <w:pStyle w:val="H1G"/>
      </w:pPr>
      <w:r>
        <w:rPr>
          <w:bCs/>
        </w:rPr>
        <w:tab/>
        <w:t>D.</w:t>
      </w:r>
      <w:r>
        <w:tab/>
      </w:r>
      <w:r>
        <w:rPr>
          <w:bCs/>
        </w:rPr>
        <w:t>Роль национальных правозащитных учреждений в отношении процедуры раннего предупреждения и принятия неотложных мер</w:t>
      </w:r>
    </w:p>
    <w:p w14:paraId="3B51134F" w14:textId="77777777" w:rsidR="00ED462E" w:rsidRPr="006B6006" w:rsidRDefault="00ED462E" w:rsidP="00ED462E">
      <w:pPr>
        <w:pStyle w:val="SingleTxtG"/>
        <w:rPr>
          <w:b/>
          <w:bCs/>
        </w:rPr>
      </w:pPr>
      <w:r>
        <w:t>22.</w:t>
      </w:r>
      <w:r>
        <w:tab/>
        <w:t>Национальные правозащитные учреждения могут способствовать повышению уровня осведомленности о процедурах раннего предупреждения и принятия неотложных мер на национальном уровне. Они также могут предоставлять Комитету достоверную и основанную на доказанных фактах информацию, отражающую потенциальные серьезные нарушения или серьезные нарушения Конвенции на территории, находящейся под юрисдикцией соответствующего государства-участника, и в соответствии с руководящими принципами Комитета в отношении процедуры раннего предупреждения и принятия неотложных мер.</w:t>
      </w:r>
    </w:p>
    <w:p w14:paraId="305E8050" w14:textId="77777777" w:rsidR="00ED462E" w:rsidRPr="006B6006" w:rsidRDefault="00ED462E" w:rsidP="00ED462E">
      <w:pPr>
        <w:pStyle w:val="SingleTxtG"/>
        <w:rPr>
          <w:b/>
          <w:bCs/>
        </w:rPr>
      </w:pPr>
      <w:r>
        <w:t>23.</w:t>
      </w:r>
      <w:r>
        <w:tab/>
        <w:t>Комитет рекомендует национальным правозащитным учреждениям представлять соответствующую и достоверную информацию о любых событиях, которые могли произойти на любом этапе процедуры раннего предупреждения и принятия неотложных мер, в том числе о последующих мерах, принимаемых Комитетом в конкретных ситуациях.</w:t>
      </w:r>
    </w:p>
    <w:p w14:paraId="346D42E6" w14:textId="26F93A29" w:rsidR="00ED462E" w:rsidRPr="006B6006" w:rsidRDefault="00ED462E" w:rsidP="00ED462E">
      <w:pPr>
        <w:pStyle w:val="H1G"/>
      </w:pPr>
      <w:r>
        <w:rPr>
          <w:bCs/>
        </w:rPr>
        <w:tab/>
        <w:t>E.</w:t>
      </w:r>
      <w:r>
        <w:tab/>
      </w:r>
      <w:r>
        <w:rPr>
          <w:bCs/>
        </w:rPr>
        <w:t>Роль национальных правозащитных учреждений в разработке и</w:t>
      </w:r>
      <w:r>
        <w:rPr>
          <w:bCs/>
        </w:rPr>
        <w:t> </w:t>
      </w:r>
      <w:r>
        <w:rPr>
          <w:bCs/>
        </w:rPr>
        <w:t>распространении общих рекомендаций</w:t>
      </w:r>
    </w:p>
    <w:p w14:paraId="5EAC301E" w14:textId="77777777" w:rsidR="00ED462E" w:rsidRPr="006B6006" w:rsidRDefault="00ED462E" w:rsidP="00ED462E">
      <w:pPr>
        <w:pStyle w:val="SingleTxtG"/>
      </w:pPr>
      <w:r>
        <w:t>24.</w:t>
      </w:r>
      <w:r>
        <w:tab/>
        <w:t>Комитет рекомендует национальным правозащитным учреждениям вносить свой вклад на всех этапах разработки общих рекомендаций, в том числе в дни организуемых Комитетом общих дискуссий в письменном виде или в других формах в процессе консультаций.</w:t>
      </w:r>
    </w:p>
    <w:p w14:paraId="0EBEE271" w14:textId="77777777" w:rsidR="00ED462E" w:rsidRPr="006B6006" w:rsidRDefault="00ED462E" w:rsidP="00ED462E">
      <w:pPr>
        <w:pStyle w:val="SingleTxtG"/>
      </w:pPr>
      <w:r>
        <w:t>25.</w:t>
      </w:r>
      <w:r>
        <w:tab/>
        <w:t>Национальным правозащитным учреждениям рекомендуется распространять и использовать общие рекомендации Комитета в своей информационно-разъяснительной деятельности внутри страны и при разработке соответствующей политики, а также обеспечивать широкое распространение общих рекомендаций на национальных и местных языках, в зависимости от обстоятельств, в том числе выступая за их перевод на такие языки.</w:t>
      </w:r>
    </w:p>
    <w:p w14:paraId="4C01BFF9" w14:textId="77777777" w:rsidR="00ED462E" w:rsidRPr="006B6006" w:rsidRDefault="00ED462E" w:rsidP="00ED462E">
      <w:pPr>
        <w:pStyle w:val="SingleTxtG"/>
      </w:pPr>
      <w:r>
        <w:t>26.</w:t>
      </w:r>
      <w:r>
        <w:tab/>
        <w:t>Чтобы максимально повысить эффективность вклада национальных правозащитных учреждений в подготовку общих рекомендаций, секретариат Комитета будет своевременно информировать такие учреждения о возможностях внесения ими своего вклада в его работу.</w:t>
      </w:r>
    </w:p>
    <w:p w14:paraId="7A2E92C3" w14:textId="77777777" w:rsidR="00ED462E" w:rsidRPr="006B6006" w:rsidRDefault="00ED462E" w:rsidP="00ED462E">
      <w:pPr>
        <w:pStyle w:val="H1G"/>
      </w:pPr>
      <w:r>
        <w:rPr>
          <w:bCs/>
        </w:rPr>
        <w:tab/>
        <w:t>F.</w:t>
      </w:r>
      <w:r>
        <w:tab/>
      </w:r>
      <w:r>
        <w:rPr>
          <w:bCs/>
        </w:rPr>
        <w:t>Национальные правозащитные учреждения и процедура индивидуальных сообщений</w:t>
      </w:r>
    </w:p>
    <w:p w14:paraId="67C144D7" w14:textId="77777777" w:rsidR="00ED462E" w:rsidRPr="006B6006" w:rsidRDefault="00ED462E" w:rsidP="00ED462E">
      <w:pPr>
        <w:pStyle w:val="SingleTxtG"/>
      </w:pPr>
      <w:r>
        <w:t>27.</w:t>
      </w:r>
      <w:r>
        <w:tab/>
        <w:t>Национальные правозащитные учреждения могут рекомендовать национальным властям своего государства-участника сделать заявление в соответствии со статьей 14 о признании компетенции Комитета получать и рассматривать сообщения от находящихся под его юрисдикцией отдельных лиц или групп лиц, утверждающих, что они стали жертвами нарушения государством-участником любого из прав, закрепленных в Конвенции. Национальным правозащитным учреждениям рекомендуется предоставлять информацию о процедуре индивидуальных сообщений на национальном уровне, а также о выполнении и распространении соображений Комитета.</w:t>
      </w:r>
    </w:p>
    <w:p w14:paraId="7C7ACBA3" w14:textId="77777777" w:rsidR="00ED462E" w:rsidRPr="006B6006" w:rsidRDefault="00ED462E" w:rsidP="00ED462E">
      <w:pPr>
        <w:pStyle w:val="H1G"/>
      </w:pPr>
      <w:r>
        <w:rPr>
          <w:bCs/>
        </w:rPr>
        <w:tab/>
        <w:t>G.</w:t>
      </w:r>
      <w:r>
        <w:tab/>
      </w:r>
      <w:r>
        <w:rPr>
          <w:bCs/>
        </w:rPr>
        <w:t>Репрессии</w:t>
      </w:r>
    </w:p>
    <w:p w14:paraId="2AE7772B" w14:textId="1C5F722E" w:rsidR="00381C24" w:rsidRDefault="00ED462E" w:rsidP="009B5F31">
      <w:pPr>
        <w:pStyle w:val="SingleTxtG"/>
      </w:pPr>
      <w:r>
        <w:t>28.</w:t>
      </w:r>
      <w:r>
        <w:tab/>
        <w:t xml:space="preserve">В свете резолюции 68/171 Генеральной Ассамблеи и руководящих принципов Комитета по рассмотрению утверждений о репрессиях и актах запугивания в </w:t>
      </w:r>
      <w:r>
        <w:lastRenderedPageBreak/>
        <w:t>отношении лиц и организаций, сотрудничающих с Комитетом</w:t>
      </w:r>
      <w:r w:rsidRPr="000B34D7">
        <w:rPr>
          <w:rStyle w:val="aa"/>
        </w:rPr>
        <w:footnoteReference w:id="3"/>
      </w:r>
      <w:r>
        <w:t>, национальные правозащитные учреждения могут сообщать Комитету о случаях запугивания, угроз репрессий и актов репрессий в отношении представителей или сотрудников учреждения или правозащитников за то, что они хотят сотрудничать, сотрудничают или сотрудничали с Комитетом.</w:t>
      </w:r>
    </w:p>
    <w:p w14:paraId="14AC16DF" w14:textId="28F6196B" w:rsidR="009B5F31" w:rsidRPr="009B5F31" w:rsidRDefault="009B5F31" w:rsidP="009B5F31">
      <w:pPr>
        <w:pStyle w:val="SingleTxtG"/>
        <w:spacing w:before="240" w:after="0"/>
        <w:jc w:val="center"/>
        <w:rPr>
          <w:u w:val="single"/>
        </w:rPr>
      </w:pPr>
      <w:r>
        <w:rPr>
          <w:u w:val="single"/>
        </w:rPr>
        <w:tab/>
      </w:r>
      <w:r>
        <w:rPr>
          <w:u w:val="single"/>
        </w:rPr>
        <w:tab/>
      </w:r>
      <w:r>
        <w:rPr>
          <w:u w:val="single"/>
        </w:rPr>
        <w:tab/>
      </w:r>
    </w:p>
    <w:sectPr w:rsidR="009B5F31" w:rsidRPr="009B5F31" w:rsidSect="00ED462E">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AC7E4" w14:textId="77777777" w:rsidR="00A7178A" w:rsidRPr="00A312BC" w:rsidRDefault="00A7178A" w:rsidP="00A312BC"/>
  </w:endnote>
  <w:endnote w:type="continuationSeparator" w:id="0">
    <w:p w14:paraId="546F7AAA" w14:textId="77777777" w:rsidR="00A7178A" w:rsidRPr="00A312BC" w:rsidRDefault="00A7178A"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1012F" w14:textId="4B52C5A0" w:rsidR="00ED462E" w:rsidRPr="00ED462E" w:rsidRDefault="00ED462E">
    <w:pPr>
      <w:pStyle w:val="a8"/>
    </w:pPr>
    <w:r w:rsidRPr="00ED462E">
      <w:rPr>
        <w:b/>
        <w:sz w:val="18"/>
      </w:rPr>
      <w:fldChar w:fldCharType="begin"/>
    </w:r>
    <w:r w:rsidRPr="00ED462E">
      <w:rPr>
        <w:b/>
        <w:sz w:val="18"/>
      </w:rPr>
      <w:instrText xml:space="preserve"> PAGE  \* MERGEFORMAT </w:instrText>
    </w:r>
    <w:r w:rsidRPr="00ED462E">
      <w:rPr>
        <w:b/>
        <w:sz w:val="18"/>
      </w:rPr>
      <w:fldChar w:fldCharType="separate"/>
    </w:r>
    <w:r w:rsidRPr="00ED462E">
      <w:rPr>
        <w:b/>
        <w:noProof/>
        <w:sz w:val="18"/>
      </w:rPr>
      <w:t>2</w:t>
    </w:r>
    <w:r w:rsidRPr="00ED462E">
      <w:rPr>
        <w:b/>
        <w:sz w:val="18"/>
      </w:rPr>
      <w:fldChar w:fldCharType="end"/>
    </w:r>
    <w:r>
      <w:rPr>
        <w:b/>
        <w:sz w:val="18"/>
      </w:rPr>
      <w:tab/>
    </w:r>
    <w:r>
      <w:t>GE.22-08410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6DDC0" w14:textId="5C58B67A" w:rsidR="00ED462E" w:rsidRPr="00ED462E" w:rsidRDefault="00ED462E" w:rsidP="00ED462E">
    <w:pPr>
      <w:pStyle w:val="a8"/>
      <w:tabs>
        <w:tab w:val="clear" w:pos="9639"/>
        <w:tab w:val="right" w:pos="9638"/>
      </w:tabs>
      <w:rPr>
        <w:b/>
        <w:sz w:val="18"/>
      </w:rPr>
    </w:pPr>
    <w:r>
      <w:t>GE.22-08410</w:t>
    </w:r>
    <w:r>
      <w:tab/>
    </w:r>
    <w:r w:rsidRPr="00ED462E">
      <w:rPr>
        <w:b/>
        <w:sz w:val="18"/>
      </w:rPr>
      <w:fldChar w:fldCharType="begin"/>
    </w:r>
    <w:r w:rsidRPr="00ED462E">
      <w:rPr>
        <w:b/>
        <w:sz w:val="18"/>
      </w:rPr>
      <w:instrText xml:space="preserve"> PAGE  \* MERGEFORMAT </w:instrText>
    </w:r>
    <w:r w:rsidRPr="00ED462E">
      <w:rPr>
        <w:b/>
        <w:sz w:val="18"/>
      </w:rPr>
      <w:fldChar w:fldCharType="separate"/>
    </w:r>
    <w:r w:rsidRPr="00ED462E">
      <w:rPr>
        <w:b/>
        <w:noProof/>
        <w:sz w:val="18"/>
      </w:rPr>
      <w:t>3</w:t>
    </w:r>
    <w:r w:rsidRPr="00ED46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C5B4E" w14:textId="4E9C2C2A" w:rsidR="00042B72" w:rsidRPr="00ED462E" w:rsidRDefault="00ED462E" w:rsidP="00ED462E">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74755962" wp14:editId="2178A91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22-08410  (R)</w:t>
    </w:r>
    <w:r>
      <w:rPr>
        <w:noProof/>
      </w:rPr>
      <w:drawing>
        <wp:anchor distT="0" distB="0" distL="114300" distR="114300" simplePos="0" relativeHeight="251659264" behindDoc="0" locked="0" layoutInCell="1" allowOverlap="1" wp14:anchorId="2A1DC101" wp14:editId="2DCB8244">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260822  010922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618EB" w14:textId="77777777" w:rsidR="00A7178A" w:rsidRPr="001075E9" w:rsidRDefault="00A7178A" w:rsidP="001075E9">
      <w:pPr>
        <w:tabs>
          <w:tab w:val="right" w:pos="2155"/>
        </w:tabs>
        <w:spacing w:after="80" w:line="240" w:lineRule="auto"/>
        <w:ind w:left="680"/>
        <w:rPr>
          <w:u w:val="single"/>
        </w:rPr>
      </w:pPr>
      <w:r>
        <w:rPr>
          <w:u w:val="single"/>
        </w:rPr>
        <w:tab/>
      </w:r>
    </w:p>
  </w:footnote>
  <w:footnote w:type="continuationSeparator" w:id="0">
    <w:p w14:paraId="1F3150CE" w14:textId="77777777" w:rsidR="00A7178A" w:rsidRDefault="00A7178A" w:rsidP="00407B78">
      <w:pPr>
        <w:tabs>
          <w:tab w:val="right" w:pos="2155"/>
        </w:tabs>
        <w:spacing w:after="80"/>
        <w:ind w:left="680"/>
        <w:rPr>
          <w:u w:val="single"/>
        </w:rPr>
      </w:pPr>
      <w:r>
        <w:rPr>
          <w:u w:val="single"/>
        </w:rPr>
        <w:tab/>
      </w:r>
    </w:p>
  </w:footnote>
  <w:footnote w:id="1">
    <w:p w14:paraId="285BB87B" w14:textId="77777777" w:rsidR="00ED462E" w:rsidRPr="006B6006" w:rsidRDefault="00ED462E" w:rsidP="00ED462E">
      <w:pPr>
        <w:pStyle w:val="ad"/>
      </w:pPr>
      <w:r>
        <w:tab/>
      </w:r>
      <w:r w:rsidRPr="00ED462E">
        <w:rPr>
          <w:sz w:val="20"/>
        </w:rPr>
        <w:t>*</w:t>
      </w:r>
      <w:r>
        <w:tab/>
      </w:r>
      <w:r>
        <w:tab/>
        <w:t>Утверждены Комитетом на его 105-й сессии (15 ноября — 3 декабря 2021 года).</w:t>
      </w:r>
    </w:p>
  </w:footnote>
  <w:footnote w:id="2">
    <w:p w14:paraId="61C10B17" w14:textId="6E449F41" w:rsidR="00ED462E" w:rsidRPr="00A34266" w:rsidRDefault="00ED462E" w:rsidP="00ED462E">
      <w:pPr>
        <w:pStyle w:val="ad"/>
      </w:pPr>
      <w:r>
        <w:tab/>
      </w:r>
      <w:r>
        <w:rPr>
          <w:rStyle w:val="aa"/>
        </w:rPr>
        <w:footnoteRef/>
      </w:r>
      <w:r w:rsidRPr="006B6006">
        <w:rPr>
          <w:lang w:val="en-US"/>
        </w:rPr>
        <w:tab/>
      </w:r>
      <w:r>
        <w:t>См</w:t>
      </w:r>
      <w:r w:rsidRPr="006B6006">
        <w:rPr>
          <w:lang w:val="en-US"/>
        </w:rPr>
        <w:t xml:space="preserve">. </w:t>
      </w:r>
      <w:hyperlink r:id="rId1" w:history="1">
        <w:r w:rsidRPr="00ED462E">
          <w:rPr>
            <w:rStyle w:val="af1"/>
            <w:lang w:val="en-US"/>
          </w:rPr>
          <w:t>A/76/18</w:t>
        </w:r>
      </w:hyperlink>
      <w:r w:rsidRPr="006B6006">
        <w:rPr>
          <w:lang w:val="en-US"/>
        </w:rPr>
        <w:t xml:space="preserve">, </w:t>
      </w:r>
      <w:r>
        <w:t>п</w:t>
      </w:r>
      <w:r w:rsidRPr="006B6006">
        <w:rPr>
          <w:lang w:val="en-US"/>
        </w:rPr>
        <w:t>. 51.</w:t>
      </w:r>
    </w:p>
  </w:footnote>
  <w:footnote w:id="3">
    <w:p w14:paraId="45D36B57" w14:textId="7A7DBE9F" w:rsidR="00ED462E" w:rsidRPr="00A34266" w:rsidRDefault="00ED462E" w:rsidP="00ED462E">
      <w:pPr>
        <w:pStyle w:val="ad"/>
      </w:pPr>
      <w:r w:rsidRPr="006B6006">
        <w:rPr>
          <w:lang w:val="en-US"/>
        </w:rPr>
        <w:tab/>
      </w:r>
      <w:r>
        <w:rPr>
          <w:rStyle w:val="aa"/>
        </w:rPr>
        <w:footnoteRef/>
      </w:r>
      <w:r w:rsidRPr="006B6006">
        <w:rPr>
          <w:lang w:val="en-US"/>
        </w:rPr>
        <w:tab/>
        <w:t xml:space="preserve">URL: </w:t>
      </w:r>
      <w:hyperlink r:id="rId2" w:history="1">
        <w:r w:rsidR="009B5F31" w:rsidRPr="008E4609">
          <w:rPr>
            <w:rStyle w:val="af1"/>
            <w:lang w:val="en-US"/>
          </w:rPr>
          <w:t>https://tbinternet.ohchr.org/_layouts/15/treatybodyexternal/Download.aspx?symbolno=INT%2fCERD%2fRLE%2f9029&amp;Lang=en</w:t>
        </w:r>
      </w:hyperlink>
      <w:r w:rsidRPr="006B6006">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A5116" w14:textId="54D7ACAE" w:rsidR="00ED462E" w:rsidRPr="00ED462E" w:rsidRDefault="00ED462E">
    <w:pPr>
      <w:pStyle w:val="a5"/>
    </w:pPr>
    <w:fldSimple w:instr=" TITLE  \* MERGEFORMAT ">
      <w:r w:rsidR="00C241FE">
        <w:t>CERD/C/505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15904" w14:textId="6AE6A710" w:rsidR="00ED462E" w:rsidRPr="00ED462E" w:rsidRDefault="00ED462E" w:rsidP="00ED462E">
    <w:pPr>
      <w:pStyle w:val="a5"/>
      <w:jc w:val="right"/>
    </w:pPr>
    <w:fldSimple w:instr=" TITLE  \* MERGEFORMAT ">
      <w:r w:rsidR="00C241FE">
        <w:t>CERD/C/505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78A"/>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A2EFC"/>
    <w:rsid w:val="002B74B1"/>
    <w:rsid w:val="002C0E18"/>
    <w:rsid w:val="002D5AAC"/>
    <w:rsid w:val="002E5067"/>
    <w:rsid w:val="002F405F"/>
    <w:rsid w:val="002F7EEC"/>
    <w:rsid w:val="00301299"/>
    <w:rsid w:val="00305C08"/>
    <w:rsid w:val="00307FB6"/>
    <w:rsid w:val="00317339"/>
    <w:rsid w:val="00322004"/>
    <w:rsid w:val="003402C2"/>
    <w:rsid w:val="00381C24"/>
    <w:rsid w:val="003958D0"/>
    <w:rsid w:val="003A6859"/>
    <w:rsid w:val="003B00E5"/>
    <w:rsid w:val="003D11EA"/>
    <w:rsid w:val="004055E9"/>
    <w:rsid w:val="00407B78"/>
    <w:rsid w:val="00424203"/>
    <w:rsid w:val="00452493"/>
    <w:rsid w:val="00453318"/>
    <w:rsid w:val="00454E07"/>
    <w:rsid w:val="00472C5C"/>
    <w:rsid w:val="004A1C15"/>
    <w:rsid w:val="004E104A"/>
    <w:rsid w:val="0050108D"/>
    <w:rsid w:val="00503601"/>
    <w:rsid w:val="00513081"/>
    <w:rsid w:val="00517901"/>
    <w:rsid w:val="00526683"/>
    <w:rsid w:val="0057071C"/>
    <w:rsid w:val="005709E0"/>
    <w:rsid w:val="00572E19"/>
    <w:rsid w:val="005961C8"/>
    <w:rsid w:val="005D7914"/>
    <w:rsid w:val="005E2B41"/>
    <w:rsid w:val="005F0B42"/>
    <w:rsid w:val="00627C61"/>
    <w:rsid w:val="006306AC"/>
    <w:rsid w:val="00641A8C"/>
    <w:rsid w:val="0067000F"/>
    <w:rsid w:val="00681A10"/>
    <w:rsid w:val="006A1ED8"/>
    <w:rsid w:val="006B3B0F"/>
    <w:rsid w:val="006C2031"/>
    <w:rsid w:val="006D461A"/>
    <w:rsid w:val="006F35EE"/>
    <w:rsid w:val="007021FF"/>
    <w:rsid w:val="00706B3D"/>
    <w:rsid w:val="00712895"/>
    <w:rsid w:val="00757357"/>
    <w:rsid w:val="007C46C9"/>
    <w:rsid w:val="007C49AB"/>
    <w:rsid w:val="00825F8D"/>
    <w:rsid w:val="00834B71"/>
    <w:rsid w:val="0086445C"/>
    <w:rsid w:val="00894693"/>
    <w:rsid w:val="008A08D7"/>
    <w:rsid w:val="008A3166"/>
    <w:rsid w:val="008B227E"/>
    <w:rsid w:val="008B360C"/>
    <w:rsid w:val="008B6909"/>
    <w:rsid w:val="008D2AAD"/>
    <w:rsid w:val="0090054A"/>
    <w:rsid w:val="00906890"/>
    <w:rsid w:val="00911BE4"/>
    <w:rsid w:val="00951972"/>
    <w:rsid w:val="009608F3"/>
    <w:rsid w:val="009A24AC"/>
    <w:rsid w:val="009A445B"/>
    <w:rsid w:val="009B5F31"/>
    <w:rsid w:val="009D5FCE"/>
    <w:rsid w:val="00A14DA8"/>
    <w:rsid w:val="00A312BC"/>
    <w:rsid w:val="00A7178A"/>
    <w:rsid w:val="00A84021"/>
    <w:rsid w:val="00A84D35"/>
    <w:rsid w:val="00A917B3"/>
    <w:rsid w:val="00AB4B51"/>
    <w:rsid w:val="00B10CC7"/>
    <w:rsid w:val="00B27969"/>
    <w:rsid w:val="00B32719"/>
    <w:rsid w:val="00B36DF7"/>
    <w:rsid w:val="00B539E7"/>
    <w:rsid w:val="00B62458"/>
    <w:rsid w:val="00B67B12"/>
    <w:rsid w:val="00BC18B2"/>
    <w:rsid w:val="00BD33EE"/>
    <w:rsid w:val="00C106D6"/>
    <w:rsid w:val="00C241FE"/>
    <w:rsid w:val="00C60F0C"/>
    <w:rsid w:val="00C805C9"/>
    <w:rsid w:val="00C84CD1"/>
    <w:rsid w:val="00C92939"/>
    <w:rsid w:val="00CA1679"/>
    <w:rsid w:val="00CB151C"/>
    <w:rsid w:val="00CE5A1A"/>
    <w:rsid w:val="00CF55F6"/>
    <w:rsid w:val="00D33D63"/>
    <w:rsid w:val="00D90028"/>
    <w:rsid w:val="00D90138"/>
    <w:rsid w:val="00D90FE9"/>
    <w:rsid w:val="00DD78D1"/>
    <w:rsid w:val="00DE32CD"/>
    <w:rsid w:val="00DF71B9"/>
    <w:rsid w:val="00E32125"/>
    <w:rsid w:val="00E73F76"/>
    <w:rsid w:val="00EA2C9F"/>
    <w:rsid w:val="00EA420E"/>
    <w:rsid w:val="00ED0BDA"/>
    <w:rsid w:val="00ED462E"/>
    <w:rsid w:val="00EF1360"/>
    <w:rsid w:val="00EF3220"/>
    <w:rsid w:val="00F0540A"/>
    <w:rsid w:val="00F41B03"/>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BCDBFAB"/>
  <w15:docId w15:val="{8A887D1C-6297-4724-8454-CCC5EBAE2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055E9"/>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6306AC"/>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A3166"/>
    <w:pPr>
      <w:keepNext/>
      <w:outlineLvl w:val="1"/>
    </w:pPr>
    <w:rPr>
      <w:rFonts w:cs="Arial"/>
      <w:bCs/>
      <w:iCs/>
      <w:szCs w:val="28"/>
    </w:rPr>
  </w:style>
  <w:style w:type="paragraph" w:styleId="3">
    <w:name w:val="heading 3"/>
    <w:basedOn w:val="a"/>
    <w:next w:val="a"/>
    <w:semiHidden/>
    <w:rsid w:val="008A3166"/>
    <w:pPr>
      <w:keepNext/>
      <w:spacing w:before="240" w:after="60"/>
      <w:outlineLvl w:val="2"/>
    </w:pPr>
    <w:rPr>
      <w:rFonts w:ascii="Arial" w:hAnsi="Arial" w:cs="Arial"/>
      <w:b/>
      <w:bCs/>
      <w:sz w:val="26"/>
      <w:szCs w:val="26"/>
    </w:rPr>
  </w:style>
  <w:style w:type="paragraph" w:styleId="4">
    <w:name w:val="heading 4"/>
    <w:basedOn w:val="a"/>
    <w:next w:val="a"/>
    <w:semiHidden/>
    <w:rsid w:val="008A3166"/>
    <w:pPr>
      <w:keepNext/>
      <w:spacing w:before="240" w:after="60"/>
      <w:outlineLvl w:val="3"/>
    </w:pPr>
    <w:rPr>
      <w:b/>
      <w:bCs/>
      <w:sz w:val="28"/>
      <w:szCs w:val="28"/>
    </w:rPr>
  </w:style>
  <w:style w:type="paragraph" w:styleId="5">
    <w:name w:val="heading 5"/>
    <w:basedOn w:val="a"/>
    <w:next w:val="a"/>
    <w:semiHidden/>
    <w:rsid w:val="008A3166"/>
    <w:pPr>
      <w:spacing w:before="240" w:after="60"/>
      <w:outlineLvl w:val="4"/>
    </w:pPr>
    <w:rPr>
      <w:b/>
      <w:bCs/>
      <w:i/>
      <w:iCs/>
      <w:sz w:val="26"/>
      <w:szCs w:val="26"/>
    </w:rPr>
  </w:style>
  <w:style w:type="paragraph" w:styleId="6">
    <w:name w:val="heading 6"/>
    <w:basedOn w:val="a"/>
    <w:next w:val="a"/>
    <w:semiHidden/>
    <w:rsid w:val="008A3166"/>
    <w:pPr>
      <w:spacing w:before="240" w:after="60"/>
      <w:outlineLvl w:val="5"/>
    </w:pPr>
    <w:rPr>
      <w:b/>
      <w:bCs/>
      <w:sz w:val="22"/>
    </w:rPr>
  </w:style>
  <w:style w:type="paragraph" w:styleId="7">
    <w:name w:val="heading 7"/>
    <w:basedOn w:val="a"/>
    <w:next w:val="a"/>
    <w:semiHidden/>
    <w:rsid w:val="008A3166"/>
    <w:pPr>
      <w:spacing w:before="240" w:after="60"/>
      <w:outlineLvl w:val="6"/>
    </w:pPr>
    <w:rPr>
      <w:sz w:val="24"/>
      <w:szCs w:val="24"/>
    </w:rPr>
  </w:style>
  <w:style w:type="paragraph" w:styleId="8">
    <w:name w:val="heading 8"/>
    <w:basedOn w:val="a"/>
    <w:next w:val="a"/>
    <w:semiHidden/>
    <w:rsid w:val="008A3166"/>
    <w:pPr>
      <w:spacing w:before="240" w:after="60"/>
      <w:outlineLvl w:val="7"/>
    </w:pPr>
    <w:rPr>
      <w:i/>
      <w:iCs/>
      <w:sz w:val="24"/>
      <w:szCs w:val="24"/>
    </w:rPr>
  </w:style>
  <w:style w:type="paragraph" w:styleId="9">
    <w:name w:val="heading 9"/>
    <w:basedOn w:val="a"/>
    <w:next w:val="a"/>
    <w:semiHidden/>
    <w:rsid w:val="008A3166"/>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8A31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641A8C"/>
    <w:rPr>
      <w:rFonts w:ascii="Tahoma" w:eastAsiaTheme="minorHAnsi" w:hAnsi="Tahoma" w:cs="Tahoma"/>
      <w:sz w:val="16"/>
      <w:szCs w:val="16"/>
      <w:lang w:val="ru-RU" w:eastAsia="en-US"/>
    </w:rPr>
  </w:style>
  <w:style w:type="paragraph" w:customStyle="1" w:styleId="HMG">
    <w:name w:val="_ H __M_G"/>
    <w:basedOn w:val="a"/>
    <w:next w:val="a"/>
    <w:qFormat/>
    <w:rsid w:val="006306AC"/>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6306AC"/>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6306AC"/>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6306AC"/>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6306AC"/>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6306AC"/>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627C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6306AC"/>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6306AC"/>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6306AC"/>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6306AC"/>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627C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6306AC"/>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6306AC"/>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6306AC"/>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6306AC"/>
    <w:rPr>
      <w:b/>
      <w:sz w:val="18"/>
      <w:lang w:val="en-GB" w:eastAsia="ru-RU"/>
    </w:rPr>
  </w:style>
  <w:style w:type="character" w:styleId="a7">
    <w:name w:val="page number"/>
    <w:aliases w:val="7_G"/>
    <w:basedOn w:val="a0"/>
    <w:qFormat/>
    <w:rsid w:val="006306AC"/>
    <w:rPr>
      <w:rFonts w:ascii="Times New Roman" w:hAnsi="Times New Roman"/>
      <w:b/>
      <w:sz w:val="18"/>
    </w:rPr>
  </w:style>
  <w:style w:type="paragraph" w:styleId="a8">
    <w:name w:val="footer"/>
    <w:aliases w:val="3_G"/>
    <w:basedOn w:val="a"/>
    <w:link w:val="a9"/>
    <w:qFormat/>
    <w:rsid w:val="006306AC"/>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6306AC"/>
    <w:rPr>
      <w:sz w:val="16"/>
      <w:lang w:val="en-GB" w:eastAsia="ru-RU"/>
    </w:rPr>
  </w:style>
  <w:style w:type="character" w:styleId="aa">
    <w:name w:val="footnote reference"/>
    <w:aliases w:val="4_G"/>
    <w:basedOn w:val="a0"/>
    <w:qFormat/>
    <w:rsid w:val="006306AC"/>
    <w:rPr>
      <w:rFonts w:ascii="Times New Roman" w:hAnsi="Times New Roman"/>
      <w:dstrike w:val="0"/>
      <w:sz w:val="18"/>
      <w:vertAlign w:val="superscript"/>
    </w:rPr>
  </w:style>
  <w:style w:type="character" w:styleId="ab">
    <w:name w:val="endnote reference"/>
    <w:aliases w:val="1_G"/>
    <w:basedOn w:val="aa"/>
    <w:qFormat/>
    <w:rsid w:val="006306AC"/>
    <w:rPr>
      <w:rFonts w:ascii="Times New Roman" w:hAnsi="Times New Roman"/>
      <w:dstrike w:val="0"/>
      <w:sz w:val="18"/>
      <w:vertAlign w:val="superscript"/>
    </w:rPr>
  </w:style>
  <w:style w:type="table" w:styleId="ac">
    <w:name w:val="Table Grid"/>
    <w:basedOn w:val="a1"/>
    <w:uiPriority w:val="59"/>
    <w:rsid w:val="004055E9"/>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6306AC"/>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6306AC"/>
    <w:rPr>
      <w:sz w:val="18"/>
      <w:lang w:val="ru-RU" w:eastAsia="ru-RU"/>
    </w:rPr>
  </w:style>
  <w:style w:type="paragraph" w:styleId="af">
    <w:name w:val="endnote text"/>
    <w:aliases w:val="2_G"/>
    <w:basedOn w:val="ad"/>
    <w:link w:val="af0"/>
    <w:qFormat/>
    <w:rsid w:val="006306AC"/>
  </w:style>
  <w:style w:type="character" w:customStyle="1" w:styleId="af0">
    <w:name w:val="Текст концевой сноски Знак"/>
    <w:aliases w:val="2_G Знак"/>
    <w:basedOn w:val="a0"/>
    <w:link w:val="af"/>
    <w:rsid w:val="006306AC"/>
    <w:rPr>
      <w:sz w:val="18"/>
      <w:lang w:val="ru-RU" w:eastAsia="ru-RU"/>
    </w:rPr>
  </w:style>
  <w:style w:type="character" w:customStyle="1" w:styleId="10">
    <w:name w:val="Заголовок 1 Знак"/>
    <w:aliases w:val="Table_G Знак"/>
    <w:basedOn w:val="a0"/>
    <w:link w:val="1"/>
    <w:rsid w:val="006306AC"/>
    <w:rPr>
      <w:rFonts w:cs="Arial"/>
      <w:b/>
      <w:bCs/>
      <w:szCs w:val="32"/>
      <w:lang w:val="ru-RU" w:eastAsia="ru-RU"/>
    </w:rPr>
  </w:style>
  <w:style w:type="character" w:styleId="af1">
    <w:name w:val="Hyperlink"/>
    <w:basedOn w:val="a0"/>
    <w:rsid w:val="006306AC"/>
    <w:rPr>
      <w:color w:val="0000FF" w:themeColor="hyperlink"/>
      <w:u w:val="none"/>
    </w:rPr>
  </w:style>
  <w:style w:type="character" w:styleId="af2">
    <w:name w:val="FollowedHyperlink"/>
    <w:basedOn w:val="a0"/>
    <w:rsid w:val="006306AC"/>
    <w:rPr>
      <w:color w:val="800080" w:themeColor="followedHyperlink"/>
      <w:u w:val="none"/>
    </w:rPr>
  </w:style>
  <w:style w:type="character" w:customStyle="1" w:styleId="SingleTxtGChar">
    <w:name w:val="_ Single Txt_G Char"/>
    <w:link w:val="SingleTxtG"/>
    <w:locked/>
    <w:rsid w:val="00ED462E"/>
    <w:rPr>
      <w:lang w:val="ru-RU" w:eastAsia="en-US"/>
    </w:rPr>
  </w:style>
  <w:style w:type="character" w:styleId="af3">
    <w:name w:val="Unresolved Mention"/>
    <w:basedOn w:val="a0"/>
    <w:uiPriority w:val="99"/>
    <w:semiHidden/>
    <w:unhideWhenUsed/>
    <w:rsid w:val="00ED46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Download.aspx?symbolno=INT%2fCERD%2fRLE%2f9029&amp;Lang=en" TargetMode="External"/><Relationship Id="rId1" Type="http://schemas.openxmlformats.org/officeDocument/2006/relationships/hyperlink" Target="http://undocs.org/ru/A/76/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6</Pages>
  <Words>1924</Words>
  <Characters>14972</Characters>
  <Application>Microsoft Office Word</Application>
  <DocSecurity>0</DocSecurity>
  <Lines>1361</Lines>
  <Paragraphs>375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CERD/C/505</vt:lpstr>
      <vt:lpstr>A/</vt:lpstr>
      <vt:lpstr>A/</vt:lpstr>
    </vt:vector>
  </TitlesOfParts>
  <Company>DCM</Company>
  <LinksUpToDate>false</LinksUpToDate>
  <CharactersWithSpaces>16521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CERD/C/505</dc:title>
  <dc:subject/>
  <dc:creator>Uliana ANTIPOVA</dc:creator>
  <cp:keywords/>
  <cp:lastModifiedBy>Uliana Antipova</cp:lastModifiedBy>
  <cp:revision>3</cp:revision>
  <cp:lastPrinted>2022-09-01T08:17:00Z</cp:lastPrinted>
  <dcterms:created xsi:type="dcterms:W3CDTF">2022-09-01T08:17:00Z</dcterms:created>
  <dcterms:modified xsi:type="dcterms:W3CDTF">2022-09-01T08:18:00Z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