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694122">
        <w:trPr>
          <w:trHeight w:hRule="exact" w:val="851"/>
        </w:trPr>
        <w:tc>
          <w:tcPr>
            <w:tcW w:w="1280" w:type="dxa"/>
            <w:tcBorders>
              <w:bottom w:val="single" w:sz="4" w:space="0" w:color="auto"/>
            </w:tcBorders>
          </w:tcPr>
          <w:p w:rsidR="00694122" w:rsidRDefault="00694122">
            <w:pPr>
              <w:pStyle w:val="Bullet1GC"/>
            </w:pPr>
          </w:p>
        </w:tc>
        <w:tc>
          <w:tcPr>
            <w:tcW w:w="2273" w:type="dxa"/>
            <w:tcBorders>
              <w:bottom w:val="single" w:sz="4" w:space="0" w:color="auto"/>
            </w:tcBorders>
            <w:vAlign w:val="bottom"/>
          </w:tcPr>
          <w:p w:rsidR="00694122" w:rsidRDefault="00694122">
            <w:pPr>
              <w:spacing w:after="80" w:line="300" w:lineRule="exact"/>
              <w:rPr>
                <w:rFonts w:eastAsia="SimHei"/>
                <w:sz w:val="28"/>
              </w:rPr>
            </w:pPr>
            <w:r>
              <w:rPr>
                <w:rFonts w:eastAsia="SimHei" w:hAnsi="Time New Roman"/>
                <w:sz w:val="28"/>
              </w:rPr>
              <w:t>联</w:t>
            </w:r>
            <w:r>
              <w:rPr>
                <w:rFonts w:eastAsia="SimHei"/>
                <w:sz w:val="28"/>
              </w:rPr>
              <w:t xml:space="preserve"> </w:t>
            </w:r>
            <w:r>
              <w:rPr>
                <w:rFonts w:eastAsia="SimHei" w:hAnsi="Time New Roman"/>
                <w:sz w:val="28"/>
              </w:rPr>
              <w:t>合</w:t>
            </w:r>
            <w:r>
              <w:rPr>
                <w:rFonts w:eastAsia="SimHei"/>
                <w:sz w:val="28"/>
              </w:rPr>
              <w:t xml:space="preserve"> </w:t>
            </w:r>
            <w:r>
              <w:rPr>
                <w:rFonts w:eastAsia="SimHei" w:hAnsi="Time New Roman"/>
                <w:sz w:val="28"/>
              </w:rPr>
              <w:t>国</w:t>
            </w:r>
          </w:p>
        </w:tc>
        <w:tc>
          <w:tcPr>
            <w:tcW w:w="6086" w:type="dxa"/>
            <w:gridSpan w:val="2"/>
            <w:tcBorders>
              <w:bottom w:val="single" w:sz="4" w:space="0" w:color="auto"/>
            </w:tcBorders>
            <w:vAlign w:val="bottom"/>
          </w:tcPr>
          <w:p w:rsidR="00694122" w:rsidRDefault="00694122">
            <w:pPr>
              <w:spacing w:line="240" w:lineRule="atLeast"/>
              <w:jc w:val="right"/>
              <w:rPr>
                <w:szCs w:val="21"/>
              </w:rPr>
            </w:pPr>
            <w:r>
              <w:rPr>
                <w:sz w:val="40"/>
                <w:szCs w:val="40"/>
              </w:rPr>
              <w:t>E</w:t>
            </w:r>
            <w:r>
              <w:rPr>
                <w:sz w:val="20"/>
              </w:rPr>
              <w:t>/</w:t>
            </w:r>
            <w:r>
              <w:rPr>
                <w:sz w:val="20"/>
                <w:lang w:val="en-GB"/>
              </w:rPr>
              <w:t>C.12/ETH/CO/1-3</w:t>
            </w:r>
          </w:p>
        </w:tc>
      </w:tr>
      <w:tr w:rsidR="00694122">
        <w:trPr>
          <w:trHeight w:hRule="exact" w:val="2835"/>
        </w:trPr>
        <w:tc>
          <w:tcPr>
            <w:tcW w:w="1280" w:type="dxa"/>
            <w:tcBorders>
              <w:top w:val="single" w:sz="4" w:space="0" w:color="auto"/>
              <w:bottom w:val="single" w:sz="12" w:space="0" w:color="auto"/>
            </w:tcBorders>
          </w:tcPr>
          <w:p w:rsidR="00694122" w:rsidRDefault="00694122">
            <w:pPr>
              <w:spacing w:line="120" w:lineRule="atLeast"/>
              <w:rPr>
                <w:sz w:val="10"/>
                <w:szCs w:val="10"/>
              </w:rPr>
            </w:pPr>
          </w:p>
          <w:p w:rsidR="00694122" w:rsidRDefault="0069412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694122" w:rsidRDefault="00694122">
            <w:pPr>
              <w:spacing w:before="160" w:line="240" w:lineRule="auto"/>
              <w:rPr>
                <w:rFonts w:eastAsia="SimHei"/>
                <w:spacing w:val="4"/>
                <w:sz w:val="36"/>
                <w:szCs w:val="36"/>
              </w:rPr>
            </w:pPr>
            <w:r>
              <w:rPr>
                <w:rFonts w:eastAsia="SimHei"/>
                <w:spacing w:val="4"/>
                <w:sz w:val="36"/>
                <w:szCs w:val="36"/>
              </w:rPr>
              <w:t>经济及社会理事会</w:t>
            </w:r>
          </w:p>
        </w:tc>
        <w:tc>
          <w:tcPr>
            <w:tcW w:w="2819" w:type="dxa"/>
            <w:tcBorders>
              <w:top w:val="single" w:sz="4" w:space="0" w:color="auto"/>
              <w:bottom w:val="single" w:sz="12" w:space="0" w:color="auto"/>
            </w:tcBorders>
          </w:tcPr>
          <w:p w:rsidR="00694122" w:rsidRDefault="00694122">
            <w:pPr>
              <w:spacing w:before="240" w:line="240" w:lineRule="atLeast"/>
              <w:rPr>
                <w:sz w:val="20"/>
              </w:rPr>
            </w:pPr>
            <w:r>
              <w:rPr>
                <w:sz w:val="20"/>
              </w:rPr>
              <w:t>Distr.: General</w:t>
            </w:r>
          </w:p>
          <w:p w:rsidR="00694122" w:rsidRDefault="00694122">
            <w:pPr>
              <w:spacing w:line="240" w:lineRule="atLeast"/>
              <w:rPr>
                <w:sz w:val="20"/>
              </w:rPr>
            </w:pPr>
            <w:r>
              <w:rPr>
                <w:sz w:val="20"/>
              </w:rPr>
              <w:t>31 May 2012</w:t>
            </w:r>
          </w:p>
          <w:p w:rsidR="00694122" w:rsidRDefault="00694122">
            <w:pPr>
              <w:spacing w:line="240" w:lineRule="atLeast"/>
              <w:rPr>
                <w:sz w:val="20"/>
              </w:rPr>
            </w:pPr>
            <w:r>
              <w:rPr>
                <w:sz w:val="20"/>
              </w:rPr>
              <w:t xml:space="preserve">Chinese </w:t>
            </w:r>
          </w:p>
          <w:p w:rsidR="00694122" w:rsidRDefault="00694122">
            <w:pPr>
              <w:spacing w:line="240" w:lineRule="atLeast"/>
              <w:rPr>
                <w:sz w:val="20"/>
              </w:rPr>
            </w:pPr>
            <w:r>
              <w:rPr>
                <w:sz w:val="20"/>
              </w:rPr>
              <w:t>Original: English</w:t>
            </w:r>
          </w:p>
        </w:tc>
      </w:tr>
    </w:tbl>
    <w:p w:rsidR="00694122" w:rsidRDefault="00694122">
      <w:pPr>
        <w:spacing w:before="120"/>
        <w:rPr>
          <w:rFonts w:eastAsia="SimHei"/>
          <w:sz w:val="24"/>
          <w:szCs w:val="24"/>
          <w:lang w:val="en-GB"/>
        </w:rPr>
      </w:pPr>
      <w:r>
        <w:rPr>
          <w:rFonts w:eastAsia="SimHei" w:hAnsi="Time New Roman"/>
          <w:sz w:val="24"/>
          <w:szCs w:val="24"/>
          <w:lang w:val="en-GB"/>
        </w:rPr>
        <w:t>经济、社会和文化权利委员会</w:t>
      </w:r>
    </w:p>
    <w:p w:rsidR="00694122" w:rsidRDefault="00694122">
      <w:pPr>
        <w:rPr>
          <w:rFonts w:eastAsia="SimHei"/>
          <w:szCs w:val="21"/>
        </w:rPr>
      </w:pPr>
      <w:r>
        <w:rPr>
          <w:rFonts w:eastAsia="SimHei" w:hAnsi="Time New Roman"/>
          <w:szCs w:val="21"/>
        </w:rPr>
        <w:t>第四十八届会议</w:t>
      </w:r>
    </w:p>
    <w:p w:rsidR="00694122" w:rsidRDefault="00694122">
      <w:pPr>
        <w:rPr>
          <w:szCs w:val="21"/>
        </w:rPr>
      </w:pPr>
      <w:r>
        <w:rPr>
          <w:szCs w:val="21"/>
        </w:rPr>
        <w:t>2012</w:t>
      </w:r>
      <w:r>
        <w:rPr>
          <w:rFonts w:hAnsi="Time New Roman"/>
          <w:szCs w:val="21"/>
        </w:rPr>
        <w:t>年</w:t>
      </w:r>
      <w:r>
        <w:rPr>
          <w:szCs w:val="21"/>
        </w:rPr>
        <w:t>4</w:t>
      </w:r>
      <w:r>
        <w:rPr>
          <w:rFonts w:hAnsi="Time New Roman"/>
          <w:szCs w:val="21"/>
        </w:rPr>
        <w:t>月</w:t>
      </w:r>
      <w:r>
        <w:rPr>
          <w:szCs w:val="21"/>
        </w:rPr>
        <w:t>30</w:t>
      </w:r>
      <w:r>
        <w:rPr>
          <w:rFonts w:hAnsi="Time New Roman"/>
          <w:szCs w:val="21"/>
        </w:rPr>
        <w:t>日至</w:t>
      </w:r>
      <w:r>
        <w:rPr>
          <w:szCs w:val="21"/>
        </w:rPr>
        <w:t>5</w:t>
      </w:r>
      <w:r>
        <w:rPr>
          <w:rFonts w:hAnsi="Time New Roman"/>
          <w:szCs w:val="21"/>
        </w:rPr>
        <w:t>月</w:t>
      </w:r>
      <w:r>
        <w:rPr>
          <w:szCs w:val="21"/>
        </w:rPr>
        <w:t>18</w:t>
      </w:r>
      <w:r>
        <w:rPr>
          <w:rFonts w:hAnsi="Time New Roman"/>
          <w:szCs w:val="21"/>
        </w:rPr>
        <w:t>日</w:t>
      </w:r>
    </w:p>
    <w:p w:rsidR="00694122" w:rsidRDefault="00694122" w:rsidP="00AA114E">
      <w:pPr>
        <w:pStyle w:val="HChGC"/>
        <w:spacing w:before="480"/>
      </w:pPr>
      <w:r>
        <w:tab/>
      </w:r>
      <w:r>
        <w:tab/>
      </w:r>
      <w:r>
        <w:t>审议缔约国根据《公约》第十六条和第十七条提交的报告</w:t>
      </w:r>
    </w:p>
    <w:p w:rsidR="00694122" w:rsidRDefault="00694122">
      <w:pPr>
        <w:pStyle w:val="H1GC"/>
        <w:rPr>
          <w:szCs w:val="24"/>
        </w:rPr>
      </w:pPr>
      <w:r>
        <w:rPr>
          <w:szCs w:val="24"/>
        </w:rPr>
        <w:tab/>
      </w:r>
      <w:r>
        <w:rPr>
          <w:szCs w:val="24"/>
        </w:rPr>
        <w:tab/>
      </w:r>
      <w:r>
        <w:t>经济、社会和文化权利委员会的结论性意见</w:t>
      </w:r>
    </w:p>
    <w:p w:rsidR="00694122" w:rsidRDefault="00694122">
      <w:pPr>
        <w:pStyle w:val="HChGC"/>
      </w:pPr>
      <w:r>
        <w:tab/>
      </w:r>
      <w:r>
        <w:tab/>
      </w:r>
      <w:r>
        <w:t>埃塞俄比亚</w:t>
      </w:r>
    </w:p>
    <w:p w:rsidR="00694122" w:rsidRDefault="00694122" w:rsidP="0036434C">
      <w:pPr>
        <w:pStyle w:val="SingleTxtGC"/>
      </w:pPr>
      <w:r>
        <w:t>1.</w:t>
      </w:r>
      <w:r w:rsidR="00AA114E">
        <w:rPr>
          <w:rFonts w:hint="eastAsia"/>
        </w:rPr>
        <w:tab/>
      </w:r>
      <w:r>
        <w:t>经济、社会和文化权利委员会在</w:t>
      </w:r>
      <w:r>
        <w:t>2012</w:t>
      </w:r>
      <w:r>
        <w:t>年</w:t>
      </w:r>
      <w:r>
        <w:t>5</w:t>
      </w:r>
      <w:r>
        <w:t>月</w:t>
      </w:r>
      <w:r>
        <w:t>9</w:t>
      </w:r>
      <w:r>
        <w:t>日和</w:t>
      </w:r>
      <w:r>
        <w:t>10</w:t>
      </w:r>
      <w:r>
        <w:t>日举行的第</w:t>
      </w:r>
      <w:r>
        <w:t>15</w:t>
      </w:r>
      <w:r>
        <w:t>、</w:t>
      </w:r>
      <w:r>
        <w:t>16</w:t>
      </w:r>
      <w:r>
        <w:t>和</w:t>
      </w:r>
      <w:r>
        <w:t>17</w:t>
      </w:r>
      <w:r>
        <w:t>次会议</w:t>
      </w:r>
      <w:r>
        <w:t>(E/C.12/2012/SR.15-17)</w:t>
      </w:r>
      <w:r>
        <w:t>上审议了埃塞俄比亚关于《经济、社会、文化权利国际公约》执行情况的合并的初次、第二次和第三次定期报告</w:t>
      </w:r>
      <w:r>
        <w:t>(E/C.12/</w:t>
      </w:r>
      <w:r w:rsidR="0036434C">
        <w:rPr>
          <w:rFonts w:hint="eastAsia"/>
        </w:rPr>
        <w:t xml:space="preserve"> </w:t>
      </w:r>
      <w:r>
        <w:t>ETH/1-3)</w:t>
      </w:r>
      <w:r>
        <w:t>，</w:t>
      </w:r>
      <w:r>
        <w:rPr>
          <w:spacing w:val="-2"/>
        </w:rPr>
        <w:t>并在</w:t>
      </w:r>
      <w:r>
        <w:rPr>
          <w:spacing w:val="-2"/>
        </w:rPr>
        <w:t>2012</w:t>
      </w:r>
      <w:r>
        <w:rPr>
          <w:spacing w:val="-2"/>
        </w:rPr>
        <w:t>年</w:t>
      </w:r>
      <w:r>
        <w:rPr>
          <w:spacing w:val="-2"/>
        </w:rPr>
        <w:t>5</w:t>
      </w:r>
      <w:r>
        <w:rPr>
          <w:spacing w:val="-2"/>
        </w:rPr>
        <w:t>月</w:t>
      </w:r>
      <w:r>
        <w:rPr>
          <w:spacing w:val="-2"/>
        </w:rPr>
        <w:t>18</w:t>
      </w:r>
      <w:r>
        <w:rPr>
          <w:spacing w:val="-2"/>
        </w:rPr>
        <w:t>日举行的第</w:t>
      </w:r>
      <w:r>
        <w:rPr>
          <w:spacing w:val="-2"/>
        </w:rPr>
        <w:t>28</w:t>
      </w:r>
      <w:r>
        <w:rPr>
          <w:spacing w:val="-2"/>
        </w:rPr>
        <w:t>次会议上通过了以下结论性意见。</w:t>
      </w:r>
    </w:p>
    <w:p w:rsidR="00694122" w:rsidRDefault="00694122">
      <w:pPr>
        <w:pStyle w:val="H1GC"/>
      </w:pPr>
      <w:r>
        <w:tab/>
        <w:t>A.</w:t>
      </w:r>
      <w:r>
        <w:tab/>
      </w:r>
      <w:r>
        <w:t>导言</w:t>
      </w:r>
    </w:p>
    <w:p w:rsidR="00694122" w:rsidRDefault="00694122" w:rsidP="0036434C">
      <w:pPr>
        <w:pStyle w:val="SingleTxtGC"/>
      </w:pPr>
      <w:r>
        <w:t>2.</w:t>
      </w:r>
      <w:r w:rsidR="00AA114E">
        <w:rPr>
          <w:rFonts w:hint="eastAsia"/>
        </w:rPr>
        <w:tab/>
      </w:r>
      <w:r>
        <w:t>委员会欢迎埃塞俄比亚提交合并的初次、第二次和第三次定期报告，尽管报告拖延很久才提交，令人遗憾，并指出，对问题单的答复仅在与缔约国代表团对话前一天才提交委员会。</w:t>
      </w:r>
    </w:p>
    <w:p w:rsidR="00694122" w:rsidRDefault="00694122">
      <w:pPr>
        <w:pStyle w:val="SingleTxtGC"/>
      </w:pPr>
      <w:r>
        <w:t>3.</w:t>
      </w:r>
      <w:r w:rsidR="00AA114E">
        <w:rPr>
          <w:rFonts w:hint="eastAsia"/>
        </w:rPr>
        <w:tab/>
      </w:r>
      <w:r>
        <w:t>委员会欢迎与缔约国代表团首次进行坦诚的对话，但委员会感到遗憾的是，代表团中没有相关部委和政府部门的专家，他们本来可以就在缔约国享有《公约》权利的情况、以及缔约国在充分执行《公约》方面所面临的挑战提供详细的资料。</w:t>
      </w:r>
    </w:p>
    <w:p w:rsidR="00694122" w:rsidRDefault="00694122">
      <w:pPr>
        <w:pStyle w:val="H1GC"/>
      </w:pPr>
      <w:r>
        <w:rPr>
          <w:b/>
        </w:rPr>
        <w:tab/>
      </w:r>
      <w:r>
        <w:t>B.</w:t>
      </w:r>
      <w:r>
        <w:tab/>
      </w:r>
      <w:r>
        <w:t>积极方面</w:t>
      </w:r>
    </w:p>
    <w:p w:rsidR="00694122" w:rsidRDefault="00694122">
      <w:pPr>
        <w:pStyle w:val="SingleTxtGC"/>
      </w:pPr>
      <w:r>
        <w:t>4.</w:t>
      </w:r>
      <w:r w:rsidR="00AA114E">
        <w:rPr>
          <w:rFonts w:hint="eastAsia"/>
        </w:rPr>
        <w:tab/>
      </w:r>
      <w:r>
        <w:t>委员会赞赏地注意到，缔约国作出了努力，推动落实各项经济、社会和文化权利。委员会特别欢迎：</w:t>
      </w:r>
    </w:p>
    <w:p w:rsidR="00694122" w:rsidRDefault="00694122">
      <w:pPr>
        <w:pStyle w:val="SingleTxtGC"/>
        <w:numPr>
          <w:ilvl w:val="0"/>
          <w:numId w:val="35"/>
        </w:numPr>
      </w:pPr>
      <w:r>
        <w:t>自</w:t>
      </w:r>
      <w:r>
        <w:t>2004</w:t>
      </w:r>
      <w:r>
        <w:t>年以来，由于缔约国将减贫作为其发展政策、战略和方案的优先事项，贫困现象大幅度减少；</w:t>
      </w:r>
    </w:p>
    <w:p w:rsidR="00694122" w:rsidRDefault="00694122">
      <w:pPr>
        <w:pStyle w:val="SingleTxtGC"/>
        <w:numPr>
          <w:ilvl w:val="0"/>
          <w:numId w:val="35"/>
        </w:numPr>
      </w:pPr>
      <w:r>
        <w:t>设立禁止对儿童性剥削问题国家指导委员会，和拟订</w:t>
      </w:r>
      <w:r>
        <w:rPr>
          <w:rFonts w:hint="eastAsia"/>
        </w:rPr>
        <w:t>“</w:t>
      </w:r>
      <w:r>
        <w:t>禁止对儿童性虐待和性剥削</w:t>
      </w:r>
      <w:r>
        <w:t>2006-2010</w:t>
      </w:r>
      <w:r>
        <w:t>年行动计划</w:t>
      </w:r>
      <w:r>
        <w:rPr>
          <w:rFonts w:hint="eastAsia"/>
        </w:rPr>
        <w:t>”</w:t>
      </w:r>
      <w:r>
        <w:t>；</w:t>
      </w:r>
    </w:p>
    <w:p w:rsidR="00694122" w:rsidRDefault="00694122">
      <w:pPr>
        <w:pStyle w:val="SingleTxtGC"/>
        <w:numPr>
          <w:ilvl w:val="0"/>
          <w:numId w:val="35"/>
        </w:numPr>
      </w:pPr>
      <w:r>
        <w:t>通过国家法律将女性外阴残割的做法定为刑事罪；</w:t>
      </w:r>
    </w:p>
    <w:p w:rsidR="00694122" w:rsidRDefault="00694122">
      <w:pPr>
        <w:pStyle w:val="SingleTxtGC"/>
        <w:numPr>
          <w:ilvl w:val="0"/>
          <w:numId w:val="35"/>
        </w:numPr>
      </w:pPr>
      <w:r>
        <w:t>在《刑法》中列入贩卖人口罪的定义。</w:t>
      </w:r>
    </w:p>
    <w:p w:rsidR="00694122" w:rsidRDefault="00694122">
      <w:pPr>
        <w:pStyle w:val="H1GC"/>
      </w:pPr>
      <w:r>
        <w:tab/>
        <w:t>C.</w:t>
      </w:r>
      <w:r>
        <w:tab/>
      </w:r>
      <w:r>
        <w:t>主要关注事项和建议</w:t>
      </w:r>
    </w:p>
    <w:p w:rsidR="00694122" w:rsidRDefault="00694122">
      <w:pPr>
        <w:pStyle w:val="SingleTxtGC"/>
      </w:pPr>
      <w:r>
        <w:t>5.</w:t>
      </w:r>
      <w:r w:rsidR="00324A6E">
        <w:rPr>
          <w:rFonts w:hint="eastAsia"/>
        </w:rPr>
        <w:tab/>
      </w:r>
      <w:r>
        <w:t>委员会关注的是，尽管该国宪法规定缔约国批准的国际协定为该国法律的组成部分，但该国却没有提供信息，说明《公约》的实际适用情况。这可能表明，《经济、社会和文化权利国际公约》没有被法院援引或适用。</w:t>
      </w:r>
    </w:p>
    <w:p w:rsidR="00694122" w:rsidRDefault="00694122">
      <w:pPr>
        <w:pStyle w:val="SingleTxtGC"/>
        <w:rPr>
          <w:rFonts w:eastAsia="SimHei"/>
        </w:rPr>
      </w:pPr>
      <w:r>
        <w:rPr>
          <w:rFonts w:eastAsia="SimHei"/>
        </w:rPr>
        <w:t>委员会请缔约国在下一次定期报告中提供关于《公约》作为法院案件的法律根据、或法院裁决引用《公约》的案件的详细资料</w:t>
      </w:r>
      <w:r>
        <w:rPr>
          <w:rFonts w:eastAsia="SimHei" w:hint="eastAsia"/>
        </w:rPr>
        <w:t>。</w:t>
      </w:r>
    </w:p>
    <w:p w:rsidR="00694122" w:rsidRDefault="00694122">
      <w:pPr>
        <w:pStyle w:val="SingleTxtGC"/>
      </w:pPr>
      <w:r>
        <w:t>6.</w:t>
      </w:r>
      <w:r w:rsidR="00324A6E">
        <w:rPr>
          <w:rFonts w:hint="eastAsia"/>
        </w:rPr>
        <w:tab/>
      </w:r>
      <w:r>
        <w:t>委员会关切地注意到，埃塞俄比亚人权委员会尚未向增进和保护人权国家机构国际协调委员会申请资格认证。委员会对埃塞俄比亚人权委员会遵守《巴黎原则》的程度表示关切。</w:t>
      </w:r>
    </w:p>
    <w:p w:rsidR="00694122" w:rsidRDefault="00694122">
      <w:pPr>
        <w:pStyle w:val="SingleTxtGC"/>
        <w:rPr>
          <w:rFonts w:eastAsia="SimHei"/>
        </w:rPr>
      </w:pPr>
      <w:r>
        <w:rPr>
          <w:rFonts w:eastAsia="SimHei"/>
        </w:rPr>
        <w:t>委员会建议缔约国采取一切必要措施，以确保埃塞俄比亚人权委员会的地位、包括授权、独立性和能力完全符合《巴黎原则》。</w:t>
      </w:r>
    </w:p>
    <w:p w:rsidR="00694122" w:rsidRDefault="00694122">
      <w:pPr>
        <w:pStyle w:val="SingleTxtGC"/>
        <w:rPr>
          <w:b/>
        </w:rPr>
      </w:pPr>
      <w:r>
        <w:t>7.</w:t>
      </w:r>
      <w:r w:rsidR="00324A6E">
        <w:rPr>
          <w:rFonts w:hint="eastAsia"/>
        </w:rPr>
        <w:tab/>
      </w:r>
      <w:r>
        <w:t>委员会关切地注意到，《慈善机构和社团公告》</w:t>
      </w:r>
      <w:r>
        <w:t>(</w:t>
      </w:r>
      <w:r>
        <w:t>第</w:t>
      </w:r>
      <w:r>
        <w:t>621/2009</w:t>
      </w:r>
      <w:r>
        <w:t>号</w:t>
      </w:r>
      <w:r>
        <w:t>)</w:t>
      </w:r>
      <w:r>
        <w:t>的某些规定严重妨碍各人权组织的运作。委员会还关切的是，慈善机构和社团管理局冻结了其中有些机构的资产，包括埃塞俄比亚女律师协会，迫使其缩小规模、关闭地区办事处和中止提供部分服务。</w:t>
      </w:r>
    </w:p>
    <w:p w:rsidR="00694122" w:rsidRDefault="00694122">
      <w:pPr>
        <w:pStyle w:val="SingleTxtGC"/>
        <w:rPr>
          <w:rFonts w:eastAsia="SimHei"/>
        </w:rPr>
      </w:pPr>
      <w:r>
        <w:rPr>
          <w:rFonts w:eastAsia="SimHei"/>
        </w:rPr>
        <w:t>委员会建议缔约国修订第</w:t>
      </w:r>
      <w:r>
        <w:rPr>
          <w:rFonts w:eastAsia="SimHei"/>
        </w:rPr>
        <w:t>621/2009</w:t>
      </w:r>
      <w:r>
        <w:rPr>
          <w:rFonts w:eastAsia="SimHei"/>
        </w:rPr>
        <w:t>号公告，以期去除限制人权组织工作的规定，取消资金限制，解除冻结当地人权非政府组织的所有资产。</w:t>
      </w:r>
    </w:p>
    <w:p w:rsidR="00694122" w:rsidRDefault="00694122">
      <w:pPr>
        <w:pStyle w:val="SingleTxtGC"/>
        <w:rPr>
          <w:b/>
        </w:rPr>
      </w:pPr>
      <w:r>
        <w:t>8.</w:t>
      </w:r>
      <w:r w:rsidR="00BB1C3E">
        <w:rPr>
          <w:rFonts w:hint="eastAsia"/>
        </w:rPr>
        <w:tab/>
      </w:r>
      <w:r>
        <w:t>委员会关注的是，缔约国尚未通过一项全面的反歧视法案。委员会还对《刑法》将同性恋定为罪行表示关切</w:t>
      </w:r>
      <w:r>
        <w:t>(</w:t>
      </w:r>
      <w:r>
        <w:t>第</w:t>
      </w:r>
      <w:r>
        <w:rPr>
          <w:rFonts w:hint="eastAsia"/>
        </w:rPr>
        <w:t>二</w:t>
      </w:r>
      <w:r>
        <w:t>条</w:t>
      </w:r>
      <w:r>
        <w:t>)</w:t>
      </w:r>
      <w:r>
        <w:t>。</w:t>
      </w:r>
    </w:p>
    <w:p w:rsidR="00694122" w:rsidRDefault="00694122">
      <w:pPr>
        <w:pStyle w:val="SingleTxtGC"/>
        <w:rPr>
          <w:rFonts w:eastAsia="SimHei"/>
        </w:rPr>
      </w:pPr>
      <w:r>
        <w:rPr>
          <w:rFonts w:eastAsia="SimHei"/>
        </w:rPr>
        <w:t>委员会建议缔约国通过一项全面的反歧视法案，采取紧急措施，修订《刑法》，取消同性恋为刑事罪的规定。委员会建议缔约国采取措施，反对并防止歧视和社会污辱，特别是对残疾人、男女同性恋、双性恋和变性人、以及属于边缘群体和处境不利群体的个人，确保他们享有《公约》所载的权利，特别是获得就业、社会服务、医疗照顾和教育的权利。委员会提请缔约国注意其关于在经济、社会和文化权利方面不歧视问题的第</w:t>
      </w:r>
      <w:r>
        <w:rPr>
          <w:rFonts w:eastAsia="SimHei"/>
        </w:rPr>
        <w:t>20</w:t>
      </w:r>
      <w:r>
        <w:rPr>
          <w:rFonts w:eastAsia="SimHei"/>
        </w:rPr>
        <w:t>号一般性意见</w:t>
      </w:r>
      <w:r>
        <w:rPr>
          <w:rFonts w:eastAsia="SimHei"/>
        </w:rPr>
        <w:t>(2009</w:t>
      </w:r>
      <w:r>
        <w:rPr>
          <w:rFonts w:eastAsia="SimHei"/>
        </w:rPr>
        <w:t>年</w:t>
      </w:r>
      <w:r>
        <w:rPr>
          <w:rFonts w:eastAsia="SimHei"/>
        </w:rPr>
        <w:t>)</w:t>
      </w:r>
      <w:r>
        <w:rPr>
          <w:rFonts w:eastAsia="SimHei"/>
        </w:rPr>
        <w:t>。</w:t>
      </w:r>
    </w:p>
    <w:p w:rsidR="00694122" w:rsidRDefault="00694122">
      <w:pPr>
        <w:pStyle w:val="SingleTxtGC"/>
        <w:rPr>
          <w:b/>
        </w:rPr>
      </w:pPr>
      <w:r>
        <w:t>9.</w:t>
      </w:r>
      <w:r w:rsidR="00BB1C3E">
        <w:rPr>
          <w:rFonts w:hint="eastAsia"/>
        </w:rPr>
        <w:tab/>
      </w:r>
      <w:r>
        <w:t>委员会对缔约国</w:t>
      </w:r>
      <w:r>
        <w:rPr>
          <w:rFonts w:hint="eastAsia"/>
        </w:rPr>
        <w:t>的</w:t>
      </w:r>
      <w:r>
        <w:t>高失业率表示关注，尽管该国经济增长率很高</w:t>
      </w:r>
      <w:r>
        <w:rPr>
          <w:rFonts w:hint="eastAsia"/>
        </w:rPr>
        <w:t>。</w:t>
      </w:r>
      <w:r>
        <w:t>委员会还关注的是，妇女失业率高于男子，青年失业率居高不下，年轻人、残疾人和妇女等处境最不利和边缘化的个人和群体获得就业的机会有限</w:t>
      </w:r>
      <w:r>
        <w:t>(</w:t>
      </w:r>
      <w:r>
        <w:t>第</w:t>
      </w:r>
      <w:r>
        <w:rPr>
          <w:rFonts w:hint="eastAsia"/>
        </w:rPr>
        <w:t>六</w:t>
      </w:r>
      <w:r>
        <w:t>条</w:t>
      </w:r>
      <w:r>
        <w:t>)</w:t>
      </w:r>
      <w:r>
        <w:t>。</w:t>
      </w:r>
    </w:p>
    <w:p w:rsidR="00694122" w:rsidRDefault="00694122">
      <w:pPr>
        <w:pStyle w:val="SingleTxtGC"/>
        <w:rPr>
          <w:rFonts w:eastAsia="SimHei"/>
        </w:rPr>
      </w:pPr>
      <w:r>
        <w:rPr>
          <w:rFonts w:eastAsia="SimHei"/>
        </w:rPr>
        <w:t>委员会建议缔约国采取措施，大幅度减少失业，并增加年轻人、残疾人和妇女等处境最不利和边缘化的个人和群体获得就业的机会。</w:t>
      </w:r>
    </w:p>
    <w:p w:rsidR="00694122" w:rsidRDefault="00694122">
      <w:pPr>
        <w:pStyle w:val="SingleTxtGC"/>
        <w:rPr>
          <w:b/>
        </w:rPr>
      </w:pPr>
      <w:r>
        <w:t>10.</w:t>
      </w:r>
      <w:r>
        <w:rPr>
          <w:rFonts w:hint="eastAsia"/>
        </w:rPr>
        <w:t xml:space="preserve">  </w:t>
      </w:r>
      <w:r>
        <w:t>委员会关注的是，非正规经济部门工作者的工作条件不健康、不安全，他们</w:t>
      </w:r>
      <w:r>
        <w:rPr>
          <w:rFonts w:hint="eastAsia"/>
        </w:rPr>
        <w:t>的</w:t>
      </w:r>
      <w:r>
        <w:t>工作</w:t>
      </w:r>
      <w:r>
        <w:rPr>
          <w:rFonts w:hint="eastAsia"/>
        </w:rPr>
        <w:t>时数</w:t>
      </w:r>
      <w:r>
        <w:t>常常超过法定每周最多</w:t>
      </w:r>
      <w:r>
        <w:t>48</w:t>
      </w:r>
      <w:r>
        <w:t>小时的规定</w:t>
      </w:r>
      <w:r>
        <w:t>(</w:t>
      </w:r>
      <w:r>
        <w:t>第</w:t>
      </w:r>
      <w:r>
        <w:rPr>
          <w:rFonts w:hint="eastAsia"/>
        </w:rPr>
        <w:t>七</w:t>
      </w:r>
      <w:r>
        <w:t>条</w:t>
      </w:r>
      <w:r>
        <w:t>)</w:t>
      </w:r>
      <w:r>
        <w:t>。</w:t>
      </w:r>
    </w:p>
    <w:p w:rsidR="00694122" w:rsidRDefault="00694122">
      <w:pPr>
        <w:pStyle w:val="SingleTxtGC"/>
        <w:rPr>
          <w:rFonts w:eastAsia="SimHei" w:hint="eastAsia"/>
        </w:rPr>
      </w:pPr>
      <w:r>
        <w:rPr>
          <w:rFonts w:eastAsia="SimHei"/>
        </w:rPr>
        <w:t>委员会建议缔约国采取措施，通过逐步改善非正规部门人员的工作条件并将他们纳入社会保障制度，使这些人员的状况正规化。委员会还建议缔约国建立数据收集制度，以监测失业情况和非正规部门的就业情况。</w:t>
      </w:r>
    </w:p>
    <w:p w:rsidR="00694122" w:rsidRDefault="00694122">
      <w:pPr>
        <w:pStyle w:val="SingleTxtGC"/>
        <w:rPr>
          <w:b/>
        </w:rPr>
      </w:pPr>
      <w:r>
        <w:t>11.</w:t>
      </w:r>
      <w:r>
        <w:rPr>
          <w:rFonts w:hint="eastAsia"/>
        </w:rPr>
        <w:t xml:space="preserve">  </w:t>
      </w:r>
      <w:r>
        <w:t>委员会关注的是，缔约国尚未确定全国最低工资。委员会还关注的是，男女工资差异继续存在</w:t>
      </w:r>
      <w:r>
        <w:t>(</w:t>
      </w:r>
      <w:r>
        <w:t>第</w:t>
      </w:r>
      <w:r>
        <w:rPr>
          <w:rFonts w:hint="eastAsia"/>
        </w:rPr>
        <w:t>七</w:t>
      </w:r>
      <w:r>
        <w:t>条</w:t>
      </w:r>
      <w:r>
        <w:t>)</w:t>
      </w:r>
      <w:r>
        <w:t>。</w:t>
      </w:r>
    </w:p>
    <w:p w:rsidR="00694122" w:rsidRDefault="00694122">
      <w:pPr>
        <w:pStyle w:val="SingleTxtGC"/>
        <w:rPr>
          <w:rFonts w:eastAsia="SimHei"/>
        </w:rPr>
      </w:pPr>
      <w:r>
        <w:rPr>
          <w:rFonts w:eastAsia="SimHei"/>
        </w:rPr>
        <w:t>委员会建议缔约国采取立法和其他措施，规定全国最低工资。委员会建议缔约国确保在足够高的级别定期审查和确定全国最低工资，以便为所有工人及其家庭成员提供像样的生活水准。委员会还建议缔约国采取措施，确保男女同工同酬。</w:t>
      </w:r>
    </w:p>
    <w:p w:rsidR="00694122" w:rsidRDefault="00694122">
      <w:pPr>
        <w:pStyle w:val="SingleTxtGC"/>
        <w:rPr>
          <w:b/>
        </w:rPr>
      </w:pPr>
      <w:r>
        <w:t>12.</w:t>
      </w:r>
      <w:r>
        <w:rPr>
          <w:rFonts w:hint="eastAsia"/>
        </w:rPr>
        <w:t xml:space="preserve">  </w:t>
      </w:r>
      <w:r>
        <w:t>委员会关注的是，组织和</w:t>
      </w:r>
      <w:r>
        <w:t>/</w:t>
      </w:r>
      <w:r>
        <w:t>或加入工会的权利在法律上和实践中没有得到充分保障，据称公共部门工人、特别是教师</w:t>
      </w:r>
      <w:r>
        <w:rPr>
          <w:rFonts w:hint="eastAsia"/>
        </w:rPr>
        <w:t>因与</w:t>
      </w:r>
      <w:r>
        <w:t>工会有关的活动而被解雇或调动。委员会还关注的是，《刑法》第</w:t>
      </w:r>
      <w:r>
        <w:t>421</w:t>
      </w:r>
      <w:r>
        <w:t>条规定对参加罢工的公务员可处以监禁</w:t>
      </w:r>
      <w:r>
        <w:t>(</w:t>
      </w:r>
      <w:r>
        <w:t>第</w:t>
      </w:r>
      <w:r>
        <w:rPr>
          <w:rFonts w:hint="eastAsia"/>
        </w:rPr>
        <w:t>八</w:t>
      </w:r>
      <w:r>
        <w:t>条</w:t>
      </w:r>
      <w:r>
        <w:t>)</w:t>
      </w:r>
      <w:r>
        <w:t>。</w:t>
      </w:r>
    </w:p>
    <w:p w:rsidR="00694122" w:rsidRDefault="00694122">
      <w:pPr>
        <w:pStyle w:val="SingleTxtGC"/>
        <w:rPr>
          <w:rFonts w:eastAsia="SimHei"/>
        </w:rPr>
      </w:pPr>
      <w:r>
        <w:rPr>
          <w:rFonts w:eastAsia="SimHei"/>
        </w:rPr>
        <w:t>委员会建议缔约国在法律上和实践中保障组织和</w:t>
      </w:r>
      <w:r>
        <w:rPr>
          <w:rFonts w:eastAsia="SimHei"/>
        </w:rPr>
        <w:t>/</w:t>
      </w:r>
      <w:r>
        <w:rPr>
          <w:rFonts w:eastAsia="SimHei"/>
        </w:rPr>
        <w:t>或加入工会权利，特别是公务员，包括教师、法官、检察官和安保服务工作人员。委员会还敦促缔约国对侵犯教师工会权利的指称进行全面和独立的调查，包括与其参加工会活动有关的解雇和调动。委员会还建议缔约国修订《刑法》，以去除对参加罢工的公务员的监禁徒刑。</w:t>
      </w:r>
    </w:p>
    <w:p w:rsidR="00694122" w:rsidRDefault="00694122">
      <w:pPr>
        <w:pStyle w:val="SingleTxtGC"/>
        <w:rPr>
          <w:b/>
        </w:rPr>
      </w:pPr>
      <w:r>
        <w:t>13.</w:t>
      </w:r>
      <w:r>
        <w:rPr>
          <w:rFonts w:hint="eastAsia"/>
        </w:rPr>
        <w:t xml:space="preserve">  </w:t>
      </w:r>
      <w:r>
        <w:t>委员会关注的是，缔约国尚未施行普遍社会保障制度</w:t>
      </w:r>
      <w:r>
        <w:t>(</w:t>
      </w:r>
      <w:r>
        <w:t>第</w:t>
      </w:r>
      <w:r>
        <w:rPr>
          <w:rFonts w:hint="eastAsia"/>
        </w:rPr>
        <w:t>九</w:t>
      </w:r>
      <w:r>
        <w:t>条</w:t>
      </w:r>
      <w:r>
        <w:t>)</w:t>
      </w:r>
      <w:r>
        <w:t>。</w:t>
      </w:r>
    </w:p>
    <w:p w:rsidR="00694122" w:rsidRDefault="00694122">
      <w:pPr>
        <w:pStyle w:val="SingleTxtGC"/>
        <w:rPr>
          <w:rFonts w:eastAsia="SimHei"/>
        </w:rPr>
      </w:pPr>
      <w:r>
        <w:rPr>
          <w:rFonts w:eastAsia="SimHei"/>
        </w:rPr>
        <w:t>委员会建议缔约国采取措施，按照委员会关于社会保障权的第</w:t>
      </w:r>
      <w:r>
        <w:rPr>
          <w:rFonts w:eastAsia="SimHei"/>
        </w:rPr>
        <w:t>19</w:t>
      </w:r>
      <w:r>
        <w:rPr>
          <w:rFonts w:eastAsia="SimHei"/>
        </w:rPr>
        <w:t>号一般性意见</w:t>
      </w:r>
      <w:r>
        <w:rPr>
          <w:rFonts w:eastAsia="SimHei"/>
        </w:rPr>
        <w:t>(2008</w:t>
      </w:r>
      <w:r>
        <w:rPr>
          <w:rFonts w:eastAsia="SimHei"/>
        </w:rPr>
        <w:t>年</w:t>
      </w:r>
      <w:r>
        <w:rPr>
          <w:rFonts w:eastAsia="SimHei"/>
        </w:rPr>
        <w:t>)</w:t>
      </w:r>
      <w:r>
        <w:rPr>
          <w:rFonts w:eastAsia="SimHei"/>
        </w:rPr>
        <w:t>，建立普遍社会保障制度。委员会还建议缔约国依法确定和定期审查足够确保人们适足生活水准的津贴数额。</w:t>
      </w:r>
    </w:p>
    <w:p w:rsidR="00694122" w:rsidRDefault="00694122">
      <w:pPr>
        <w:pStyle w:val="SingleTxtGC"/>
        <w:rPr>
          <w:b/>
        </w:rPr>
      </w:pPr>
      <w:r>
        <w:t>14.</w:t>
      </w:r>
      <w:r>
        <w:rPr>
          <w:rFonts w:hint="eastAsia"/>
        </w:rPr>
        <w:t xml:space="preserve">  </w:t>
      </w:r>
      <w:r>
        <w:t>委员会关切地注意到，尽管女性外阴残割的做法为刑事罪，但这种做法在农村地区仍然极为普遍。委员会关注的是，家庭暴力继续报告不足，缺少有关暴力侵害妇女问题起诉和定罪比率的分列数据，缺乏受害者援助和康复服务。委员会还关注的是，婚内强奸尚未在《刑法》中定为刑事罪</w:t>
      </w:r>
      <w:r>
        <w:t>(</w:t>
      </w:r>
      <w:r>
        <w:t>第</w:t>
      </w:r>
      <w:r>
        <w:rPr>
          <w:rFonts w:hint="eastAsia"/>
        </w:rPr>
        <w:t>十</w:t>
      </w:r>
      <w:r>
        <w:t>条</w:t>
      </w:r>
      <w:r>
        <w:t>)</w:t>
      </w:r>
      <w:r>
        <w:t>。</w:t>
      </w:r>
    </w:p>
    <w:p w:rsidR="00694122" w:rsidRDefault="00694122">
      <w:pPr>
        <w:pStyle w:val="SingleTxtGC"/>
        <w:rPr>
          <w:rFonts w:eastAsia="SimHei"/>
        </w:rPr>
      </w:pPr>
      <w:r>
        <w:rPr>
          <w:rFonts w:eastAsia="SimHei"/>
        </w:rPr>
        <w:t>委员会建议缔约国确保有效执行《刑法》有关女性外阴残割和家庭暴力为刑事罪的规定。委员会建议缔约国修订《刑法》，将婚内强奸定为刑事罪。委员会建议缔约国确保起诉肇事者，并处以相应处罚，确保为法官、检察官和警察提供关于这些类型暴力侵害妇女及《刑法》适用问题的强制培训。委员会进一步敦促缔约国提高妇女和女童的意识，鼓励报告暴力行为，并确保提供充分的受害者援助和康复服务。</w:t>
      </w:r>
    </w:p>
    <w:p w:rsidR="00694122" w:rsidRDefault="00694122">
      <w:pPr>
        <w:pStyle w:val="SingleTxtGC"/>
      </w:pPr>
      <w:r>
        <w:t>15.</w:t>
      </w:r>
      <w:r>
        <w:rPr>
          <w:rFonts w:hint="eastAsia"/>
        </w:rPr>
        <w:t xml:space="preserve">  </w:t>
      </w:r>
      <w:r>
        <w:t>委员会关切地注意到</w:t>
      </w:r>
      <w:r>
        <w:rPr>
          <w:rFonts w:hint="eastAsia"/>
        </w:rPr>
        <w:t>，</w:t>
      </w:r>
      <w:r>
        <w:t>该国童工现象流行，</w:t>
      </w:r>
      <w:r>
        <w:t>14</w:t>
      </w:r>
      <w:r>
        <w:t>岁以下儿童从事经济活动而不上学的占很大比例。委员会关切地注意到，没有父母照料的儿童以及处境不利和边缘化家庭的儿童从事最有害形式童工的风险更大</w:t>
      </w:r>
      <w:r>
        <w:t>(</w:t>
      </w:r>
      <w:r>
        <w:t>第</w:t>
      </w:r>
      <w:r>
        <w:rPr>
          <w:rFonts w:hint="eastAsia"/>
        </w:rPr>
        <w:t>十</w:t>
      </w:r>
      <w:r>
        <w:t>条</w:t>
      </w:r>
      <w:r>
        <w:t>)</w:t>
      </w:r>
      <w:r>
        <w:t>。</w:t>
      </w:r>
    </w:p>
    <w:p w:rsidR="00694122" w:rsidRDefault="00694122">
      <w:pPr>
        <w:pStyle w:val="SingleTxtGC"/>
        <w:rPr>
          <w:rFonts w:eastAsia="SimHei" w:hint="eastAsia"/>
        </w:rPr>
      </w:pPr>
      <w:r>
        <w:rPr>
          <w:rFonts w:eastAsia="SimHei"/>
        </w:rPr>
        <w:t>委员会建议缔约国采取措施，打击、预防和消除流行的童工现象。委员会还建议缔约国采取有针对性的措施，确保没有父母照料的儿童以及处境不利和边缘化家庭的儿童不做童工。</w:t>
      </w:r>
    </w:p>
    <w:p w:rsidR="00694122" w:rsidRDefault="00694122">
      <w:pPr>
        <w:pStyle w:val="SingleTxtGC"/>
      </w:pPr>
      <w:r>
        <w:t>16.</w:t>
      </w:r>
      <w:r>
        <w:rPr>
          <w:rFonts w:hint="eastAsia"/>
        </w:rPr>
        <w:t xml:space="preserve">  </w:t>
      </w:r>
      <w:r>
        <w:t>委员会关注的是，尽管缔约国采取了协调行动，争取解决对儿童的国内贩运和性剥削问题，但这一问题仍然十分普遍</w:t>
      </w:r>
      <w:r>
        <w:t>(</w:t>
      </w:r>
      <w:r>
        <w:t>第</w:t>
      </w:r>
      <w:r>
        <w:rPr>
          <w:rFonts w:hint="eastAsia"/>
        </w:rPr>
        <w:t>十</w:t>
      </w:r>
      <w:r>
        <w:t>条</w:t>
      </w:r>
      <w:r>
        <w:t>)</w:t>
      </w:r>
      <w:r>
        <w:t>。</w:t>
      </w:r>
    </w:p>
    <w:p w:rsidR="00694122" w:rsidRDefault="00694122">
      <w:pPr>
        <w:pStyle w:val="SingleTxtGC"/>
        <w:rPr>
          <w:rFonts w:eastAsia="SimHei"/>
        </w:rPr>
      </w:pPr>
      <w:r>
        <w:rPr>
          <w:rFonts w:eastAsia="SimHei"/>
        </w:rPr>
        <w:t>委员会建议缔约国加强努力，预防和打击对儿童的贩运和性剥削，包括通过有关这一问题的新的国家行动计划。</w:t>
      </w:r>
    </w:p>
    <w:p w:rsidR="00694122" w:rsidRDefault="00694122">
      <w:pPr>
        <w:pStyle w:val="SingleTxtGC"/>
        <w:rPr>
          <w:b/>
        </w:rPr>
      </w:pPr>
      <w:r>
        <w:t>17.</w:t>
      </w:r>
      <w:r>
        <w:rPr>
          <w:rFonts w:hint="eastAsia"/>
        </w:rPr>
        <w:t xml:space="preserve">  </w:t>
      </w:r>
      <w:r>
        <w:t>委员会关切地注意到，尽管缔约国采取有针对性的措施并取得了进展，但仍然有大量儿童流落街头</w:t>
      </w:r>
      <w:r>
        <w:t>(</w:t>
      </w:r>
      <w:r>
        <w:t>第</w:t>
      </w:r>
      <w:r>
        <w:rPr>
          <w:rFonts w:hint="eastAsia"/>
        </w:rPr>
        <w:t>十</w:t>
      </w:r>
      <w:r>
        <w:t>条</w:t>
      </w:r>
      <w:r>
        <w:t>)</w:t>
      </w:r>
      <w:r>
        <w:t>。</w:t>
      </w:r>
    </w:p>
    <w:p w:rsidR="00694122" w:rsidRDefault="00694122">
      <w:pPr>
        <w:pStyle w:val="SingleTxtGC"/>
        <w:rPr>
          <w:rFonts w:eastAsia="SimHei"/>
        </w:rPr>
      </w:pPr>
      <w:r>
        <w:rPr>
          <w:rFonts w:eastAsia="SimHei"/>
        </w:rPr>
        <w:t>委员会建议缔约国加强努力，从源头上解决街头儿童问题，以保护、康复和社会融合为目的，并确保他们获得教育、住所和保健。</w:t>
      </w:r>
    </w:p>
    <w:p w:rsidR="00694122" w:rsidRDefault="00694122">
      <w:pPr>
        <w:pStyle w:val="SingleTxtGC"/>
        <w:rPr>
          <w:b/>
        </w:rPr>
      </w:pPr>
      <w:r>
        <w:t>18.</w:t>
      </w:r>
      <w:r>
        <w:rPr>
          <w:rFonts w:hint="eastAsia"/>
        </w:rPr>
        <w:t xml:space="preserve">  </w:t>
      </w:r>
      <w:r>
        <w:t>委员会关切地注意到，虐待儿童、特别是性虐待的发生率很高。委员会还关注的是，根据《刑法》第</w:t>
      </w:r>
      <w:r>
        <w:t>576</w:t>
      </w:r>
      <w:r>
        <w:t>条和《家庭法》第</w:t>
      </w:r>
      <w:r>
        <w:t>258</w:t>
      </w:r>
      <w:r>
        <w:t>条，在家庭和替代照料场所，为</w:t>
      </w:r>
      <w:r>
        <w:rPr>
          <w:rFonts w:hint="eastAsia"/>
        </w:rPr>
        <w:t>“</w:t>
      </w:r>
      <w:r>
        <w:t>适当养育</w:t>
      </w:r>
      <w:r>
        <w:rPr>
          <w:rFonts w:hint="eastAsia"/>
        </w:rPr>
        <w:t>”</w:t>
      </w:r>
      <w:r>
        <w:t>目的，体罚是合法的</w:t>
      </w:r>
      <w:r>
        <w:t>(</w:t>
      </w:r>
      <w:r>
        <w:t>第</w:t>
      </w:r>
      <w:r>
        <w:rPr>
          <w:rFonts w:hint="eastAsia"/>
        </w:rPr>
        <w:t>十</w:t>
      </w:r>
      <w:r>
        <w:t>条</w:t>
      </w:r>
      <w:r>
        <w:t>)</w:t>
      </w:r>
      <w:r>
        <w:t>。</w:t>
      </w:r>
    </w:p>
    <w:p w:rsidR="00694122" w:rsidRDefault="00694122">
      <w:pPr>
        <w:pStyle w:val="SingleTxtGC"/>
        <w:rPr>
          <w:rFonts w:eastAsia="SimHei"/>
        </w:rPr>
      </w:pPr>
      <w:r>
        <w:rPr>
          <w:rFonts w:eastAsia="SimHei"/>
        </w:rPr>
        <w:t>委员会建议缔约国采取紧急措施，制止和防止虐待和忽略儿童，包括通过设立有效的机制，以接受、监测和调查有关虐待儿童案件的报告。委员会还敦促缔约国，作为优先事项修订《刑法》和《家庭法》，以禁止在家庭和替代照料场所养育中实行体罚。</w:t>
      </w:r>
    </w:p>
    <w:p w:rsidR="00694122" w:rsidRDefault="00694122">
      <w:pPr>
        <w:pStyle w:val="SingleTxtGC"/>
        <w:rPr>
          <w:b/>
        </w:rPr>
      </w:pPr>
      <w:r>
        <w:t>19.</w:t>
      </w:r>
      <w:r>
        <w:rPr>
          <w:rFonts w:hint="eastAsia"/>
        </w:rPr>
        <w:t xml:space="preserve">  </w:t>
      </w:r>
      <w:r>
        <w:t>委员会关注的是，尽管自</w:t>
      </w:r>
      <w:r>
        <w:t>2004</w:t>
      </w:r>
      <w:r>
        <w:t>年以来在减贫方面取得了令人瞩目的进展，但是，贫困和极端贫困问题依然十分严重，尤其是在农村地区</w:t>
      </w:r>
      <w:r>
        <w:t>(</w:t>
      </w:r>
      <w:r>
        <w:t>第</w:t>
      </w:r>
      <w:r>
        <w:rPr>
          <w:rFonts w:hint="eastAsia"/>
        </w:rPr>
        <w:t>十一</w:t>
      </w:r>
      <w:r>
        <w:t>条</w:t>
      </w:r>
      <w:r>
        <w:t>)</w:t>
      </w:r>
      <w:r>
        <w:t>。</w:t>
      </w:r>
    </w:p>
    <w:p w:rsidR="00694122" w:rsidRDefault="00694122">
      <w:pPr>
        <w:pStyle w:val="SingleTxtGC"/>
        <w:rPr>
          <w:rFonts w:eastAsia="SimHei"/>
        </w:rPr>
      </w:pPr>
      <w:r>
        <w:rPr>
          <w:rFonts w:eastAsia="SimHei"/>
        </w:rPr>
        <w:t>委员会建议缔约国采取一切必要措施，进一步减少贫困和极端贫困现象，特别是在农村地区。委员会请缔约国在其下一次定期报告中列入按年度及农村和城市地区分列的可比数据，有关贫困和赤贫人数的指数，及其减贫努力所取得的进展。委员会提请缔约国注意其</w:t>
      </w:r>
      <w:r>
        <w:rPr>
          <w:rFonts w:eastAsia="SimHei"/>
        </w:rPr>
        <w:t>2001</w:t>
      </w:r>
      <w:r>
        <w:rPr>
          <w:rFonts w:eastAsia="SimHei"/>
        </w:rPr>
        <w:t>年</w:t>
      </w:r>
      <w:r>
        <w:rPr>
          <w:rFonts w:eastAsia="SimHei"/>
        </w:rPr>
        <w:t>5</w:t>
      </w:r>
      <w:r>
        <w:rPr>
          <w:rFonts w:eastAsia="SimHei"/>
        </w:rPr>
        <w:t>月</w:t>
      </w:r>
      <w:r>
        <w:rPr>
          <w:rFonts w:eastAsia="SimHei"/>
        </w:rPr>
        <w:t>4</w:t>
      </w:r>
      <w:r>
        <w:rPr>
          <w:rFonts w:eastAsia="SimHei"/>
        </w:rPr>
        <w:t>日通过的关于</w:t>
      </w:r>
      <w:r>
        <w:rPr>
          <w:rFonts w:eastAsia="SimHei" w:hint="eastAsia"/>
        </w:rPr>
        <w:t>“</w:t>
      </w:r>
      <w:r>
        <w:rPr>
          <w:rFonts w:eastAsia="SimHei"/>
        </w:rPr>
        <w:t>贫穷与《经济、社会、文化权利国际公约》</w:t>
      </w:r>
      <w:r>
        <w:rPr>
          <w:rFonts w:eastAsia="SimHei" w:hint="eastAsia"/>
        </w:rPr>
        <w:t>”</w:t>
      </w:r>
      <w:r>
        <w:rPr>
          <w:rFonts w:eastAsia="SimHei"/>
        </w:rPr>
        <w:t>的声明</w:t>
      </w:r>
      <w:r>
        <w:rPr>
          <w:rFonts w:eastAsia="SimHei"/>
        </w:rPr>
        <w:t>(E/2002/22</w:t>
      </w:r>
      <w:r>
        <w:rPr>
          <w:rFonts w:eastAsia="SimHei"/>
        </w:rPr>
        <w:noBreakHyphen/>
        <w:t xml:space="preserve">E/C.12/2001/17, </w:t>
      </w:r>
      <w:r>
        <w:rPr>
          <w:rFonts w:eastAsia="SimHei"/>
        </w:rPr>
        <w:t>附件七</w:t>
      </w:r>
      <w:r>
        <w:rPr>
          <w:rFonts w:eastAsia="SimHei"/>
        </w:rPr>
        <w:t>)</w:t>
      </w:r>
      <w:r>
        <w:rPr>
          <w:rFonts w:eastAsia="SimHei"/>
        </w:rPr>
        <w:t>。</w:t>
      </w:r>
    </w:p>
    <w:p w:rsidR="00694122" w:rsidRDefault="00694122">
      <w:pPr>
        <w:pStyle w:val="SingleTxtGC"/>
        <w:rPr>
          <w:rFonts w:hint="eastAsia"/>
        </w:rPr>
      </w:pPr>
      <w:r>
        <w:t>20.</w:t>
      </w:r>
      <w:r>
        <w:rPr>
          <w:rFonts w:hint="eastAsia"/>
        </w:rPr>
        <w:t xml:space="preserve">  </w:t>
      </w:r>
      <w:r>
        <w:t>委员会关注的是，缔约国住房严重短缺，住所拥挤、质量不佳、缺少基本服务以及很大比例的城市人口生活在贫民窟中。</w:t>
      </w:r>
    </w:p>
    <w:p w:rsidR="00694122" w:rsidRDefault="00694122" w:rsidP="0036434C">
      <w:pPr>
        <w:pStyle w:val="SingleTxtGC"/>
        <w:rPr>
          <w:rFonts w:eastAsia="SimHei"/>
        </w:rPr>
      </w:pPr>
      <w:r>
        <w:rPr>
          <w:rFonts w:eastAsia="SimHei"/>
        </w:rPr>
        <w:t>委员会建议缔约国采取紧急措施，确保人人获得充分和能够负担的住房，保有权有法律保障，推出公共住房办法，为处境不利和边缘化的个人和群体修建更多的造价低廉的住房，并针对无房者和生活在棚户区低于标准住房者优先采取措施。委员会请缔约国在下一次定期报告中列入资料，说明缔约国无家可归状况的程度和根本原因。委员会促请缔约国注意其关于适足住房权的第</w:t>
      </w:r>
      <w:r>
        <w:rPr>
          <w:rFonts w:eastAsia="SimHei"/>
        </w:rPr>
        <w:t>4</w:t>
      </w:r>
      <w:r>
        <w:rPr>
          <w:rFonts w:eastAsia="SimHei"/>
        </w:rPr>
        <w:t>号</w:t>
      </w:r>
      <w:r>
        <w:rPr>
          <w:rFonts w:eastAsia="SimHei"/>
        </w:rPr>
        <w:t>(1991</w:t>
      </w:r>
      <w:r>
        <w:rPr>
          <w:rFonts w:eastAsia="SimHei"/>
        </w:rPr>
        <w:t>年</w:t>
      </w:r>
      <w:r>
        <w:rPr>
          <w:rFonts w:eastAsia="SimHei"/>
        </w:rPr>
        <w:t>)</w:t>
      </w:r>
      <w:r>
        <w:rPr>
          <w:rFonts w:eastAsia="SimHei"/>
        </w:rPr>
        <w:t>一般性意见。</w:t>
      </w:r>
    </w:p>
    <w:p w:rsidR="00694122" w:rsidRDefault="00694122">
      <w:pPr>
        <w:pStyle w:val="SingleTxtGC"/>
      </w:pPr>
      <w:r>
        <w:t>21.</w:t>
      </w:r>
      <w:r>
        <w:rPr>
          <w:rFonts w:hint="eastAsia"/>
        </w:rPr>
        <w:t xml:space="preserve">  </w:t>
      </w:r>
      <w:r>
        <w:t>委员会关注的是，有报告称，缔约国报告中所述自愿重新安置方案涉及在该国各地区强制搬迁数千人，他们被安置到缺乏诸如卫生诊所、洁净水供应和学校等基础设施的乡村，得不到农业援助也没有粮食援助</w:t>
      </w:r>
      <w:r>
        <w:t>(</w:t>
      </w:r>
      <w:r>
        <w:t>第</w:t>
      </w:r>
      <w:r>
        <w:rPr>
          <w:rFonts w:hint="eastAsia"/>
        </w:rPr>
        <w:t>十一</w:t>
      </w:r>
      <w:r>
        <w:t>条</w:t>
      </w:r>
      <w:r>
        <w:t>)</w:t>
      </w:r>
      <w:r>
        <w:t>。</w:t>
      </w:r>
    </w:p>
    <w:p w:rsidR="00694122" w:rsidRDefault="00694122">
      <w:pPr>
        <w:pStyle w:val="SingleTxtGC"/>
        <w:rPr>
          <w:rFonts w:eastAsia="SimHei"/>
        </w:rPr>
      </w:pPr>
      <w:r>
        <w:rPr>
          <w:rFonts w:eastAsia="SimHei"/>
        </w:rPr>
        <w:t>委员会敦促缔约国确保异地安置在自愿基础上进行，要有事先磋商，并</w:t>
      </w:r>
      <w:r>
        <w:rPr>
          <w:rFonts w:eastAsia="SimHei" w:hint="eastAsia"/>
        </w:rPr>
        <w:t>向</w:t>
      </w:r>
      <w:r>
        <w:rPr>
          <w:rFonts w:eastAsia="SimHei"/>
        </w:rPr>
        <w:t>被迫迁离者提供充分赔偿或替代住所，保证向生活在重新安置地点的人们提供各项基本服务</w:t>
      </w:r>
      <w:r>
        <w:rPr>
          <w:rFonts w:eastAsia="SimHei"/>
        </w:rPr>
        <w:t>(</w:t>
      </w:r>
      <w:r>
        <w:rPr>
          <w:rFonts w:eastAsia="SimHei"/>
        </w:rPr>
        <w:t>包括</w:t>
      </w:r>
      <w:r>
        <w:rPr>
          <w:rFonts w:eastAsia="SimHei" w:hint="eastAsia"/>
        </w:rPr>
        <w:t>饮</w:t>
      </w:r>
      <w:r>
        <w:rPr>
          <w:rFonts w:eastAsia="SimHei"/>
        </w:rPr>
        <w:t>用水、电、洗涤、卫生和交通设备</w:t>
      </w:r>
      <w:r>
        <w:rPr>
          <w:rFonts w:eastAsia="SimHei"/>
        </w:rPr>
        <w:t>)</w:t>
      </w:r>
      <w:r>
        <w:rPr>
          <w:rFonts w:eastAsia="SimHei"/>
        </w:rPr>
        <w:t>和充分的设施</w:t>
      </w:r>
      <w:r>
        <w:rPr>
          <w:rFonts w:eastAsia="SimHei"/>
        </w:rPr>
        <w:t>(</w:t>
      </w:r>
      <w:r>
        <w:rPr>
          <w:rFonts w:eastAsia="SimHei"/>
        </w:rPr>
        <w:t>包括学校和保健中心</w:t>
      </w:r>
      <w:r>
        <w:rPr>
          <w:rFonts w:eastAsia="SimHei"/>
        </w:rPr>
        <w:t>)</w:t>
      </w:r>
      <w:r>
        <w:rPr>
          <w:rFonts w:eastAsia="SimHei"/>
        </w:rPr>
        <w:t>。委员会提请缔约国注意其关于适足住房权和强迫驱逐的的第</w:t>
      </w:r>
      <w:r>
        <w:rPr>
          <w:rFonts w:eastAsia="SimHei"/>
        </w:rPr>
        <w:t>4</w:t>
      </w:r>
      <w:r>
        <w:rPr>
          <w:rFonts w:eastAsia="SimHei"/>
        </w:rPr>
        <w:t>号</w:t>
      </w:r>
      <w:r>
        <w:rPr>
          <w:rFonts w:eastAsia="SimHei"/>
        </w:rPr>
        <w:t>(1991</w:t>
      </w:r>
      <w:r>
        <w:rPr>
          <w:rFonts w:eastAsia="SimHei"/>
        </w:rPr>
        <w:t>年</w:t>
      </w:r>
      <w:r>
        <w:rPr>
          <w:rFonts w:eastAsia="SimHei"/>
        </w:rPr>
        <w:t>)</w:t>
      </w:r>
      <w:r>
        <w:rPr>
          <w:rFonts w:eastAsia="SimHei"/>
        </w:rPr>
        <w:t>和第</w:t>
      </w:r>
      <w:r>
        <w:rPr>
          <w:rFonts w:eastAsia="SimHei"/>
        </w:rPr>
        <w:t>7</w:t>
      </w:r>
      <w:r>
        <w:rPr>
          <w:rFonts w:eastAsia="SimHei"/>
        </w:rPr>
        <w:t>号</w:t>
      </w:r>
      <w:r>
        <w:rPr>
          <w:rFonts w:eastAsia="SimHei"/>
        </w:rPr>
        <w:t>(1997</w:t>
      </w:r>
      <w:r>
        <w:rPr>
          <w:rFonts w:eastAsia="SimHei"/>
        </w:rPr>
        <w:t>年</w:t>
      </w:r>
      <w:r>
        <w:rPr>
          <w:rFonts w:eastAsia="SimHei"/>
        </w:rPr>
        <w:t>)</w:t>
      </w:r>
      <w:r>
        <w:rPr>
          <w:rFonts w:eastAsia="SimHei"/>
        </w:rPr>
        <w:t>一般性意见。</w:t>
      </w:r>
    </w:p>
    <w:p w:rsidR="00694122" w:rsidRDefault="00694122">
      <w:pPr>
        <w:pStyle w:val="SingleTxtGC"/>
        <w:rPr>
          <w:b/>
        </w:rPr>
      </w:pPr>
      <w:r>
        <w:t>22.</w:t>
      </w:r>
      <w:r>
        <w:rPr>
          <w:rFonts w:hint="eastAsia"/>
        </w:rPr>
        <w:t xml:space="preserve">  </w:t>
      </w:r>
      <w:r>
        <w:t>委员会关切地注意到，普遍存在长期的粮食不安全和营养不良，特别是在儿童中间</w:t>
      </w:r>
      <w:r>
        <w:t>(</w:t>
      </w:r>
      <w:r>
        <w:t>第</w:t>
      </w:r>
      <w:r>
        <w:rPr>
          <w:rFonts w:hint="eastAsia"/>
        </w:rPr>
        <w:t>十一</w:t>
      </w:r>
      <w:r>
        <w:t>条</w:t>
      </w:r>
      <w:r>
        <w:t>)</w:t>
      </w:r>
      <w:r>
        <w:t>。</w:t>
      </w:r>
    </w:p>
    <w:p w:rsidR="00694122" w:rsidRDefault="00694122">
      <w:pPr>
        <w:pStyle w:val="SingleTxtGC"/>
        <w:rPr>
          <w:rFonts w:eastAsia="SimHei"/>
        </w:rPr>
      </w:pPr>
      <w:r>
        <w:rPr>
          <w:rFonts w:eastAsia="SimHei"/>
        </w:rPr>
        <w:t>委员会建议缔约国采取措施，解决长期粮食不安全、长期营养不良和儿童迫切的营养需求问题。委员会还敦促缔约国确保埃塞俄比亚索马里</w:t>
      </w:r>
      <w:r>
        <w:rPr>
          <w:rFonts w:eastAsia="SimHei" w:hint="eastAsia"/>
        </w:rPr>
        <w:t>州</w:t>
      </w:r>
      <w:r>
        <w:rPr>
          <w:rFonts w:eastAsia="SimHei"/>
        </w:rPr>
        <w:t>的人口受益于国家粮食援助和农村发展计划。</w:t>
      </w:r>
    </w:p>
    <w:p w:rsidR="00694122" w:rsidRDefault="00694122">
      <w:pPr>
        <w:pStyle w:val="SingleTxtGC"/>
        <w:rPr>
          <w:b/>
        </w:rPr>
      </w:pPr>
      <w:r>
        <w:t>23.</w:t>
      </w:r>
      <w:r>
        <w:rPr>
          <w:rFonts w:hint="eastAsia"/>
        </w:rPr>
        <w:t xml:space="preserve">  </w:t>
      </w:r>
      <w:r>
        <w:t>委员会关注的是，在农村地区家庭和难民营的人口中，无法随时获得安全饮水和卫生设施的占很大比例，一半以上的家庭为了获取饮用水不得不走很长的路。</w:t>
      </w:r>
      <w:r>
        <w:t>(</w:t>
      </w:r>
      <w:r>
        <w:t>第</w:t>
      </w:r>
      <w:r>
        <w:rPr>
          <w:rFonts w:hint="eastAsia"/>
        </w:rPr>
        <w:t>十一</w:t>
      </w:r>
      <w:r>
        <w:t>条</w:t>
      </w:r>
      <w:r>
        <w:t>)</w:t>
      </w:r>
      <w:r>
        <w:t>。</w:t>
      </w:r>
    </w:p>
    <w:p w:rsidR="00694122" w:rsidRDefault="00694122">
      <w:pPr>
        <w:pStyle w:val="SingleTxtGC"/>
        <w:rPr>
          <w:rFonts w:eastAsia="SimHei"/>
        </w:rPr>
      </w:pPr>
      <w:r>
        <w:rPr>
          <w:rFonts w:eastAsia="SimHei"/>
        </w:rPr>
        <w:t>委员会建议缔约国采取措施，改善获得安全饮用水和卫生设施的手段，特别是在农村地区和难民营。</w:t>
      </w:r>
    </w:p>
    <w:p w:rsidR="00694122" w:rsidRDefault="00694122">
      <w:pPr>
        <w:pStyle w:val="SingleTxtGC"/>
      </w:pPr>
      <w:r>
        <w:t>24.</w:t>
      </w:r>
      <w:r>
        <w:rPr>
          <w:rFonts w:hint="eastAsia"/>
        </w:rPr>
        <w:t xml:space="preserve">  </w:t>
      </w:r>
      <w:r>
        <w:t>委员会关注的是，</w:t>
      </w:r>
      <w:r>
        <w:rPr>
          <w:rFonts w:hint="eastAsia"/>
        </w:rPr>
        <w:t>吉格吉贝第三水</w:t>
      </w:r>
      <w:r>
        <w:t>电站</w:t>
      </w:r>
      <w:r>
        <w:rPr>
          <w:rFonts w:hint="eastAsia"/>
        </w:rPr>
        <w:t>大</w:t>
      </w:r>
      <w:r>
        <w:t>坝的修建和运作将对依赖</w:t>
      </w:r>
      <w:r>
        <w:rPr>
          <w:rFonts w:hint="eastAsia"/>
        </w:rPr>
        <w:t>奥莫</w:t>
      </w:r>
      <w:r>
        <w:t>河的土著人民的传统习俗和生存手段产生极大的不利影响，并可能危及当地粮食安全</w:t>
      </w:r>
      <w:r>
        <w:t>(</w:t>
      </w:r>
      <w:r>
        <w:t>第</w:t>
      </w:r>
      <w:r>
        <w:rPr>
          <w:rFonts w:hint="eastAsia"/>
        </w:rPr>
        <w:t>十一</w:t>
      </w:r>
      <w:r>
        <w:t>条</w:t>
      </w:r>
      <w:r>
        <w:t>)</w:t>
      </w:r>
      <w:r>
        <w:t>。</w:t>
      </w:r>
    </w:p>
    <w:p w:rsidR="00694122" w:rsidRDefault="00694122">
      <w:pPr>
        <w:pStyle w:val="SingleTxtGC"/>
        <w:rPr>
          <w:rFonts w:eastAsia="SimHei"/>
        </w:rPr>
      </w:pPr>
      <w:r>
        <w:rPr>
          <w:rFonts w:eastAsia="SimHei"/>
        </w:rPr>
        <w:t>委员会建议缔约国继续确定并解决</w:t>
      </w:r>
      <w:r>
        <w:rPr>
          <w:rFonts w:eastAsia="SimHei" w:hint="eastAsia"/>
        </w:rPr>
        <w:t>吉贝第三</w:t>
      </w:r>
      <w:r>
        <w:rPr>
          <w:rFonts w:eastAsia="SimHei"/>
        </w:rPr>
        <w:t>大坝不利的社会和环境影响。委员会还敦促缔约国在水电项目修建之前，着手进行全面影响评估并与受影响社区进行广泛磋商，为其提供真正的表达意见和影响决策的机会</w:t>
      </w:r>
      <w:r>
        <w:rPr>
          <w:rFonts w:eastAsia="SimHei" w:hint="eastAsia"/>
        </w:rPr>
        <w:t>。</w:t>
      </w:r>
    </w:p>
    <w:p w:rsidR="00694122" w:rsidRDefault="00694122">
      <w:pPr>
        <w:pStyle w:val="SingleTxtGC"/>
      </w:pPr>
      <w:r>
        <w:t>25.</w:t>
      </w:r>
      <w:r>
        <w:rPr>
          <w:rFonts w:hint="eastAsia"/>
        </w:rPr>
        <w:t xml:space="preserve">  </w:t>
      </w:r>
      <w:r>
        <w:t>委员会关注的是，没有普遍的医疗保险。委员会还关注的是，某些地区人均</w:t>
      </w:r>
      <w:r>
        <w:rPr>
          <w:rFonts w:hint="eastAsia"/>
        </w:rPr>
        <w:t>合格的</w:t>
      </w:r>
      <w:r>
        <w:t>医护专业人员人数很少，在</w:t>
      </w:r>
      <w:r>
        <w:rPr>
          <w:rFonts w:hint="eastAsia"/>
        </w:rPr>
        <w:t>各</w:t>
      </w:r>
      <w:r>
        <w:t>医疗中心，医疗设备和工作人员奇缺。委员会关切地注意到，母婴死亡率很高，得到熟练的助产士协助的分娩很少，特别是在农村地区。委员会还关注的是，获得母婴保健的手段极为有限，特别是在埃塞俄比亚索马里</w:t>
      </w:r>
      <w:r>
        <w:rPr>
          <w:rFonts w:hint="eastAsia"/>
        </w:rPr>
        <w:t>州</w:t>
      </w:r>
      <w:r>
        <w:t>(</w:t>
      </w:r>
      <w:r>
        <w:t>第</w:t>
      </w:r>
      <w:r>
        <w:rPr>
          <w:rFonts w:hint="eastAsia"/>
        </w:rPr>
        <w:t>十二</w:t>
      </w:r>
      <w:r>
        <w:t>条</w:t>
      </w:r>
      <w:r>
        <w:t>)</w:t>
      </w:r>
      <w:r>
        <w:t>。</w:t>
      </w:r>
    </w:p>
    <w:p w:rsidR="00694122" w:rsidRDefault="00694122">
      <w:pPr>
        <w:pStyle w:val="SingleTxtGC"/>
        <w:rPr>
          <w:rFonts w:eastAsia="SimHei"/>
        </w:rPr>
      </w:pPr>
      <w:r>
        <w:rPr>
          <w:rFonts w:eastAsia="SimHei"/>
        </w:rPr>
        <w:t>委员会建议缔约国加强努力，改善卫生服务，包括通过拨付更多资源和采取措施，解决城乡地区在提供医疗服务方面的巨大差异。委员会建议，这些努力特别侧重于培训保健推广工作者和向医疗中心提供充足的医疗设备和人员。委员会还建议缔约国紧急采取措施，降低高母婴死亡率，并确保分娩得到熟练的助产士的协助。委员会建议缔约国加强努力，改善妇女获得基本的产科和新生儿护理、生殖健康服务和基本医疗保健中心的手段，特别是在农村地区。</w:t>
      </w:r>
    </w:p>
    <w:p w:rsidR="00694122" w:rsidRDefault="00694122">
      <w:pPr>
        <w:pStyle w:val="SingleTxtGC"/>
        <w:rPr>
          <w:b/>
        </w:rPr>
      </w:pPr>
      <w:r>
        <w:t>26.</w:t>
      </w:r>
      <w:r>
        <w:rPr>
          <w:rFonts w:hint="eastAsia"/>
        </w:rPr>
        <w:t xml:space="preserve">  </w:t>
      </w:r>
      <w:r>
        <w:t>委员会关注的是，初等教育既不免费，也非义务教育，尽管缔约国</w:t>
      </w:r>
      <w:r>
        <w:rPr>
          <w:rFonts w:hint="eastAsia"/>
        </w:rPr>
        <w:t>在</w:t>
      </w:r>
      <w:r>
        <w:t>这些方面作出了努力。委员会还关注小学入学率和出勤率很低</w:t>
      </w:r>
      <w:r>
        <w:rPr>
          <w:rFonts w:hint="eastAsia"/>
          <w:spacing w:val="-50"/>
        </w:rPr>
        <w:t>―</w:t>
      </w:r>
      <w:r>
        <w:rPr>
          <w:rFonts w:hint="eastAsia"/>
        </w:rPr>
        <w:t>―</w:t>
      </w:r>
      <w:r>
        <w:t>包括难民儿童，辍学率很高，入学儿童中的性别差距，经过培训的教师人数不足，以及教育质量不高等问题。委员会还关切地注意到，识字率仍然很低，特别是在农村地区及妇女和女童中</w:t>
      </w:r>
      <w:r>
        <w:t>(</w:t>
      </w:r>
      <w:r>
        <w:t>第</w:t>
      </w:r>
      <w:r>
        <w:rPr>
          <w:rFonts w:hint="eastAsia"/>
        </w:rPr>
        <w:t>十三</w:t>
      </w:r>
      <w:r>
        <w:t>和</w:t>
      </w:r>
      <w:r>
        <w:rPr>
          <w:rFonts w:hint="eastAsia"/>
        </w:rPr>
        <w:t>十四</w:t>
      </w:r>
      <w:r>
        <w:t>条</w:t>
      </w:r>
      <w:r>
        <w:t>)</w:t>
      </w:r>
      <w:r>
        <w:t>。</w:t>
      </w:r>
    </w:p>
    <w:p w:rsidR="00694122" w:rsidRDefault="00694122">
      <w:pPr>
        <w:pStyle w:val="SingleTxtGC"/>
        <w:rPr>
          <w:rFonts w:eastAsia="SimHei"/>
        </w:rPr>
      </w:pPr>
      <w:r>
        <w:rPr>
          <w:rFonts w:eastAsia="SimHei"/>
        </w:rPr>
        <w:t>委员会建议缔约国加强努力并采取紧急措施，根据《公约》第十三条和第十四条，确保初等教育对所有儿童为免</w:t>
      </w:r>
      <w:r>
        <w:rPr>
          <w:rFonts w:eastAsia="SimHei" w:hint="eastAsia"/>
        </w:rPr>
        <w:t>费</w:t>
      </w:r>
      <w:r>
        <w:rPr>
          <w:rFonts w:eastAsia="SimHei"/>
        </w:rPr>
        <w:t>义务教育，确保将完成义务教育的年龄定为</w:t>
      </w:r>
      <w:r>
        <w:rPr>
          <w:rFonts w:eastAsia="SimHei"/>
        </w:rPr>
        <w:t>14</w:t>
      </w:r>
      <w:r>
        <w:rPr>
          <w:rFonts w:eastAsia="SimHei"/>
        </w:rPr>
        <w:t>岁。委员会建议缔约国采取紧急措施，提高小学入学率和出勤率，包括残疾儿童，降低辍学率，并解决学校教育的间接和隐藏的费用问题，解决入学儿童中的性别差距问题。委员会还建议缔约国采取措施，培训更多教师，特别是</w:t>
      </w:r>
      <w:r>
        <w:rPr>
          <w:rFonts w:eastAsia="SimHei" w:hint="eastAsia"/>
        </w:rPr>
        <w:t>女</w:t>
      </w:r>
      <w:r>
        <w:rPr>
          <w:rFonts w:eastAsia="SimHei"/>
        </w:rPr>
        <w:t>教师，进一步增加学校设施的数目，特别是在农村地区。委员会还建议缔约国采取措施，提高农村地区、特别是妇女和女童的识字率。</w:t>
      </w:r>
    </w:p>
    <w:p w:rsidR="00694122" w:rsidRDefault="00694122">
      <w:pPr>
        <w:pStyle w:val="SingleTxtGC"/>
      </w:pPr>
      <w:r>
        <w:t>27.</w:t>
      </w:r>
      <w:r>
        <w:rPr>
          <w:rFonts w:hint="eastAsia"/>
        </w:rPr>
        <w:t xml:space="preserve">  </w:t>
      </w:r>
      <w:r>
        <w:t>委员会关注的是，尽管缔约国作出了努力，但各族裔群体在行使充分参与文化生活的权利方面</w:t>
      </w:r>
      <w:r>
        <w:rPr>
          <w:rFonts w:hint="eastAsia"/>
        </w:rPr>
        <w:t>实际上</w:t>
      </w:r>
      <w:r>
        <w:t>仍然遭受歧视。而且，委员会关注的是，其中许多族裔群体遭受污辱和敌视，包括执法官员的污辱和敌视</w:t>
      </w:r>
      <w:r>
        <w:t>(</w:t>
      </w:r>
      <w:r>
        <w:t>第</w:t>
      </w:r>
      <w:r>
        <w:rPr>
          <w:rFonts w:hint="eastAsia"/>
        </w:rPr>
        <w:t>十五</w:t>
      </w:r>
      <w:r>
        <w:t>条</w:t>
      </w:r>
      <w:r>
        <w:t>)</w:t>
      </w:r>
      <w:r>
        <w:t>。</w:t>
      </w:r>
    </w:p>
    <w:p w:rsidR="00694122" w:rsidRDefault="00694122">
      <w:pPr>
        <w:pStyle w:val="SingleTxtGC"/>
        <w:rPr>
          <w:rFonts w:eastAsia="SimHei"/>
        </w:rPr>
      </w:pPr>
      <w:r>
        <w:rPr>
          <w:rFonts w:eastAsia="SimHei"/>
        </w:rPr>
        <w:t>委员会建议缔约国进一步加强各项必要措施，确保平等对待所有各族裔群体，从而保证其文化特性权，保证少数群体问题独立专家的相关建议得到落实。</w:t>
      </w:r>
    </w:p>
    <w:p w:rsidR="00694122" w:rsidRDefault="00694122">
      <w:pPr>
        <w:pStyle w:val="SingleTxtGC"/>
        <w:rPr>
          <w:rFonts w:eastAsia="SimHei"/>
        </w:rPr>
      </w:pPr>
      <w:r>
        <w:t>28.</w:t>
      </w:r>
      <w:r>
        <w:rPr>
          <w:rFonts w:hint="eastAsia"/>
        </w:rPr>
        <w:t xml:space="preserve">  </w:t>
      </w:r>
      <w:r>
        <w:rPr>
          <w:rFonts w:eastAsia="SimHei"/>
        </w:rPr>
        <w:t>委员会建议缔约国在下一次定期报告中提供详细资料，说明其采取的保护土著社区传统知识的立法和其他措施的情况，包括设立适当基金的情况。</w:t>
      </w:r>
    </w:p>
    <w:p w:rsidR="00694122" w:rsidRDefault="00694122">
      <w:pPr>
        <w:pStyle w:val="SingleTxtGC"/>
        <w:rPr>
          <w:rFonts w:eastAsia="SimHei"/>
        </w:rPr>
      </w:pPr>
      <w:r>
        <w:rPr>
          <w:rFonts w:eastAsia="SimHei"/>
        </w:rPr>
        <w:t>29.</w:t>
      </w:r>
      <w:r>
        <w:rPr>
          <w:rFonts w:eastAsia="SimHei" w:hint="eastAsia"/>
        </w:rPr>
        <w:t xml:space="preserve">  </w:t>
      </w:r>
      <w:r>
        <w:rPr>
          <w:rFonts w:eastAsia="SimHei"/>
        </w:rPr>
        <w:t>委员会鼓励缔约国考虑签署并批准《经济、社会、文化权利国际公约任择议定书》。</w:t>
      </w:r>
    </w:p>
    <w:p w:rsidR="00694122" w:rsidRDefault="00694122">
      <w:pPr>
        <w:pStyle w:val="SingleTxtGC"/>
        <w:rPr>
          <w:rFonts w:eastAsia="SimHei"/>
        </w:rPr>
      </w:pPr>
      <w:r>
        <w:rPr>
          <w:rFonts w:eastAsia="SimHei"/>
        </w:rPr>
        <w:t>30.</w:t>
      </w:r>
      <w:r>
        <w:rPr>
          <w:rFonts w:eastAsia="SimHei" w:hint="eastAsia"/>
        </w:rPr>
        <w:t xml:space="preserve">  </w:t>
      </w:r>
      <w:r>
        <w:rPr>
          <w:rFonts w:eastAsia="SimHei"/>
        </w:rPr>
        <w:t>委员会要求缔约国向社会各阶层人士尤其是向国家官员、司法部门和民间社会组织广泛宣传本结论性意见，翻译并尽可能广泛地公布这些意见，并且在下次定期报告中向委员会通报为落实这些意见所采取的措施。委员会还鼓励缔约国在提交下次定期报告之前吸收所有有关行为方</w:t>
      </w:r>
      <w:r>
        <w:rPr>
          <w:rFonts w:eastAsia="SimHei"/>
        </w:rPr>
        <w:t>(</w:t>
      </w:r>
      <w:r>
        <w:rPr>
          <w:rFonts w:eastAsia="SimHei"/>
        </w:rPr>
        <w:t>包括非政府组织和民间社会其他成员</w:t>
      </w:r>
      <w:r>
        <w:rPr>
          <w:rFonts w:eastAsia="SimHei"/>
        </w:rPr>
        <w:t>)</w:t>
      </w:r>
      <w:r>
        <w:rPr>
          <w:rFonts w:eastAsia="SimHei"/>
        </w:rPr>
        <w:t>参与国家级讨论过程。</w:t>
      </w:r>
    </w:p>
    <w:p w:rsidR="00694122" w:rsidRDefault="00694122">
      <w:pPr>
        <w:pStyle w:val="SingleTxtGC"/>
        <w:rPr>
          <w:rFonts w:eastAsia="SimHei" w:hint="eastAsia"/>
        </w:rPr>
      </w:pPr>
      <w:r>
        <w:rPr>
          <w:rFonts w:eastAsia="SimHei"/>
        </w:rPr>
        <w:t>31.</w:t>
      </w:r>
      <w:r>
        <w:rPr>
          <w:rFonts w:eastAsia="SimHei" w:hint="eastAsia"/>
        </w:rPr>
        <w:t xml:space="preserve">  </w:t>
      </w:r>
      <w:r>
        <w:rPr>
          <w:rFonts w:eastAsia="SimHei"/>
        </w:rPr>
        <w:t>委员会请缔约国在</w:t>
      </w:r>
      <w:r>
        <w:rPr>
          <w:rFonts w:eastAsia="SimHei"/>
        </w:rPr>
        <w:t>2017</w:t>
      </w:r>
      <w:r>
        <w:rPr>
          <w:rFonts w:eastAsia="SimHei"/>
        </w:rPr>
        <w:t>年</w:t>
      </w:r>
      <w:r>
        <w:rPr>
          <w:rFonts w:eastAsia="SimHei"/>
        </w:rPr>
        <w:t>5</w:t>
      </w:r>
      <w:r>
        <w:rPr>
          <w:rFonts w:eastAsia="SimHei"/>
        </w:rPr>
        <w:t>月</w:t>
      </w:r>
      <w:r>
        <w:rPr>
          <w:rFonts w:eastAsia="SimHei"/>
        </w:rPr>
        <w:t>18</w:t>
      </w:r>
      <w:r>
        <w:rPr>
          <w:rFonts w:eastAsia="SimHei"/>
        </w:rPr>
        <w:t>日之前提交按照</w:t>
      </w:r>
      <w:r>
        <w:rPr>
          <w:rFonts w:eastAsia="SimHei"/>
        </w:rPr>
        <w:t>2008</w:t>
      </w:r>
      <w:r>
        <w:rPr>
          <w:rFonts w:eastAsia="SimHei"/>
        </w:rPr>
        <w:t>年通过的委员会报告准则修订本</w:t>
      </w:r>
      <w:r>
        <w:rPr>
          <w:rFonts w:eastAsia="SimHei"/>
        </w:rPr>
        <w:t>(E/C.12/2008/2)</w:t>
      </w:r>
      <w:r>
        <w:rPr>
          <w:rFonts w:eastAsia="SimHei"/>
        </w:rPr>
        <w:t>编写的第四次定期报告。</w:t>
      </w:r>
    </w:p>
    <w:p w:rsidR="00694122" w:rsidRDefault="00694122">
      <w:pPr>
        <w:spacing w:before="240"/>
        <w:jc w:val="center"/>
        <w:rPr>
          <w:u w:val="single"/>
        </w:rPr>
      </w:pPr>
      <w:r>
        <w:rPr>
          <w:u w:val="single"/>
        </w:rPr>
        <w:tab/>
      </w:r>
      <w:r>
        <w:rPr>
          <w:u w:val="single"/>
        </w:rPr>
        <w:tab/>
      </w:r>
      <w:r>
        <w:rPr>
          <w:u w:val="single"/>
        </w:rPr>
        <w:tab/>
      </w:r>
      <w:r>
        <w:rPr>
          <w:u w:val="single"/>
        </w:rPr>
        <w:tab/>
      </w:r>
    </w:p>
    <w:p w:rsidR="00694122" w:rsidRDefault="00694122">
      <w:pPr>
        <w:pStyle w:val="SingleTxtGC"/>
        <w:rPr>
          <w:rFonts w:eastAsia="SimHei"/>
        </w:rPr>
      </w:pPr>
    </w:p>
    <w:sectPr w:rsidR="0069412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4174" w:rsidRDefault="00B94174">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94174" w:rsidRDefault="00B94174">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122" w:rsidRDefault="00694122">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26613">
      <w:rPr>
        <w:rStyle w:val="PageNumber"/>
        <w:noProof/>
      </w:rPr>
      <w:t>6</w:t>
    </w:r>
    <w:r>
      <w:rPr>
        <w:rStyle w:val="PageNumber"/>
      </w:rPr>
      <w:fldChar w:fldCharType="end"/>
    </w:r>
    <w:r>
      <w:rPr>
        <w:rStyle w:val="PageNumber"/>
        <w:rFonts w:eastAsia="SimSun" w:hint="eastAsia"/>
        <w:lang w:eastAsia="zh-CN"/>
      </w:rPr>
      <w:tab/>
    </w:r>
    <w:r>
      <w:rPr>
        <w:rFonts w:eastAsia="SimSun"/>
        <w:lang w:eastAsia="zh-CN"/>
      </w:rPr>
      <w:t>GE.12-43122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122" w:rsidRDefault="00694122">
    <w:pPr>
      <w:pStyle w:val="Footer"/>
      <w:tabs>
        <w:tab w:val="right" w:pos="9639"/>
      </w:tabs>
    </w:pPr>
    <w:r>
      <w:rPr>
        <w:rFonts w:eastAsia="SimSun"/>
        <w:lang w:eastAsia="zh-CN"/>
      </w:rPr>
      <w:t>GE.12-43122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26613">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122" w:rsidRDefault="00694122">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43122</w:t>
    </w:r>
    <w:r>
      <w:rPr>
        <w:rFonts w:eastAsia="SimSun"/>
        <w:sz w:val="20"/>
        <w:lang w:eastAsia="zh-CN"/>
      </w:rPr>
      <w:t xml:space="preserve"> (C)</w:t>
    </w:r>
    <w:r>
      <w:rPr>
        <w:rFonts w:eastAsia="SimSun"/>
        <w:sz w:val="20"/>
        <w:lang w:eastAsia="zh-CN"/>
      </w:rPr>
      <w:tab/>
    </w:r>
    <w:r>
      <w:rPr>
        <w:rFonts w:eastAsia="SimSun" w:hint="eastAsia"/>
        <w:sz w:val="20"/>
        <w:lang w:eastAsia="zh-CN"/>
      </w:rPr>
      <w:t>130612</w:t>
    </w:r>
    <w:r>
      <w:rPr>
        <w:rFonts w:eastAsia="SimSun"/>
        <w:sz w:val="20"/>
        <w:lang w:eastAsia="zh-CN"/>
      </w:rPr>
      <w:tab/>
    </w:r>
    <w:r>
      <w:rPr>
        <w:rFonts w:eastAsia="SimSun" w:hint="eastAsia"/>
        <w:sz w:val="20"/>
        <w:lang w:eastAsia="zh-CN"/>
      </w:rPr>
      <w:t>220612</w:t>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4174" w:rsidRDefault="00B9417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94174" w:rsidRDefault="00B9417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122" w:rsidRDefault="00694122">
    <w:pPr>
      <w:pStyle w:val="Header"/>
    </w:pPr>
    <w:r>
      <w:t>E/C.12/ETH/CO/1-3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122" w:rsidRDefault="00694122">
    <w:pPr>
      <w:pStyle w:val="Header"/>
      <w:jc w:val="right"/>
      <w:rPr>
        <w:rFonts w:hint="eastAsia"/>
        <w:lang w:eastAsia="zh-CN"/>
      </w:rPr>
    </w:pPr>
    <w:r>
      <w:rPr>
        <w:lang w:eastAsia="zh-CN"/>
      </w:rPr>
      <w:t>E/C.12/ETH/CO/1-3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122" w:rsidRDefault="00694122">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AB82BA8"/>
    <w:multiLevelType w:val="hybridMultilevel"/>
    <w:tmpl w:val="2EF86016"/>
    <w:lvl w:ilvl="0" w:tplc="A4480B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1AB26A5"/>
    <w:multiLevelType w:val="hybridMultilevel"/>
    <w:tmpl w:val="4B7C461E"/>
    <w:lvl w:ilvl="0" w:tplc="BA7A769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3"/>
  </w:num>
  <w:num w:numId="13">
    <w:abstractNumId w:val="19"/>
  </w:num>
  <w:num w:numId="14">
    <w:abstractNumId w:val="11"/>
  </w:num>
  <w:num w:numId="15">
    <w:abstractNumId w:val="12"/>
  </w:num>
  <w:num w:numId="16">
    <w:abstractNumId w:val="22"/>
  </w:num>
  <w:num w:numId="17">
    <w:abstractNumId w:val="11"/>
  </w:num>
  <w:num w:numId="18">
    <w:abstractNumId w:val="22"/>
  </w:num>
  <w:num w:numId="19">
    <w:abstractNumId w:val="12"/>
  </w:num>
  <w:num w:numId="20">
    <w:abstractNumId w:val="20"/>
  </w:num>
  <w:num w:numId="21">
    <w:abstractNumId w:val="17"/>
  </w:num>
  <w:num w:numId="22">
    <w:abstractNumId w:val="14"/>
  </w:num>
  <w:num w:numId="23">
    <w:abstractNumId w:val="20"/>
  </w:num>
  <w:num w:numId="24">
    <w:abstractNumId w:val="17"/>
  </w:num>
  <w:num w:numId="25">
    <w:abstractNumId w:val="14"/>
  </w:num>
  <w:num w:numId="26">
    <w:abstractNumId w:val="18"/>
  </w:num>
  <w:num w:numId="27">
    <w:abstractNumId w:val="10"/>
  </w:num>
  <w:num w:numId="28">
    <w:abstractNumId w:val="16"/>
  </w:num>
  <w:num w:numId="29">
    <w:abstractNumId w:val="24"/>
  </w:num>
  <w:num w:numId="30">
    <w:abstractNumId w:val="18"/>
  </w:num>
  <w:num w:numId="31">
    <w:abstractNumId w:val="10"/>
  </w:num>
  <w:num w:numId="32">
    <w:abstractNumId w:val="16"/>
  </w:num>
  <w:num w:numId="33">
    <w:abstractNumId w:val="24"/>
  </w:num>
  <w:num w:numId="34">
    <w:abstractNumId w:val="12"/>
  </w:num>
  <w:num w:numId="35">
    <w:abstractNumId w:val="13"/>
  </w:num>
  <w:num w:numId="36">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6434C"/>
    <w:rsid w:val="00324A6E"/>
    <w:rsid w:val="0036434C"/>
    <w:rsid w:val="003E6633"/>
    <w:rsid w:val="004E4075"/>
    <w:rsid w:val="00694122"/>
    <w:rsid w:val="007C5152"/>
    <w:rsid w:val="00826613"/>
    <w:rsid w:val="008564F2"/>
    <w:rsid w:val="00AA114E"/>
    <w:rsid w:val="00B720B2"/>
    <w:rsid w:val="00B94174"/>
    <w:rsid w:val="00BB1C3E"/>
    <w:rsid w:val="00C14F00"/>
    <w:rsid w:val="00D173E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pPr>
      <w:spacing w:before="80" w:after="80" w:line="200" w:lineRule="exact"/>
      <w:ind w:left="0" w:right="113"/>
    </w:pPr>
    <w:rPr>
      <w:rFonts w:eastAsia="KaiTi_GB2312"/>
      <w:sz w:val="18"/>
    </w:rPr>
  </w:style>
  <w:style w:type="paragraph" w:customStyle="1" w:styleId="a0">
    <w:name w:val="表中文字"/>
    <w:basedOn w:val="SingleTxtGC"/>
    <w:pPr>
      <w:spacing w:before="40" w:line="240" w:lineRule="atLeast"/>
      <w:ind w:left="0" w:right="113"/>
    </w:pPr>
    <w:rPr>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pPr>
      <w:tabs>
        <w:tab w:val="right" w:pos="1021"/>
      </w:tabs>
    </w:pPr>
  </w:style>
  <w:style w:type="character" w:styleId="EndnoteReference">
    <w:name w:val="endnote reference"/>
    <w:basedOn w:val="FootnoteReference"/>
  </w:style>
  <w:style w:type="paragraph" w:customStyle="1" w:styleId="a3">
    <w:name w:val="悬挂"/>
    <w:basedOn w:val="SingleTxtGC"/>
    <w:pPr>
      <w:ind w:left="1565" w:hanging="431"/>
    </w:pPr>
  </w:style>
  <w:style w:type="paragraph" w:customStyle="1" w:styleId="SingleTxtGC">
    <w:name w:val="_ Single Txt_GC"/>
    <w:basedOn w:val="Normal"/>
    <w:pPr>
      <w:tabs>
        <w:tab w:val="left" w:pos="1134"/>
        <w:tab w:val="left" w:pos="1565"/>
        <w:tab w:val="left" w:pos="1996"/>
        <w:tab w:val="left" w:pos="2427"/>
      </w:tabs>
      <w:spacing w:after="120"/>
      <w:ind w:left="1134" w:right="1134"/>
    </w:pPr>
  </w:style>
  <w:style w:type="paragraph" w:customStyle="1" w:styleId="DashGC">
    <w:name w:val="_Dash_GC"/>
    <w:basedOn w:val="Normal"/>
    <w:pPr>
      <w:numPr>
        <w:numId w:val="34"/>
      </w:numPr>
      <w:spacing w:after="120"/>
      <w:ind w:right="1134"/>
    </w:pPr>
    <w:rPr>
      <w:lang w:val="fr-CH"/>
    </w:r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pPr>
      <w:spacing w:before="40" w:after="40" w:line="240" w:lineRule="atLeast"/>
      <w:ind w:left="0" w:right="113"/>
    </w:pPr>
    <w:rPr>
      <w:sz w:val="18"/>
    </w:rPr>
  </w:style>
  <w:style w:type="paragraph" w:customStyle="1" w:styleId="Bullet1GC">
    <w:name w:val="_Bullet 1_GC"/>
    <w:basedOn w:val="Normal"/>
    <w:pPr>
      <w:numPr>
        <w:numId w:val="17"/>
      </w:numPr>
      <w:spacing w:after="120"/>
      <w:ind w:right="1134"/>
    </w:pPr>
  </w:style>
  <w:style w:type="paragraph" w:customStyle="1" w:styleId="Bullet2GC">
    <w:name w:val="_Bullet 2_GC"/>
    <w:basedOn w:val="Normal"/>
    <w:pPr>
      <w:numPr>
        <w:numId w:val="18"/>
      </w:numPr>
      <w:tabs>
        <w:tab w:val="left" w:pos="1134"/>
        <w:tab w:val="left" w:pos="1565"/>
        <w:tab w:val="left" w:pos="1996"/>
      </w:tabs>
      <w:spacing w:after="120"/>
      <w:ind w:right="1134"/>
    </w:p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pPr>
      <w:ind w:left="1565"/>
    </w:p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link w:val="H1GCh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1GChar">
    <w:name w:val="_ H_1_G Char"/>
    <w:link w:val="H1G"/>
    <w:locked/>
    <w:rPr>
      <w:rFonts w:eastAsia="SimSun"/>
      <w:b/>
      <w:sz w:val="24"/>
      <w:lang w:val="en-GB" w:eastAsia="en-US" w:bidi="ar-SA"/>
    </w:rPr>
  </w:style>
  <w:style w:type="character" w:customStyle="1" w:styleId="SingleTxtGChar">
    <w:name w:val="_ Single Txt_G Char"/>
    <w:link w:val="SingleTxtG"/>
    <w:locked/>
    <w:rPr>
      <w:rFonts w:eastAsia="SimSun"/>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2827</Words>
  <Characters>2969</Characters>
  <Application>Microsoft Office Outlook</Application>
  <DocSecurity>4</DocSecurity>
  <Lines>106</Lines>
  <Paragraphs>76</Paragraphs>
  <ScaleCrop>false</ScaleCrop>
  <Company>CSD</Company>
  <LinksUpToDate>false</LinksUpToDate>
  <CharactersWithSpaces>5720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GUAN</dc:creator>
  <cp:keywords/>
  <dc:description/>
  <cp:lastModifiedBy>nie</cp:lastModifiedBy>
  <cp:revision>8</cp:revision>
  <cp:lastPrinted>2012-06-22T13:25:00Z</cp:lastPrinted>
  <dcterms:created xsi:type="dcterms:W3CDTF">2012-06-22T13:25:00Z</dcterms:created>
  <dcterms:modified xsi:type="dcterms:W3CDTF">2012-06-22T13:26:00Z</dcterms:modified>
</cp:coreProperties>
</file>