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B17C29">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17C29" w:rsidP="00B17C29">
            <w:pPr>
              <w:jc w:val="right"/>
            </w:pPr>
            <w:r w:rsidRPr="00B17C29">
              <w:rPr>
                <w:sz w:val="40"/>
              </w:rPr>
              <w:t>E</w:t>
            </w:r>
            <w:r>
              <w:t>/C.12/46/1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17C29" w:rsidRDefault="00B17C29" w:rsidP="00F01516">
            <w:pPr>
              <w:spacing w:before="240"/>
            </w:pPr>
            <w:r>
              <w:t>Distr. générale</w:t>
            </w:r>
          </w:p>
          <w:p w:rsidR="00B17C29" w:rsidRDefault="00B17C29" w:rsidP="00B17C29">
            <w:pPr>
              <w:spacing w:line="240" w:lineRule="exact"/>
            </w:pPr>
            <w:r>
              <w:t>24 mars 2011</w:t>
            </w:r>
          </w:p>
          <w:p w:rsidR="00B17C29" w:rsidRDefault="00B17C29" w:rsidP="00B17C29">
            <w:pPr>
              <w:spacing w:line="240" w:lineRule="exact"/>
            </w:pPr>
            <w:r>
              <w:t>Français</w:t>
            </w:r>
          </w:p>
          <w:p w:rsidR="003D1DF3" w:rsidRPr="00DB58B5" w:rsidRDefault="00B17C29" w:rsidP="00B17C29">
            <w:pPr>
              <w:spacing w:line="240" w:lineRule="exact"/>
            </w:pPr>
            <w:r>
              <w:t>Original: anglais</w:t>
            </w:r>
          </w:p>
        </w:tc>
      </w:tr>
    </w:tbl>
    <w:p w:rsidR="00B17C29" w:rsidRPr="00EB58D5" w:rsidRDefault="00B17C29" w:rsidP="0066609D">
      <w:pPr>
        <w:spacing w:before="120" w:line="240" w:lineRule="auto"/>
        <w:rPr>
          <w:b/>
          <w:szCs w:val="24"/>
        </w:rPr>
      </w:pPr>
      <w:r w:rsidRPr="00EB58D5">
        <w:rPr>
          <w:b/>
          <w:szCs w:val="24"/>
        </w:rPr>
        <w:t>Comité des droits économiques, sociaux et culturels</w:t>
      </w:r>
    </w:p>
    <w:p w:rsidR="00B17C29" w:rsidRPr="001513A8" w:rsidRDefault="00B17C29" w:rsidP="0066609D">
      <w:pPr>
        <w:spacing w:line="240" w:lineRule="auto"/>
        <w:rPr>
          <w:b/>
        </w:rPr>
      </w:pPr>
      <w:r w:rsidRPr="001513A8">
        <w:rPr>
          <w:b/>
        </w:rPr>
        <w:t>Quarante-</w:t>
      </w:r>
      <w:r>
        <w:rPr>
          <w:b/>
        </w:rPr>
        <w:t>six</w:t>
      </w:r>
      <w:r w:rsidRPr="001513A8">
        <w:rPr>
          <w:b/>
        </w:rPr>
        <w:t>ième session</w:t>
      </w:r>
    </w:p>
    <w:p w:rsidR="00B17C29" w:rsidRPr="001513A8" w:rsidRDefault="00B17C29" w:rsidP="0066609D">
      <w:pPr>
        <w:spacing w:line="240" w:lineRule="auto"/>
      </w:pPr>
      <w:r>
        <w:t>Genève, 2</w:t>
      </w:r>
      <w:r w:rsidRPr="001513A8">
        <w:t>-</w:t>
      </w:r>
      <w:r>
        <w:t>20</w:t>
      </w:r>
      <w:r w:rsidRPr="001513A8">
        <w:t xml:space="preserve"> </w:t>
      </w:r>
      <w:r>
        <w:t>mai 2011</w:t>
      </w:r>
    </w:p>
    <w:p w:rsidR="00B17C29" w:rsidRPr="001513A8" w:rsidRDefault="00B17C29" w:rsidP="00B17C29">
      <w:pPr>
        <w:pStyle w:val="HChG"/>
      </w:pPr>
      <w:r w:rsidRPr="001513A8">
        <w:tab/>
      </w:r>
      <w:r w:rsidRPr="001513A8">
        <w:tab/>
        <w:t>Ordre du jour provisoire annoté</w:t>
      </w:r>
    </w:p>
    <w:p w:rsidR="00B17C29" w:rsidRPr="001513A8" w:rsidRDefault="00B17C29" w:rsidP="00B17C29">
      <w:pPr>
        <w:pStyle w:val="H1G"/>
      </w:pPr>
      <w:r w:rsidRPr="001513A8">
        <w:tab/>
      </w:r>
      <w:r w:rsidRPr="001513A8">
        <w:tab/>
        <w:t>Note du Secrétaire général</w:t>
      </w:r>
      <w:r w:rsidRPr="00B17C29">
        <w:rPr>
          <w:rStyle w:val="FootnoteReference"/>
          <w:b w:val="0"/>
          <w:sz w:val="20"/>
          <w:vertAlign w:val="baseline"/>
        </w:rPr>
        <w:footnoteReference w:customMarkFollows="1" w:id="2"/>
        <w:t>*</w:t>
      </w:r>
    </w:p>
    <w:p w:rsidR="00B17C29" w:rsidRPr="001513A8" w:rsidRDefault="00B17C29" w:rsidP="00B17C29">
      <w:pPr>
        <w:pStyle w:val="SingleTxtG"/>
      </w:pPr>
      <w:r w:rsidRPr="001513A8">
        <w:t>1.</w:t>
      </w:r>
      <w:r w:rsidRPr="001513A8">
        <w:tab/>
        <w:t>La quarante-</w:t>
      </w:r>
      <w:r>
        <w:t>six</w:t>
      </w:r>
      <w:r w:rsidRPr="001513A8">
        <w:t>ième session du Comité des droits économiques, sociaux et culturels, créé conformément à la résolution 1985/17 du Conseil économique et social, se tiendra à l</w:t>
      </w:r>
      <w:r w:rsidR="004A7A11">
        <w:t>’</w:t>
      </w:r>
      <w:r w:rsidRPr="001513A8">
        <w:t xml:space="preserve">Office des Nations Unies à Genève du </w:t>
      </w:r>
      <w:r>
        <w:t>2</w:t>
      </w:r>
      <w:r w:rsidRPr="001513A8">
        <w:t xml:space="preserve"> au </w:t>
      </w:r>
      <w:r>
        <w:t>20</w:t>
      </w:r>
      <w:r w:rsidRPr="001513A8">
        <w:t xml:space="preserve"> </w:t>
      </w:r>
      <w:r>
        <w:t>mai 2011</w:t>
      </w:r>
      <w:r w:rsidRPr="001513A8">
        <w:t xml:space="preserve"> (Palais Wilson). La 1</w:t>
      </w:r>
      <w:r w:rsidRPr="001513A8">
        <w:rPr>
          <w:vertAlign w:val="superscript"/>
        </w:rPr>
        <w:t>re</w:t>
      </w:r>
      <w:r>
        <w:t xml:space="preserve"> </w:t>
      </w:r>
      <w:r w:rsidRPr="001513A8">
        <w:t>séance s</w:t>
      </w:r>
      <w:r w:rsidR="004A7A11">
        <w:t>’</w:t>
      </w:r>
      <w:r w:rsidRPr="001513A8">
        <w:t xml:space="preserve">ouvrira le lundi </w:t>
      </w:r>
      <w:r>
        <w:t>2</w:t>
      </w:r>
      <w:r w:rsidRPr="001513A8">
        <w:t xml:space="preserve"> </w:t>
      </w:r>
      <w:r>
        <w:t>mai</w:t>
      </w:r>
      <w:r w:rsidRPr="001513A8">
        <w:t xml:space="preserve"> 201</w:t>
      </w:r>
      <w:r>
        <w:t>1</w:t>
      </w:r>
      <w:r w:rsidRPr="001513A8">
        <w:t>, à 10 heures.</w:t>
      </w:r>
    </w:p>
    <w:p w:rsidR="00B17C29" w:rsidRPr="001513A8" w:rsidRDefault="00B17C29" w:rsidP="00B17C29">
      <w:pPr>
        <w:pStyle w:val="SingleTxtG"/>
      </w:pPr>
      <w:r w:rsidRPr="001513A8">
        <w:t>2.</w:t>
      </w:r>
      <w:r w:rsidRPr="001513A8">
        <w:tab/>
        <w:t>L</w:t>
      </w:r>
      <w:r w:rsidR="004A7A11">
        <w:t>’</w:t>
      </w:r>
      <w:r w:rsidRPr="001513A8">
        <w:t>ordre du jour provisoire de la quarante-</w:t>
      </w:r>
      <w:r>
        <w:t>six</w:t>
      </w:r>
      <w:r w:rsidRPr="001513A8">
        <w:t>ième session du Comité et les annotations y relatives figurant ci-après ont été établis par le Secrétaire général conformément à l</w:t>
      </w:r>
      <w:r w:rsidR="004A7A11">
        <w:t>’</w:t>
      </w:r>
      <w:r w:rsidRPr="001513A8">
        <w:t>article 4 du Règlement intérieur du Comité.</w:t>
      </w:r>
    </w:p>
    <w:p w:rsidR="00B17C29" w:rsidRDefault="00B17C29" w:rsidP="00B17C29">
      <w:pPr>
        <w:pStyle w:val="SingleTxtG"/>
      </w:pPr>
      <w:r w:rsidRPr="001513A8">
        <w:t>3.</w:t>
      </w:r>
      <w:r w:rsidRPr="001513A8">
        <w:tab/>
        <w:t>L</w:t>
      </w:r>
      <w:r w:rsidR="004A7A11">
        <w:t>’</w:t>
      </w:r>
      <w:r w:rsidRPr="001513A8">
        <w:t>attention des États parties est appelée en particulier sur les annotati</w:t>
      </w:r>
      <w:r>
        <w:t>ons au point 7</w:t>
      </w:r>
      <w:r w:rsidRPr="001513A8">
        <w:t>, où sont énumérés les rapports dont le Comité sera saisi à sa quarante-</w:t>
      </w:r>
      <w:r>
        <w:t>six</w:t>
      </w:r>
      <w:r w:rsidRPr="001513A8">
        <w:t>ième session et à ses sessions ultérieures.</w:t>
      </w:r>
    </w:p>
    <w:p w:rsidR="00B17C29" w:rsidRDefault="00B17C29" w:rsidP="00825B88">
      <w:pPr>
        <w:pStyle w:val="H1G"/>
      </w:pPr>
      <w:r>
        <w:br w:type="page"/>
      </w:r>
      <w:r>
        <w:tab/>
      </w:r>
      <w:r>
        <w:tab/>
        <w:t>Ordre du jour provisoire</w:t>
      </w:r>
    </w:p>
    <w:p w:rsidR="00B17C29" w:rsidRDefault="00B17C29" w:rsidP="00B17C29">
      <w:pPr>
        <w:pStyle w:val="SingleTxtG"/>
      </w:pPr>
      <w:r>
        <w:t>1.</w:t>
      </w:r>
      <w:r>
        <w:tab/>
        <w:t>Élection du Président et des autres membres du Bureau.</w:t>
      </w:r>
    </w:p>
    <w:p w:rsidR="00B17C29" w:rsidRDefault="00B17C29" w:rsidP="00B17C29">
      <w:pPr>
        <w:pStyle w:val="SingleTxtG"/>
      </w:pPr>
      <w:r>
        <w:t>2.</w:t>
      </w:r>
      <w:r>
        <w:tab/>
        <w:t>Adoption de l</w:t>
      </w:r>
      <w:r w:rsidR="004A7A11">
        <w:t>’</w:t>
      </w:r>
      <w:r>
        <w:t>ordre du jour.</w:t>
      </w:r>
    </w:p>
    <w:p w:rsidR="00B17C29" w:rsidRDefault="00B17C29" w:rsidP="00B17C29">
      <w:pPr>
        <w:pStyle w:val="SingleTxtG"/>
      </w:pPr>
      <w:r>
        <w:t>3.</w:t>
      </w:r>
      <w:r>
        <w:tab/>
        <w:t>Organisation des travaux.</w:t>
      </w:r>
    </w:p>
    <w:p w:rsidR="00B17C29" w:rsidRDefault="00B17C29" w:rsidP="00B17C29">
      <w:pPr>
        <w:pStyle w:val="SingleTxtG"/>
        <w:ind w:left="1701" w:hanging="567"/>
      </w:pPr>
      <w:r>
        <w:t>4.</w:t>
      </w:r>
      <w:r>
        <w:tab/>
        <w:t>Questions de fond concernant la mise en œuvre du Pacte international relatif aux droits économiques, sociaux et culturels.</w:t>
      </w:r>
    </w:p>
    <w:p w:rsidR="00B17C29" w:rsidRDefault="00B17C29" w:rsidP="00B17C29">
      <w:pPr>
        <w:pStyle w:val="SingleTxtG"/>
        <w:ind w:left="1701" w:hanging="567"/>
      </w:pPr>
      <w:r>
        <w:t>5.</w:t>
      </w:r>
      <w:r>
        <w:tab/>
        <w:t>Suite donnée à l</w:t>
      </w:r>
      <w:r w:rsidR="004A7A11">
        <w:t>’</w:t>
      </w:r>
      <w:r>
        <w:t>examen des rapports présentés conformément aux articles 16 et 17 du Pacte.</w:t>
      </w:r>
    </w:p>
    <w:p w:rsidR="00B17C29" w:rsidRDefault="00B17C29" w:rsidP="00B17C29">
      <w:pPr>
        <w:pStyle w:val="SingleTxtG"/>
        <w:ind w:left="1701" w:hanging="567"/>
      </w:pPr>
      <w:r>
        <w:t>6.</w:t>
      </w:r>
      <w:r>
        <w:tab/>
        <w:t>Relations avec les organismes des Nations Unies et les autres organes conventionnels.</w:t>
      </w:r>
    </w:p>
    <w:p w:rsidR="00B17C29" w:rsidRDefault="00B17C29" w:rsidP="00B17C29">
      <w:pPr>
        <w:pStyle w:val="SingleTxtG"/>
      </w:pPr>
      <w:r>
        <w:t>7.</w:t>
      </w:r>
      <w:r>
        <w:tab/>
        <w:t>Examen des rapports:</w:t>
      </w:r>
    </w:p>
    <w:p w:rsidR="00B17C29" w:rsidRDefault="00B17C29" w:rsidP="00B17C29">
      <w:pPr>
        <w:pStyle w:val="SingleTxtG"/>
        <w:ind w:left="2268" w:hanging="567"/>
      </w:pPr>
      <w:r>
        <w:t>a)</w:t>
      </w:r>
      <w:r>
        <w:tab/>
        <w:t>Rapports présentés par les États parties conformément aux articles 16 et 17 du Pacte;</w:t>
      </w:r>
    </w:p>
    <w:p w:rsidR="00B17C29" w:rsidRDefault="00B17C29" w:rsidP="00B17C29">
      <w:pPr>
        <w:pStyle w:val="SingleTxtG"/>
        <w:ind w:left="2268" w:hanging="567"/>
      </w:pPr>
      <w:r>
        <w:t>b)</w:t>
      </w:r>
      <w:r>
        <w:tab/>
        <w:t>Rapports présentés par les institutions spécialisées conformément à l</w:t>
      </w:r>
      <w:r w:rsidR="004A7A11">
        <w:t>’</w:t>
      </w:r>
      <w:r>
        <w:t>article</w:t>
      </w:r>
      <w:r w:rsidR="0066609D">
        <w:t> </w:t>
      </w:r>
      <w:r>
        <w:t>18 du Pacte.</w:t>
      </w:r>
    </w:p>
    <w:p w:rsidR="00B17C29" w:rsidRDefault="00B17C29" w:rsidP="00B17C29">
      <w:pPr>
        <w:pStyle w:val="SingleTxtG"/>
        <w:ind w:left="1701" w:hanging="567"/>
      </w:pPr>
      <w:r>
        <w:t>8.</w:t>
      </w:r>
      <w:r>
        <w:tab/>
        <w:t>Présentation de rapports par les États parties conformément aux articles 16 et 17 du Pacte.</w:t>
      </w:r>
    </w:p>
    <w:p w:rsidR="00B17C29" w:rsidRDefault="00B17C29" w:rsidP="00B17C29">
      <w:pPr>
        <w:pStyle w:val="SingleTxtG"/>
        <w:ind w:left="1701" w:hanging="567"/>
      </w:pPr>
      <w:r>
        <w:t>9.</w:t>
      </w:r>
      <w:r>
        <w:tab/>
        <w:t>Formulation de suggestions et de recommandations de caractère général fondées sur l</w:t>
      </w:r>
      <w:r w:rsidR="004A7A11">
        <w:t>’</w:t>
      </w:r>
      <w:r>
        <w:t>examen des rapports présentés par les États parties au Pacte et par les institutions spécialisées.</w:t>
      </w:r>
    </w:p>
    <w:p w:rsidR="00B17C29" w:rsidRDefault="00B17C29" w:rsidP="00B17C29">
      <w:pPr>
        <w:pStyle w:val="SingleTxtG"/>
      </w:pPr>
      <w:r>
        <w:t>10.</w:t>
      </w:r>
      <w:r>
        <w:tab/>
        <w:t>Questions diverses.</w:t>
      </w:r>
    </w:p>
    <w:p w:rsidR="00B17C29" w:rsidRDefault="00B17C29" w:rsidP="00825B88">
      <w:pPr>
        <w:pStyle w:val="H1G"/>
      </w:pPr>
      <w:r>
        <w:tab/>
      </w:r>
      <w:r>
        <w:tab/>
        <w:t>Annotations</w:t>
      </w:r>
    </w:p>
    <w:p w:rsidR="00B17C29" w:rsidRDefault="00B17C29" w:rsidP="00825B88">
      <w:pPr>
        <w:pStyle w:val="H23G"/>
      </w:pPr>
      <w:r>
        <w:tab/>
        <w:t>1.</w:t>
      </w:r>
      <w:r>
        <w:tab/>
        <w:t>Élection du Président et des autres membres du Bureau</w:t>
      </w:r>
    </w:p>
    <w:p w:rsidR="00B17C29" w:rsidRDefault="00B17C29" w:rsidP="00B17C29">
      <w:pPr>
        <w:pStyle w:val="SingleTxtG"/>
        <w:ind w:firstLine="567"/>
      </w:pPr>
      <w:r>
        <w:t>Conformément à l</w:t>
      </w:r>
      <w:r w:rsidR="004A7A11">
        <w:t>’</w:t>
      </w:r>
      <w:r>
        <w:t>article</w:t>
      </w:r>
      <w:r w:rsidR="0066609D">
        <w:t xml:space="preserve"> </w:t>
      </w:r>
      <w:r>
        <w:t xml:space="preserve">14 de son </w:t>
      </w:r>
      <w:r w:rsidR="0066609D">
        <w:t xml:space="preserve">Règlement </w:t>
      </w:r>
      <w:r>
        <w:t xml:space="preserve">intérieur, le Comité élit parmi ses membres </w:t>
      </w:r>
      <w:r w:rsidR="0066609D">
        <w:t xml:space="preserve">un </w:t>
      </w:r>
      <w:r>
        <w:t>président, trois</w:t>
      </w:r>
      <w:r w:rsidR="0066609D">
        <w:t xml:space="preserve"> </w:t>
      </w:r>
      <w:r>
        <w:t>vice</w:t>
      </w:r>
      <w:r w:rsidR="0066609D">
        <w:t>-</w:t>
      </w:r>
      <w:r>
        <w:t>présidents et un</w:t>
      </w:r>
      <w:r w:rsidR="0066609D">
        <w:t xml:space="preserve"> </w:t>
      </w:r>
      <w:r>
        <w:t>rapporteur. Les membres du Bureau du Comité sont élus pour une période de deux ans (art. 15). En vertu de l</w:t>
      </w:r>
      <w:r w:rsidR="004A7A11">
        <w:t>’</w:t>
      </w:r>
      <w:r>
        <w:t>article 53 du Règlement intérieur, l</w:t>
      </w:r>
      <w:r>
        <w:rPr>
          <w:szCs w:val="22"/>
        </w:rPr>
        <w:t>es élections ont lieu au scrutin secret, à moins que le Comité n</w:t>
      </w:r>
      <w:r w:rsidR="004A7A11">
        <w:rPr>
          <w:szCs w:val="22"/>
        </w:rPr>
        <w:t>’</w:t>
      </w:r>
      <w:r>
        <w:rPr>
          <w:szCs w:val="22"/>
        </w:rPr>
        <w:t>en décide autrement lorsqu</w:t>
      </w:r>
      <w:r w:rsidR="004A7A11">
        <w:rPr>
          <w:szCs w:val="22"/>
        </w:rPr>
        <w:t>’</w:t>
      </w:r>
      <w:r>
        <w:rPr>
          <w:szCs w:val="22"/>
        </w:rPr>
        <w:t>il s</w:t>
      </w:r>
      <w:r w:rsidR="004A7A11">
        <w:rPr>
          <w:szCs w:val="22"/>
        </w:rPr>
        <w:t>’</w:t>
      </w:r>
      <w:r>
        <w:rPr>
          <w:szCs w:val="22"/>
        </w:rPr>
        <w:t>agit d</w:t>
      </w:r>
      <w:r w:rsidR="004A7A11">
        <w:rPr>
          <w:szCs w:val="22"/>
        </w:rPr>
        <w:t>’</w:t>
      </w:r>
      <w:r>
        <w:rPr>
          <w:szCs w:val="22"/>
        </w:rPr>
        <w:t>une élection à un poste pour lequel un seul candidat a été proposé.</w:t>
      </w:r>
    </w:p>
    <w:p w:rsidR="00B17C29" w:rsidRDefault="00B17C29" w:rsidP="00825B88">
      <w:pPr>
        <w:pStyle w:val="H23G"/>
      </w:pPr>
      <w:r>
        <w:tab/>
        <w:t>2.</w:t>
      </w:r>
      <w:r>
        <w:tab/>
        <w:t>Adoption de l</w:t>
      </w:r>
      <w:r w:rsidR="004A7A11">
        <w:t>’</w:t>
      </w:r>
      <w:r>
        <w:t>ordre du jour</w:t>
      </w:r>
    </w:p>
    <w:p w:rsidR="00B17C29" w:rsidRDefault="00B17C29" w:rsidP="00B17C29">
      <w:pPr>
        <w:pStyle w:val="SingleTxtG"/>
        <w:ind w:firstLine="567"/>
      </w:pPr>
      <w:r>
        <w:t>Aux termes de l</w:t>
      </w:r>
      <w:r w:rsidR="004A7A11">
        <w:t>’</w:t>
      </w:r>
      <w:r>
        <w:t>article 5 du Règlement intérieur du Comité, l</w:t>
      </w:r>
      <w:r w:rsidR="004A7A11">
        <w:t>’</w:t>
      </w:r>
      <w:r>
        <w:t>adoption de l</w:t>
      </w:r>
      <w:r w:rsidR="004A7A11">
        <w:t>’</w:t>
      </w:r>
      <w:r>
        <w:t>ordre du jour constitue le premier point de l</w:t>
      </w:r>
      <w:r w:rsidR="004A7A11">
        <w:t>’</w:t>
      </w:r>
      <w:r>
        <w:t>ordre du jour d</w:t>
      </w:r>
      <w:r w:rsidR="004A7A11">
        <w:t>’</w:t>
      </w:r>
      <w:r>
        <w:t>une session, sauf dans le cas où les membres du Bureau doivent être élus conformément à l</w:t>
      </w:r>
      <w:r w:rsidR="004A7A11">
        <w:t>’</w:t>
      </w:r>
      <w:r>
        <w:t>article 14. Aux termes de l</w:t>
      </w:r>
      <w:r w:rsidR="004A7A11">
        <w:t>’</w:t>
      </w:r>
      <w:r>
        <w:t>article 6 du Règlement intérieur, le Comité peut réviser l</w:t>
      </w:r>
      <w:r w:rsidR="004A7A11">
        <w:t>’</w:t>
      </w:r>
      <w:r>
        <w:t>ordre du jour au cours d</w:t>
      </w:r>
      <w:r w:rsidR="004A7A11">
        <w:t>’</w:t>
      </w:r>
      <w:r>
        <w:t>une session et, s</w:t>
      </w:r>
      <w:r w:rsidR="004A7A11">
        <w:t>’</w:t>
      </w:r>
      <w:r>
        <w:t>il y a lieu, ajouter, supprimer ou ajourner des points.</w:t>
      </w:r>
    </w:p>
    <w:p w:rsidR="00B17C29" w:rsidRDefault="00B17C29" w:rsidP="00825B88">
      <w:pPr>
        <w:pStyle w:val="H23G"/>
      </w:pPr>
      <w:r>
        <w:tab/>
        <w:t>3.</w:t>
      </w:r>
      <w:r>
        <w:tab/>
        <w:t>Organisation des travaux</w:t>
      </w:r>
    </w:p>
    <w:p w:rsidR="00B17C29" w:rsidRDefault="00B17C29" w:rsidP="00B17C29">
      <w:pPr>
        <w:pStyle w:val="SingleTxtG"/>
        <w:ind w:firstLine="567"/>
      </w:pPr>
      <w:r>
        <w:t>Conformément à l</w:t>
      </w:r>
      <w:r w:rsidR="004A7A11">
        <w:t>’</w:t>
      </w:r>
      <w:r>
        <w:t>article 8 de son Règlement intérieur, le Comité examine au début de chaque session les questions d</w:t>
      </w:r>
      <w:r w:rsidR="004A7A11">
        <w:t>’</w:t>
      </w:r>
      <w:r>
        <w:t>organisation appropriées, y compris le calendrier de ses réunions. À cet égard, l</w:t>
      </w:r>
      <w:r w:rsidR="004A7A11">
        <w:t>’</w:t>
      </w:r>
      <w:r>
        <w:t>attention est appelée sur le programme de travail provisoire pour la session, contenu dans le présent document et élaboré par le Secrétaire général en consultation avec le Président du Comité et conformément à l</w:t>
      </w:r>
      <w:r w:rsidR="004A7A11">
        <w:t>’</w:t>
      </w:r>
      <w:r>
        <w:t>usage établi.</w:t>
      </w:r>
    </w:p>
    <w:p w:rsidR="00B17C29" w:rsidRDefault="00B17C29" w:rsidP="00825B88">
      <w:pPr>
        <w:pStyle w:val="H23G"/>
      </w:pPr>
      <w:r>
        <w:tab/>
        <w:t>4.</w:t>
      </w:r>
      <w:r>
        <w:tab/>
        <w:t>Questions de fond concernant la mise en œuvre du Pacte international relatif aux droits économiques, sociaux et culturels</w:t>
      </w:r>
    </w:p>
    <w:p w:rsidR="00B17C29" w:rsidRDefault="00B17C29" w:rsidP="00B17C29">
      <w:pPr>
        <w:pStyle w:val="SingleTxtG"/>
        <w:ind w:firstLine="567"/>
      </w:pPr>
      <w:r>
        <w:t>Conformément à l</w:t>
      </w:r>
      <w:r w:rsidR="004A7A11">
        <w:t>’</w:t>
      </w:r>
      <w:r>
        <w:t>article</w:t>
      </w:r>
      <w:r w:rsidR="0066609D">
        <w:t xml:space="preserve"> </w:t>
      </w:r>
      <w:r>
        <w:t>65 de son Règlement intérieur, le Comité peut rédiger des observations générales fondées sur les différents articles et dispositions du Pacte en vue d</w:t>
      </w:r>
      <w:r w:rsidR="004A7A11">
        <w:t>’</w:t>
      </w:r>
      <w:r>
        <w:t>aider les États parties à s</w:t>
      </w:r>
      <w:r w:rsidR="004A7A11">
        <w:t>’</w:t>
      </w:r>
      <w:r>
        <w:t>acquitter des obligations qui leur incombent en matière d</w:t>
      </w:r>
      <w:r w:rsidR="004A7A11">
        <w:t>’</w:t>
      </w:r>
      <w:r>
        <w:t>établissement de rapports. Le Comité a décidé à sa quatorzième session (28 avril-17</w:t>
      </w:r>
      <w:r w:rsidR="0066609D">
        <w:t xml:space="preserve"> </w:t>
      </w:r>
      <w:r>
        <w:t>mai</w:t>
      </w:r>
      <w:r w:rsidR="0066609D">
        <w:t xml:space="preserve"> </w:t>
      </w:r>
      <w:r>
        <w:t>1996) qu</w:t>
      </w:r>
      <w:r w:rsidR="004A7A11">
        <w:t>’</w:t>
      </w:r>
      <w:r>
        <w:t>à partir de sa quinzième session, les discussions concernant la mise en œuvre du Pacte (journées de débat général, examen et adoption d</w:t>
      </w:r>
      <w:r w:rsidR="004A7A11">
        <w:t>’</w:t>
      </w:r>
      <w:r>
        <w:t>observations générales, méthodes de travail, documents soumis par des ONG, etc.) se dérouleraient au titre de ce point de l</w:t>
      </w:r>
      <w:r w:rsidR="004A7A11">
        <w:t>’</w:t>
      </w:r>
      <w:r>
        <w:t>ordre du jour. À la présente session, le Comité examinera une déclaration sur le secteur des entreprises et les droits de l</w:t>
      </w:r>
      <w:r w:rsidR="004A7A11">
        <w:t>’</w:t>
      </w:r>
      <w:r>
        <w:t>homme.</w:t>
      </w:r>
    </w:p>
    <w:p w:rsidR="00B17C29" w:rsidRDefault="00B17C29" w:rsidP="00B17C29">
      <w:pPr>
        <w:pStyle w:val="SingleTxtG"/>
        <w:ind w:firstLine="567"/>
      </w:pPr>
      <w:r>
        <w:t>Pendant la session, le Comité examinera également le projet de règlement intérieur pour le Protocole facultatif se rapportant au Pacte et d</w:t>
      </w:r>
      <w:r w:rsidR="004A7A11">
        <w:t>’</w:t>
      </w:r>
      <w:r>
        <w:t xml:space="preserve">autres méthodes de travail. </w:t>
      </w:r>
    </w:p>
    <w:p w:rsidR="00B17C29" w:rsidRDefault="00B17C29" w:rsidP="00825B88">
      <w:pPr>
        <w:pStyle w:val="H23G"/>
      </w:pPr>
      <w:r>
        <w:tab/>
        <w:t>5.</w:t>
      </w:r>
      <w:r>
        <w:tab/>
        <w:t>Suite donnée à l</w:t>
      </w:r>
      <w:r w:rsidR="004A7A11">
        <w:t>’</w:t>
      </w:r>
      <w:r>
        <w:t>examen des rapports présentés conformément aux articles 16 et 17 du Pacte</w:t>
      </w:r>
    </w:p>
    <w:p w:rsidR="00B17C29" w:rsidRDefault="00B17C29" w:rsidP="00B17C29">
      <w:pPr>
        <w:pStyle w:val="SingleTxtG"/>
        <w:ind w:firstLine="567"/>
      </w:pPr>
      <w:r>
        <w:t xml:space="preserve">À ses précédentes sessions, le Comité a systématiquement abordé la question du suivi. </w:t>
      </w:r>
      <w:r w:rsidR="0066609D">
        <w:t>À</w:t>
      </w:r>
      <w:r>
        <w:t xml:space="preserve"> la présente session, il examinera les points d</w:t>
      </w:r>
      <w:r w:rsidR="004A7A11">
        <w:t>’</w:t>
      </w:r>
      <w:r>
        <w:t>accord concernant la suite donnée à ses observations finales, demandes d</w:t>
      </w:r>
      <w:r w:rsidR="004A7A11">
        <w:t>’</w:t>
      </w:r>
      <w:r>
        <w:t>information et visites que le</w:t>
      </w:r>
      <w:r w:rsidRPr="003A3A1C">
        <w:rPr>
          <w:b/>
        </w:rPr>
        <w:t xml:space="preserve"> </w:t>
      </w:r>
      <w:r w:rsidRPr="003A3A1C">
        <w:t>Groupe de travail sur le suivi des organes créés en vertu</w:t>
      </w:r>
      <w:r>
        <w:t xml:space="preserve"> </w:t>
      </w:r>
      <w:r w:rsidRPr="003A3A1C">
        <w:t>d</w:t>
      </w:r>
      <w:r w:rsidR="004A7A11">
        <w:t>’</w:t>
      </w:r>
      <w:r w:rsidRPr="003A3A1C">
        <w:t>instruments internationaux relatifs aux droits de l</w:t>
      </w:r>
      <w:r w:rsidR="004A7A11">
        <w:t>’</w:t>
      </w:r>
      <w:r w:rsidRPr="003A3A1C">
        <w:t>homme</w:t>
      </w:r>
      <w:r>
        <w:t xml:space="preserve"> de la réunion intercomités a arrêtés à sa première session, tenue du 12 au 14 janvier 2011. Les points d</w:t>
      </w:r>
      <w:r w:rsidR="004A7A11">
        <w:t>’</w:t>
      </w:r>
      <w:r>
        <w:t xml:space="preserve">accord qui seront soumis à la réunion intercomités </w:t>
      </w:r>
      <w:r w:rsidR="0066609D">
        <w:t>de</w:t>
      </w:r>
      <w:r>
        <w:t xml:space="preserve"> juin 2011, pour approbation, renferment de nombreuses propositions en faveur d</w:t>
      </w:r>
      <w:r w:rsidR="004A7A11">
        <w:t>’</w:t>
      </w:r>
      <w:r>
        <w:t>une approche plus structurée et harmonisée du suivi de l</w:t>
      </w:r>
      <w:r w:rsidR="004A7A11">
        <w:t>’</w:t>
      </w:r>
      <w:r>
        <w:t>ensemble des organes conventionnels.</w:t>
      </w:r>
    </w:p>
    <w:p w:rsidR="00B17C29" w:rsidRDefault="00B17C29" w:rsidP="00825B88">
      <w:pPr>
        <w:pStyle w:val="H23G"/>
      </w:pPr>
      <w:r>
        <w:tab/>
        <w:t>6.</w:t>
      </w:r>
      <w:r>
        <w:tab/>
        <w:t>Relations avec les organismes des Nations Unies et les autres organes conventionnels</w:t>
      </w:r>
    </w:p>
    <w:p w:rsidR="00B17C29" w:rsidRDefault="00B17C29" w:rsidP="00B17C29">
      <w:pPr>
        <w:pStyle w:val="SingleTxtG"/>
        <w:ind w:firstLine="567"/>
      </w:pPr>
      <w:r>
        <w:t>Au titre de ce point de l</w:t>
      </w:r>
      <w:r w:rsidR="004A7A11">
        <w:t>’</w:t>
      </w:r>
      <w:r>
        <w:t>ordre du jour, le Comité examinera les questions découlant de la première session du Groupe de travail</w:t>
      </w:r>
      <w:r w:rsidRPr="008F0588">
        <w:t xml:space="preserve"> </w:t>
      </w:r>
      <w:r w:rsidRPr="003A3A1C">
        <w:t>sur le suivi des organes créés en vertu</w:t>
      </w:r>
      <w:r>
        <w:t xml:space="preserve"> </w:t>
      </w:r>
      <w:r w:rsidRPr="003A3A1C">
        <w:t>d</w:t>
      </w:r>
      <w:r w:rsidR="004A7A11">
        <w:t>’</w:t>
      </w:r>
      <w:r w:rsidRPr="003A3A1C">
        <w:t>instruments internationaux relatifs aux droits de l</w:t>
      </w:r>
      <w:r w:rsidR="004A7A11">
        <w:t>’</w:t>
      </w:r>
      <w:r w:rsidRPr="003A3A1C">
        <w:t>homme</w:t>
      </w:r>
      <w:r>
        <w:t xml:space="preserve"> et les points qui seront soulevés à la prochaine réunion intercomités, qui se tiendra du 27 au 29 juin 2011, et à la réunion des présidents des organes créés en vertu d</w:t>
      </w:r>
      <w:r w:rsidR="004A7A11">
        <w:t>’</w:t>
      </w:r>
      <w:r>
        <w:t>instruments internationaux relatifs aux droits de l</w:t>
      </w:r>
      <w:r w:rsidR="004A7A11">
        <w:t>’</w:t>
      </w:r>
      <w:r>
        <w:t>homme, qui se tiendra du 30 juin au 1</w:t>
      </w:r>
      <w:r w:rsidRPr="00BF6FAA">
        <w:rPr>
          <w:vertAlign w:val="superscript"/>
        </w:rPr>
        <w:t>er</w:t>
      </w:r>
      <w:r>
        <w:t xml:space="preserve"> juillet 2011.</w:t>
      </w:r>
      <w:r w:rsidRPr="00BF6FAA">
        <w:t xml:space="preserve"> </w:t>
      </w:r>
      <w:r>
        <w:t>Les rapports de la précédente réunion des présidents et de la précédente réunion intercomités ainsi que de leurs réunions intersessions seront mis à la disposition des membres du Comité.</w:t>
      </w:r>
    </w:p>
    <w:p w:rsidR="00B17C29" w:rsidRDefault="00B17C29" w:rsidP="00B17C29">
      <w:pPr>
        <w:pStyle w:val="SingleTxtG"/>
        <w:ind w:firstLine="567"/>
      </w:pPr>
      <w:r>
        <w:t>La onzième réunion du Groupe conjoint d</w:t>
      </w:r>
      <w:r w:rsidR="004A7A11">
        <w:t>’</w:t>
      </w:r>
      <w:r>
        <w:t>experts UNESCO (Comité sur les conventions et recommandations)/Conseil économique et social (Comité des droits économiques, sociaux et culturels) sur le suivi du droit à l</w:t>
      </w:r>
      <w:r w:rsidR="004A7A11">
        <w:t>’</w:t>
      </w:r>
      <w:r>
        <w:t>éducation, créé en vertu de la décision 2003/310 du Conseil économique et social en date du 25 juillet 2003 et de la décision 5.4 adoptée par le Conseil exécutif de l</w:t>
      </w:r>
      <w:r w:rsidR="004A7A11">
        <w:t>’</w:t>
      </w:r>
      <w:r>
        <w:t>UNESCO à sa cent soixante-deuxième session (2-31 octobre 2001), sera convoquée le 29 avril 2011, immédiatement après la quarante-sixième session. Le Groupe conjoint d</w:t>
      </w:r>
      <w:r w:rsidR="004A7A11">
        <w:t>’</w:t>
      </w:r>
      <w:r>
        <w:t xml:space="preserve">experts se compose de </w:t>
      </w:r>
      <w:r w:rsidR="0066609D">
        <w:t>quatre</w:t>
      </w:r>
      <w:r>
        <w:t xml:space="preserve"> membres, à</w:t>
      </w:r>
      <w:r w:rsidR="0066609D">
        <w:t xml:space="preserve"> </w:t>
      </w:r>
      <w:r>
        <w:t xml:space="preserve">savoir: </w:t>
      </w:r>
      <w:r w:rsidR="0066609D">
        <w:t>deux</w:t>
      </w:r>
      <w:r>
        <w:t xml:space="preserve"> membres du Comité des droits</w:t>
      </w:r>
      <w:r w:rsidR="0066609D">
        <w:t xml:space="preserve"> </w:t>
      </w:r>
      <w:r>
        <w:t xml:space="preserve">économiques, sociaux et culturels et </w:t>
      </w:r>
      <w:r w:rsidR="0066609D">
        <w:t>deux</w:t>
      </w:r>
      <w:r>
        <w:t xml:space="preserve"> membres du Comité sur les conventions et recommandations de l</w:t>
      </w:r>
      <w:r w:rsidR="004A7A11">
        <w:t>’</w:t>
      </w:r>
      <w:r>
        <w:t xml:space="preserve">UNESCO. </w:t>
      </w:r>
    </w:p>
    <w:p w:rsidR="00B17C29" w:rsidRDefault="00B17C29" w:rsidP="00825B88">
      <w:pPr>
        <w:pStyle w:val="H23G"/>
      </w:pPr>
      <w:r>
        <w:tab/>
        <w:t>7.</w:t>
      </w:r>
      <w:r>
        <w:tab/>
        <w:t>Examen des rapports</w:t>
      </w:r>
    </w:p>
    <w:p w:rsidR="00B17C29" w:rsidRDefault="00B17C29" w:rsidP="00E83C79">
      <w:pPr>
        <w:pStyle w:val="H4G"/>
      </w:pPr>
      <w:r>
        <w:tab/>
        <w:t>a)</w:t>
      </w:r>
      <w:r>
        <w:tab/>
        <w:t>Rapports présentés par les États parties conformément aux articles 16 et 17 du Pacte</w:t>
      </w:r>
    </w:p>
    <w:p w:rsidR="00B17C29" w:rsidRDefault="00B17C29" w:rsidP="00B17C29">
      <w:pPr>
        <w:pStyle w:val="SingleTxtG"/>
        <w:ind w:firstLine="567"/>
      </w:pPr>
      <w:r>
        <w:t>En application du paragraphe 2 de l</w:t>
      </w:r>
      <w:r w:rsidR="004A7A11">
        <w:t>’</w:t>
      </w:r>
      <w:r>
        <w:t>article 61 de son Règlement intérieur, le Comité examine normalement les rapports présentés par les États parties en vertu de l</w:t>
      </w:r>
      <w:r w:rsidR="004A7A11">
        <w:t>’</w:t>
      </w:r>
      <w:r>
        <w:t>article 16 du Pacte dans l</w:t>
      </w:r>
      <w:r w:rsidR="004A7A11">
        <w:t>’</w:t>
      </w:r>
      <w:r>
        <w:t>ordre dans lequel ils ont été reçus par le Secrétaire général. Les représentants des États parties qui présentent un rapport ont le droit d</w:t>
      </w:r>
      <w:r w:rsidR="004A7A11">
        <w:t>’</w:t>
      </w:r>
      <w:r>
        <w:t>assister aux séances du Comité consacrées à l</w:t>
      </w:r>
      <w:r w:rsidR="004A7A11">
        <w:t>’</w:t>
      </w:r>
      <w:r>
        <w:t>examen dudit rapport; ils doivent être en mesure de faire des déclarations sur les rapports soumis par leur gouvernement et de répondre aux questions que peuvent leur poser les membres du Comité.</w:t>
      </w:r>
    </w:p>
    <w:p w:rsidR="00B17C29" w:rsidRDefault="00B17C29" w:rsidP="00B17C29">
      <w:pPr>
        <w:pStyle w:val="SingleTxtG"/>
        <w:ind w:firstLine="567"/>
      </w:pPr>
      <w:r>
        <w:t>En application du paragraphe 2 de l</w:t>
      </w:r>
      <w:r w:rsidR="004A7A11">
        <w:t>’</w:t>
      </w:r>
      <w:r>
        <w:t>article 62 du Règlement intérieur du Comité, le Secrétaire général a, par des notes verbales datées du 6 décembre 2010, notifié aux États parties intéressés la date d</w:t>
      </w:r>
      <w:r w:rsidR="004A7A11">
        <w:t>’</w:t>
      </w:r>
      <w:r>
        <w:t>ouverture et la durée de la quarante-sixième session du Comité et les a invités à envoyer des représentants pour assister aux séances du Comité au cours desquelles leur rapport devrait être examiné. À la suite de consultations avec les missions permanentes des États parties concernés au sujet des dates d</w:t>
      </w:r>
      <w:r w:rsidR="004A7A11">
        <w:t>’</w:t>
      </w:r>
      <w:r>
        <w:t>examen de leurs rapports respectifs, le Secrétaire général a, en consultation avec le Président du Comité, établi le calendrier provisoire d</w:t>
      </w:r>
      <w:r w:rsidR="004A7A11">
        <w:t>’</w:t>
      </w:r>
      <w:r>
        <w:t>examen de ces rapports.</w:t>
      </w:r>
    </w:p>
    <w:p w:rsidR="00B17C29" w:rsidRDefault="00B17C29" w:rsidP="00B17C29">
      <w:pPr>
        <w:pStyle w:val="SingleTxtG"/>
        <w:ind w:firstLine="567"/>
      </w:pPr>
      <w:r>
        <w:t>Au 7 février 2011, le Secrétaire général avait reçu les 44 rapports énumérés ci-après, qui étaient en attente d</w:t>
      </w:r>
      <w:r w:rsidR="004A7A11">
        <w:t>’</w:t>
      </w:r>
      <w:r>
        <w:t>examen par le Comité. Les rapports des États parties qui doivent être examinés aux quarante-sixième (mai 2011) et quarante-septième (novembre 2011) sessions du Comité sont signalés comme tels dans la dernière colonne des tableaux ci-après. Les rapports qui seront examinés à des sessions ultérieures du Comité sont les cinq à sept rapports que le Comité a reçus ensuite. Ils seront examinés dans l</w:t>
      </w:r>
      <w:r w:rsidR="004A7A11">
        <w:t>’</w:t>
      </w:r>
      <w:r>
        <w:t xml:space="preserve">ordre chronologique dans lequel ils lui sont parvenus. Le calendrier de leur examen par le Comité à sa quarante-septième session et à ses sessions ultérieures est soumis à son approbation. </w:t>
      </w:r>
    </w:p>
    <w:p w:rsidR="00B17C29" w:rsidRDefault="00B17C29" w:rsidP="00B17C29">
      <w:pPr>
        <w:pStyle w:val="SingleTxtG"/>
        <w:ind w:firstLine="567"/>
      </w:pPr>
      <w:r>
        <w:t>Les tableaux ci-après n</w:t>
      </w:r>
      <w:r w:rsidR="004A7A11">
        <w:t>’</w:t>
      </w:r>
      <w:r>
        <w:t>incluent pas les État</w:t>
      </w:r>
      <w:r w:rsidR="0066609D">
        <w:t>s</w:t>
      </w:r>
      <w:r>
        <w:t xml:space="preserve"> parties qui ont été priés de présenter un rapport dans un certain délai, faute de quoi, le Comité entreprendrait d</w:t>
      </w:r>
      <w:r w:rsidR="004A7A11">
        <w:t>’</w:t>
      </w:r>
      <w:r>
        <w:t>examiner la situation des droits économiques, sociaux et culturels sur leur territoire, même en l</w:t>
      </w:r>
      <w:r w:rsidR="004A7A11">
        <w:t>’</w:t>
      </w:r>
      <w:r>
        <w:t>absence de rapport.</w:t>
      </w:r>
    </w:p>
    <w:tbl>
      <w:tblPr>
        <w:tblStyle w:val="TableGrid"/>
        <w:tblW w:w="9639" w:type="dxa"/>
        <w:jc w:val="center"/>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00"/>
        <w:gridCol w:w="2000"/>
        <w:gridCol w:w="1350"/>
        <w:gridCol w:w="1350"/>
        <w:gridCol w:w="1739"/>
      </w:tblGrid>
      <w:tr w:rsidR="00B17C29" w:rsidRPr="00B17C29" w:rsidTr="00FE773E">
        <w:trPr>
          <w:tblHeader/>
          <w:jc w:val="center"/>
        </w:trPr>
        <w:tc>
          <w:tcPr>
            <w:tcW w:w="3200" w:type="dxa"/>
            <w:tcBorders>
              <w:top w:val="single" w:sz="4" w:space="0" w:color="auto"/>
              <w:bottom w:val="single" w:sz="12" w:space="0" w:color="auto"/>
            </w:tcBorders>
            <w:shd w:val="clear" w:color="auto" w:fill="auto"/>
            <w:vAlign w:val="bottom"/>
          </w:tcPr>
          <w:p w:rsidR="00B17C29" w:rsidRPr="00B17C29" w:rsidRDefault="00B17C29" w:rsidP="00B17C29">
            <w:pPr>
              <w:suppressAutoHyphens w:val="0"/>
              <w:spacing w:before="80" w:after="80" w:line="200" w:lineRule="exact"/>
              <w:ind w:right="113"/>
              <w:rPr>
                <w:i/>
                <w:sz w:val="16"/>
                <w:szCs w:val="16"/>
              </w:rPr>
            </w:pPr>
            <w:r w:rsidRPr="00B17C29">
              <w:rPr>
                <w:i/>
                <w:sz w:val="16"/>
                <w:szCs w:val="16"/>
              </w:rPr>
              <w:t>Rapports initiaux</w:t>
            </w:r>
          </w:p>
        </w:tc>
        <w:tc>
          <w:tcPr>
            <w:tcW w:w="2000" w:type="dxa"/>
            <w:tcBorders>
              <w:top w:val="single" w:sz="4" w:space="0" w:color="auto"/>
              <w:bottom w:val="single" w:sz="12" w:space="0" w:color="auto"/>
            </w:tcBorders>
            <w:shd w:val="clear" w:color="auto" w:fill="auto"/>
            <w:vAlign w:val="bottom"/>
          </w:tcPr>
          <w:p w:rsidR="00B17C29" w:rsidRPr="00B17C29" w:rsidRDefault="00B17C29" w:rsidP="00B17C29">
            <w:pPr>
              <w:suppressAutoHyphens w:val="0"/>
              <w:spacing w:before="80" w:after="80" w:line="200" w:lineRule="exact"/>
              <w:ind w:right="113"/>
              <w:rPr>
                <w:i/>
                <w:sz w:val="16"/>
                <w:szCs w:val="16"/>
              </w:rPr>
            </w:pPr>
            <w:r w:rsidRPr="00B17C29">
              <w:rPr>
                <w:i/>
                <w:sz w:val="16"/>
                <w:szCs w:val="16"/>
              </w:rPr>
              <w:t>Cote</w:t>
            </w:r>
          </w:p>
        </w:tc>
        <w:tc>
          <w:tcPr>
            <w:tcW w:w="1350" w:type="dxa"/>
            <w:tcBorders>
              <w:top w:val="single" w:sz="4" w:space="0" w:color="auto"/>
              <w:bottom w:val="single" w:sz="12" w:space="0" w:color="auto"/>
            </w:tcBorders>
            <w:shd w:val="clear" w:color="auto" w:fill="auto"/>
            <w:vAlign w:val="bottom"/>
          </w:tcPr>
          <w:p w:rsidR="00B17C29" w:rsidRPr="00B17C29" w:rsidRDefault="00B17C29" w:rsidP="0066609D">
            <w:pPr>
              <w:suppressAutoHyphens w:val="0"/>
              <w:spacing w:before="80" w:after="80" w:line="200" w:lineRule="exact"/>
              <w:ind w:right="57"/>
              <w:rPr>
                <w:i/>
                <w:sz w:val="16"/>
                <w:szCs w:val="16"/>
              </w:rPr>
            </w:pPr>
            <w:r w:rsidRPr="00B17C29">
              <w:rPr>
                <w:i/>
                <w:sz w:val="16"/>
                <w:szCs w:val="16"/>
              </w:rPr>
              <w:t>Reçu le</w:t>
            </w:r>
          </w:p>
        </w:tc>
        <w:tc>
          <w:tcPr>
            <w:tcW w:w="1350" w:type="dxa"/>
            <w:tcBorders>
              <w:top w:val="single" w:sz="4" w:space="0" w:color="auto"/>
              <w:bottom w:val="single" w:sz="12" w:space="0" w:color="auto"/>
            </w:tcBorders>
            <w:shd w:val="clear" w:color="auto" w:fill="auto"/>
            <w:vAlign w:val="bottom"/>
          </w:tcPr>
          <w:p w:rsidR="00B17C29" w:rsidRPr="00B17C29" w:rsidRDefault="00B17C29" w:rsidP="00B17C29">
            <w:pPr>
              <w:suppressAutoHyphens w:val="0"/>
              <w:spacing w:before="80" w:after="80" w:line="200" w:lineRule="exact"/>
              <w:ind w:right="113"/>
              <w:rPr>
                <w:i/>
                <w:sz w:val="16"/>
                <w:szCs w:val="16"/>
              </w:rPr>
            </w:pPr>
            <w:r w:rsidRPr="00B17C29">
              <w:rPr>
                <w:i/>
                <w:sz w:val="16"/>
                <w:szCs w:val="16"/>
              </w:rPr>
              <w:t>Attendu le</w:t>
            </w:r>
          </w:p>
        </w:tc>
        <w:tc>
          <w:tcPr>
            <w:tcW w:w="1739" w:type="dxa"/>
            <w:tcBorders>
              <w:top w:val="single" w:sz="4" w:space="0" w:color="auto"/>
              <w:bottom w:val="single" w:sz="12" w:space="0" w:color="auto"/>
            </w:tcBorders>
            <w:shd w:val="clear" w:color="auto" w:fill="auto"/>
            <w:vAlign w:val="bottom"/>
          </w:tcPr>
          <w:p w:rsidR="00B17C29" w:rsidRPr="00B17C29" w:rsidRDefault="00B17C29" w:rsidP="00B17C29">
            <w:pPr>
              <w:suppressAutoHyphens w:val="0"/>
              <w:spacing w:before="80" w:after="80" w:line="200" w:lineRule="exact"/>
              <w:ind w:right="113"/>
              <w:rPr>
                <w:i/>
                <w:sz w:val="16"/>
                <w:szCs w:val="16"/>
              </w:rPr>
            </w:pPr>
            <w:r w:rsidRPr="00B17C29">
              <w:rPr>
                <w:i/>
                <w:sz w:val="16"/>
                <w:szCs w:val="16"/>
              </w:rPr>
              <w:t>Examen prévu pour</w:t>
            </w:r>
          </w:p>
        </w:tc>
      </w:tr>
      <w:tr w:rsidR="00B17C29" w:rsidRPr="00B17C29" w:rsidTr="00FE773E">
        <w:trPr>
          <w:jc w:val="center"/>
        </w:trPr>
        <w:tc>
          <w:tcPr>
            <w:tcW w:w="3200" w:type="dxa"/>
            <w:tcBorders>
              <w:top w:val="single" w:sz="12" w:space="0" w:color="auto"/>
            </w:tcBorders>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1.</w:t>
            </w:r>
            <w:r w:rsidR="00E83C79">
              <w:tab/>
            </w:r>
            <w:r w:rsidRPr="00B17C29">
              <w:t>Djibouti (rapport initial et deuxième rapport périodique</w:t>
            </w:r>
            <w:r w:rsidR="0066609D">
              <w:t>)</w:t>
            </w:r>
          </w:p>
        </w:tc>
        <w:tc>
          <w:tcPr>
            <w:tcW w:w="200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E/C.12/DJI/1-2</w:t>
            </w:r>
          </w:p>
        </w:tc>
        <w:tc>
          <w:tcPr>
            <w:tcW w:w="1350" w:type="dxa"/>
            <w:tcBorders>
              <w:top w:val="single" w:sz="12" w:space="0" w:color="auto"/>
            </w:tcBorders>
            <w:shd w:val="clear" w:color="auto" w:fill="auto"/>
            <w:tcMar>
              <w:top w:w="0" w:type="dxa"/>
              <w:left w:w="0" w:type="dxa"/>
              <w:bottom w:w="0" w:type="dxa"/>
              <w:right w:w="113" w:type="dxa"/>
            </w:tcMar>
          </w:tcPr>
          <w:p w:rsidR="00B17C29" w:rsidRPr="00B17C29" w:rsidRDefault="00B17C29" w:rsidP="0066609D">
            <w:pPr>
              <w:suppressAutoHyphens w:val="0"/>
              <w:spacing w:before="40" w:after="120" w:line="220" w:lineRule="exact"/>
              <w:ind w:right="57"/>
            </w:pPr>
            <w:r w:rsidRPr="00B17C29">
              <w:t>21 juil. 2010</w:t>
            </w:r>
          </w:p>
        </w:tc>
        <w:tc>
          <w:tcPr>
            <w:tcW w:w="135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2009</w:t>
            </w:r>
          </w:p>
        </w:tc>
        <w:tc>
          <w:tcPr>
            <w:tcW w:w="1739"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2.</w:t>
            </w:r>
            <w:r w:rsidR="00E83C79">
              <w:tab/>
            </w:r>
            <w:r w:rsidRPr="00B17C29">
              <w:t>Éthiopie (rapport initial à troisième rapport périodique)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E/C.12/ETH/1-3</w:t>
            </w:r>
          </w:p>
        </w:tc>
        <w:tc>
          <w:tcPr>
            <w:tcW w:w="1350" w:type="dxa"/>
            <w:shd w:val="clear" w:color="auto" w:fill="auto"/>
            <w:tcMar>
              <w:top w:w="0" w:type="dxa"/>
              <w:left w:w="0" w:type="dxa"/>
              <w:bottom w:w="0" w:type="dxa"/>
              <w:right w:w="113" w:type="dxa"/>
            </w:tcMar>
          </w:tcPr>
          <w:p w:rsidR="00B17C29" w:rsidRPr="00B17C29" w:rsidRDefault="00B17C29" w:rsidP="0066609D">
            <w:pPr>
              <w:suppressAutoHyphens w:val="0"/>
              <w:spacing w:before="40" w:after="120" w:line="220" w:lineRule="exact"/>
              <w:ind w:right="57"/>
            </w:pPr>
            <w:r w:rsidRPr="00B17C29">
              <w:t>28 juil. 2009</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1995</w:t>
            </w:r>
            <w:r w:rsidRPr="00B17C29">
              <w:br/>
              <w:t>30 juin 2000</w:t>
            </w:r>
            <w:r w:rsidRPr="00B17C29">
              <w:br/>
              <w:t>30 juin 2005</w:t>
            </w:r>
            <w:r w:rsidRPr="00B17C29">
              <w:br/>
              <w:t>30 juin 2010</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3.</w:t>
            </w:r>
            <w:r w:rsidR="00E83C79">
              <w:tab/>
            </w:r>
            <w:r w:rsidRPr="00B17C29">
              <w:t>Mauritanie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E/C.12/MRT/1</w:t>
            </w:r>
          </w:p>
        </w:tc>
        <w:tc>
          <w:tcPr>
            <w:tcW w:w="1350" w:type="dxa"/>
            <w:shd w:val="clear" w:color="auto" w:fill="auto"/>
            <w:tcMar>
              <w:top w:w="0" w:type="dxa"/>
              <w:left w:w="0" w:type="dxa"/>
              <w:bottom w:w="0" w:type="dxa"/>
              <w:right w:w="113" w:type="dxa"/>
            </w:tcMar>
          </w:tcPr>
          <w:p w:rsidR="00B17C29" w:rsidRPr="00B17C29" w:rsidRDefault="00B17C29" w:rsidP="0066609D">
            <w:pPr>
              <w:suppressAutoHyphens w:val="0"/>
              <w:spacing w:before="40" w:after="120" w:line="220" w:lineRule="exact"/>
              <w:ind w:right="57"/>
            </w:pPr>
            <w:r w:rsidRPr="00B17C29">
              <w:t>20 août 2009</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2007</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tcBorders>
              <w:bottom w:val="nil"/>
            </w:tcBorders>
            <w:shd w:val="clear" w:color="auto" w:fill="auto"/>
            <w:tcMar>
              <w:top w:w="0" w:type="dxa"/>
              <w:left w:w="0" w:type="dxa"/>
              <w:bottom w:w="0" w:type="dxa"/>
              <w:right w:w="113" w:type="dxa"/>
            </w:tcMar>
          </w:tcPr>
          <w:p w:rsidR="00B17C29" w:rsidRPr="00B17C29" w:rsidRDefault="00E83C79" w:rsidP="00E83C79">
            <w:pPr>
              <w:suppressAutoHyphens w:val="0"/>
              <w:spacing w:before="40" w:after="120" w:line="220" w:lineRule="exact"/>
              <w:ind w:left="284" w:right="113" w:hanging="284"/>
            </w:pPr>
            <w:r>
              <w:t>4.</w:t>
            </w:r>
            <w:r>
              <w:tab/>
            </w:r>
            <w:r w:rsidR="00B17C29" w:rsidRPr="00B17C29">
              <w:t>Togo</w:t>
            </w:r>
          </w:p>
        </w:tc>
        <w:tc>
          <w:tcPr>
            <w:tcW w:w="2000" w:type="dxa"/>
            <w:tcBorders>
              <w:bottom w:val="nil"/>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E/C.12/TGO/1</w:t>
            </w:r>
          </w:p>
        </w:tc>
        <w:tc>
          <w:tcPr>
            <w:tcW w:w="1350" w:type="dxa"/>
            <w:tcBorders>
              <w:bottom w:val="nil"/>
            </w:tcBorders>
            <w:shd w:val="clear" w:color="auto" w:fill="auto"/>
            <w:tcMar>
              <w:top w:w="0" w:type="dxa"/>
              <w:left w:w="0" w:type="dxa"/>
              <w:bottom w:w="0" w:type="dxa"/>
              <w:right w:w="113" w:type="dxa"/>
            </w:tcMar>
          </w:tcPr>
          <w:p w:rsidR="00B17C29" w:rsidRPr="00B17C29" w:rsidRDefault="00B17C29" w:rsidP="0066609D">
            <w:pPr>
              <w:suppressAutoHyphens w:val="0"/>
              <w:spacing w:before="40" w:after="120" w:line="220" w:lineRule="exact"/>
              <w:ind w:right="57"/>
            </w:pPr>
            <w:r w:rsidRPr="00B17C29">
              <w:t>26 janv. 2010</w:t>
            </w:r>
          </w:p>
        </w:tc>
        <w:tc>
          <w:tcPr>
            <w:tcW w:w="1350" w:type="dxa"/>
            <w:tcBorders>
              <w:bottom w:val="nil"/>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1990</w:t>
            </w:r>
            <w:r w:rsidRPr="00B17C29">
              <w:br/>
              <w:t>30 juin 1995</w:t>
            </w:r>
            <w:r w:rsidRPr="00B17C29">
              <w:br/>
              <w:t>30 juin 2000</w:t>
            </w:r>
            <w:r w:rsidRPr="00B17C29">
              <w:br/>
              <w:t>30 juin 2005</w:t>
            </w:r>
          </w:p>
        </w:tc>
        <w:tc>
          <w:tcPr>
            <w:tcW w:w="1739" w:type="dxa"/>
            <w:tcBorders>
              <w:bottom w:val="nil"/>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tcBorders>
              <w:top w:val="nil"/>
              <w:bottom w:val="nil"/>
            </w:tcBorders>
            <w:shd w:val="clear" w:color="auto" w:fill="auto"/>
            <w:tcMar>
              <w:top w:w="0" w:type="dxa"/>
              <w:left w:w="0" w:type="dxa"/>
              <w:bottom w:w="0" w:type="dxa"/>
              <w:right w:w="113" w:type="dxa"/>
            </w:tcMar>
          </w:tcPr>
          <w:p w:rsidR="00B17C29" w:rsidRPr="00B17C29" w:rsidRDefault="00E83C79" w:rsidP="00E83C79">
            <w:pPr>
              <w:suppressAutoHyphens w:val="0"/>
              <w:spacing w:before="40" w:after="120" w:line="220" w:lineRule="exact"/>
              <w:ind w:left="284" w:right="113" w:hanging="284"/>
            </w:pPr>
            <w:r>
              <w:t>5.</w:t>
            </w:r>
            <w:r>
              <w:tab/>
            </w:r>
            <w:r w:rsidR="00B17C29" w:rsidRPr="00B17C29">
              <w:t>Turquie</w:t>
            </w:r>
          </w:p>
        </w:tc>
        <w:tc>
          <w:tcPr>
            <w:tcW w:w="2000" w:type="dxa"/>
            <w:tcBorders>
              <w:top w:val="nil"/>
              <w:bottom w:val="nil"/>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E/C.12/TUR/1</w:t>
            </w:r>
          </w:p>
        </w:tc>
        <w:tc>
          <w:tcPr>
            <w:tcW w:w="1350" w:type="dxa"/>
            <w:tcBorders>
              <w:top w:val="nil"/>
              <w:bottom w:val="nil"/>
            </w:tcBorders>
            <w:shd w:val="clear" w:color="auto" w:fill="auto"/>
            <w:tcMar>
              <w:top w:w="0" w:type="dxa"/>
              <w:left w:w="0" w:type="dxa"/>
              <w:bottom w:w="0" w:type="dxa"/>
              <w:right w:w="113" w:type="dxa"/>
            </w:tcMar>
          </w:tcPr>
          <w:p w:rsidR="00B17C29" w:rsidRPr="00B17C29" w:rsidRDefault="00B17C29" w:rsidP="0066609D">
            <w:pPr>
              <w:suppressAutoHyphens w:val="0"/>
              <w:spacing w:before="40" w:after="120" w:line="220" w:lineRule="exact"/>
              <w:ind w:right="57"/>
            </w:pPr>
            <w:r w:rsidRPr="00B17C29">
              <w:t>25 juin 2008</w:t>
            </w:r>
          </w:p>
        </w:tc>
        <w:tc>
          <w:tcPr>
            <w:tcW w:w="1350" w:type="dxa"/>
            <w:tcBorders>
              <w:top w:val="nil"/>
              <w:bottom w:val="nil"/>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2005</w:t>
            </w:r>
            <w:r w:rsidRPr="00B17C29">
              <w:br/>
              <w:t>30 juin 2010</w:t>
            </w:r>
          </w:p>
        </w:tc>
        <w:tc>
          <w:tcPr>
            <w:tcW w:w="1739" w:type="dxa"/>
            <w:tcBorders>
              <w:top w:val="nil"/>
              <w:bottom w:val="nil"/>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Quarante-sixième session</w:t>
            </w:r>
            <w:r w:rsidR="00FE773E">
              <w:t xml:space="preserve"> </w:t>
            </w:r>
            <w:r w:rsidRPr="00B17C29">
              <w:br/>
              <w:t>(mai 2011)</w:t>
            </w:r>
          </w:p>
        </w:tc>
      </w:tr>
      <w:tr w:rsidR="00B17C29" w:rsidRPr="00B17C29" w:rsidTr="00FE773E">
        <w:trPr>
          <w:jc w:val="center"/>
        </w:trPr>
        <w:tc>
          <w:tcPr>
            <w:tcW w:w="3200" w:type="dxa"/>
            <w:tcBorders>
              <w:top w:val="nil"/>
            </w:tcBorders>
            <w:shd w:val="clear" w:color="auto" w:fill="auto"/>
            <w:tcMar>
              <w:top w:w="0" w:type="dxa"/>
              <w:left w:w="0" w:type="dxa"/>
              <w:bottom w:w="0" w:type="dxa"/>
              <w:right w:w="113" w:type="dxa"/>
            </w:tcMar>
          </w:tcPr>
          <w:p w:rsidR="00B17C29" w:rsidRPr="00B17C29" w:rsidRDefault="00E83C79" w:rsidP="00FE773E">
            <w:pPr>
              <w:keepNext/>
              <w:suppressAutoHyphens w:val="0"/>
              <w:spacing w:before="40" w:after="120" w:line="220" w:lineRule="exact"/>
              <w:ind w:left="284" w:right="113" w:hanging="284"/>
            </w:pPr>
            <w:r>
              <w:t>6.</w:t>
            </w:r>
            <w:r>
              <w:tab/>
            </w:r>
            <w:r w:rsidR="00B17C29" w:rsidRPr="00B17C29">
              <w:t>Turkménistan</w:t>
            </w:r>
          </w:p>
        </w:tc>
        <w:tc>
          <w:tcPr>
            <w:tcW w:w="2000" w:type="dxa"/>
            <w:tcBorders>
              <w:top w:val="nil"/>
            </w:tcBorders>
            <w:shd w:val="clear" w:color="auto" w:fill="auto"/>
            <w:tcMar>
              <w:top w:w="0" w:type="dxa"/>
              <w:left w:w="0" w:type="dxa"/>
              <w:bottom w:w="0" w:type="dxa"/>
              <w:right w:w="113" w:type="dxa"/>
            </w:tcMar>
          </w:tcPr>
          <w:p w:rsidR="00B17C29" w:rsidRPr="00B17C29" w:rsidRDefault="00B17C29" w:rsidP="00FE773E">
            <w:pPr>
              <w:keepNext/>
              <w:suppressAutoHyphens w:val="0"/>
              <w:spacing w:before="40" w:after="120" w:line="220" w:lineRule="exact"/>
              <w:ind w:right="113"/>
            </w:pPr>
            <w:r w:rsidRPr="00B17C29">
              <w:t>E/C.12/TKM/1</w:t>
            </w:r>
          </w:p>
        </w:tc>
        <w:tc>
          <w:tcPr>
            <w:tcW w:w="1350" w:type="dxa"/>
            <w:tcBorders>
              <w:top w:val="nil"/>
            </w:tcBorders>
            <w:shd w:val="clear" w:color="auto" w:fill="auto"/>
            <w:tcMar>
              <w:top w:w="0" w:type="dxa"/>
              <w:left w:w="0" w:type="dxa"/>
              <w:bottom w:w="0" w:type="dxa"/>
              <w:right w:w="113" w:type="dxa"/>
            </w:tcMar>
          </w:tcPr>
          <w:p w:rsidR="00B17C29" w:rsidRPr="00B17C29" w:rsidRDefault="00B17C29" w:rsidP="00FE773E">
            <w:pPr>
              <w:keepNext/>
              <w:suppressAutoHyphens w:val="0"/>
              <w:spacing w:before="40" w:after="120" w:line="220" w:lineRule="exact"/>
              <w:ind w:right="57"/>
            </w:pPr>
            <w:r w:rsidRPr="00B17C29">
              <w:t>3 mars 2009</w:t>
            </w:r>
          </w:p>
        </w:tc>
        <w:tc>
          <w:tcPr>
            <w:tcW w:w="1350" w:type="dxa"/>
            <w:tcBorders>
              <w:top w:val="nil"/>
            </w:tcBorders>
            <w:shd w:val="clear" w:color="auto" w:fill="auto"/>
            <w:tcMar>
              <w:top w:w="0" w:type="dxa"/>
              <w:left w:w="0" w:type="dxa"/>
              <w:bottom w:w="0" w:type="dxa"/>
              <w:right w:w="113" w:type="dxa"/>
            </w:tcMar>
          </w:tcPr>
          <w:p w:rsidR="00B17C29" w:rsidRPr="00B17C29" w:rsidRDefault="00B17C29" w:rsidP="00FE773E">
            <w:pPr>
              <w:keepNext/>
              <w:suppressAutoHyphens w:val="0"/>
              <w:spacing w:before="40" w:after="120" w:line="220" w:lineRule="exact"/>
              <w:ind w:right="113"/>
            </w:pPr>
            <w:r w:rsidRPr="00B17C29">
              <w:t>30 juin 2005</w:t>
            </w:r>
            <w:r w:rsidRPr="00B17C29">
              <w:br/>
              <w:t>30 juin 2010</w:t>
            </w:r>
          </w:p>
        </w:tc>
        <w:tc>
          <w:tcPr>
            <w:tcW w:w="1739" w:type="dxa"/>
            <w:tcBorders>
              <w:top w:val="nil"/>
            </w:tcBorders>
            <w:shd w:val="clear" w:color="auto" w:fill="auto"/>
            <w:tcMar>
              <w:top w:w="0" w:type="dxa"/>
              <w:left w:w="0" w:type="dxa"/>
              <w:bottom w:w="0" w:type="dxa"/>
              <w:right w:w="113" w:type="dxa"/>
            </w:tcMar>
          </w:tcPr>
          <w:p w:rsidR="00B17C29" w:rsidRPr="00B17C29" w:rsidRDefault="00B17C29" w:rsidP="00FE773E">
            <w:pPr>
              <w:keepNext/>
              <w:suppressAutoHyphens w:val="0"/>
              <w:spacing w:before="40" w:after="120" w:line="220" w:lineRule="exact"/>
              <w:ind w:right="113"/>
            </w:pPr>
            <w:r w:rsidRPr="00B17C29">
              <w:t xml:space="preserve">Quarante-septième session </w:t>
            </w:r>
            <w:r w:rsidRPr="00B17C29">
              <w:br/>
              <w:t>(nov. 2011)</w:t>
            </w: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7.</w:t>
            </w:r>
            <w:r w:rsidR="00E83C79">
              <w:tab/>
            </w:r>
            <w:r w:rsidRPr="00B17C29">
              <w:t>République-Unie de Tanzanie (rapport initial à troisième rapport périodique)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E/C.12/TZA/1-3</w:t>
            </w:r>
          </w:p>
        </w:tc>
        <w:tc>
          <w:tcPr>
            <w:tcW w:w="1350" w:type="dxa"/>
            <w:shd w:val="clear" w:color="auto" w:fill="auto"/>
            <w:tcMar>
              <w:top w:w="0" w:type="dxa"/>
              <w:left w:w="0" w:type="dxa"/>
              <w:bottom w:w="0" w:type="dxa"/>
              <w:right w:w="113" w:type="dxa"/>
            </w:tcMar>
          </w:tcPr>
          <w:p w:rsidR="00B17C29" w:rsidRPr="00B17C29" w:rsidRDefault="00B17C29" w:rsidP="0066609D">
            <w:pPr>
              <w:suppressAutoHyphens w:val="0"/>
              <w:spacing w:before="40" w:after="120" w:line="220" w:lineRule="exact"/>
              <w:ind w:right="57"/>
            </w:pPr>
            <w:r w:rsidRPr="00B17C29">
              <w:t>25 août 2009</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1990</w:t>
            </w:r>
            <w:r w:rsidRPr="00B17C29">
              <w:br/>
              <w:t>30 juin 1995</w:t>
            </w:r>
            <w:r w:rsidRPr="00B17C29">
              <w:br/>
              <w:t>30 juin 2000</w:t>
            </w:r>
            <w:r w:rsidRPr="00B17C29">
              <w:br/>
              <w:t>30 juin 2005</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bl>
    <w:p w:rsidR="00B17C29" w:rsidRDefault="00B17C29" w:rsidP="00825B88">
      <w:pPr>
        <w:pStyle w:val="SingleTxtG"/>
      </w:pPr>
    </w:p>
    <w:tbl>
      <w:tblPr>
        <w:tblStyle w:val="TableGrid"/>
        <w:tblW w:w="9639" w:type="dxa"/>
        <w:jc w:val="center"/>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00"/>
        <w:gridCol w:w="2000"/>
        <w:gridCol w:w="1350"/>
        <w:gridCol w:w="1350"/>
        <w:gridCol w:w="1739"/>
      </w:tblGrid>
      <w:tr w:rsidR="00B17C29" w:rsidRPr="00FD56E6" w:rsidTr="00FE773E">
        <w:trPr>
          <w:tblHeader/>
          <w:jc w:val="center"/>
        </w:trPr>
        <w:tc>
          <w:tcPr>
            <w:tcW w:w="3200" w:type="dxa"/>
            <w:tcBorders>
              <w:top w:val="single" w:sz="4" w:space="0" w:color="auto"/>
              <w:bottom w:val="single" w:sz="12" w:space="0" w:color="auto"/>
            </w:tcBorders>
            <w:shd w:val="clear" w:color="auto" w:fill="auto"/>
            <w:vAlign w:val="bottom"/>
          </w:tcPr>
          <w:p w:rsidR="00B17C29" w:rsidRPr="00FD56E6" w:rsidRDefault="00B17C29" w:rsidP="00FD56E6">
            <w:pPr>
              <w:suppressAutoHyphens w:val="0"/>
              <w:spacing w:before="80" w:after="80" w:line="200" w:lineRule="exact"/>
              <w:ind w:right="113"/>
              <w:rPr>
                <w:i/>
                <w:sz w:val="16"/>
                <w:szCs w:val="16"/>
              </w:rPr>
            </w:pPr>
            <w:r w:rsidRPr="00FD56E6">
              <w:rPr>
                <w:i/>
                <w:sz w:val="16"/>
                <w:szCs w:val="16"/>
              </w:rPr>
              <w:t>Deuxièmes rapports périodiques</w:t>
            </w:r>
          </w:p>
        </w:tc>
        <w:tc>
          <w:tcPr>
            <w:tcW w:w="2000" w:type="dxa"/>
            <w:tcBorders>
              <w:top w:val="single" w:sz="4" w:space="0" w:color="auto"/>
              <w:bottom w:val="single" w:sz="12" w:space="0" w:color="auto"/>
            </w:tcBorders>
            <w:shd w:val="clear" w:color="auto" w:fill="auto"/>
            <w:vAlign w:val="bottom"/>
          </w:tcPr>
          <w:p w:rsidR="00B17C29" w:rsidRPr="00FD56E6" w:rsidRDefault="00B17C29" w:rsidP="00FD56E6">
            <w:pPr>
              <w:suppressAutoHyphens w:val="0"/>
              <w:spacing w:before="80" w:after="80" w:line="200" w:lineRule="exact"/>
              <w:ind w:right="113"/>
              <w:rPr>
                <w:i/>
                <w:sz w:val="16"/>
                <w:szCs w:val="16"/>
              </w:rPr>
            </w:pPr>
            <w:r w:rsidRPr="00FD56E6">
              <w:rPr>
                <w:i/>
                <w:sz w:val="16"/>
                <w:szCs w:val="16"/>
              </w:rPr>
              <w:t>Cote</w:t>
            </w:r>
          </w:p>
        </w:tc>
        <w:tc>
          <w:tcPr>
            <w:tcW w:w="1350" w:type="dxa"/>
            <w:tcBorders>
              <w:top w:val="single" w:sz="4" w:space="0" w:color="auto"/>
              <w:bottom w:val="single" w:sz="12" w:space="0" w:color="auto"/>
            </w:tcBorders>
            <w:shd w:val="clear" w:color="auto" w:fill="auto"/>
            <w:vAlign w:val="bottom"/>
          </w:tcPr>
          <w:p w:rsidR="00B17C29" w:rsidRPr="00FD56E6" w:rsidRDefault="00B17C29" w:rsidP="00FD56E6">
            <w:pPr>
              <w:suppressAutoHyphens w:val="0"/>
              <w:spacing w:before="80" w:after="80" w:line="200" w:lineRule="exact"/>
              <w:ind w:right="113"/>
              <w:rPr>
                <w:i/>
                <w:sz w:val="16"/>
                <w:szCs w:val="16"/>
              </w:rPr>
            </w:pPr>
            <w:r w:rsidRPr="00FD56E6">
              <w:rPr>
                <w:i/>
                <w:sz w:val="16"/>
                <w:szCs w:val="16"/>
              </w:rPr>
              <w:t>Reçu le</w:t>
            </w:r>
          </w:p>
        </w:tc>
        <w:tc>
          <w:tcPr>
            <w:tcW w:w="1350" w:type="dxa"/>
            <w:tcBorders>
              <w:top w:val="single" w:sz="4" w:space="0" w:color="auto"/>
              <w:bottom w:val="single" w:sz="12" w:space="0" w:color="auto"/>
            </w:tcBorders>
            <w:shd w:val="clear" w:color="auto" w:fill="auto"/>
            <w:vAlign w:val="bottom"/>
          </w:tcPr>
          <w:p w:rsidR="00B17C29" w:rsidRPr="00FD56E6" w:rsidRDefault="00B17C29" w:rsidP="00FD56E6">
            <w:pPr>
              <w:suppressAutoHyphens w:val="0"/>
              <w:spacing w:before="80" w:after="80" w:line="200" w:lineRule="exact"/>
              <w:ind w:right="113"/>
              <w:rPr>
                <w:i/>
                <w:sz w:val="16"/>
                <w:szCs w:val="16"/>
              </w:rPr>
            </w:pPr>
            <w:r w:rsidRPr="00FD56E6">
              <w:rPr>
                <w:i/>
                <w:sz w:val="16"/>
                <w:szCs w:val="16"/>
              </w:rPr>
              <w:t>Attendu le</w:t>
            </w:r>
          </w:p>
        </w:tc>
        <w:tc>
          <w:tcPr>
            <w:tcW w:w="1739" w:type="dxa"/>
            <w:tcBorders>
              <w:top w:val="single" w:sz="4" w:space="0" w:color="auto"/>
              <w:bottom w:val="single" w:sz="12" w:space="0" w:color="auto"/>
            </w:tcBorders>
            <w:shd w:val="clear" w:color="auto" w:fill="auto"/>
            <w:vAlign w:val="bottom"/>
          </w:tcPr>
          <w:p w:rsidR="00B17C29" w:rsidRPr="00FD56E6" w:rsidRDefault="00B17C29" w:rsidP="00FD56E6">
            <w:pPr>
              <w:suppressAutoHyphens w:val="0"/>
              <w:spacing w:before="80" w:after="80" w:line="200" w:lineRule="exact"/>
              <w:ind w:right="113"/>
              <w:rPr>
                <w:i/>
                <w:sz w:val="16"/>
                <w:szCs w:val="16"/>
              </w:rPr>
            </w:pPr>
            <w:r w:rsidRPr="00FD56E6">
              <w:rPr>
                <w:i/>
                <w:sz w:val="16"/>
                <w:szCs w:val="16"/>
              </w:rPr>
              <w:t>Examen prévu pour</w:t>
            </w:r>
          </w:p>
        </w:tc>
      </w:tr>
      <w:tr w:rsidR="00B17C29" w:rsidRPr="00FD56E6" w:rsidTr="00FE773E">
        <w:trPr>
          <w:jc w:val="center"/>
        </w:trPr>
        <w:tc>
          <w:tcPr>
            <w:tcW w:w="3200" w:type="dxa"/>
            <w:tcBorders>
              <w:top w:val="single" w:sz="12" w:space="0" w:color="auto"/>
            </w:tcBorders>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8.</w:t>
            </w:r>
            <w:r w:rsidR="00E83C79">
              <w:tab/>
            </w:r>
            <w:r w:rsidRPr="00FD56E6">
              <w:t>Albanie (deuxième et troisième rapports périodiques)</w:t>
            </w:r>
          </w:p>
        </w:tc>
        <w:tc>
          <w:tcPr>
            <w:tcW w:w="2000" w:type="dxa"/>
            <w:tcBorders>
              <w:top w:val="single" w:sz="12" w:space="0" w:color="auto"/>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E/C.12/ALB/2-3</w:t>
            </w:r>
          </w:p>
        </w:tc>
        <w:tc>
          <w:tcPr>
            <w:tcW w:w="1350" w:type="dxa"/>
            <w:tcBorders>
              <w:top w:val="single" w:sz="12" w:space="0" w:color="auto"/>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9 avril 2010</w:t>
            </w:r>
          </w:p>
        </w:tc>
        <w:tc>
          <w:tcPr>
            <w:tcW w:w="1350" w:type="dxa"/>
            <w:tcBorders>
              <w:top w:val="single" w:sz="12" w:space="0" w:color="auto"/>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2009</w:t>
            </w:r>
            <w:r w:rsidRPr="00FD56E6">
              <w:br/>
              <w:t>30 juin 2014</w:t>
            </w:r>
          </w:p>
        </w:tc>
        <w:tc>
          <w:tcPr>
            <w:tcW w:w="1739" w:type="dxa"/>
            <w:tcBorders>
              <w:top w:val="single" w:sz="12" w:space="0" w:color="auto"/>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9.</w:t>
            </w:r>
            <w:r w:rsidR="00E83C79">
              <w:tab/>
            </w:r>
            <w:r w:rsidRPr="00FD56E6">
              <w:t>Bosnie-Herzégovine</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E/C.12/BIH/2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9 août 2010</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2010</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tcBorders>
              <w:bottom w:val="nil"/>
            </w:tcBorders>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10.</w:t>
            </w:r>
            <w:r w:rsidR="00E83C79">
              <w:tab/>
            </w:r>
            <w:r w:rsidRPr="00FD56E6">
              <w:t>Cameroun (deuxième et troisième rapports périodiques)</w:t>
            </w:r>
          </w:p>
        </w:tc>
        <w:tc>
          <w:tcPr>
            <w:tcW w:w="2000" w:type="dxa"/>
            <w:tcBorders>
              <w:bottom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E/C.12/CMR/2-3</w:t>
            </w:r>
          </w:p>
        </w:tc>
        <w:tc>
          <w:tcPr>
            <w:tcW w:w="1350" w:type="dxa"/>
            <w:tcBorders>
              <w:bottom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26 nov. 2008</w:t>
            </w:r>
          </w:p>
        </w:tc>
        <w:tc>
          <w:tcPr>
            <w:tcW w:w="1350" w:type="dxa"/>
            <w:tcBorders>
              <w:bottom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2001</w:t>
            </w:r>
            <w:r w:rsidRPr="00FD56E6">
              <w:br/>
              <w:t>30 juin 2006</w:t>
            </w:r>
            <w:r w:rsidRPr="00FD56E6">
              <w:br/>
              <w:t>30 juin 2011</w:t>
            </w:r>
          </w:p>
        </w:tc>
        <w:tc>
          <w:tcPr>
            <w:tcW w:w="1739" w:type="dxa"/>
            <w:tcBorders>
              <w:bottom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Quarante-septième session</w:t>
            </w:r>
            <w:r w:rsidRPr="00FD56E6">
              <w:br/>
              <w:t>(nov. 2011)</w:t>
            </w:r>
          </w:p>
        </w:tc>
      </w:tr>
      <w:tr w:rsidR="00B17C29" w:rsidRPr="00FD56E6" w:rsidTr="00FE773E">
        <w:trPr>
          <w:jc w:val="center"/>
        </w:trPr>
        <w:tc>
          <w:tcPr>
            <w:tcW w:w="3200" w:type="dxa"/>
            <w:tcBorders>
              <w:top w:val="nil"/>
              <w:bottom w:val="nil"/>
            </w:tcBorders>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11.</w:t>
            </w:r>
            <w:r w:rsidR="00E83C79">
              <w:tab/>
            </w:r>
            <w:r w:rsidRPr="00FD56E6">
              <w:t xml:space="preserve">Chine (deuxième rapport périodique) </w:t>
            </w:r>
          </w:p>
        </w:tc>
        <w:tc>
          <w:tcPr>
            <w:tcW w:w="2000" w:type="dxa"/>
            <w:tcBorders>
              <w:top w:val="nil"/>
              <w:bottom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E/C.12/CHN/2</w:t>
            </w:r>
          </w:p>
        </w:tc>
        <w:tc>
          <w:tcPr>
            <w:tcW w:w="1350" w:type="dxa"/>
            <w:tcBorders>
              <w:top w:val="nil"/>
              <w:bottom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2010</w:t>
            </w:r>
          </w:p>
        </w:tc>
        <w:tc>
          <w:tcPr>
            <w:tcW w:w="1350" w:type="dxa"/>
            <w:tcBorders>
              <w:top w:val="nil"/>
              <w:bottom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2010</w:t>
            </w:r>
            <w:r w:rsidRPr="00FD56E6">
              <w:br/>
              <w:t>30 juin 2015</w:t>
            </w:r>
          </w:p>
        </w:tc>
        <w:tc>
          <w:tcPr>
            <w:tcW w:w="1739" w:type="dxa"/>
            <w:tcBorders>
              <w:top w:val="nil"/>
              <w:bottom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tcBorders>
              <w:top w:val="nil"/>
            </w:tcBorders>
            <w:shd w:val="clear" w:color="auto" w:fill="auto"/>
            <w:tcMar>
              <w:top w:w="0" w:type="dxa"/>
              <w:left w:w="0" w:type="dxa"/>
              <w:bottom w:w="0" w:type="dxa"/>
              <w:right w:w="113" w:type="dxa"/>
            </w:tcMar>
          </w:tcPr>
          <w:p w:rsidR="00B17C29" w:rsidRPr="00FD56E6" w:rsidRDefault="00E83C79" w:rsidP="00AF1104">
            <w:pPr>
              <w:suppressAutoHyphens w:val="0"/>
              <w:spacing w:before="40" w:after="120" w:line="220" w:lineRule="exact"/>
              <w:ind w:left="567" w:right="113" w:hanging="567"/>
            </w:pPr>
            <w:r>
              <w:tab/>
            </w:r>
            <w:r w:rsidR="00B17C29" w:rsidRPr="00FD56E6">
              <w:t>Hong-Kong (troisième rapport périodique)</w:t>
            </w:r>
          </w:p>
        </w:tc>
        <w:tc>
          <w:tcPr>
            <w:tcW w:w="2000" w:type="dxa"/>
            <w:tcBorders>
              <w:top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rPr>
                <w:lang w:val="en-GB"/>
              </w:rPr>
            </w:pPr>
            <w:r w:rsidRPr="00FD56E6">
              <w:rPr>
                <w:lang w:val="en-GB"/>
              </w:rPr>
              <w:t>E/C.12/CHN-HKG/3</w:t>
            </w:r>
          </w:p>
        </w:tc>
        <w:tc>
          <w:tcPr>
            <w:tcW w:w="1350" w:type="dxa"/>
            <w:tcBorders>
              <w:top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2010</w:t>
            </w:r>
          </w:p>
        </w:tc>
        <w:tc>
          <w:tcPr>
            <w:tcW w:w="1350" w:type="dxa"/>
            <w:tcBorders>
              <w:top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c>
          <w:tcPr>
            <w:tcW w:w="1739" w:type="dxa"/>
            <w:tcBorders>
              <w:top w:val="nil"/>
            </w:tcBorders>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E83C79" w:rsidP="00AF1104">
            <w:pPr>
              <w:suppressAutoHyphens w:val="0"/>
              <w:spacing w:before="40" w:after="120" w:line="220" w:lineRule="exact"/>
              <w:ind w:left="567" w:right="113" w:hanging="567"/>
            </w:pPr>
            <w:r>
              <w:tab/>
            </w:r>
            <w:r w:rsidR="00B17C29" w:rsidRPr="00FD56E6">
              <w:t>Macao (deuxième rapport périodique)</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rPr>
                <w:lang w:val="en-GB"/>
              </w:rPr>
            </w:pPr>
            <w:r w:rsidRPr="00FD56E6">
              <w:rPr>
                <w:lang w:val="en-GB"/>
              </w:rPr>
              <w:t>E/C.12/CHN-MAC/2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2010</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12.</w:t>
            </w:r>
            <w:r w:rsidR="00E83C79">
              <w:tab/>
            </w:r>
            <w:r w:rsidRPr="00FD56E6">
              <w:t>République tchèque</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rPr>
                <w:lang w:val="fr-FR"/>
              </w:rPr>
            </w:pPr>
            <w:r w:rsidRPr="00FD56E6">
              <w:rPr>
                <w:lang w:val="fr-FR"/>
              </w:rPr>
              <w:t>E/C.12/CZE/2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nov. 2010</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2007</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13.</w:t>
            </w:r>
            <w:r w:rsidR="00E83C79">
              <w:tab/>
            </w:r>
            <w:r w:rsidRPr="00FD56E6">
              <w:t>Égypte (deuxième à quatrième rapports périodiques)</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E/C.12/EGY/2-4</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11 mai 2010</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1995</w:t>
            </w:r>
            <w:r w:rsidRPr="00FD56E6">
              <w:br/>
              <w:t>30 juin 2000</w:t>
            </w:r>
            <w:r w:rsidRPr="00FD56E6">
              <w:br/>
              <w:t>30 juin 2005</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14.</w:t>
            </w:r>
            <w:r w:rsidR="00E83C79">
              <w:tab/>
            </w:r>
            <w:r w:rsidRPr="00FD56E6">
              <w:t>Estonie</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E/C.12/EST/2 et Corr.1</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31 oct. 2008</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2007</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Quarante-septième session</w:t>
            </w:r>
            <w:r w:rsidRPr="00FD56E6">
              <w:br/>
              <w:t>(nov. 2011)</w:t>
            </w: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15.</w:t>
            </w:r>
            <w:r w:rsidR="00E83C79">
              <w:tab/>
            </w:r>
            <w:r w:rsidRPr="00FD56E6">
              <w:t>Iran (République islamique d</w:t>
            </w:r>
            <w:r w:rsidR="004A7A11">
              <w:t>’</w:t>
            </w:r>
            <w:r w:rsidRPr="00FD56E6">
              <w:t>)</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E/C.12/IRN/2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 nov. 2009</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1995</w:t>
            </w:r>
            <w:r w:rsidRPr="00FD56E6">
              <w:br/>
              <w:t>30 juin 2000</w:t>
            </w:r>
            <w:r w:rsidRPr="00FD56E6">
              <w:br/>
              <w:t>30 juin 2005</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16.</w:t>
            </w:r>
            <w:r w:rsidR="00E83C79">
              <w:tab/>
            </w:r>
            <w:r w:rsidRPr="00FD56E6">
              <w:t>Koweït</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E/C.12/KWT/2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31 mars 2010</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2009</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17.</w:t>
            </w:r>
            <w:r w:rsidR="00E83C79">
              <w:tab/>
            </w:r>
            <w:r w:rsidRPr="00FD56E6">
              <w:t>Lituanie</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E/C.12/LTU/2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1</w:t>
            </w:r>
            <w:r w:rsidRPr="00FD56E6">
              <w:rPr>
                <w:vertAlign w:val="superscript"/>
              </w:rPr>
              <w:t>er</w:t>
            </w:r>
            <w:r w:rsidRPr="00FD56E6">
              <w:t xml:space="preserve"> fév. 2010</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2009</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tblHeader/>
          <w:jc w:val="center"/>
        </w:trPr>
        <w:tc>
          <w:tcPr>
            <w:tcW w:w="3200" w:type="dxa"/>
            <w:shd w:val="clear" w:color="auto" w:fill="auto"/>
            <w:tcMar>
              <w:right w:w="113" w:type="dxa"/>
            </w:tcMar>
          </w:tcPr>
          <w:p w:rsidR="00B17C29" w:rsidRPr="00FD56E6" w:rsidRDefault="00B17C29" w:rsidP="00E83C79">
            <w:pPr>
              <w:suppressAutoHyphens w:val="0"/>
              <w:spacing w:before="40" w:after="120" w:line="220" w:lineRule="exact"/>
              <w:ind w:left="284" w:right="113" w:hanging="284"/>
            </w:pPr>
            <w:r w:rsidRPr="00FD56E6">
              <w:t>18.</w:t>
            </w:r>
            <w:r w:rsidR="00E83C79">
              <w:tab/>
            </w:r>
            <w:r w:rsidRPr="00FD56E6">
              <w:t>Pérou (deuxième à quatrième rapports périodiques)</w:t>
            </w:r>
          </w:p>
        </w:tc>
        <w:tc>
          <w:tcPr>
            <w:tcW w:w="2000" w:type="dxa"/>
            <w:shd w:val="clear" w:color="auto" w:fill="auto"/>
            <w:tcMar>
              <w:right w:w="113" w:type="dxa"/>
            </w:tcMar>
          </w:tcPr>
          <w:p w:rsidR="00B17C29" w:rsidRPr="00FD56E6" w:rsidRDefault="00B17C29" w:rsidP="00FD56E6">
            <w:pPr>
              <w:suppressAutoHyphens w:val="0"/>
              <w:spacing w:before="40" w:after="120" w:line="220" w:lineRule="exact"/>
              <w:ind w:right="113"/>
            </w:pPr>
            <w:r w:rsidRPr="00FD56E6">
              <w:t>E/C.12/PER/2-4</w:t>
            </w:r>
          </w:p>
        </w:tc>
        <w:tc>
          <w:tcPr>
            <w:tcW w:w="1350" w:type="dxa"/>
            <w:shd w:val="clear" w:color="auto" w:fill="auto"/>
            <w:tcMar>
              <w:right w:w="113" w:type="dxa"/>
            </w:tcMar>
          </w:tcPr>
          <w:p w:rsidR="00B17C29" w:rsidRPr="00FD56E6" w:rsidRDefault="00B17C29" w:rsidP="00FD56E6">
            <w:pPr>
              <w:suppressAutoHyphens w:val="0"/>
              <w:spacing w:before="40" w:after="120" w:line="220" w:lineRule="exact"/>
              <w:ind w:right="113"/>
            </w:pPr>
            <w:r w:rsidRPr="00FD56E6">
              <w:t>26 mai 2009</w:t>
            </w:r>
          </w:p>
        </w:tc>
        <w:tc>
          <w:tcPr>
            <w:tcW w:w="1350" w:type="dxa"/>
            <w:shd w:val="clear" w:color="auto" w:fill="auto"/>
            <w:tcMar>
              <w:right w:w="113" w:type="dxa"/>
            </w:tcMar>
          </w:tcPr>
          <w:p w:rsidR="00B17C29" w:rsidRPr="00FD56E6" w:rsidRDefault="00B17C29" w:rsidP="00FD56E6">
            <w:pPr>
              <w:suppressAutoHyphens w:val="0"/>
              <w:spacing w:before="40" w:after="120" w:line="220" w:lineRule="exact"/>
              <w:ind w:right="113"/>
            </w:pPr>
            <w:r w:rsidRPr="00FD56E6">
              <w:t>30 juin 1995</w:t>
            </w:r>
            <w:r w:rsidRPr="00FD56E6">
              <w:br/>
              <w:t>30 juin 2000</w:t>
            </w:r>
            <w:r w:rsidRPr="00FD56E6">
              <w:br/>
              <w:t>30 juin 2005</w:t>
            </w:r>
          </w:p>
        </w:tc>
        <w:tc>
          <w:tcPr>
            <w:tcW w:w="1739" w:type="dxa"/>
            <w:shd w:val="clear" w:color="auto" w:fill="auto"/>
            <w:tcMar>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tblHeade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19.</w:t>
            </w:r>
            <w:r w:rsidR="00E83C79">
              <w:tab/>
            </w:r>
            <w:r w:rsidRPr="00FD56E6">
              <w:t>République de Moldova</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E/C.12/MDA/2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5 sept. 2008</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2008</w:t>
            </w:r>
            <w:r w:rsidRPr="00FD56E6">
              <w:br/>
              <w:t>30 juin 2013</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Quarante-sixième session</w:t>
            </w:r>
            <w:r w:rsidRPr="00FD56E6">
              <w:br/>
              <w:t xml:space="preserve">(mai 2011) </w:t>
            </w: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FE773E">
            <w:pPr>
              <w:keepNext/>
              <w:suppressAutoHyphens w:val="0"/>
              <w:spacing w:before="40" w:after="120" w:line="220" w:lineRule="exact"/>
              <w:ind w:left="284" w:right="113" w:hanging="284"/>
            </w:pPr>
            <w:r w:rsidRPr="00FD56E6">
              <w:t>20.</w:t>
            </w:r>
            <w:r w:rsidR="00E83C79">
              <w:tab/>
            </w:r>
            <w:r w:rsidRPr="00FD56E6">
              <w:t>Rwanda (deuxième à quatrième rapports périodiques)</w:t>
            </w:r>
          </w:p>
        </w:tc>
        <w:tc>
          <w:tcPr>
            <w:tcW w:w="2000" w:type="dxa"/>
            <w:shd w:val="clear" w:color="auto" w:fill="auto"/>
            <w:tcMar>
              <w:top w:w="0" w:type="dxa"/>
              <w:left w:w="0" w:type="dxa"/>
              <w:bottom w:w="0" w:type="dxa"/>
              <w:right w:w="113" w:type="dxa"/>
            </w:tcMar>
          </w:tcPr>
          <w:p w:rsidR="00B17C29" w:rsidRPr="00FD56E6" w:rsidRDefault="00B17C29" w:rsidP="00FE773E">
            <w:pPr>
              <w:keepNext/>
              <w:suppressAutoHyphens w:val="0"/>
              <w:spacing w:before="40" w:after="120" w:line="220" w:lineRule="exact"/>
              <w:ind w:right="113"/>
            </w:pPr>
            <w:r w:rsidRPr="00FD56E6">
              <w:t>E/C.12/RWA/2-4</w:t>
            </w:r>
          </w:p>
        </w:tc>
        <w:tc>
          <w:tcPr>
            <w:tcW w:w="1350" w:type="dxa"/>
            <w:shd w:val="clear" w:color="auto" w:fill="auto"/>
            <w:tcMar>
              <w:top w:w="0" w:type="dxa"/>
              <w:left w:w="0" w:type="dxa"/>
              <w:bottom w:w="0" w:type="dxa"/>
              <w:right w:w="113" w:type="dxa"/>
            </w:tcMar>
          </w:tcPr>
          <w:p w:rsidR="00B17C29" w:rsidRPr="00FD56E6" w:rsidRDefault="00B17C29" w:rsidP="00FE773E">
            <w:pPr>
              <w:keepNext/>
              <w:suppressAutoHyphens w:val="0"/>
              <w:spacing w:before="40" w:after="120" w:line="220" w:lineRule="exact"/>
              <w:ind w:right="113"/>
            </w:pPr>
            <w:r w:rsidRPr="00FD56E6">
              <w:t>20 janv. 2010</w:t>
            </w:r>
          </w:p>
        </w:tc>
        <w:tc>
          <w:tcPr>
            <w:tcW w:w="1350" w:type="dxa"/>
            <w:shd w:val="clear" w:color="auto" w:fill="auto"/>
            <w:tcMar>
              <w:top w:w="0" w:type="dxa"/>
              <w:left w:w="0" w:type="dxa"/>
              <w:bottom w:w="0" w:type="dxa"/>
              <w:right w:w="113" w:type="dxa"/>
            </w:tcMar>
          </w:tcPr>
          <w:p w:rsidR="00B17C29" w:rsidRPr="00FD56E6" w:rsidRDefault="00B17C29" w:rsidP="00FE773E">
            <w:pPr>
              <w:keepNext/>
              <w:suppressAutoHyphens w:val="0"/>
              <w:spacing w:before="40" w:after="120" w:line="220" w:lineRule="exact"/>
              <w:ind w:right="113"/>
            </w:pPr>
            <w:r w:rsidRPr="00FD56E6">
              <w:t>30 juin 1990</w:t>
            </w:r>
            <w:r w:rsidRPr="00FD56E6">
              <w:br/>
              <w:t>30 juin 1995</w:t>
            </w:r>
            <w:r w:rsidRPr="00FD56E6">
              <w:br/>
              <w:t>30 juin 2000</w:t>
            </w:r>
            <w:r w:rsidRPr="00FD56E6">
              <w:br/>
              <w:t>30 juin 2005</w:t>
            </w:r>
          </w:p>
        </w:tc>
        <w:tc>
          <w:tcPr>
            <w:tcW w:w="1739" w:type="dxa"/>
            <w:shd w:val="clear" w:color="auto" w:fill="auto"/>
            <w:tcMar>
              <w:top w:w="0" w:type="dxa"/>
              <w:left w:w="0" w:type="dxa"/>
              <w:bottom w:w="0" w:type="dxa"/>
              <w:right w:w="113" w:type="dxa"/>
            </w:tcMar>
          </w:tcPr>
          <w:p w:rsidR="00B17C29" w:rsidRPr="00FD56E6" w:rsidRDefault="00B17C29" w:rsidP="00FE773E">
            <w:pPr>
              <w:keepNext/>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21.</w:t>
            </w:r>
            <w:r w:rsidR="00E83C79">
              <w:tab/>
            </w:r>
            <w:r w:rsidRPr="00FD56E6">
              <w:t>Slovaquie</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E/C.12/SVK/2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25 juin 2009</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2007</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22.</w:t>
            </w:r>
            <w:r w:rsidR="00E83C79">
              <w:tab/>
            </w:r>
            <w:r w:rsidRPr="00FD56E6">
              <w:t>Ouzbékistan</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E/C.12/UZB/2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 xml:space="preserve">2 </w:t>
            </w:r>
            <w:r w:rsidR="00FE773E">
              <w:t>juil.</w:t>
            </w:r>
            <w:r w:rsidRPr="00FD56E6">
              <w:t xml:space="preserve"> 2010</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2010</w:t>
            </w:r>
            <w:r w:rsidRPr="00FD56E6">
              <w:br/>
              <w:t>30 juin 2015</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p>
        </w:tc>
      </w:tr>
      <w:tr w:rsidR="00B17C29" w:rsidRPr="00FD56E6" w:rsidTr="00FE773E">
        <w:trPr>
          <w:jc w:val="center"/>
        </w:trPr>
        <w:tc>
          <w:tcPr>
            <w:tcW w:w="3200" w:type="dxa"/>
            <w:shd w:val="clear" w:color="auto" w:fill="auto"/>
            <w:tcMar>
              <w:top w:w="0" w:type="dxa"/>
              <w:left w:w="0" w:type="dxa"/>
              <w:bottom w:w="0" w:type="dxa"/>
              <w:right w:w="113" w:type="dxa"/>
            </w:tcMar>
          </w:tcPr>
          <w:p w:rsidR="00B17C29" w:rsidRPr="00FD56E6" w:rsidRDefault="00B17C29" w:rsidP="00E83C79">
            <w:pPr>
              <w:suppressAutoHyphens w:val="0"/>
              <w:spacing w:before="40" w:after="120" w:line="220" w:lineRule="exact"/>
              <w:ind w:left="284" w:right="113" w:hanging="284"/>
            </w:pPr>
            <w:r w:rsidRPr="00FD56E6">
              <w:t>23.</w:t>
            </w:r>
            <w:r w:rsidR="00E83C79">
              <w:tab/>
            </w:r>
            <w:r w:rsidRPr="00FD56E6">
              <w:t>Yémen</w:t>
            </w:r>
          </w:p>
        </w:tc>
        <w:tc>
          <w:tcPr>
            <w:tcW w:w="200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E/C.12/YEM/2</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 xml:space="preserve">3 </w:t>
            </w:r>
            <w:r w:rsidR="00FE773E">
              <w:t>juil.</w:t>
            </w:r>
            <w:r w:rsidRPr="00FD56E6">
              <w:t xml:space="preserve"> 2008</w:t>
            </w:r>
          </w:p>
        </w:tc>
        <w:tc>
          <w:tcPr>
            <w:tcW w:w="1350"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30 juin 2008</w:t>
            </w:r>
            <w:r w:rsidRPr="00FD56E6">
              <w:br/>
              <w:t>30 juin 2013</w:t>
            </w:r>
          </w:p>
        </w:tc>
        <w:tc>
          <w:tcPr>
            <w:tcW w:w="1739" w:type="dxa"/>
            <w:shd w:val="clear" w:color="auto" w:fill="auto"/>
            <w:tcMar>
              <w:top w:w="0" w:type="dxa"/>
              <w:left w:w="0" w:type="dxa"/>
              <w:bottom w:w="0" w:type="dxa"/>
              <w:right w:w="113" w:type="dxa"/>
            </w:tcMar>
          </w:tcPr>
          <w:p w:rsidR="00B17C29" w:rsidRPr="00FD56E6" w:rsidRDefault="00B17C29" w:rsidP="00FD56E6">
            <w:pPr>
              <w:suppressAutoHyphens w:val="0"/>
              <w:spacing w:before="40" w:after="120" w:line="220" w:lineRule="exact"/>
              <w:ind w:right="113"/>
            </w:pPr>
            <w:r w:rsidRPr="00FD56E6">
              <w:t>Quarante-sixième session</w:t>
            </w:r>
            <w:r w:rsidRPr="00FD56E6">
              <w:br/>
              <w:t xml:space="preserve">(mai 2011) </w:t>
            </w:r>
          </w:p>
        </w:tc>
      </w:tr>
    </w:tbl>
    <w:p w:rsidR="00B17C29" w:rsidRDefault="00B17C29" w:rsidP="00825B88">
      <w:pPr>
        <w:pStyle w:val="SingleTxtG"/>
      </w:pPr>
    </w:p>
    <w:tbl>
      <w:tblPr>
        <w:tblStyle w:val="TableGrid"/>
        <w:tblW w:w="9639" w:type="dxa"/>
        <w:jc w:val="center"/>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00"/>
        <w:gridCol w:w="2000"/>
        <w:gridCol w:w="1350"/>
        <w:gridCol w:w="1350"/>
        <w:gridCol w:w="1739"/>
      </w:tblGrid>
      <w:tr w:rsidR="00B17C29" w:rsidRPr="00B17C29" w:rsidTr="00FE773E">
        <w:trPr>
          <w:tblHeader/>
          <w:jc w:val="center"/>
        </w:trPr>
        <w:tc>
          <w:tcPr>
            <w:tcW w:w="320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Troisièmes rapports périodiques</w:t>
            </w:r>
          </w:p>
        </w:tc>
        <w:tc>
          <w:tcPr>
            <w:tcW w:w="200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Cote</w:t>
            </w:r>
          </w:p>
        </w:tc>
        <w:tc>
          <w:tcPr>
            <w:tcW w:w="135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Reçu le</w:t>
            </w:r>
          </w:p>
        </w:tc>
        <w:tc>
          <w:tcPr>
            <w:tcW w:w="135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Attendu le</w:t>
            </w:r>
          </w:p>
        </w:tc>
        <w:tc>
          <w:tcPr>
            <w:tcW w:w="1739"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Examen prévu pour</w:t>
            </w:r>
          </w:p>
        </w:tc>
      </w:tr>
      <w:tr w:rsidR="00B17C29" w:rsidRPr="00B17C29" w:rsidTr="00FE773E">
        <w:trPr>
          <w:jc w:val="center"/>
        </w:trPr>
        <w:tc>
          <w:tcPr>
            <w:tcW w:w="3200" w:type="dxa"/>
            <w:tcBorders>
              <w:top w:val="single" w:sz="12" w:space="0" w:color="auto"/>
            </w:tcBorders>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24.</w:t>
            </w:r>
            <w:r w:rsidR="00E83C79">
              <w:tab/>
            </w:r>
            <w:r w:rsidRPr="00B17C29">
              <w:t>Argentine</w:t>
            </w:r>
          </w:p>
        </w:tc>
        <w:tc>
          <w:tcPr>
            <w:tcW w:w="200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E/C.12/ARG/3</w:t>
            </w:r>
          </w:p>
        </w:tc>
        <w:tc>
          <w:tcPr>
            <w:tcW w:w="135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6 mai 2009</w:t>
            </w:r>
          </w:p>
        </w:tc>
        <w:tc>
          <w:tcPr>
            <w:tcW w:w="135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2001</w:t>
            </w:r>
            <w:r w:rsidRPr="00B17C29">
              <w:br/>
              <w:t>30 juin 2006</w:t>
            </w:r>
          </w:p>
        </w:tc>
        <w:tc>
          <w:tcPr>
            <w:tcW w:w="1739"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Quarante-septième session</w:t>
            </w:r>
            <w:r w:rsidRPr="00B17C29">
              <w:br/>
              <w:t xml:space="preserve">(nov. 2011) </w:t>
            </w: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25.</w:t>
            </w:r>
            <w:r w:rsidR="00E83C79">
              <w:tab/>
            </w:r>
            <w:r w:rsidRPr="00B17C29">
              <w:t>Azerbaïdjan</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E/C.12/AZE/3</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29 sept. 2009</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2009</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26.</w:t>
            </w:r>
            <w:r w:rsidR="00E83C79">
              <w:tab/>
            </w:r>
            <w:r w:rsidRPr="00B17C29">
              <w:t>Équateur</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E/C.12/ECU/3</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8 sept. 2009</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2009</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27.</w:t>
            </w:r>
            <w:r w:rsidR="00E83C79">
              <w:tab/>
            </w:r>
            <w:r w:rsidRPr="00B17C29">
              <w:t>El Salvador (troisième à cinquième rapports périodiques)</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E/C.12/SLV/3-5</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5 janv. 2011</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2010</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28.</w:t>
            </w:r>
            <w:r w:rsidR="00E83C79">
              <w:tab/>
            </w:r>
            <w:r w:rsidRPr="00B17C29">
              <w:t>Israël</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E/C.12/ISR/3</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20 janv. 2009</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2008</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Quarante-septième session</w:t>
            </w:r>
            <w:r w:rsidRPr="00B17C29">
              <w:br/>
              <w:t>(nov. 2011)</w:t>
            </w: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29.</w:t>
            </w:r>
            <w:r w:rsidR="00E83C79">
              <w:tab/>
            </w:r>
            <w:r w:rsidRPr="00B17C29">
              <w:t>Japon</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E/C.12/JPN/3</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22 déc. 2009</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2006</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30.</w:t>
            </w:r>
            <w:r w:rsidR="00E83C79">
              <w:tab/>
            </w:r>
            <w:r w:rsidRPr="00B17C29">
              <w:t>Jamaïque (troisième et quatrième rapports périodiques)</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E/C.12/JAM/3-4</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6 janv. 2010</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2003</w:t>
            </w:r>
            <w:r w:rsidRPr="00B17C29">
              <w:br/>
              <w:t>30 juin 2008</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31.</w:t>
            </w:r>
            <w:r w:rsidR="00E83C79">
              <w:tab/>
            </w:r>
            <w:r w:rsidRPr="00B17C29">
              <w:t>Nouvelle-Zélande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E/C.12/NZL/3</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15 mai 2009</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2008</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bl>
    <w:p w:rsidR="00B17C29" w:rsidRDefault="00B17C29" w:rsidP="00825B88">
      <w:pPr>
        <w:pStyle w:val="SingleTxtG"/>
      </w:pPr>
    </w:p>
    <w:tbl>
      <w:tblPr>
        <w:tblStyle w:val="TableGrid"/>
        <w:tblW w:w="9639" w:type="dxa"/>
        <w:jc w:val="center"/>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00"/>
        <w:gridCol w:w="2000"/>
        <w:gridCol w:w="1350"/>
        <w:gridCol w:w="1350"/>
        <w:gridCol w:w="1739"/>
      </w:tblGrid>
      <w:tr w:rsidR="00B17C29" w:rsidRPr="00B17C29" w:rsidTr="00FE773E">
        <w:trPr>
          <w:tblHeader/>
          <w:jc w:val="center"/>
        </w:trPr>
        <w:tc>
          <w:tcPr>
            <w:tcW w:w="320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Quatrièmes rapports périodiques</w:t>
            </w:r>
          </w:p>
        </w:tc>
        <w:tc>
          <w:tcPr>
            <w:tcW w:w="200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Cote</w:t>
            </w:r>
          </w:p>
        </w:tc>
        <w:tc>
          <w:tcPr>
            <w:tcW w:w="135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Reçu le</w:t>
            </w:r>
          </w:p>
        </w:tc>
        <w:tc>
          <w:tcPr>
            <w:tcW w:w="135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Attendu le</w:t>
            </w:r>
          </w:p>
        </w:tc>
        <w:tc>
          <w:tcPr>
            <w:tcW w:w="1739"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Examen prévu pour</w:t>
            </w:r>
          </w:p>
        </w:tc>
      </w:tr>
      <w:tr w:rsidR="00B17C29" w:rsidRPr="00B17C29" w:rsidTr="00FE773E">
        <w:trPr>
          <w:jc w:val="center"/>
        </w:trPr>
        <w:tc>
          <w:tcPr>
            <w:tcW w:w="3200" w:type="dxa"/>
            <w:tcBorders>
              <w:top w:val="single" w:sz="12" w:space="0" w:color="auto"/>
            </w:tcBorders>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rPr>
                <w:szCs w:val="24"/>
              </w:rPr>
            </w:pPr>
            <w:r w:rsidRPr="00B17C29">
              <w:rPr>
                <w:szCs w:val="24"/>
              </w:rPr>
              <w:t>32.</w:t>
            </w:r>
            <w:r w:rsidR="00E83C79">
              <w:rPr>
                <w:szCs w:val="24"/>
              </w:rPr>
              <w:tab/>
            </w:r>
            <w:r w:rsidRPr="00E83C79">
              <w:t>Autriche</w:t>
            </w:r>
          </w:p>
        </w:tc>
        <w:tc>
          <w:tcPr>
            <w:tcW w:w="200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rPr>
                <w:szCs w:val="24"/>
              </w:rPr>
            </w:pPr>
            <w:r w:rsidRPr="00B17C29">
              <w:rPr>
                <w:szCs w:val="24"/>
              </w:rPr>
              <w:t>E/C.12/AUT/4</w:t>
            </w:r>
          </w:p>
        </w:tc>
        <w:tc>
          <w:tcPr>
            <w:tcW w:w="135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rPr>
                <w:szCs w:val="24"/>
              </w:rPr>
            </w:pPr>
            <w:r w:rsidRPr="00B17C29">
              <w:rPr>
                <w:szCs w:val="24"/>
              </w:rPr>
              <w:t>28 juil</w:t>
            </w:r>
            <w:r w:rsidR="00FE773E">
              <w:rPr>
                <w:szCs w:val="24"/>
              </w:rPr>
              <w:t>.</w:t>
            </w:r>
            <w:r w:rsidRPr="00B17C29">
              <w:rPr>
                <w:szCs w:val="24"/>
              </w:rPr>
              <w:t xml:space="preserve"> 2010</w:t>
            </w:r>
          </w:p>
        </w:tc>
        <w:tc>
          <w:tcPr>
            <w:tcW w:w="135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rPr>
                <w:szCs w:val="24"/>
              </w:rPr>
            </w:pPr>
            <w:r w:rsidRPr="00B17C29">
              <w:rPr>
                <w:szCs w:val="24"/>
              </w:rPr>
              <w:t>30 juin 2010</w:t>
            </w:r>
          </w:p>
        </w:tc>
        <w:tc>
          <w:tcPr>
            <w:tcW w:w="1739"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rPr>
                <w:szCs w:val="24"/>
              </w:rPr>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rPr>
                <w:szCs w:val="24"/>
              </w:rPr>
            </w:pPr>
            <w:r w:rsidRPr="00B17C29">
              <w:rPr>
                <w:szCs w:val="24"/>
              </w:rPr>
              <w:t>33.</w:t>
            </w:r>
            <w:r w:rsidR="00E83C79">
              <w:rPr>
                <w:szCs w:val="24"/>
              </w:rPr>
              <w:tab/>
            </w:r>
            <w:r w:rsidRPr="00E83C79">
              <w:t>Belarus</w:t>
            </w:r>
            <w:r w:rsidRPr="00B17C29">
              <w:rPr>
                <w:szCs w:val="24"/>
              </w:rPr>
              <w:t xml:space="preserve"> (quatrième à sixième rapports périodiques)</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rPr>
                <w:szCs w:val="24"/>
              </w:rPr>
            </w:pPr>
            <w:r w:rsidRPr="00B17C29">
              <w:rPr>
                <w:szCs w:val="24"/>
              </w:rPr>
              <w:t>E/C.12/BLR/4-6</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rPr>
                <w:szCs w:val="24"/>
              </w:rPr>
            </w:pPr>
            <w:r w:rsidRPr="00B17C29">
              <w:rPr>
                <w:szCs w:val="24"/>
              </w:rPr>
              <w:t>19 nov. 2010</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rPr>
                <w:szCs w:val="24"/>
              </w:rPr>
            </w:pPr>
            <w:r w:rsidRPr="00B17C29">
              <w:rPr>
                <w:szCs w:val="24"/>
              </w:rPr>
              <w:t>30 juin 2009</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rPr>
                <w:szCs w:val="24"/>
              </w:rPr>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34.</w:t>
            </w:r>
            <w:r w:rsidR="00E83C79">
              <w:tab/>
            </w:r>
            <w:r w:rsidRPr="00B17C29">
              <w:t>Belgique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E/C.12/BEL/4</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9 juil</w:t>
            </w:r>
            <w:r w:rsidR="00FE773E">
              <w:t>.</w:t>
            </w:r>
            <w:r w:rsidRPr="00B17C29">
              <w:t xml:space="preserve"> 2010</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2010</w:t>
            </w:r>
            <w:r w:rsidRPr="00B17C29">
              <w:br/>
              <w:t>30 juin 2015</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35.</w:t>
            </w:r>
            <w:r w:rsidR="00E83C79">
              <w:tab/>
            </w:r>
            <w:r w:rsidRPr="00B17C29">
              <w:t>Bulgarie (quatrième et cinquième rapports périodiques)</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E/C.12/BGR/4-5</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31 juil. 2009</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1999</w:t>
            </w:r>
            <w:r w:rsidRPr="00B17C29">
              <w:br/>
              <w:t>30 juin 2004</w:t>
            </w:r>
            <w:r w:rsidRPr="00B17C29">
              <w:br/>
              <w:t>30 juin 2013</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36.</w:t>
            </w:r>
            <w:r w:rsidR="00E83C79">
              <w:tab/>
            </w:r>
            <w:r w:rsidRPr="00B17C29">
              <w:t>Islande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E/C.12/ISL/4</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19 janv. 2010</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2008</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37.</w:t>
            </w:r>
            <w:r w:rsidR="00E83C79">
              <w:tab/>
            </w:r>
            <w:r w:rsidRPr="00B17C29">
              <w:t>Portugal</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E/C.12/PRT/4</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31 janv. 2011</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2005</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bl>
    <w:p w:rsidR="00B17C29" w:rsidRDefault="00B17C29" w:rsidP="00825B88">
      <w:pPr>
        <w:pStyle w:val="SingleTxtG"/>
      </w:pPr>
    </w:p>
    <w:tbl>
      <w:tblPr>
        <w:tblStyle w:val="TableGrid"/>
        <w:tblW w:w="9639" w:type="dxa"/>
        <w:jc w:val="center"/>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00"/>
        <w:gridCol w:w="2000"/>
        <w:gridCol w:w="1350"/>
        <w:gridCol w:w="1350"/>
        <w:gridCol w:w="1739"/>
      </w:tblGrid>
      <w:tr w:rsidR="00B17C29" w:rsidRPr="00B17C29" w:rsidTr="00FE773E">
        <w:trPr>
          <w:tblHeader/>
          <w:jc w:val="center"/>
        </w:trPr>
        <w:tc>
          <w:tcPr>
            <w:tcW w:w="320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Cinquièmes rapports périodiques</w:t>
            </w:r>
          </w:p>
        </w:tc>
        <w:tc>
          <w:tcPr>
            <w:tcW w:w="200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Cote</w:t>
            </w:r>
          </w:p>
        </w:tc>
        <w:tc>
          <w:tcPr>
            <w:tcW w:w="135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Reçu le</w:t>
            </w:r>
          </w:p>
        </w:tc>
        <w:tc>
          <w:tcPr>
            <w:tcW w:w="1350"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Attendu le</w:t>
            </w:r>
          </w:p>
        </w:tc>
        <w:tc>
          <w:tcPr>
            <w:tcW w:w="1739" w:type="dxa"/>
            <w:tcBorders>
              <w:top w:val="single" w:sz="4" w:space="0" w:color="auto"/>
              <w:bottom w:val="single" w:sz="12" w:space="0" w:color="auto"/>
            </w:tcBorders>
            <w:shd w:val="clear" w:color="auto" w:fill="auto"/>
            <w:vAlign w:val="bottom"/>
          </w:tcPr>
          <w:p w:rsidR="00B17C29" w:rsidRPr="00B17C29" w:rsidRDefault="00B17C29" w:rsidP="00FE773E">
            <w:pPr>
              <w:keepNext/>
              <w:suppressAutoHyphens w:val="0"/>
              <w:spacing w:before="80" w:after="80" w:line="200" w:lineRule="exact"/>
              <w:ind w:right="113"/>
              <w:rPr>
                <w:i/>
                <w:sz w:val="16"/>
                <w:szCs w:val="16"/>
              </w:rPr>
            </w:pPr>
            <w:r w:rsidRPr="00B17C29">
              <w:rPr>
                <w:i/>
                <w:sz w:val="16"/>
                <w:szCs w:val="16"/>
              </w:rPr>
              <w:t>Examen prévu pour</w:t>
            </w:r>
          </w:p>
        </w:tc>
      </w:tr>
      <w:tr w:rsidR="00B17C29" w:rsidRPr="00B17C29" w:rsidTr="00FE773E">
        <w:trPr>
          <w:jc w:val="center"/>
        </w:trPr>
        <w:tc>
          <w:tcPr>
            <w:tcW w:w="3200" w:type="dxa"/>
            <w:tcBorders>
              <w:top w:val="single" w:sz="12" w:space="0" w:color="auto"/>
            </w:tcBorders>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38.</w:t>
            </w:r>
            <w:r w:rsidR="00E83C79">
              <w:tab/>
            </w:r>
            <w:r w:rsidRPr="00B17C29">
              <w:t>Danemark</w:t>
            </w:r>
          </w:p>
        </w:tc>
        <w:tc>
          <w:tcPr>
            <w:tcW w:w="200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E/C.12/DNK/5</w:t>
            </w:r>
          </w:p>
        </w:tc>
        <w:tc>
          <w:tcPr>
            <w:tcW w:w="135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25 janv. 2010</w:t>
            </w:r>
          </w:p>
        </w:tc>
        <w:tc>
          <w:tcPr>
            <w:tcW w:w="1350"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2009</w:t>
            </w:r>
          </w:p>
        </w:tc>
        <w:tc>
          <w:tcPr>
            <w:tcW w:w="1739" w:type="dxa"/>
            <w:tcBorders>
              <w:top w:val="single" w:sz="12" w:space="0" w:color="auto"/>
            </w:tcBorders>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39.</w:t>
            </w:r>
            <w:r w:rsidR="00E83C79">
              <w:tab/>
            </w:r>
            <w:r w:rsidRPr="00B17C29">
              <w:t>Allemagne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E/C.12/DEU/5</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16 sept. 2008</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2006</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 xml:space="preserve">Quarante-sixième session </w:t>
            </w:r>
            <w:r w:rsidRPr="00B17C29">
              <w:br/>
              <w:t>(mai 2011)</w:t>
            </w: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40.</w:t>
            </w:r>
            <w:r w:rsidR="00E83C79">
              <w:tab/>
            </w:r>
            <w:r w:rsidRPr="00B17C29">
              <w:t>Norvège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E/C.12/NOR/5</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28 juin 2010</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2010</w:t>
            </w:r>
            <w:r w:rsidRPr="00B17C29">
              <w:br/>
              <w:t>30 juin 2015</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E83C79">
            <w:pPr>
              <w:suppressAutoHyphens w:val="0"/>
              <w:spacing w:before="40" w:after="120" w:line="220" w:lineRule="exact"/>
              <w:ind w:left="284" w:right="113" w:hanging="284"/>
            </w:pPr>
            <w:r w:rsidRPr="00B17C29">
              <w:t>41.</w:t>
            </w:r>
            <w:r w:rsidR="00E83C79">
              <w:tab/>
            </w:r>
            <w:r w:rsidRPr="00B17C29">
              <w:t>Fédération de Russie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E/C.12/RUS/5</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 juin 2008</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2008</w:t>
            </w:r>
            <w:r w:rsidRPr="00B17C29">
              <w:br/>
              <w:t>30 juin 2013</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 xml:space="preserve">Quarante-sixième session </w:t>
            </w:r>
            <w:r w:rsidRPr="00B17C29">
              <w:br/>
              <w:t>(mai 2011)</w:t>
            </w:r>
          </w:p>
        </w:tc>
      </w:tr>
      <w:tr w:rsidR="00B17C29" w:rsidRPr="00B17C29" w:rsidTr="00FE773E">
        <w:trPr>
          <w:jc w:val="center"/>
        </w:trPr>
        <w:tc>
          <w:tcPr>
            <w:tcW w:w="3200" w:type="dxa"/>
            <w:shd w:val="clear" w:color="auto" w:fill="auto"/>
            <w:tcMar>
              <w:top w:w="0" w:type="dxa"/>
              <w:left w:w="0" w:type="dxa"/>
              <w:bottom w:w="0" w:type="dxa"/>
              <w:right w:w="113" w:type="dxa"/>
            </w:tcMar>
          </w:tcPr>
          <w:p w:rsidR="00B17C29" w:rsidRPr="00B17C29" w:rsidRDefault="00B17C29" w:rsidP="00FE773E">
            <w:pPr>
              <w:suppressAutoHyphens w:val="0"/>
              <w:spacing w:before="40" w:after="120" w:line="220" w:lineRule="exact"/>
              <w:ind w:left="284" w:right="113" w:hanging="284"/>
            </w:pPr>
            <w:r w:rsidRPr="00B17C29">
              <w:t>42.</w:t>
            </w:r>
            <w:r w:rsidR="00E83C79">
              <w:tab/>
            </w:r>
            <w:r w:rsidRPr="00B17C29">
              <w:t>Espagne</w:t>
            </w:r>
          </w:p>
        </w:tc>
        <w:tc>
          <w:tcPr>
            <w:tcW w:w="200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E/C.12/ESP/5</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2010</w:t>
            </w:r>
          </w:p>
        </w:tc>
        <w:tc>
          <w:tcPr>
            <w:tcW w:w="1350"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r w:rsidRPr="00B17C29">
              <w:t>30 juin 2009</w:t>
            </w:r>
          </w:p>
        </w:tc>
        <w:tc>
          <w:tcPr>
            <w:tcW w:w="1739" w:type="dxa"/>
            <w:shd w:val="clear" w:color="auto" w:fill="auto"/>
            <w:tcMar>
              <w:top w:w="0" w:type="dxa"/>
              <w:left w:w="0" w:type="dxa"/>
              <w:bottom w:w="0" w:type="dxa"/>
              <w:right w:w="113" w:type="dxa"/>
            </w:tcMar>
          </w:tcPr>
          <w:p w:rsidR="00B17C29" w:rsidRPr="00B17C29" w:rsidRDefault="00B17C29" w:rsidP="00B17C29">
            <w:pPr>
              <w:suppressAutoHyphens w:val="0"/>
              <w:spacing w:before="40" w:after="120" w:line="220" w:lineRule="exact"/>
              <w:ind w:right="113"/>
            </w:pPr>
          </w:p>
        </w:tc>
      </w:tr>
    </w:tbl>
    <w:p w:rsidR="00B17C29" w:rsidRDefault="00B17C29" w:rsidP="00E83C79">
      <w:pPr>
        <w:pStyle w:val="H4G"/>
      </w:pPr>
      <w:r>
        <w:tab/>
        <w:t>b)</w:t>
      </w:r>
      <w:r>
        <w:tab/>
        <w:t>Rapports présentés par les institutions spécialisées conformément à l</w:t>
      </w:r>
      <w:r w:rsidR="004A7A11">
        <w:t>’</w:t>
      </w:r>
      <w:r>
        <w:t>article 18 du Pacte</w:t>
      </w:r>
    </w:p>
    <w:p w:rsidR="00B17C29" w:rsidRDefault="00B17C29" w:rsidP="00B17C29">
      <w:pPr>
        <w:pStyle w:val="SingleTxtG"/>
        <w:ind w:firstLine="567"/>
      </w:pPr>
      <w:r>
        <w:t>Conformément à l</w:t>
      </w:r>
      <w:r w:rsidR="004A7A11">
        <w:t>’</w:t>
      </w:r>
      <w:r>
        <w:t>article 67 de son Règlement intérieur, le Comité a pour tâche d</w:t>
      </w:r>
      <w:r w:rsidR="004A7A11">
        <w:t>’</w:t>
      </w:r>
      <w:r>
        <w:t>examiner les rapports présentés par les institutions spécialisées en application de l</w:t>
      </w:r>
      <w:r w:rsidR="004A7A11">
        <w:t>’</w:t>
      </w:r>
      <w:r>
        <w:t>article</w:t>
      </w:r>
      <w:r w:rsidR="00F656FE">
        <w:t> </w:t>
      </w:r>
      <w:r>
        <w:t>18 du Pacte.</w:t>
      </w:r>
    </w:p>
    <w:p w:rsidR="00B17C29" w:rsidRDefault="00B17C29" w:rsidP="00B17C29">
      <w:pPr>
        <w:pStyle w:val="SingleTxtG"/>
        <w:spacing w:after="100" w:line="220" w:lineRule="atLeast"/>
        <w:ind w:firstLine="567"/>
      </w:pPr>
      <w:r>
        <w:t>En vertu de l</w:t>
      </w:r>
      <w:r w:rsidR="004A7A11">
        <w:t>’</w:t>
      </w:r>
      <w:r>
        <w:t>article 68 du Règlement intérieur, les représentants des institutions spécialisées intéressées peuvent faire des déclarations sur des questions liées au domaine de compétence de leur organisation. Le Secrétaire général a invité les institutions spécialisées, les organismes des Nations Unies et les institutions financières ci-après à se faire représenter aux séances du Comité: Organisation internationale du Travail (OIT), Organisation des Nations Unies pour l</w:t>
      </w:r>
      <w:r w:rsidR="004A7A11">
        <w:t>’</w:t>
      </w:r>
      <w:r>
        <w:t>alimentation et l</w:t>
      </w:r>
      <w:r w:rsidR="004A7A11">
        <w:t>’</w:t>
      </w:r>
      <w:r>
        <w:t>agriculture (FAO), Organisation des Nations Unies pour l</w:t>
      </w:r>
      <w:r w:rsidR="004A7A11">
        <w:t>’</w:t>
      </w:r>
      <w:r>
        <w:t>éducation, la science et la culture (UNESCO), Organisation mondiale de la santé (OMS), Haut-Commissariat des Nations Unies pour les réfugiés (HCR), Organisation mondiale de la propriété intellectuelle (OMPI), Fonds des Nations Unies pour l</w:t>
      </w:r>
      <w:r w:rsidR="004A7A11">
        <w:t>’</w:t>
      </w:r>
      <w:r>
        <w:t>enfance (UNICEF), Programme des Nations Unies pour le développement (PNUD), Programme des Nations Unies pour les établissements humains (ONU-H</w:t>
      </w:r>
      <w:r w:rsidR="00F656FE">
        <w:t>abitat</w:t>
      </w:r>
      <w:r>
        <w:t>), Programme des Nations Unies pour l</w:t>
      </w:r>
      <w:r w:rsidR="004A7A11">
        <w:t>’</w:t>
      </w:r>
      <w:r>
        <w:t>environnement (PNUE), Conférence des Nations Unies sur le commerce et le développement (CNUCED), Fonds des Nations Unies pour la population (FNUAP), Programme commun des Nations Unies sur le VIH/sida (ONUSIDA), Fonds monétaire international (FMI), Banque mondiale et Organisation mondiale du commerce (OMC).</w:t>
      </w:r>
    </w:p>
    <w:p w:rsidR="00B17C29" w:rsidRDefault="00B17C29" w:rsidP="00B17C29">
      <w:pPr>
        <w:pStyle w:val="SingleTxtG"/>
        <w:spacing w:after="100" w:line="220" w:lineRule="atLeast"/>
        <w:ind w:firstLine="567"/>
      </w:pPr>
      <w:r>
        <w:t>Le Comité sera saisi, en temps voulu, de tout rapport reçu des institutions spécialisées en application de l</w:t>
      </w:r>
      <w:r w:rsidR="004A7A11">
        <w:t>’</w:t>
      </w:r>
      <w:r>
        <w:t>article 18 du Pacte.</w:t>
      </w:r>
    </w:p>
    <w:p w:rsidR="00B17C29" w:rsidRPr="00A51784" w:rsidRDefault="00B17C29" w:rsidP="00825B88">
      <w:pPr>
        <w:pStyle w:val="H23G"/>
      </w:pPr>
      <w:r w:rsidRPr="00A51784">
        <w:tab/>
        <w:t>8.</w:t>
      </w:r>
      <w:r w:rsidRPr="00A51784">
        <w:tab/>
        <w:t>Présentation de rapports par les États parties conformément aux articles 16 et 17 du Pacte</w:t>
      </w:r>
    </w:p>
    <w:p w:rsidR="00B17C29" w:rsidRDefault="00AA1762" w:rsidP="00B17C29">
      <w:pPr>
        <w:pStyle w:val="SingleTxtG"/>
        <w:spacing w:after="100" w:line="220" w:lineRule="atLeast"/>
        <w:ind w:firstLine="567"/>
      </w:pPr>
      <w:r>
        <w:t>Conformément</w:t>
      </w:r>
      <w:r w:rsidR="00B17C29">
        <w:t xml:space="preserve"> au paragraphe 1 de l</w:t>
      </w:r>
      <w:r w:rsidR="004A7A11">
        <w:t>’</w:t>
      </w:r>
      <w:r w:rsidR="00B17C29">
        <w:t>article 59 de son Règlement intérieur, le Comité examine à chaque session la situation en ce qui concerne les rapports à présenter en application des articles 16 et 17 du Pacte et peut formuler des recommandations appropriées dans son rapport au Conseil, y compris des recommandations tendant à ce que le Secrétaire général envoie des rappels aux États parties qui n</w:t>
      </w:r>
      <w:r w:rsidR="004A7A11">
        <w:t>’</w:t>
      </w:r>
      <w:r w:rsidR="00B17C29">
        <w:t>ont pas encore fait parvenir leurs rapports. Au titre de ce point de l</w:t>
      </w:r>
      <w:r w:rsidR="004A7A11">
        <w:t>’</w:t>
      </w:r>
      <w:r w:rsidR="00B17C29">
        <w:t>ordre du jour, le Comité sera saisi du document ci-après:</w:t>
      </w:r>
    </w:p>
    <w:p w:rsidR="00B17C29" w:rsidRDefault="00B17C29" w:rsidP="00B17C29">
      <w:pPr>
        <w:pStyle w:val="SingleTxtG"/>
        <w:spacing w:after="100" w:line="220" w:lineRule="atLeast"/>
        <w:ind w:firstLine="567"/>
      </w:pPr>
      <w:r>
        <w:t>Note du Secrétaire général sur les États parties au Pacte et l</w:t>
      </w:r>
      <w:r w:rsidR="004A7A11">
        <w:t>’</w:t>
      </w:r>
      <w:r>
        <w:t>état de la présentation des rapports (E/C.12/46/2).</w:t>
      </w:r>
    </w:p>
    <w:p w:rsidR="00B17C29" w:rsidRPr="00A51784" w:rsidRDefault="00B17C29" w:rsidP="00825B88">
      <w:pPr>
        <w:pStyle w:val="H23G"/>
      </w:pPr>
      <w:r w:rsidRPr="00A51784">
        <w:tab/>
        <w:t>9.</w:t>
      </w:r>
      <w:r w:rsidRPr="00A51784">
        <w:tab/>
        <w:t>Formulation de suggestions et de recommandations de caractère général fondées sur l</w:t>
      </w:r>
      <w:r w:rsidR="004A7A11">
        <w:t>’</w:t>
      </w:r>
      <w:r w:rsidRPr="00A51784">
        <w:t>examen des rapports présentés par les États parties au Pacte et par les institutions spécialisées</w:t>
      </w:r>
    </w:p>
    <w:p w:rsidR="00B17C29" w:rsidRDefault="00B17C29" w:rsidP="00B17C29">
      <w:pPr>
        <w:pStyle w:val="SingleTxtG"/>
        <w:spacing w:after="100" w:line="220" w:lineRule="atLeast"/>
        <w:ind w:firstLine="567"/>
      </w:pPr>
      <w:r>
        <w:t>Conformément à l</w:t>
      </w:r>
      <w:r w:rsidR="004A7A11">
        <w:t>’</w:t>
      </w:r>
      <w:r>
        <w:t>article 64 de son Règlement intérieur, le Comité voudra peut-être formuler des suggestions et des recommandations de caractère général fondées sur l</w:t>
      </w:r>
      <w:r w:rsidR="004A7A11">
        <w:t>’</w:t>
      </w:r>
      <w:r>
        <w:t>examen qu</w:t>
      </w:r>
      <w:r w:rsidR="004A7A11">
        <w:t>’</w:t>
      </w:r>
      <w:r>
        <w:t>il aura fait des rapports présentés par les États parties et des rapports présentés par les institutions spécialisées, afin d</w:t>
      </w:r>
      <w:r w:rsidR="004A7A11">
        <w:t>’</w:t>
      </w:r>
      <w:r>
        <w:t>aider le Conseil à s</w:t>
      </w:r>
      <w:r w:rsidR="004A7A11">
        <w:t>’</w:t>
      </w:r>
      <w:r>
        <w:t>acquitter de ses responsabilités, notamment celles qui découlent des articles 21 et 22 du Pacte. Le Comité jugera peut-être bon également de soumettre au Conseil, pour examen, des suggestions concernant les articles 19, 22 et 23 du Pacte.</w:t>
      </w:r>
    </w:p>
    <w:p w:rsidR="00B17C29" w:rsidRPr="00A51784" w:rsidRDefault="00B17C29" w:rsidP="00825B88">
      <w:pPr>
        <w:pStyle w:val="H23G"/>
      </w:pPr>
      <w:r w:rsidRPr="00A51784">
        <w:tab/>
        <w:t>10.</w:t>
      </w:r>
      <w:r w:rsidRPr="00A51784">
        <w:tab/>
        <w:t>Questions diverses</w:t>
      </w:r>
    </w:p>
    <w:p w:rsidR="00B17C29" w:rsidRDefault="00B17C29" w:rsidP="00B17C29">
      <w:pPr>
        <w:pStyle w:val="SingleTxtG"/>
        <w:spacing w:after="100" w:line="220" w:lineRule="atLeast"/>
        <w:ind w:firstLine="567"/>
      </w:pPr>
      <w:r>
        <w:t>À sa vingt et unième session (1999), le Comité a décidé d</w:t>
      </w:r>
      <w:r w:rsidR="004A7A11">
        <w:t>’</w:t>
      </w:r>
      <w:r>
        <w:t>inscrire à son ordre du jour un point permanent intitulé «Questions diverses», au titre duquel il pourrait examiner toute question sortant du champ des autres points permanents de l</w:t>
      </w:r>
      <w:r w:rsidR="004A7A11">
        <w:t>’</w:t>
      </w:r>
      <w:r>
        <w:t>ordre du jour.</w:t>
      </w:r>
    </w:p>
    <w:p w:rsidR="00B17C29" w:rsidRDefault="00B17C29" w:rsidP="00B17C29">
      <w:pPr>
        <w:pStyle w:val="HChG"/>
      </w:pPr>
      <w:r w:rsidRPr="00A51784">
        <w:br w:type="page"/>
      </w:r>
      <w:r>
        <w:tab/>
      </w:r>
      <w:r>
        <w:tab/>
      </w:r>
      <w:r w:rsidRPr="00A51784">
        <w:t xml:space="preserve">Programme de travail provisoire de la quarante-sixième session du Comité des droits économiques, sociaux et culturels </w:t>
      </w:r>
      <w:r w:rsidRPr="00A51784">
        <w:br/>
      </w:r>
      <w:r>
        <w:t>(2-20 mai 2011)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1000"/>
        <w:gridCol w:w="800"/>
        <w:gridCol w:w="4004"/>
      </w:tblGrid>
      <w:tr w:rsidR="00B17C29" w:rsidRPr="00F656FE" w:rsidTr="00AA1762">
        <w:tc>
          <w:tcPr>
            <w:tcW w:w="7370" w:type="dxa"/>
            <w:gridSpan w:val="4"/>
            <w:shd w:val="clear" w:color="auto" w:fill="auto"/>
            <w:vAlign w:val="bottom"/>
          </w:tcPr>
          <w:p w:rsidR="00B17C29" w:rsidRPr="00F656FE" w:rsidRDefault="00B17C29" w:rsidP="00F656FE">
            <w:pPr>
              <w:suppressAutoHyphens w:val="0"/>
              <w:spacing w:before="40" w:after="120" w:line="220" w:lineRule="exact"/>
              <w:ind w:right="113"/>
              <w:rPr>
                <w:b/>
              </w:rPr>
            </w:pPr>
            <w:r w:rsidRPr="00F656FE">
              <w:rPr>
                <w:b/>
              </w:rPr>
              <w:t>Première semaine: 2-6 mai 2011</w:t>
            </w:r>
          </w:p>
        </w:tc>
      </w:tr>
      <w:tr w:rsidR="00AA1762" w:rsidRPr="00B17C29" w:rsidTr="00AA1762">
        <w:tc>
          <w:tcPr>
            <w:tcW w:w="3366" w:type="dxa"/>
            <w:gridSpan w:val="3"/>
            <w:shd w:val="clear" w:color="auto" w:fill="auto"/>
          </w:tcPr>
          <w:p w:rsidR="00AA1762" w:rsidRPr="00B17C29" w:rsidRDefault="00AA1762" w:rsidP="00B17C29">
            <w:pPr>
              <w:suppressAutoHyphens w:val="0"/>
              <w:spacing w:before="40" w:after="120" w:line="220" w:lineRule="exact"/>
              <w:ind w:right="113"/>
            </w:pPr>
            <w:r w:rsidRPr="00B17C29">
              <w:rPr>
                <w:b/>
              </w:rPr>
              <w:t>Lundi 2 mai</w:t>
            </w:r>
          </w:p>
        </w:tc>
        <w:tc>
          <w:tcPr>
            <w:tcW w:w="4004" w:type="dxa"/>
            <w:shd w:val="clear" w:color="auto" w:fill="auto"/>
          </w:tcPr>
          <w:p w:rsidR="00AA1762" w:rsidRPr="00B17C29" w:rsidRDefault="00AA1762" w:rsidP="00B17C29">
            <w:pPr>
              <w:suppressAutoHyphens w:val="0"/>
              <w:spacing w:before="40" w:after="120" w:line="220" w:lineRule="exact"/>
              <w:ind w:right="113"/>
            </w:pPr>
            <w:r w:rsidRPr="00B17C29">
              <w:t>Déclaration solennelle des nouveaux membres</w:t>
            </w:r>
          </w:p>
        </w:tc>
      </w:tr>
      <w:tr w:rsidR="00B17C29" w:rsidRPr="00B17C29" w:rsidTr="00AA1762">
        <w:tc>
          <w:tcPr>
            <w:tcW w:w="1566" w:type="dxa"/>
            <w:shd w:val="clear" w:color="auto" w:fill="auto"/>
          </w:tcPr>
          <w:p w:rsidR="00B17C29" w:rsidRPr="00B17C29" w:rsidRDefault="00B17C29" w:rsidP="00B17C29">
            <w:pPr>
              <w:suppressAutoHyphens w:val="0"/>
              <w:spacing w:before="40" w:after="120" w:line="220" w:lineRule="exact"/>
              <w:ind w:right="113"/>
            </w:pPr>
            <w:r w:rsidRPr="00B17C29">
              <w:t>1</w:t>
            </w:r>
            <w:r w:rsidR="00F656FE" w:rsidRPr="00F656FE">
              <w:rPr>
                <w:vertAlign w:val="superscript"/>
              </w:rPr>
              <w:t>re</w:t>
            </w:r>
            <w:r w:rsidR="00F656FE">
              <w:t xml:space="preserve"> </w:t>
            </w:r>
            <w:r w:rsidRPr="00B17C29">
              <w:t>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1</w:t>
            </w:r>
          </w:p>
        </w:tc>
        <w:tc>
          <w:tcPr>
            <w:tcW w:w="4004" w:type="dxa"/>
            <w:shd w:val="clear" w:color="auto" w:fill="auto"/>
          </w:tcPr>
          <w:p w:rsidR="00B17C29" w:rsidRPr="00B17C29" w:rsidRDefault="00B17C29" w:rsidP="00AA1762">
            <w:pPr>
              <w:suppressAutoHyphens w:val="0"/>
              <w:spacing w:before="40" w:after="120" w:line="220" w:lineRule="exact"/>
              <w:ind w:right="113"/>
            </w:pPr>
            <w:r w:rsidRPr="00B17C29">
              <w:t>Élection du Président et des autres membres du Bureau</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2</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Adoption de l</w:t>
            </w:r>
            <w:r w:rsidR="004A7A11">
              <w:t>’</w:t>
            </w:r>
            <w:r w:rsidRPr="00B17C29">
              <w:t>ordre du jour</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3</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Organisation des travaux</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8</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Présentation de rapports par les États parties conformément aux articles 16 et 17 du Pacte</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10</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diverses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6</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Relations avec les organismes des Nations Unies et les autres organes conventionnels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4</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de fond concernant la mise en œuvre du Pacte international relatif aux droits économiques, sociaux et culturels: documents soumis par des ONG</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Mardi 3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3</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Turquie</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4</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Turquie (</w:t>
            </w:r>
            <w:r w:rsidRPr="00B17C29">
              <w:rPr>
                <w:i/>
              </w:rPr>
              <w:t>suite</w:t>
            </w:r>
            <w:r w:rsidRPr="00B17C29">
              <w:t>)</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Mercredi 4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5</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Turquie (</w:t>
            </w:r>
            <w:r w:rsidRPr="00B17C29">
              <w:rPr>
                <w:i/>
              </w:rPr>
              <w:t>suite</w:t>
            </w:r>
            <w:r w:rsidRPr="00B17C29">
              <w:t>)</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6</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République de Moldova</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Jeudi 5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7</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République de Moldova (</w:t>
            </w:r>
            <w:r w:rsidRPr="00B17C29">
              <w:rPr>
                <w:i/>
              </w:rPr>
              <w:t>suite</w:t>
            </w:r>
            <w:r w:rsidRPr="00B17C29">
              <w:t>)</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8</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République de Moldova (</w:t>
            </w:r>
            <w:r w:rsidRPr="00B17C29">
              <w:rPr>
                <w:i/>
              </w:rPr>
              <w:t>suite</w:t>
            </w:r>
            <w:r w:rsidRPr="00B17C29">
              <w:t>)</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Vendredi 6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9</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Allemagne</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10</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Allemagne (</w:t>
            </w:r>
            <w:r w:rsidRPr="00B17C29">
              <w:rPr>
                <w:i/>
              </w:rPr>
              <w:t>suite</w:t>
            </w:r>
            <w:r w:rsidRPr="00B17C29">
              <w:t>)</w:t>
            </w:r>
          </w:p>
        </w:tc>
      </w:tr>
      <w:tr w:rsidR="00F656FE" w:rsidRPr="00B17C29" w:rsidTr="00F656FE">
        <w:tc>
          <w:tcPr>
            <w:tcW w:w="1566" w:type="dxa"/>
            <w:shd w:val="clear" w:color="auto" w:fill="auto"/>
          </w:tcPr>
          <w:p w:rsidR="00F656FE" w:rsidRPr="00B17C29" w:rsidRDefault="00F656FE" w:rsidP="00B17C29">
            <w:pPr>
              <w:suppressAutoHyphens w:val="0"/>
              <w:spacing w:before="40" w:after="120" w:line="220" w:lineRule="exact"/>
              <w:ind w:right="113"/>
            </w:pPr>
          </w:p>
        </w:tc>
        <w:tc>
          <w:tcPr>
            <w:tcW w:w="1000" w:type="dxa"/>
            <w:shd w:val="clear" w:color="auto" w:fill="auto"/>
          </w:tcPr>
          <w:p w:rsidR="00F656FE" w:rsidRPr="00B17C29" w:rsidRDefault="00F656FE" w:rsidP="00B17C29">
            <w:pPr>
              <w:suppressAutoHyphens w:val="0"/>
              <w:spacing w:before="40" w:after="120" w:line="220" w:lineRule="exact"/>
              <w:ind w:right="113"/>
            </w:pPr>
          </w:p>
        </w:tc>
        <w:tc>
          <w:tcPr>
            <w:tcW w:w="800" w:type="dxa"/>
            <w:shd w:val="clear" w:color="auto" w:fill="auto"/>
          </w:tcPr>
          <w:p w:rsidR="00F656FE" w:rsidRPr="00B17C29" w:rsidRDefault="00F656FE" w:rsidP="00B17C29">
            <w:pPr>
              <w:suppressAutoHyphens w:val="0"/>
              <w:spacing w:before="40" w:after="120" w:line="220" w:lineRule="exact"/>
              <w:ind w:right="113"/>
            </w:pPr>
          </w:p>
        </w:tc>
        <w:tc>
          <w:tcPr>
            <w:tcW w:w="4004" w:type="dxa"/>
            <w:shd w:val="clear" w:color="auto" w:fill="auto"/>
          </w:tcPr>
          <w:p w:rsidR="00F656FE" w:rsidRPr="00B17C29" w:rsidRDefault="00F656FE" w:rsidP="00B17C29">
            <w:pPr>
              <w:suppressAutoHyphens w:val="0"/>
              <w:spacing w:before="40" w:after="120" w:line="220" w:lineRule="exact"/>
              <w:ind w:right="113"/>
            </w:pPr>
          </w:p>
        </w:tc>
      </w:tr>
      <w:tr w:rsidR="00B17C29" w:rsidRPr="00F656FE" w:rsidTr="00F656FE">
        <w:tc>
          <w:tcPr>
            <w:tcW w:w="7370" w:type="dxa"/>
            <w:gridSpan w:val="4"/>
            <w:shd w:val="clear" w:color="auto" w:fill="auto"/>
            <w:vAlign w:val="bottom"/>
          </w:tcPr>
          <w:p w:rsidR="00B17C29" w:rsidRPr="00F656FE" w:rsidRDefault="00B17C29" w:rsidP="00E94C35">
            <w:pPr>
              <w:keepNext/>
              <w:suppressAutoHyphens w:val="0"/>
              <w:spacing w:before="40" w:after="120" w:line="220" w:lineRule="exact"/>
              <w:ind w:right="113"/>
              <w:rPr>
                <w:b/>
              </w:rPr>
            </w:pPr>
            <w:r w:rsidRPr="00F656FE">
              <w:rPr>
                <w:b/>
              </w:rPr>
              <w:t>Deuxième semaine: 9-13 mai 2011</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Lundi 9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11</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Allemagne (</w:t>
            </w:r>
            <w:r w:rsidRPr="00B17C29">
              <w:rPr>
                <w:i/>
              </w:rPr>
              <w:t>suite</w:t>
            </w:r>
            <w:r w:rsidRPr="00B17C29">
              <w:t>)</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12</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Yémen</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Mardi 10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13</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Yémen (</w:t>
            </w:r>
            <w:r w:rsidRPr="00B17C29">
              <w:rPr>
                <w:i/>
              </w:rPr>
              <w:t>suite</w:t>
            </w:r>
            <w:r w:rsidRPr="00B17C29">
              <w:t>)</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14</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Yémen (</w:t>
            </w:r>
            <w:r w:rsidRPr="00B17C29">
              <w:rPr>
                <w:i/>
              </w:rPr>
              <w:t>suite</w:t>
            </w:r>
            <w:r w:rsidRPr="00B17C29">
              <w:t>)</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Mercredi 11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15</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Fédération de Russie</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16</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rPr>
                <w:i/>
              </w:rPr>
            </w:pPr>
            <w:r w:rsidRPr="00B17C29">
              <w:t>Examen des rapports: Fédération de Russie (</w:t>
            </w:r>
            <w:r w:rsidRPr="00B17C29">
              <w:rPr>
                <w:i/>
              </w:rPr>
              <w:t>suite</w:t>
            </w:r>
            <w:r w:rsidRPr="00F656FE">
              <w:t>)</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Jeudi 12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17</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Fédération de Russie (</w:t>
            </w:r>
            <w:r w:rsidRPr="00B17C29">
              <w:rPr>
                <w:i/>
              </w:rPr>
              <w:t>suite</w:t>
            </w:r>
            <w:r w:rsidRPr="00F656FE">
              <w:t>)</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18</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53752C" w:rsidP="00B17C29">
            <w:pPr>
              <w:suppressAutoHyphens w:val="0"/>
              <w:spacing w:before="40" w:after="120" w:line="220" w:lineRule="exact"/>
              <w:ind w:right="113"/>
            </w:pPr>
            <w:r>
              <w:t>Point 4</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de fond concernant la mise en œuvre du Pacte international relatif aux droits économiques, sociaux et culturels</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Vendredi 13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19</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4</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de fond concernant la mise en œuvre du Pacte international relatif aux droits économiques, sociaux et culturels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20</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4</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de fond concernant la mise en œuvre du Pacte international relatif aux droits économiques, sociaux et culturels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p>
        </w:tc>
        <w:tc>
          <w:tcPr>
            <w:tcW w:w="800" w:type="dxa"/>
            <w:shd w:val="clear" w:color="auto" w:fill="auto"/>
          </w:tcPr>
          <w:p w:rsidR="00B17C29" w:rsidRPr="00B17C29" w:rsidRDefault="00B17C29" w:rsidP="00B17C29">
            <w:pPr>
              <w:suppressAutoHyphens w:val="0"/>
              <w:spacing w:before="40" w:after="120" w:line="220" w:lineRule="exact"/>
              <w:ind w:right="113"/>
            </w:pPr>
          </w:p>
        </w:tc>
        <w:tc>
          <w:tcPr>
            <w:tcW w:w="4004" w:type="dxa"/>
            <w:shd w:val="clear" w:color="auto" w:fill="auto"/>
          </w:tcPr>
          <w:p w:rsidR="00B17C29" w:rsidRPr="00B17C29" w:rsidRDefault="00B17C29" w:rsidP="00B17C29">
            <w:pPr>
              <w:suppressAutoHyphens w:val="0"/>
              <w:spacing w:before="40" w:after="120" w:line="220" w:lineRule="exact"/>
              <w:ind w:right="113"/>
            </w:pPr>
          </w:p>
        </w:tc>
      </w:tr>
      <w:tr w:rsidR="00B17C29" w:rsidRPr="00B17C29" w:rsidTr="00F656FE">
        <w:tc>
          <w:tcPr>
            <w:tcW w:w="7370" w:type="dxa"/>
            <w:gridSpan w:val="4"/>
            <w:shd w:val="clear" w:color="auto" w:fill="auto"/>
          </w:tcPr>
          <w:p w:rsidR="00B17C29" w:rsidRPr="00B17C29" w:rsidRDefault="00B17C29" w:rsidP="00B17C29">
            <w:pPr>
              <w:suppressAutoHyphens w:val="0"/>
              <w:spacing w:before="40" w:after="120" w:line="220" w:lineRule="exact"/>
              <w:ind w:right="113"/>
              <w:rPr>
                <w:b/>
              </w:rPr>
            </w:pPr>
            <w:r w:rsidRPr="00B17C29">
              <w:rPr>
                <w:b/>
              </w:rPr>
              <w:t>Troisième semaine: 16-20 mai 2011</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Lundi 16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21</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4</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de fond concernant la mise en œuvre du Pacte international relatif aux droits économiques, sociaux et culturels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22</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4</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de fond concernant la mise en œuvre du Pacte</w:t>
            </w:r>
            <w:r w:rsidR="00F656FE">
              <w:t xml:space="preserve"> </w:t>
            </w:r>
            <w:r w:rsidRPr="00B17C29">
              <w:t>international relatif aux droits économiques, sociaux et culturels</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Mardi 17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23</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4</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de fond concernant la mise en œuvre du Pacte international relatif aux droits économiques, sociaux et culturels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adoption des observations finales</w:t>
            </w:r>
          </w:p>
        </w:tc>
      </w:tr>
      <w:tr w:rsidR="00B17C29" w:rsidRPr="00B17C29" w:rsidTr="00F656FE">
        <w:tc>
          <w:tcPr>
            <w:tcW w:w="1566" w:type="dxa"/>
            <w:shd w:val="clear" w:color="auto" w:fill="auto"/>
          </w:tcPr>
          <w:p w:rsidR="00B17C29" w:rsidRPr="00B17C29" w:rsidRDefault="00B17C29" w:rsidP="00E94C35">
            <w:pPr>
              <w:keepNext/>
              <w:suppressAutoHyphens w:val="0"/>
              <w:spacing w:before="40" w:after="120" w:line="220" w:lineRule="exact"/>
              <w:ind w:right="113"/>
            </w:pPr>
            <w:r w:rsidRPr="00B17C29">
              <w:t>24</w:t>
            </w:r>
            <w:r w:rsidRPr="00B17C29">
              <w:rPr>
                <w:vertAlign w:val="superscript"/>
              </w:rPr>
              <w:t>e</w:t>
            </w:r>
            <w:r w:rsidRPr="00B17C29">
              <w:t xml:space="preserve"> séance</w:t>
            </w:r>
          </w:p>
        </w:tc>
        <w:tc>
          <w:tcPr>
            <w:tcW w:w="1000" w:type="dxa"/>
            <w:shd w:val="clear" w:color="auto" w:fill="auto"/>
          </w:tcPr>
          <w:p w:rsidR="00B17C29" w:rsidRPr="00B17C29" w:rsidRDefault="00B17C29" w:rsidP="00E94C35">
            <w:pPr>
              <w:keepNext/>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E94C35">
            <w:pPr>
              <w:keepNext/>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E94C35">
            <w:pPr>
              <w:keepNext/>
              <w:suppressAutoHyphens w:val="0"/>
              <w:spacing w:before="40" w:after="120" w:line="220" w:lineRule="exact"/>
              <w:ind w:right="113"/>
            </w:pPr>
            <w:r w:rsidRPr="00B17C29">
              <w:t xml:space="preserve">Examen des rapports: adoption des observations finales </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Mercredi 18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25</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adoption des observations finales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26</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adoption des observations finales</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Jeudi 19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27</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 xml:space="preserve">Examen des rapports: adoption des observations finales </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28</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Examen des rapports: adoption des observations finales</w:t>
            </w:r>
          </w:p>
        </w:tc>
      </w:tr>
      <w:tr w:rsidR="00E94C35" w:rsidRPr="00B17C29" w:rsidTr="00CD0B31">
        <w:tc>
          <w:tcPr>
            <w:tcW w:w="7370" w:type="dxa"/>
            <w:gridSpan w:val="4"/>
            <w:shd w:val="clear" w:color="auto" w:fill="auto"/>
          </w:tcPr>
          <w:p w:rsidR="00E94C35" w:rsidRPr="00B17C29" w:rsidRDefault="00E94C35" w:rsidP="00B17C29">
            <w:pPr>
              <w:suppressAutoHyphens w:val="0"/>
              <w:spacing w:before="40" w:after="120" w:line="220" w:lineRule="exact"/>
              <w:ind w:right="113"/>
            </w:pPr>
            <w:r w:rsidRPr="00B17C29">
              <w:rPr>
                <w:b/>
              </w:rPr>
              <w:t>Vendredi 20 mai</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29</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7</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 xml:space="preserve">Examen des rapports: adoption des observations finales </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4</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de fond concernant la mise en œuvre du Pacte international relatif aux droits économiques, sociaux et culturels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5</w:t>
            </w:r>
          </w:p>
        </w:tc>
        <w:tc>
          <w:tcPr>
            <w:tcW w:w="4004" w:type="dxa"/>
            <w:shd w:val="clear" w:color="auto" w:fill="auto"/>
          </w:tcPr>
          <w:p w:rsidR="00B17C29" w:rsidRPr="00B17C29" w:rsidRDefault="00B17C29" w:rsidP="004A7A11">
            <w:pPr>
              <w:suppressAutoHyphens w:val="0"/>
              <w:spacing w:before="40" w:after="120" w:line="220" w:lineRule="exact"/>
              <w:ind w:right="113"/>
            </w:pPr>
            <w:r w:rsidRPr="00B17C29">
              <w:t>Suite donnée à l</w:t>
            </w:r>
            <w:r w:rsidR="004A7A11">
              <w:t>’</w:t>
            </w:r>
            <w:r w:rsidRPr="00B17C29">
              <w:t>examen des rapports présentés conformément aux articles 16 et 17 du Pacte</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9</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Formulation de suggestions et de recommandations générales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10</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diverses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r w:rsidRPr="00B17C29">
              <w:t>30</w:t>
            </w:r>
            <w:r w:rsidRPr="00B17C29">
              <w:rPr>
                <w:vertAlign w:val="superscript"/>
              </w:rPr>
              <w:t>e</w:t>
            </w:r>
            <w:r w:rsidRPr="00B17C29">
              <w:t xml:space="preserve"> séance</w:t>
            </w: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(privée)</w:t>
            </w:r>
          </w:p>
        </w:tc>
        <w:tc>
          <w:tcPr>
            <w:tcW w:w="800" w:type="dxa"/>
            <w:shd w:val="clear" w:color="auto" w:fill="auto"/>
          </w:tcPr>
          <w:p w:rsidR="00B17C29" w:rsidRPr="00B17C29" w:rsidRDefault="00B17C29" w:rsidP="00B17C29">
            <w:pPr>
              <w:suppressAutoHyphens w:val="0"/>
              <w:spacing w:before="40" w:after="120" w:line="220" w:lineRule="exact"/>
              <w:ind w:right="113"/>
            </w:pPr>
            <w:r w:rsidRPr="00B17C29">
              <w:t>Point 10</w:t>
            </w: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Questions diverses</w:t>
            </w:r>
          </w:p>
        </w:tc>
      </w:tr>
      <w:tr w:rsidR="00B17C29" w:rsidRPr="00B17C29" w:rsidTr="00F656FE">
        <w:tc>
          <w:tcPr>
            <w:tcW w:w="1566" w:type="dxa"/>
            <w:shd w:val="clear" w:color="auto" w:fill="auto"/>
          </w:tcPr>
          <w:p w:rsidR="00B17C29" w:rsidRPr="00B17C29" w:rsidRDefault="00B17C29" w:rsidP="00B17C29">
            <w:pPr>
              <w:suppressAutoHyphens w:val="0"/>
              <w:spacing w:before="40" w:after="120" w:line="220" w:lineRule="exact"/>
              <w:ind w:right="113"/>
            </w:pPr>
          </w:p>
        </w:tc>
        <w:tc>
          <w:tcPr>
            <w:tcW w:w="1000" w:type="dxa"/>
            <w:shd w:val="clear" w:color="auto" w:fill="auto"/>
          </w:tcPr>
          <w:p w:rsidR="00B17C29" w:rsidRPr="00B17C29" w:rsidRDefault="00B17C29" w:rsidP="00B17C29">
            <w:pPr>
              <w:suppressAutoHyphens w:val="0"/>
              <w:spacing w:before="40" w:after="120" w:line="220" w:lineRule="exact"/>
              <w:ind w:right="113"/>
            </w:pPr>
            <w:r w:rsidRPr="00B17C29">
              <w:t>(publique)</w:t>
            </w:r>
          </w:p>
        </w:tc>
        <w:tc>
          <w:tcPr>
            <w:tcW w:w="800" w:type="dxa"/>
            <w:shd w:val="clear" w:color="auto" w:fill="auto"/>
          </w:tcPr>
          <w:p w:rsidR="00B17C29" w:rsidRPr="00B17C29" w:rsidRDefault="00B17C29" w:rsidP="00B17C29">
            <w:pPr>
              <w:suppressAutoHyphens w:val="0"/>
              <w:spacing w:before="40" w:after="120" w:line="220" w:lineRule="exact"/>
              <w:ind w:right="113"/>
            </w:pPr>
          </w:p>
        </w:tc>
        <w:tc>
          <w:tcPr>
            <w:tcW w:w="4004" w:type="dxa"/>
            <w:shd w:val="clear" w:color="auto" w:fill="auto"/>
          </w:tcPr>
          <w:p w:rsidR="00B17C29" w:rsidRPr="00B17C29" w:rsidRDefault="00B17C29" w:rsidP="00B17C29">
            <w:pPr>
              <w:suppressAutoHyphens w:val="0"/>
              <w:spacing w:before="40" w:after="120" w:line="220" w:lineRule="exact"/>
              <w:ind w:right="113"/>
            </w:pPr>
            <w:r w:rsidRPr="00B17C29">
              <w:t>Clôture de la session</w:t>
            </w:r>
          </w:p>
        </w:tc>
      </w:tr>
    </w:tbl>
    <w:p w:rsidR="00FF1DBD" w:rsidRPr="00F656FE" w:rsidRDefault="00F656FE" w:rsidP="00F656FE">
      <w:pPr>
        <w:pStyle w:val="SingleTxtG"/>
        <w:spacing w:before="240" w:after="0"/>
        <w:jc w:val="center"/>
        <w:rPr>
          <w:u w:val="single"/>
        </w:rPr>
      </w:pPr>
      <w:r>
        <w:rPr>
          <w:u w:val="single"/>
        </w:rPr>
        <w:tab/>
      </w:r>
      <w:r>
        <w:rPr>
          <w:u w:val="single"/>
        </w:rPr>
        <w:tab/>
      </w:r>
      <w:r>
        <w:rPr>
          <w:u w:val="single"/>
        </w:rPr>
        <w:tab/>
      </w:r>
    </w:p>
    <w:sectPr w:rsidR="00FF1DBD" w:rsidRPr="00F656FE" w:rsidSect="00B17C2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490" w:rsidRDefault="00E05490"/>
  </w:endnote>
  <w:endnote w:type="continuationSeparator" w:id="0">
    <w:p w:rsidR="00E05490" w:rsidRDefault="00E05490"/>
  </w:endnote>
  <w:endnote w:type="continuationNotice" w:id="1">
    <w:p w:rsidR="00E05490" w:rsidRDefault="00E054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104" w:rsidRPr="00B17C29" w:rsidRDefault="00AF1104" w:rsidP="00B17C29">
    <w:pPr>
      <w:pStyle w:val="Footer"/>
      <w:tabs>
        <w:tab w:val="right" w:pos="9638"/>
      </w:tabs>
    </w:pPr>
    <w:r w:rsidRPr="00B17C29">
      <w:rPr>
        <w:b/>
        <w:sz w:val="18"/>
      </w:rPr>
      <w:fldChar w:fldCharType="begin"/>
    </w:r>
    <w:r w:rsidRPr="00B17C29">
      <w:rPr>
        <w:b/>
        <w:sz w:val="18"/>
      </w:rPr>
      <w:instrText xml:space="preserve"> PAGE  \* MERGEFORMAT </w:instrText>
    </w:r>
    <w:r w:rsidRPr="00B17C29">
      <w:rPr>
        <w:b/>
        <w:sz w:val="18"/>
      </w:rPr>
      <w:fldChar w:fldCharType="separate"/>
    </w:r>
    <w:r w:rsidR="002D7935">
      <w:rPr>
        <w:b/>
        <w:noProof/>
        <w:sz w:val="18"/>
      </w:rPr>
      <w:t>6</w:t>
    </w:r>
    <w:r w:rsidRPr="00B17C29">
      <w:rPr>
        <w:b/>
        <w:sz w:val="18"/>
      </w:rPr>
      <w:fldChar w:fldCharType="end"/>
    </w:r>
    <w:r>
      <w:rPr>
        <w:b/>
        <w:sz w:val="18"/>
      </w:rPr>
      <w:tab/>
    </w:r>
    <w:r>
      <w:t>GE.11-41748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104" w:rsidRPr="00B17C29" w:rsidRDefault="00AF1104" w:rsidP="00B17C29">
    <w:pPr>
      <w:pStyle w:val="Footer"/>
      <w:tabs>
        <w:tab w:val="right" w:pos="9638"/>
      </w:tabs>
      <w:rPr>
        <w:b/>
        <w:sz w:val="18"/>
      </w:rPr>
    </w:pPr>
    <w:r>
      <w:t>GE.11-41748</w:t>
    </w:r>
    <w:r>
      <w:tab/>
    </w:r>
    <w:r w:rsidRPr="00B17C29">
      <w:rPr>
        <w:b/>
        <w:sz w:val="18"/>
      </w:rPr>
      <w:fldChar w:fldCharType="begin"/>
    </w:r>
    <w:r w:rsidRPr="00B17C29">
      <w:rPr>
        <w:b/>
        <w:sz w:val="18"/>
      </w:rPr>
      <w:instrText xml:space="preserve"> PAGE  \* MERGEFORMAT </w:instrText>
    </w:r>
    <w:r w:rsidRPr="00B17C29">
      <w:rPr>
        <w:b/>
        <w:sz w:val="18"/>
      </w:rPr>
      <w:fldChar w:fldCharType="separate"/>
    </w:r>
    <w:r w:rsidR="002D7935">
      <w:rPr>
        <w:b/>
        <w:noProof/>
        <w:sz w:val="18"/>
      </w:rPr>
      <w:t>7</w:t>
    </w:r>
    <w:r w:rsidRPr="00B17C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104" w:rsidRPr="00B17C29" w:rsidRDefault="00AF110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11-41748  (F)    070411    </w:t>
    </w:r>
    <w:r w:rsidR="00371A1C">
      <w:rPr>
        <w:sz w:val="20"/>
      </w:rPr>
      <w:t>080411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490" w:rsidRPr="00D27D5E" w:rsidRDefault="00E05490" w:rsidP="00D27D5E">
      <w:pPr>
        <w:tabs>
          <w:tab w:val="right" w:pos="2155"/>
        </w:tabs>
        <w:spacing w:after="80"/>
        <w:ind w:left="680"/>
        <w:rPr>
          <w:u w:val="single"/>
        </w:rPr>
      </w:pPr>
      <w:r>
        <w:rPr>
          <w:u w:val="single"/>
        </w:rPr>
        <w:tab/>
      </w:r>
    </w:p>
  </w:footnote>
  <w:footnote w:type="continuationSeparator" w:id="0">
    <w:p w:rsidR="00E05490" w:rsidRPr="005B09DD" w:rsidRDefault="00E05490" w:rsidP="005B09DD">
      <w:pPr>
        <w:tabs>
          <w:tab w:val="right" w:pos="2155"/>
        </w:tabs>
        <w:spacing w:after="80"/>
        <w:ind w:left="680"/>
        <w:rPr>
          <w:u w:val="single"/>
        </w:rPr>
      </w:pPr>
      <w:r w:rsidRPr="005B09DD">
        <w:rPr>
          <w:u w:val="single"/>
        </w:rPr>
        <w:tab/>
      </w:r>
    </w:p>
  </w:footnote>
  <w:footnote w:type="continuationNotice" w:id="1">
    <w:p w:rsidR="00E05490" w:rsidRDefault="00E05490"/>
  </w:footnote>
  <w:footnote w:id="2">
    <w:p w:rsidR="00AF1104" w:rsidRPr="00B17C29" w:rsidRDefault="00AF1104">
      <w:pPr>
        <w:pStyle w:val="FootnoteText"/>
      </w:pPr>
      <w:r>
        <w:tab/>
      </w:r>
      <w:r w:rsidRPr="00B17C29">
        <w:rPr>
          <w:rStyle w:val="FootnoteReference"/>
          <w:sz w:val="20"/>
          <w:vertAlign w:val="baseline"/>
        </w:rPr>
        <w:t>*</w:t>
      </w:r>
      <w:r>
        <w:rPr>
          <w:sz w:val="20"/>
        </w:rPr>
        <w:tab/>
      </w:r>
      <w:r w:rsidRPr="00A05018">
        <w:t>Soumission tardive.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104" w:rsidRPr="00B17C29" w:rsidRDefault="00AF1104">
    <w:pPr>
      <w:pStyle w:val="Header"/>
    </w:pPr>
    <w:r>
      <w:t>E/C.12/46/1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104" w:rsidRPr="00B17C29" w:rsidRDefault="00AF1104" w:rsidP="00B17C29">
    <w:pPr>
      <w:pStyle w:val="Header"/>
      <w:jc w:val="right"/>
    </w:pPr>
    <w:r>
      <w:t>E/C.12/46/1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062A"/>
    <w:rsid w:val="0000696F"/>
    <w:rsid w:val="00016AC5"/>
    <w:rsid w:val="00030ADE"/>
    <w:rsid w:val="000F41F2"/>
    <w:rsid w:val="00135C0D"/>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2D7935"/>
    <w:rsid w:val="003016B7"/>
    <w:rsid w:val="00340C35"/>
    <w:rsid w:val="003515AA"/>
    <w:rsid w:val="00370E0F"/>
    <w:rsid w:val="00371A1C"/>
    <w:rsid w:val="00374106"/>
    <w:rsid w:val="003864D7"/>
    <w:rsid w:val="003976D5"/>
    <w:rsid w:val="003A3B0D"/>
    <w:rsid w:val="003D1DF3"/>
    <w:rsid w:val="003D46A7"/>
    <w:rsid w:val="003D6C68"/>
    <w:rsid w:val="004159D0"/>
    <w:rsid w:val="004209CD"/>
    <w:rsid w:val="004249E7"/>
    <w:rsid w:val="004A7A11"/>
    <w:rsid w:val="004A7FCC"/>
    <w:rsid w:val="004E062A"/>
    <w:rsid w:val="004F3E8B"/>
    <w:rsid w:val="005046DB"/>
    <w:rsid w:val="0053752C"/>
    <w:rsid w:val="00543D5E"/>
    <w:rsid w:val="00571F41"/>
    <w:rsid w:val="005B09DD"/>
    <w:rsid w:val="005D488D"/>
    <w:rsid w:val="005E5D1F"/>
    <w:rsid w:val="00603391"/>
    <w:rsid w:val="00611D43"/>
    <w:rsid w:val="00612D48"/>
    <w:rsid w:val="00616B45"/>
    <w:rsid w:val="00630D9B"/>
    <w:rsid w:val="00631953"/>
    <w:rsid w:val="006439EC"/>
    <w:rsid w:val="00652353"/>
    <w:rsid w:val="0066609D"/>
    <w:rsid w:val="006B4590"/>
    <w:rsid w:val="006C340C"/>
    <w:rsid w:val="0070347C"/>
    <w:rsid w:val="007176C1"/>
    <w:rsid w:val="007C0E8B"/>
    <w:rsid w:val="007F55CB"/>
    <w:rsid w:val="00825B88"/>
    <w:rsid w:val="008317F6"/>
    <w:rsid w:val="00844750"/>
    <w:rsid w:val="00846F97"/>
    <w:rsid w:val="008B44C4"/>
    <w:rsid w:val="008B7879"/>
    <w:rsid w:val="008E7FAE"/>
    <w:rsid w:val="00911BF7"/>
    <w:rsid w:val="009422C4"/>
    <w:rsid w:val="00977EC8"/>
    <w:rsid w:val="009B6C14"/>
    <w:rsid w:val="009D3A8C"/>
    <w:rsid w:val="009E7956"/>
    <w:rsid w:val="009F5257"/>
    <w:rsid w:val="009F759C"/>
    <w:rsid w:val="00A02E14"/>
    <w:rsid w:val="00A2492E"/>
    <w:rsid w:val="00A70163"/>
    <w:rsid w:val="00A86DE7"/>
    <w:rsid w:val="00AA1762"/>
    <w:rsid w:val="00AC67A1"/>
    <w:rsid w:val="00AC7977"/>
    <w:rsid w:val="00AE352C"/>
    <w:rsid w:val="00AF1104"/>
    <w:rsid w:val="00B161A1"/>
    <w:rsid w:val="00B17C29"/>
    <w:rsid w:val="00B32E2D"/>
    <w:rsid w:val="00B4466B"/>
    <w:rsid w:val="00B61990"/>
    <w:rsid w:val="00B85D99"/>
    <w:rsid w:val="00BF0556"/>
    <w:rsid w:val="00C261F8"/>
    <w:rsid w:val="00C33100"/>
    <w:rsid w:val="00C5798B"/>
    <w:rsid w:val="00C940E9"/>
    <w:rsid w:val="00CB25DD"/>
    <w:rsid w:val="00CD0B31"/>
    <w:rsid w:val="00CD1A71"/>
    <w:rsid w:val="00CD1FBB"/>
    <w:rsid w:val="00D016B5"/>
    <w:rsid w:val="00D034F1"/>
    <w:rsid w:val="00D11B17"/>
    <w:rsid w:val="00D27D5E"/>
    <w:rsid w:val="00DA57D4"/>
    <w:rsid w:val="00DB4793"/>
    <w:rsid w:val="00DB714E"/>
    <w:rsid w:val="00DE01E3"/>
    <w:rsid w:val="00DE6D90"/>
    <w:rsid w:val="00DF002F"/>
    <w:rsid w:val="00E0244D"/>
    <w:rsid w:val="00E05490"/>
    <w:rsid w:val="00E55D71"/>
    <w:rsid w:val="00E72BF4"/>
    <w:rsid w:val="00E81E94"/>
    <w:rsid w:val="00E82607"/>
    <w:rsid w:val="00E83C79"/>
    <w:rsid w:val="00E94C35"/>
    <w:rsid w:val="00EA31C2"/>
    <w:rsid w:val="00EC4698"/>
    <w:rsid w:val="00EE2EA3"/>
    <w:rsid w:val="00F01516"/>
    <w:rsid w:val="00F656FE"/>
    <w:rsid w:val="00FA5A79"/>
    <w:rsid w:val="00FB0BFE"/>
    <w:rsid w:val="00FB4C51"/>
    <w:rsid w:val="00FD56E6"/>
    <w:rsid w:val="00FE1B68"/>
    <w:rsid w:val="00FE773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3119</Words>
  <Characters>17782</Characters>
  <Application>Microsoft Office Word</Application>
  <DocSecurity>4</DocSecurity>
  <Lines>282</Lines>
  <Paragraphs>58</Paragraphs>
  <ScaleCrop>false</ScaleCrop>
  <HeadingPairs>
    <vt:vector size="2" baseType="variant">
      <vt:variant>
        <vt:lpstr>Titre</vt:lpstr>
      </vt:variant>
      <vt:variant>
        <vt:i4>1</vt:i4>
      </vt:variant>
    </vt:vector>
  </HeadingPairs>
  <TitlesOfParts>
    <vt:vector size="1" baseType="lpstr">
      <vt:lpstr>E/C.12/46/1</vt:lpstr>
    </vt:vector>
  </TitlesOfParts>
  <Company>Corinne</Company>
  <LinksUpToDate>false</LinksUpToDate>
  <CharactersWithSpaces>20843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E/C.12/46/1</dc:title>
  <dc:subject>SEMIFINAL1-14</dc:subject>
  <dc:creator>Morin</dc:creator>
  <cp:keywords/>
  <dc:description/>
  <cp:lastModifiedBy>Y.Gibert</cp:lastModifiedBy>
  <cp:revision>2</cp:revision>
  <cp:lastPrinted>2011-04-08T07:51:00Z</cp:lastPrinted>
  <dcterms:created xsi:type="dcterms:W3CDTF">2011-04-08T08:37:00Z</dcterms:created>
  <dcterms:modified xsi:type="dcterms:W3CDTF">2011-04-08T08:37:00Z</dcterms:modified>
</cp:coreProperties>
</file>