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bottom w:val="none" w:sz="0" w:space="0" w:color="auto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1280"/>
        <w:gridCol w:w="3320"/>
        <w:gridCol w:w="2420"/>
        <w:gridCol w:w="2619"/>
      </w:tblGrid>
      <w:tr w:rsidR="00F90607" w:rsidRPr="004E6131" w:rsidTr="00A325A9">
        <w:trPr>
          <w:cnfStyle w:val="100000000000"/>
          <w:trHeight w:hRule="exact" w:val="851"/>
        </w:trPr>
        <w:tc>
          <w:tcPr>
            <w:tcW w:w="4600" w:type="dxa"/>
            <w:gridSpan w:val="2"/>
            <w:tcBorders>
              <w:bottom w:val="single" w:sz="4" w:space="0" w:color="auto"/>
            </w:tcBorders>
            <w:vAlign w:val="bottom"/>
          </w:tcPr>
          <w:p w:rsidR="00F90607" w:rsidRPr="00260E88" w:rsidRDefault="00F90607" w:rsidP="00A325A9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5039" w:type="dxa"/>
            <w:gridSpan w:val="2"/>
            <w:tcBorders>
              <w:bottom w:val="single" w:sz="4" w:space="0" w:color="auto"/>
            </w:tcBorders>
            <w:vAlign w:val="bottom"/>
          </w:tcPr>
          <w:p w:rsidR="00F90607" w:rsidRPr="004E6131" w:rsidRDefault="00F90607" w:rsidP="00A325A9">
            <w:pPr>
              <w:jc w:val="right"/>
              <w:rPr>
                <w:sz w:val="20"/>
                <w:lang w:val="en-US"/>
              </w:rPr>
            </w:pPr>
            <w:r w:rsidRPr="00230EEB">
              <w:rPr>
                <w:sz w:val="40"/>
                <w:szCs w:val="40"/>
                <w:lang w:val="en-US"/>
              </w:rPr>
              <w:t>CAT</w:t>
            </w:r>
            <w:r w:rsidRPr="004E6131">
              <w:rPr>
                <w:sz w:val="20"/>
                <w:lang w:val="en-US"/>
              </w:rPr>
              <w:t>/</w:t>
            </w:r>
            <w:fldSimple w:instr=" FILLIN  &quot;Введите часть символа после CAT/&quot;  \* MERGEFORMAT ">
              <w:r w:rsidR="00BD490E">
                <w:rPr>
                  <w:sz w:val="20"/>
                  <w:lang w:val="en-US"/>
                </w:rPr>
                <w:t>C/SR.963</w:t>
              </w:r>
            </w:fldSimple>
          </w:p>
        </w:tc>
      </w:tr>
      <w:tr w:rsidR="00F90607" w:rsidRPr="00767C58" w:rsidTr="00A325A9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F90607" w:rsidRPr="00635870" w:rsidRDefault="00F90607" w:rsidP="00A325A9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7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F90607" w:rsidRPr="00F90607" w:rsidRDefault="00F90607" w:rsidP="00F90607">
            <w:pPr>
              <w:suppressAutoHyphens/>
              <w:spacing w:before="120" w:line="360" w:lineRule="exact"/>
              <w:rPr>
                <w:b/>
                <w:spacing w:val="-4"/>
                <w:w w:val="100"/>
                <w:sz w:val="34"/>
                <w:szCs w:val="34"/>
              </w:rPr>
            </w:pPr>
            <w:r w:rsidRPr="00F90607">
              <w:rPr>
                <w:b/>
                <w:spacing w:val="-4"/>
                <w:w w:val="100"/>
                <w:sz w:val="34"/>
                <w:szCs w:val="34"/>
              </w:rPr>
              <w:t xml:space="preserve">Конвенция против пыток и </w:t>
            </w:r>
            <w:r w:rsidRPr="00F90607">
              <w:rPr>
                <w:b/>
                <w:spacing w:val="-4"/>
                <w:w w:val="100"/>
                <w:sz w:val="34"/>
                <w:szCs w:val="34"/>
              </w:rPr>
              <w:br/>
              <w:t xml:space="preserve">других жестоких, бесчеловечных </w:t>
            </w:r>
            <w:r w:rsidRPr="00F90607">
              <w:rPr>
                <w:b/>
                <w:spacing w:val="-4"/>
                <w:w w:val="100"/>
                <w:sz w:val="34"/>
                <w:szCs w:val="34"/>
              </w:rPr>
              <w:br/>
              <w:t>или унижающих достоинство видов обращения и наказания</w:t>
            </w:r>
          </w:p>
        </w:tc>
        <w:tc>
          <w:tcPr>
            <w:tcW w:w="2619" w:type="dxa"/>
            <w:tcBorders>
              <w:top w:val="single" w:sz="4" w:space="0" w:color="auto"/>
              <w:bottom w:val="single" w:sz="12" w:space="0" w:color="auto"/>
            </w:tcBorders>
          </w:tcPr>
          <w:p w:rsidR="00F90607" w:rsidRPr="004E6131" w:rsidRDefault="00F90607" w:rsidP="00A325A9">
            <w:pPr>
              <w:spacing w:before="240" w:after="0"/>
              <w:rPr>
                <w:sz w:val="20"/>
              </w:rPr>
            </w:pPr>
            <w:r w:rsidRPr="004E6131">
              <w:rPr>
                <w:sz w:val="20"/>
                <w:lang w:val="en-US"/>
              </w:rPr>
              <w:t>Distr</w:t>
            </w:r>
            <w:r w:rsidRPr="004E6131">
              <w:rPr>
                <w:sz w:val="20"/>
              </w:rPr>
              <w:t xml:space="preserve">.: </w:t>
            </w:r>
            <w:bookmarkStart w:id="0" w:name="ПолеСоСписком1"/>
            <w:r w:rsidRPr="004E6131">
              <w:rPr>
                <w:sz w:val="20"/>
                <w:lang w:val="en-US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  <w:instrText>FORMDROPDOWN</w:instrText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</w:r>
            <w:r w:rsidRPr="004E6131">
              <w:rPr>
                <w:sz w:val="20"/>
                <w:lang w:val="en-US"/>
              </w:rPr>
              <w:fldChar w:fldCharType="end"/>
            </w:r>
            <w:bookmarkEnd w:id="0"/>
          </w:p>
          <w:p w:rsidR="00F90607" w:rsidRPr="001826B9" w:rsidRDefault="001826B9" w:rsidP="00A325A9">
            <w:pPr>
              <w:spacing w:before="0" w:after="0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4 November 2011</w:t>
            </w:r>
          </w:p>
          <w:p w:rsidR="00F90607" w:rsidRPr="004E6131" w:rsidRDefault="00F90607" w:rsidP="00A325A9">
            <w:pPr>
              <w:spacing w:before="0" w:after="0"/>
              <w:rPr>
                <w:sz w:val="20"/>
              </w:rPr>
            </w:pPr>
            <w:r w:rsidRPr="004E6131">
              <w:rPr>
                <w:sz w:val="20"/>
                <w:lang w:val="en-US"/>
              </w:rPr>
              <w:t>Russian</w:t>
            </w:r>
          </w:p>
          <w:p w:rsidR="00F90607" w:rsidRPr="004E6131" w:rsidRDefault="00F90607" w:rsidP="00A325A9">
            <w:pPr>
              <w:spacing w:before="0" w:after="0"/>
              <w:rPr>
                <w:sz w:val="20"/>
              </w:rPr>
            </w:pPr>
            <w:r w:rsidRPr="004E6131">
              <w:rPr>
                <w:sz w:val="20"/>
                <w:lang w:val="en-US"/>
              </w:rPr>
              <w:t>Original</w:t>
            </w:r>
            <w:r w:rsidRPr="004E6131">
              <w:rPr>
                <w:sz w:val="20"/>
              </w:rPr>
              <w:t xml:space="preserve">: </w:t>
            </w:r>
            <w:bookmarkStart w:id="1" w:name="ПолеСоСписком2"/>
            <w:r w:rsidRPr="004E6131">
              <w:rPr>
                <w:sz w:val="20"/>
                <w:lang w:val="en-US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result w:val="1"/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  <w:instrText>FORMDROPDOWN</w:instrText>
            </w:r>
            <w:r w:rsidRPr="004E6131">
              <w:rPr>
                <w:sz w:val="20"/>
              </w:rPr>
              <w:instrText xml:space="preserve"> </w:instrText>
            </w:r>
            <w:r w:rsidR="002F5FCF" w:rsidRPr="00BD490E">
              <w:rPr>
                <w:sz w:val="20"/>
                <w:lang w:val="en-US"/>
              </w:rPr>
            </w:r>
            <w:r w:rsidRPr="004E6131">
              <w:rPr>
                <w:sz w:val="20"/>
                <w:lang w:val="en-US"/>
              </w:rPr>
              <w:fldChar w:fldCharType="end"/>
            </w:r>
            <w:bookmarkEnd w:id="1"/>
          </w:p>
          <w:p w:rsidR="00F90607" w:rsidRPr="00767C58" w:rsidRDefault="00F90607" w:rsidP="00A325A9"/>
        </w:tc>
      </w:tr>
    </w:tbl>
    <w:p w:rsidR="00DD2AB9" w:rsidRDefault="00DD2AB9" w:rsidP="00DD2AB9">
      <w:pPr>
        <w:spacing w:before="120"/>
        <w:rPr>
          <w:b/>
          <w:sz w:val="24"/>
          <w:szCs w:val="24"/>
        </w:rPr>
      </w:pPr>
      <w:r>
        <w:rPr>
          <w:b/>
          <w:sz w:val="24"/>
          <w:szCs w:val="24"/>
        </w:rPr>
        <w:t>Комитет против пыток</w:t>
      </w:r>
    </w:p>
    <w:p w:rsidR="00DD2AB9" w:rsidRDefault="00DD2AB9" w:rsidP="00DD2AB9">
      <w:pPr>
        <w:spacing w:after="120"/>
        <w:rPr>
          <w:b/>
        </w:rPr>
      </w:pPr>
      <w:r>
        <w:rPr>
          <w:b/>
        </w:rPr>
        <w:t>Сорок пятая сессия</w:t>
      </w:r>
    </w:p>
    <w:p w:rsidR="00DD2AB9" w:rsidRDefault="00DD2AB9" w:rsidP="00DD2AB9">
      <w:pPr>
        <w:rPr>
          <w:b/>
        </w:rPr>
      </w:pPr>
      <w:r>
        <w:rPr>
          <w:b/>
        </w:rPr>
        <w:t>Краткий отчет о первой (открытой)</w:t>
      </w:r>
      <w:r>
        <w:t xml:space="preserve">* </w:t>
      </w:r>
      <w:r>
        <w:rPr>
          <w:b/>
        </w:rPr>
        <w:t>части 963-го заседания,</w:t>
      </w:r>
    </w:p>
    <w:p w:rsidR="00DD2AB9" w:rsidRPr="007B7EBF" w:rsidRDefault="00DD2AB9" w:rsidP="00DD2AB9">
      <w:pPr>
        <w:spacing w:after="120"/>
      </w:pPr>
      <w:r>
        <w:t>состоявшегося во Дворце Вильсона в Женеве, в пятницу, 5 ноября 2010 года, в 15 ч. 00 м.</w:t>
      </w:r>
    </w:p>
    <w:p w:rsidR="00DD2AB9" w:rsidRDefault="00DD2AB9" w:rsidP="00DD2AB9">
      <w:pPr>
        <w:tabs>
          <w:tab w:val="right" w:pos="851"/>
          <w:tab w:val="left" w:pos="1134"/>
          <w:tab w:val="right" w:leader="dot" w:pos="8505"/>
        </w:tabs>
        <w:spacing w:after="120"/>
      </w:pPr>
      <w:r>
        <w:rPr>
          <w:i/>
        </w:rPr>
        <w:tab/>
        <w:t>Председатель</w:t>
      </w:r>
      <w:r>
        <w:t>: г-н Гроссман</w:t>
      </w:r>
    </w:p>
    <w:p w:rsidR="00DD2AB9" w:rsidRDefault="00DD2AB9" w:rsidP="00DD2AB9">
      <w:pPr>
        <w:tabs>
          <w:tab w:val="left" w:pos="540"/>
          <w:tab w:val="left" w:pos="1134"/>
          <w:tab w:val="left" w:pos="1400"/>
        </w:tabs>
        <w:spacing w:after="120"/>
      </w:pPr>
      <w:r>
        <w:tab/>
      </w:r>
      <w:r>
        <w:rPr>
          <w:i/>
        </w:rPr>
        <w:t>Затем</w:t>
      </w:r>
      <w:r>
        <w:t>:</w:t>
      </w:r>
      <w:r>
        <w:tab/>
        <w:t>г-н Ван Сюэсянь</w:t>
      </w:r>
    </w:p>
    <w:p w:rsidR="00DD2AB9" w:rsidRDefault="00DD2AB9" w:rsidP="00DD2AB9">
      <w:pPr>
        <w:spacing w:before="360" w:after="240"/>
        <w:rPr>
          <w:sz w:val="28"/>
          <w:szCs w:val="28"/>
        </w:rPr>
      </w:pPr>
      <w:r>
        <w:rPr>
          <w:sz w:val="28"/>
          <w:szCs w:val="28"/>
        </w:rPr>
        <w:t>Содержание</w:t>
      </w:r>
    </w:p>
    <w:p w:rsidR="00DD2AB9" w:rsidRPr="00DD2AB9" w:rsidRDefault="00DD2AB9" w:rsidP="00DD2AB9">
      <w:pPr>
        <w:pStyle w:val="SingleTxtG"/>
        <w:rPr>
          <w:lang w:val="ru-RU"/>
        </w:rPr>
      </w:pPr>
      <w:r>
        <w:rPr>
          <w:lang w:val="ru-RU"/>
        </w:rPr>
        <w:t>Рассмотрение докладов, представленных государствами-участниками в соответствии со статьей 19 Конвенции</w:t>
      </w:r>
      <w:r w:rsidRPr="00DD2AB9">
        <w:rPr>
          <w:lang w:val="ru-RU"/>
        </w:rPr>
        <w:t xml:space="preserve"> (</w:t>
      </w:r>
      <w:r>
        <w:rPr>
          <w:i/>
          <w:lang w:val="ru-RU"/>
        </w:rPr>
        <w:t>продолжение</w:t>
      </w:r>
      <w:r w:rsidRPr="00DD2AB9">
        <w:rPr>
          <w:lang w:val="ru-RU"/>
        </w:rPr>
        <w:t>)</w:t>
      </w:r>
    </w:p>
    <w:p w:rsidR="00DD2AB9" w:rsidRPr="00DD2AB9" w:rsidRDefault="00DD2AB9" w:rsidP="00DD2AB9">
      <w:pPr>
        <w:pStyle w:val="SingleTxtG"/>
        <w:ind w:left="1701"/>
        <w:jc w:val="left"/>
        <w:rPr>
          <w:i/>
          <w:lang w:val="ru-RU"/>
        </w:rPr>
      </w:pPr>
      <w:r>
        <w:rPr>
          <w:i/>
          <w:lang w:val="ru-RU"/>
        </w:rPr>
        <w:t>Первоначальный доклад Монголии</w:t>
      </w:r>
    </w:p>
    <w:p w:rsidR="00DD2AB9" w:rsidRPr="00DD2AB9" w:rsidRDefault="00DD2AB9" w:rsidP="00DD2AB9">
      <w:pPr>
        <w:pStyle w:val="SingleTxtG"/>
        <w:ind w:left="1701"/>
        <w:jc w:val="left"/>
        <w:rPr>
          <w:i/>
          <w:lang w:val="ru-RU"/>
        </w:rPr>
      </w:pPr>
    </w:p>
    <w:p w:rsidR="00DD2AB9" w:rsidRPr="00DD2AB9" w:rsidRDefault="00DD2AB9" w:rsidP="00DD2AB9">
      <w:pPr>
        <w:pStyle w:val="SingleTxtG"/>
        <w:rPr>
          <w:i/>
          <w:lang w:val="ru-RU"/>
        </w:rPr>
      </w:pPr>
      <w:r w:rsidRPr="00DD2AB9">
        <w:rPr>
          <w:sz w:val="28"/>
          <w:szCs w:val="28"/>
          <w:lang w:val="ru-RU"/>
        </w:rPr>
        <w:br w:type="page"/>
      </w:r>
      <w:r>
        <w:rPr>
          <w:i/>
          <w:lang w:val="ru-RU"/>
        </w:rPr>
        <w:t>Заседание открывается в 15 ч. 00 м.</w:t>
      </w:r>
    </w:p>
    <w:p w:rsidR="00DD2AB9" w:rsidRDefault="00DD2AB9" w:rsidP="00DD2AB9">
      <w:pPr>
        <w:pStyle w:val="H23G"/>
        <w:rPr>
          <w:lang w:val="ru-RU"/>
        </w:rPr>
      </w:pPr>
      <w:r w:rsidRPr="00DD2AB9">
        <w:rPr>
          <w:lang w:val="ru-RU"/>
        </w:rPr>
        <w:tab/>
      </w:r>
      <w:r w:rsidRPr="00DD2AB9">
        <w:rPr>
          <w:lang w:val="ru-RU"/>
        </w:rPr>
        <w:tab/>
      </w:r>
      <w:r>
        <w:rPr>
          <w:lang w:val="ru-RU"/>
        </w:rPr>
        <w:t>Рассмотрение</w:t>
      </w:r>
      <w:r w:rsidRPr="00DD2AB9">
        <w:rPr>
          <w:lang w:val="ru-RU"/>
        </w:rPr>
        <w:t xml:space="preserve"> </w:t>
      </w:r>
      <w:r>
        <w:rPr>
          <w:lang w:val="ru-RU"/>
        </w:rPr>
        <w:t>докладов</w:t>
      </w:r>
      <w:r w:rsidRPr="00DD2AB9">
        <w:rPr>
          <w:lang w:val="ru-RU"/>
        </w:rPr>
        <w:t xml:space="preserve">, </w:t>
      </w:r>
      <w:r>
        <w:rPr>
          <w:lang w:val="ru-RU"/>
        </w:rPr>
        <w:t>представленных</w:t>
      </w:r>
      <w:r w:rsidRPr="00DD2AB9">
        <w:rPr>
          <w:lang w:val="ru-RU"/>
        </w:rPr>
        <w:t xml:space="preserve"> </w:t>
      </w:r>
      <w:r>
        <w:rPr>
          <w:lang w:val="ru-RU"/>
        </w:rPr>
        <w:t>государствами</w:t>
      </w:r>
      <w:r w:rsidRPr="00DD2AB9">
        <w:rPr>
          <w:lang w:val="ru-RU"/>
        </w:rPr>
        <w:t>-</w:t>
      </w:r>
      <w:r>
        <w:rPr>
          <w:lang w:val="ru-RU"/>
        </w:rPr>
        <w:t>участниками</w:t>
      </w:r>
      <w:r w:rsidRPr="00DD2AB9">
        <w:rPr>
          <w:lang w:val="ru-RU"/>
        </w:rPr>
        <w:t xml:space="preserve"> </w:t>
      </w:r>
      <w:r>
        <w:rPr>
          <w:lang w:val="ru-RU"/>
        </w:rPr>
        <w:t>в</w:t>
      </w:r>
      <w:r w:rsidRPr="00DD2AB9">
        <w:rPr>
          <w:lang w:val="ru-RU"/>
        </w:rPr>
        <w:t xml:space="preserve"> </w:t>
      </w:r>
      <w:r>
        <w:rPr>
          <w:lang w:val="ru-RU"/>
        </w:rPr>
        <w:t>соответствии</w:t>
      </w:r>
      <w:r w:rsidRPr="00DD2AB9">
        <w:rPr>
          <w:lang w:val="ru-RU"/>
        </w:rPr>
        <w:t xml:space="preserve"> </w:t>
      </w:r>
      <w:r>
        <w:rPr>
          <w:lang w:val="ru-RU"/>
        </w:rPr>
        <w:t>со</w:t>
      </w:r>
      <w:r w:rsidRPr="00DD2AB9">
        <w:rPr>
          <w:lang w:val="ru-RU"/>
        </w:rPr>
        <w:t xml:space="preserve"> </w:t>
      </w:r>
      <w:r>
        <w:rPr>
          <w:lang w:val="ru-RU"/>
        </w:rPr>
        <w:t>статьей</w:t>
      </w:r>
      <w:r w:rsidRPr="00DD2AB9">
        <w:rPr>
          <w:lang w:val="ru-RU"/>
        </w:rPr>
        <w:t xml:space="preserve"> 19 </w:t>
      </w:r>
      <w:r>
        <w:rPr>
          <w:lang w:val="ru-RU"/>
        </w:rPr>
        <w:t>Конвенции</w:t>
      </w:r>
      <w:r w:rsidRPr="00DD2AB9">
        <w:rPr>
          <w:lang w:val="ru-RU"/>
        </w:rPr>
        <w:t xml:space="preserve"> </w:t>
      </w:r>
      <w:r>
        <w:rPr>
          <w:lang w:val="ru-RU"/>
        </w:rPr>
        <w:t xml:space="preserve"> </w:t>
      </w:r>
    </w:p>
    <w:p w:rsidR="00DD2AB9" w:rsidRPr="00DD2AB9" w:rsidRDefault="00DD2AB9" w:rsidP="00DD2AB9">
      <w:pPr>
        <w:pStyle w:val="H4G"/>
        <w:rPr>
          <w:lang w:val="ru-RU"/>
        </w:rPr>
      </w:pPr>
      <w:r w:rsidRPr="00DD2AB9">
        <w:rPr>
          <w:lang w:val="ru-RU"/>
        </w:rPr>
        <w:tab/>
      </w:r>
      <w:r w:rsidRPr="00DD2AB9">
        <w:rPr>
          <w:lang w:val="ru-RU"/>
        </w:rPr>
        <w:tab/>
      </w:r>
      <w:r>
        <w:rPr>
          <w:lang w:val="ru-RU"/>
        </w:rPr>
        <w:t>Первоначальный доклад Монголии</w:t>
      </w:r>
      <w:r w:rsidRPr="00DD2AB9">
        <w:rPr>
          <w:lang w:val="ru-RU"/>
        </w:rPr>
        <w:t xml:space="preserve"> </w:t>
      </w:r>
      <w:r w:rsidRPr="00DD2AB9">
        <w:rPr>
          <w:i w:val="0"/>
          <w:lang w:val="ru-RU"/>
        </w:rPr>
        <w:t>(</w:t>
      </w:r>
      <w:r>
        <w:rPr>
          <w:i w:val="0"/>
        </w:rPr>
        <w:t>CAT</w:t>
      </w:r>
      <w:r w:rsidRPr="00DD2AB9">
        <w:rPr>
          <w:i w:val="0"/>
          <w:lang w:val="ru-RU"/>
        </w:rPr>
        <w:t>/</w:t>
      </w:r>
      <w:r>
        <w:rPr>
          <w:i w:val="0"/>
        </w:rPr>
        <w:t>C</w:t>
      </w:r>
      <w:r w:rsidRPr="00DD2AB9">
        <w:rPr>
          <w:i w:val="0"/>
          <w:lang w:val="ru-RU"/>
        </w:rPr>
        <w:t>/</w:t>
      </w:r>
      <w:r>
        <w:rPr>
          <w:i w:val="0"/>
        </w:rPr>
        <w:t>MNG</w:t>
      </w:r>
      <w:r w:rsidRPr="00DD2AB9">
        <w:rPr>
          <w:i w:val="0"/>
          <w:lang w:val="ru-RU"/>
        </w:rPr>
        <w:t xml:space="preserve">/1; </w:t>
      </w:r>
      <w:r>
        <w:rPr>
          <w:i w:val="0"/>
        </w:rPr>
        <w:t>HRI</w:t>
      </w:r>
      <w:r w:rsidRPr="00DD2AB9">
        <w:rPr>
          <w:i w:val="0"/>
          <w:lang w:val="ru-RU"/>
        </w:rPr>
        <w:t>/</w:t>
      </w:r>
      <w:r>
        <w:rPr>
          <w:i w:val="0"/>
        </w:rPr>
        <w:t>CORE</w:t>
      </w:r>
      <w:r w:rsidRPr="00DD2AB9">
        <w:rPr>
          <w:i w:val="0"/>
          <w:lang w:val="ru-RU"/>
        </w:rPr>
        <w:t>/</w:t>
      </w:r>
      <w:r>
        <w:rPr>
          <w:i w:val="0"/>
        </w:rPr>
        <w:t>MNG</w:t>
      </w:r>
      <w:r w:rsidRPr="00DD2AB9">
        <w:rPr>
          <w:i w:val="0"/>
          <w:lang w:val="ru-RU"/>
        </w:rPr>
        <w:t>/2005)</w:t>
      </w:r>
    </w:p>
    <w:p w:rsidR="00DD2AB9" w:rsidRPr="00DD2AB9" w:rsidRDefault="00DD2AB9" w:rsidP="00DD2AB9">
      <w:pPr>
        <w:pStyle w:val="SingleTxtG"/>
        <w:rPr>
          <w:i/>
          <w:lang w:val="ru-RU"/>
        </w:rPr>
      </w:pPr>
      <w:r w:rsidRPr="00DD2AB9">
        <w:rPr>
          <w:lang w:val="ru-RU"/>
        </w:rPr>
        <w:t>1.</w:t>
      </w:r>
      <w:r w:rsidRPr="00DD2AB9">
        <w:rPr>
          <w:lang w:val="ru-RU"/>
        </w:rPr>
        <w:tab/>
      </w:r>
      <w:r>
        <w:rPr>
          <w:i/>
          <w:lang w:val="ru-RU"/>
        </w:rPr>
        <w:t>По приглашению Председателя монгольская делегация занимает места за столом Комитета</w:t>
      </w:r>
      <w:r w:rsidRPr="00DD2AB9">
        <w:rPr>
          <w:i/>
          <w:lang w:val="ru-RU"/>
        </w:rPr>
        <w:t>.</w:t>
      </w:r>
    </w:p>
    <w:p w:rsidR="00DD2AB9" w:rsidRDefault="00DD2AB9" w:rsidP="00DD2AB9">
      <w:pPr>
        <w:pStyle w:val="SingleTxtG"/>
        <w:rPr>
          <w:b/>
          <w:lang w:val="ru-RU"/>
        </w:rPr>
      </w:pPr>
      <w:r w:rsidRPr="00DD2AB9">
        <w:rPr>
          <w:lang w:val="ru-RU"/>
        </w:rPr>
        <w:t>2.</w:t>
      </w:r>
      <w:r>
        <w:rPr>
          <w:lang w:val="ru-RU"/>
        </w:rPr>
        <w:tab/>
      </w:r>
      <w:r>
        <w:rPr>
          <w:b/>
          <w:bCs/>
          <w:lang w:val="ru-RU"/>
        </w:rPr>
        <w:t>Г-н Байасгалан</w:t>
      </w:r>
      <w:r>
        <w:rPr>
          <w:lang w:val="ru-RU"/>
        </w:rPr>
        <w:t xml:space="preserve"> (Монголия) говорит, что монгольская Конституция 2002 года поместила права человека и основные свободы в центр государственной политики. Со времени принятия новой Конституции постепенно принимались меры для гарантирования прав человека и индивидуальных свобод, укрепления ответственности государства перед гражданами и развития системы применения законов и судебных органов. Статья 10 Конституции определяет, что </w:t>
      </w:r>
      <w:r w:rsidR="001C4CB5">
        <w:rPr>
          <w:lang w:val="ru-RU"/>
        </w:rPr>
        <w:t>"</w:t>
      </w:r>
      <w:r>
        <w:rPr>
          <w:lang w:val="ru-RU"/>
        </w:rPr>
        <w:t>Монголия добросовестно выполняет возложенные на нее обязательства на основании международных договоров, участником которых она является. Эти договоры начинают действовать во внутреннем праве с момента вступления в силу относящихся к ним законов о ратификации или присоединении</w:t>
      </w:r>
      <w:r w:rsidR="00D85FE9">
        <w:rPr>
          <w:lang w:val="ru-RU"/>
        </w:rPr>
        <w:t>"</w:t>
      </w:r>
      <w:r>
        <w:rPr>
          <w:lang w:val="ru-RU"/>
        </w:rPr>
        <w:t xml:space="preserve">. </w:t>
      </w:r>
    </w:p>
    <w:p w:rsidR="00DD2AB9" w:rsidRDefault="00DD2AB9" w:rsidP="00DD2AB9">
      <w:pPr>
        <w:pStyle w:val="SingleTxtG"/>
        <w:rPr>
          <w:lang w:val="ru-RU"/>
        </w:rPr>
      </w:pPr>
      <w:r>
        <w:rPr>
          <w:bCs/>
          <w:lang w:val="ru-RU"/>
        </w:rPr>
        <w:t>3.</w:t>
      </w:r>
      <w:r>
        <w:rPr>
          <w:bCs/>
          <w:lang w:val="ru-RU"/>
        </w:rPr>
        <w:tab/>
        <w:t>В 2002 году были пересмотрены Уголовный кодекс, Уголовно-процессуальный кодекс, Гражданско-процессуальный кодекс, закон о судах, закон о прокуратуре, закон о применении судебных решений и закон о профессии адвоката в целях, в частности, совершенствования процедур, применяемых в случае ограничений прав человека, и в рамках розыска и ареста подозреваемых лиц. В</w:t>
      </w:r>
      <w:r w:rsidR="00D85FE9">
        <w:rPr>
          <w:bCs/>
          <w:lang w:val="ru-RU"/>
        </w:rPr>
        <w:t> </w:t>
      </w:r>
      <w:r>
        <w:rPr>
          <w:bCs/>
          <w:lang w:val="ru-RU"/>
        </w:rPr>
        <w:t>2008</w:t>
      </w:r>
      <w:r w:rsidR="00D85FE9">
        <w:rPr>
          <w:bCs/>
          <w:lang w:val="ru-RU"/>
        </w:rPr>
        <w:t> </w:t>
      </w:r>
      <w:r>
        <w:rPr>
          <w:bCs/>
          <w:lang w:val="ru-RU"/>
        </w:rPr>
        <w:t xml:space="preserve">году также были внесены поправки в Уголовный кодекс и Уголовно-процессуальный кодекс для гармонизации национального законодательства с Конвенцией против пыток и, в частности, включения в них определения пытки, соответствующего Конвенции, и сокращения срока содержания под стражей до вынесения судебного решения, а также срока лишения свободы несовершеннолетних. В стадии разработки находится закон в целях определения мер по возмещению ущерба жертвам преступлений, указанных в статье 251 Уголовного кодекса. </w:t>
      </w:r>
    </w:p>
    <w:p w:rsidR="00DD2AB9" w:rsidRDefault="00DD2AB9" w:rsidP="00DD2AB9">
      <w:pPr>
        <w:pStyle w:val="SingleTxtG"/>
        <w:rPr>
          <w:lang w:val="ru-RU"/>
        </w:rPr>
      </w:pPr>
      <w:r w:rsidRPr="00DD2AB9">
        <w:rPr>
          <w:lang w:val="ru-RU"/>
        </w:rPr>
        <w:t>4.</w:t>
      </w:r>
      <w:r>
        <w:rPr>
          <w:lang w:val="ru-RU"/>
        </w:rPr>
        <w:tab/>
        <w:t xml:space="preserve">Были разработаны нормы, относящиеся к поведению полиции, а их претворение в жизнь является объектом пристального надзора. Кроме того, Монголия приступила к реструктуризации учреждений, отвечающих за применение законов, и создала в Генеральном управлении полиции Группу по вопросам безопасности, которая, в частности, уполномочена проводить расследование по жалобам, которые касаются полицейских. В 2009 году по 2 502 делам проходили </w:t>
      </w:r>
      <w:r>
        <w:rPr>
          <w:lang w:val="ru-RU"/>
        </w:rPr>
        <w:br/>
        <w:t xml:space="preserve">2 527 полицейских, которые подверглись санкциям, в частности, за безответственное поведение (33,6% случаев), злоупотребление алкоголем (14,7%) и нарушение Уголовно-процессуального кодекса (12,6%). </w:t>
      </w:r>
      <w:r w:rsidRPr="00DD2AB9">
        <w:rPr>
          <w:lang w:val="ru-RU"/>
        </w:rPr>
        <w:tab/>
      </w:r>
      <w:r>
        <w:rPr>
          <w:lang w:val="ru-RU"/>
        </w:rPr>
        <w:t xml:space="preserve"> </w:t>
      </w:r>
    </w:p>
    <w:p w:rsidR="00DD2AB9" w:rsidRDefault="00DD2AB9" w:rsidP="00DD2AB9">
      <w:pPr>
        <w:pStyle w:val="SingleTxtG"/>
        <w:rPr>
          <w:lang w:val="ru-RU"/>
        </w:rPr>
      </w:pPr>
      <w:r w:rsidRPr="00DD2AB9">
        <w:rPr>
          <w:lang w:val="ru-RU"/>
        </w:rPr>
        <w:t>5.</w:t>
      </w:r>
      <w:r>
        <w:rPr>
          <w:lang w:val="ru-RU"/>
        </w:rPr>
        <w:tab/>
        <w:t>Национальный институт юстиции, относящийся к ведению Министерства юстиции и внутренних дел, предоставляет специальную профессиональную подготовку должностным лицам, отвечающим за применение законов. Создана также программа профессиональной подготовки для судей, прокуроров, адвокатов и полицейских, в которой делается акцент на правах человека и международных договорах в этой области. Кроме того, каждое учреждение обеспечивает специализированную профессиональную подготовку. В 2009 году более 7</w:t>
      </w:r>
      <w:r w:rsidR="00D85FE9">
        <w:rPr>
          <w:lang w:val="ru-RU"/>
        </w:rPr>
        <w:t> </w:t>
      </w:r>
      <w:r>
        <w:rPr>
          <w:lang w:val="ru-RU"/>
        </w:rPr>
        <w:t>000</w:t>
      </w:r>
      <w:r w:rsidR="00D85FE9">
        <w:rPr>
          <w:lang w:val="ru-RU"/>
        </w:rPr>
        <w:t> </w:t>
      </w:r>
      <w:r>
        <w:rPr>
          <w:lang w:val="ru-RU"/>
        </w:rPr>
        <w:t>полицейских из 21 провинции приняли участие в региональных мероприятиях по профессиональной подготовке. Полицейская школа предоставляет методологические указания, а в 2010 году она создала центр непрерывной профессиональной подготовки. Предусматривается строит</w:t>
      </w:r>
      <w:r w:rsidR="00D85FE9">
        <w:rPr>
          <w:lang w:val="ru-RU"/>
        </w:rPr>
        <w:t>ельство четырех других центров.</w:t>
      </w:r>
    </w:p>
    <w:p w:rsidR="00DD2AB9" w:rsidRDefault="00DD2AB9" w:rsidP="00DD2AB9">
      <w:pPr>
        <w:pStyle w:val="SingleTxtG"/>
        <w:rPr>
          <w:lang w:val="ru-RU"/>
        </w:rPr>
      </w:pPr>
      <w:r w:rsidRPr="00DD2AB9">
        <w:rPr>
          <w:lang w:val="ru-RU"/>
        </w:rPr>
        <w:t>6.</w:t>
      </w:r>
      <w:r w:rsidRPr="00DD2AB9">
        <w:rPr>
          <w:lang w:val="ru-RU"/>
        </w:rPr>
        <w:tab/>
      </w:r>
      <w:r>
        <w:rPr>
          <w:lang w:val="ru-RU"/>
        </w:rPr>
        <w:t xml:space="preserve">В соответствии с законодательным постановлением № 54 от 2006 года были приняты меры по расследованию случаев жестокого обращения в местах содержания под стражей и нарушений прав человека в ходе следствия. В случае подтверждения нарушений принимаются коррективные меры, а соответствующие государственные должностные лица должны отвечать за свои действия. Условия содержания под стражей в пенитенциарных учреждениях улучшились. В ближайшее время должен быть построен новый центр предварительного заключения, соответствующий действующим международным нормам. Были предприняты шаги в целях присоединения Монголии к Факультативному протоколу к Конвенции против пыток; данный вопрос был возложен на рабочую группу, находящуюся в ведении Министерства юстиции и внутренних дел.  </w:t>
      </w:r>
    </w:p>
    <w:p w:rsidR="00DD2AB9" w:rsidRDefault="00DD2AB9" w:rsidP="00DD2AB9">
      <w:pPr>
        <w:pStyle w:val="SingleTxtG"/>
        <w:rPr>
          <w:lang w:val="ru-RU"/>
        </w:rPr>
      </w:pPr>
      <w:r w:rsidRPr="00DD2AB9">
        <w:rPr>
          <w:lang w:val="ru-RU"/>
        </w:rPr>
        <w:t>7.</w:t>
      </w:r>
      <w:r>
        <w:rPr>
          <w:lang w:val="ru-RU"/>
        </w:rPr>
        <w:tab/>
        <w:t xml:space="preserve">Монголия придает большое значение сотрудничеству с национальными и международными неправительственными организациями (НПО). В целях укрепления деятельности в интересах прав человека и поддержки организаций, проявляющих активность в этой области на муниципальном и национальном уровнях, парламент принял в 2003 году национальную программу действий по правам человека. Она направлена на поощрение соблюдения прав человека и основных свобод при четком определении роли и обязанностей государства и его учреждений, расширении участия гражданского общества, НПО и частного сектора в целом и поддержке гражданских инициатив. Несмотря на достигнутый прогресс, в последние годы был зафиксирован ряд случаев жестокого обращения, к которым причастны тюремные охранники и следователи. Были приняты необходимые меры по решению данной проблемы. </w:t>
      </w:r>
    </w:p>
    <w:p w:rsidR="00DD2AB9" w:rsidRDefault="00DD2AB9" w:rsidP="00DD2AB9">
      <w:pPr>
        <w:pStyle w:val="SingleTxtG"/>
        <w:rPr>
          <w:lang w:val="ru-RU"/>
        </w:rPr>
      </w:pPr>
      <w:r w:rsidRPr="00DD2AB9">
        <w:rPr>
          <w:lang w:val="ru-RU"/>
        </w:rPr>
        <w:t>8.</w:t>
      </w:r>
      <w:r>
        <w:rPr>
          <w:lang w:val="ru-RU"/>
        </w:rPr>
        <w:tab/>
      </w:r>
      <w:r>
        <w:rPr>
          <w:b/>
          <w:bCs/>
          <w:lang w:val="ru-RU"/>
        </w:rPr>
        <w:t>Г-н Бруни</w:t>
      </w:r>
      <w:r>
        <w:rPr>
          <w:lang w:val="ru-RU"/>
        </w:rPr>
        <w:t xml:space="preserve"> (докладчик по Монголии) спрашивает, проводились ли консультации с организациями гражданского общества в ходе подготовки рассматриваемого доклада. Что касается Следственного отдела Генеральной прокуратуры Монголии, о котором упомянуто в пункте 13 доклада, он запрашивает уточнения о содержании жалоб, полученных этим отделом, и о том, какой им был дан ход. Он предлагает делегации предоставить конкретные примеры недавних дел. Кроме того, он хотел бы узнать, соответствует ли Национальная комиссия по правам человека Парижским принципам, и в какой мере чрезвычайное положение может повлиять на деятельность Комиссии и в целом на ситуацию с правами человека в стране.</w:t>
      </w:r>
      <w:r w:rsidRPr="00DD2AB9">
        <w:rPr>
          <w:lang w:val="ru-RU"/>
        </w:rPr>
        <w:tab/>
      </w:r>
      <w:r>
        <w:rPr>
          <w:lang w:val="ru-RU"/>
        </w:rPr>
        <w:t xml:space="preserve"> </w:t>
      </w:r>
    </w:p>
    <w:p w:rsidR="00DD2AB9" w:rsidRDefault="00DD2AB9" w:rsidP="00DD2AB9">
      <w:pPr>
        <w:pStyle w:val="SingleTxtG"/>
        <w:rPr>
          <w:lang w:val="ru-RU"/>
        </w:rPr>
      </w:pPr>
      <w:r w:rsidRPr="00DD2AB9">
        <w:rPr>
          <w:lang w:val="ru-RU"/>
        </w:rPr>
        <w:t>9.</w:t>
      </w:r>
      <w:r>
        <w:rPr>
          <w:lang w:val="ru-RU"/>
        </w:rPr>
        <w:tab/>
        <w:t xml:space="preserve">Согласно предоставленной </w:t>
      </w:r>
      <w:r w:rsidR="001C4CB5">
        <w:rPr>
          <w:lang w:val="ru-RU"/>
        </w:rPr>
        <w:t>"</w:t>
      </w:r>
      <w:r>
        <w:rPr>
          <w:lang w:val="ru-RU"/>
        </w:rPr>
        <w:t>Международной амнистией</w:t>
      </w:r>
      <w:r w:rsidR="00D85FE9">
        <w:rPr>
          <w:lang w:val="ru-RU"/>
        </w:rPr>
        <w:t>"</w:t>
      </w:r>
      <w:r>
        <w:rPr>
          <w:lang w:val="ru-RU"/>
        </w:rPr>
        <w:t xml:space="preserve"> информации по поводу чрезвычайного положения, объявленного 2 июля 2008 года в связи с</w:t>
      </w:r>
      <w:r w:rsidR="00D85FE9">
        <w:rPr>
          <w:lang w:val="ru-RU"/>
        </w:rPr>
        <w:t> </w:t>
      </w:r>
      <w:r>
        <w:rPr>
          <w:lang w:val="ru-RU"/>
        </w:rPr>
        <w:t>беспорядками в Улан-Баторе, полиция применяла чрезмерную силу и арестовала сотни манифестантов, которые протестовали против избирательных махинаций. Как сообщается, некоторые из них подверглись пыткам. Докладчик просит делегацию  отреагировать на утверждения этой и других организаций, в соответствии с</w:t>
      </w:r>
      <w:r w:rsidR="00D85FE9">
        <w:rPr>
          <w:lang w:val="ru-RU"/>
        </w:rPr>
        <w:t> </w:t>
      </w:r>
      <w:r>
        <w:rPr>
          <w:lang w:val="ru-RU"/>
        </w:rPr>
        <w:t xml:space="preserve">которыми два года спустя после событий ответственность за эти действия все еще не была установлена. Такая безнаказанность сил правопорядка поднимает вопросы в отношении, в частности, статьи 19 Конституции Монголии, на основании которой чрезвычайное положение не может служить оправданием каких бы то ни было ограничений права на жизнь </w:t>
      </w:r>
      <w:r w:rsidR="00D85FE9">
        <w:rPr>
          <w:lang w:val="ru-RU"/>
        </w:rPr>
        <w:t>и права не подвергаться пыткам.</w:t>
      </w:r>
    </w:p>
    <w:p w:rsidR="00DD2AB9" w:rsidRDefault="00DD2AB9" w:rsidP="00DD2AB9">
      <w:pPr>
        <w:pStyle w:val="SingleTxtG"/>
        <w:rPr>
          <w:lang w:val="ru-RU"/>
        </w:rPr>
      </w:pPr>
      <w:r w:rsidRPr="00DD2AB9">
        <w:rPr>
          <w:lang w:val="ru-RU"/>
        </w:rPr>
        <w:t>10.</w:t>
      </w:r>
      <w:r>
        <w:rPr>
          <w:lang w:val="ru-RU"/>
        </w:rPr>
        <w:tab/>
        <w:t>Г-н Бруни хотел бы узнать, можно ли напрямую ссылаться на Конвенцию в</w:t>
      </w:r>
      <w:r w:rsidR="00D85FE9">
        <w:rPr>
          <w:lang w:val="ru-RU"/>
        </w:rPr>
        <w:t> </w:t>
      </w:r>
      <w:r>
        <w:rPr>
          <w:lang w:val="ru-RU"/>
        </w:rPr>
        <w:t xml:space="preserve">судах. Отмечая в пункте 25, что </w:t>
      </w:r>
      <w:r w:rsidR="001C4CB5">
        <w:rPr>
          <w:lang w:val="ru-RU"/>
        </w:rPr>
        <w:t>"</w:t>
      </w:r>
      <w:r>
        <w:rPr>
          <w:lang w:val="ru-RU"/>
        </w:rPr>
        <w:t>принятые в 2008 году поправки к Уголовному кодексу вводят широкое определение концепции пытки</w:t>
      </w:r>
      <w:r w:rsidR="00D85FE9">
        <w:rPr>
          <w:lang w:val="ru-RU"/>
        </w:rPr>
        <w:t>"</w:t>
      </w:r>
      <w:r>
        <w:rPr>
          <w:lang w:val="ru-RU"/>
        </w:rPr>
        <w:t>, он спрашивает, полностью ли включены в Уголовный кодекс все составные элементы пытки, содержащиеся в</w:t>
      </w:r>
      <w:r w:rsidR="00D85FE9">
        <w:rPr>
          <w:lang w:val="ru-RU"/>
        </w:rPr>
        <w:t> </w:t>
      </w:r>
      <w:r>
        <w:rPr>
          <w:lang w:val="ru-RU"/>
        </w:rPr>
        <w:t xml:space="preserve">первой статье Конвенции. В том же пункте он читает, что </w:t>
      </w:r>
      <w:r w:rsidR="001C4CB5">
        <w:rPr>
          <w:lang w:val="ru-RU"/>
        </w:rPr>
        <w:t>"</w:t>
      </w:r>
      <w:r>
        <w:rPr>
          <w:lang w:val="ru-RU"/>
        </w:rPr>
        <w:t>акт пытки карается в</w:t>
      </w:r>
      <w:r w:rsidR="00D85FE9">
        <w:rPr>
          <w:lang w:val="ru-RU"/>
        </w:rPr>
        <w:t> </w:t>
      </w:r>
      <w:r>
        <w:rPr>
          <w:lang w:val="ru-RU"/>
        </w:rPr>
        <w:t>зависимости от его тяжести, определяемой объемом причиненных телесных повреждений</w:t>
      </w:r>
      <w:r w:rsidR="00D85FE9">
        <w:rPr>
          <w:lang w:val="ru-RU"/>
        </w:rPr>
        <w:t>"</w:t>
      </w:r>
      <w:r>
        <w:rPr>
          <w:lang w:val="ru-RU"/>
        </w:rPr>
        <w:t>, и спрашивает, какие наказания предусматриваются на практике в</w:t>
      </w:r>
      <w:r w:rsidR="00D85FE9">
        <w:rPr>
          <w:lang w:val="ru-RU"/>
        </w:rPr>
        <w:t> </w:t>
      </w:r>
      <w:r>
        <w:rPr>
          <w:lang w:val="ru-RU"/>
        </w:rPr>
        <w:t>соответс</w:t>
      </w:r>
      <w:r w:rsidR="00D85FE9">
        <w:rPr>
          <w:lang w:val="ru-RU"/>
        </w:rPr>
        <w:t>твии со степенью тяжести пытки.</w:t>
      </w:r>
    </w:p>
    <w:p w:rsidR="00DD2AB9" w:rsidRDefault="00DD2AB9" w:rsidP="00DD2AB9">
      <w:pPr>
        <w:pStyle w:val="SingleTxtG"/>
        <w:rPr>
          <w:lang w:val="ru-RU"/>
        </w:rPr>
      </w:pPr>
      <w:r w:rsidRPr="00DD2AB9">
        <w:rPr>
          <w:lang w:val="ru-RU"/>
        </w:rPr>
        <w:t>11.</w:t>
      </w:r>
      <w:r>
        <w:rPr>
          <w:lang w:val="ru-RU"/>
        </w:rPr>
        <w:tab/>
        <w:t>В своем докладе Монголия сообщает, что на основании статьи 251 Уголовного кодекса акты пыток караются максимальным наказанием в виде пятнадцати лет тюремного заключения. Однако, согласно имеющимся в интернете текстам статья</w:t>
      </w:r>
      <w:r w:rsidR="00D85FE9">
        <w:rPr>
          <w:lang w:val="ru-RU"/>
        </w:rPr>
        <w:t> </w:t>
      </w:r>
      <w:r>
        <w:rPr>
          <w:lang w:val="ru-RU"/>
        </w:rPr>
        <w:t>251 касается выбивания показаний при использовании угроз, насилия и пыток и предусматривает максимальное наказание в виде десяти лет тюремного заключения. Кроме того, в соответствии с опубликованной в интернете версией, к</w:t>
      </w:r>
      <w:r w:rsidR="00D85FE9">
        <w:rPr>
          <w:lang w:val="ru-RU"/>
        </w:rPr>
        <w:t> </w:t>
      </w:r>
      <w:r>
        <w:rPr>
          <w:lang w:val="ru-RU"/>
        </w:rPr>
        <w:t xml:space="preserve">пыткам имеет прямое отношение статья 100 Уголовного кодекса, однако в ней устанавливается наказание всего от двух месяцев до двух лет тюремного заключения. В своем докладе Совету по правам человека </w:t>
      </w:r>
      <w:r w:rsidRPr="00DD2AB9">
        <w:rPr>
          <w:lang w:val="ru-RU"/>
        </w:rPr>
        <w:t>(</w:t>
      </w:r>
      <w:r>
        <w:t>A</w:t>
      </w:r>
      <w:r w:rsidRPr="00DD2AB9">
        <w:rPr>
          <w:lang w:val="ru-RU"/>
        </w:rPr>
        <w:t>/</w:t>
      </w:r>
      <w:r>
        <w:t>HRC</w:t>
      </w:r>
      <w:r w:rsidRPr="00DD2AB9">
        <w:rPr>
          <w:lang w:val="ru-RU"/>
        </w:rPr>
        <w:t>/13/39/</w:t>
      </w:r>
      <w:r>
        <w:t>Add</w:t>
      </w:r>
      <w:r w:rsidRPr="00DD2AB9">
        <w:rPr>
          <w:lang w:val="ru-RU"/>
        </w:rPr>
        <w:t>.6)</w:t>
      </w:r>
      <w:r>
        <w:rPr>
          <w:lang w:val="ru-RU"/>
        </w:rPr>
        <w:t xml:space="preserve"> Докладчик по вопросу о пытках также упомянул тюремное заключение на два года, выразив удивление мягкостью такого наказания за акты пыток. Несоответствия между текстами объясняются, вероятно, тем фактом, что Уголовный кодекс был пересмотрен в феврале 2008 года, как об этом сообщила Монголия в ходе Универсального периодического обзора. Докладчик хотел бы, тем не менее, чтобы делегация ясно уточнила, какие уголовные положения применяются в отношении пыток, и привела примеры дел, в которых происходила ссылка на соответствующие полож</w:t>
      </w:r>
      <w:r w:rsidR="00D85FE9">
        <w:rPr>
          <w:lang w:val="ru-RU"/>
        </w:rPr>
        <w:t>ения, и выносились приговоры.</w:t>
      </w:r>
    </w:p>
    <w:p w:rsidR="00DD2AB9" w:rsidRDefault="00DD2AB9" w:rsidP="00DD2AB9">
      <w:pPr>
        <w:pStyle w:val="SingleTxtG"/>
        <w:rPr>
          <w:lang w:val="ru-RU"/>
        </w:rPr>
      </w:pPr>
      <w:r w:rsidRPr="00DD2AB9">
        <w:rPr>
          <w:lang w:val="ru-RU"/>
        </w:rPr>
        <w:t>12.</w:t>
      </w:r>
      <w:r>
        <w:rPr>
          <w:lang w:val="ru-RU"/>
        </w:rPr>
        <w:tab/>
        <w:t>Право на обследование врачом не содержится в перечне прав, гарантированных всем находящимся под арестом лицам, которые перечисляются государством-участником в пункте 29 доклада. Г-н Бруни хотел бы узнать, защищается ли законодательством это основополагающее право в явном порядке. Национальная комиссия по правам человека привлекает внимание к тому, что произвольные аресты и незаконные задержания все еще являются обычной практикой в Монголии, и что около двух третей арестов и предварительных заключений под стражу осуществляются без каких-либо судебных решений. Такое расхождение между законодательством и практик</w:t>
      </w:r>
      <w:r w:rsidR="00D85FE9">
        <w:rPr>
          <w:lang w:val="ru-RU"/>
        </w:rPr>
        <w:t>ой требует объяснений.</w:t>
      </w:r>
    </w:p>
    <w:p w:rsidR="00DD2AB9" w:rsidRDefault="00DD2AB9" w:rsidP="00DD2AB9">
      <w:pPr>
        <w:pStyle w:val="SingleTxtG"/>
        <w:rPr>
          <w:lang w:val="ru-RU"/>
        </w:rPr>
      </w:pPr>
      <w:r w:rsidRPr="00DD2AB9">
        <w:rPr>
          <w:lang w:val="ru-RU"/>
        </w:rPr>
        <w:t>13.</w:t>
      </w:r>
      <w:r>
        <w:rPr>
          <w:lang w:val="ru-RU"/>
        </w:rPr>
        <w:tab/>
        <w:t>В соответствии с пунктом 3 статьи 2 Конвенции ссылка на приказ вышестоящего начальника или государственной власти не может являться оправданием пыток. В докладе не упоминается ни об одном положении, относящемся к этому принципу. Следовало бы узнать, существует ли во внутреннем праве процедура, позволяющая подчиненному, которому отдан приказ применить пытки, оспорить этот приказ и отказаться от его выполнения. Кроме того, статья 44.1 Уголовного кодекса определяет, что ущерб, причиненный правам и интересам, которые защищаются Кодексом</w:t>
      </w:r>
      <w:r w:rsidRPr="00DD2AB9">
        <w:rPr>
          <w:lang w:val="ru-RU"/>
        </w:rPr>
        <w:t xml:space="preserve"> в рамках выполнения приказа или </w:t>
      </w:r>
      <w:r>
        <w:rPr>
          <w:lang w:val="ru-RU"/>
        </w:rPr>
        <w:t xml:space="preserve">исполнительного </w:t>
      </w:r>
      <w:r w:rsidRPr="00DD2AB9">
        <w:rPr>
          <w:lang w:val="ru-RU"/>
        </w:rPr>
        <w:t xml:space="preserve"> решения, не составляет</w:t>
      </w:r>
      <w:r>
        <w:rPr>
          <w:lang w:val="ru-RU"/>
        </w:rPr>
        <w:t xml:space="preserve"> правонарушения. Г-н Бруни хотел бы получить разъяснения по смыслу этого положения, которое, как представляется, идет вразрез с пунктом 2 статьи 2 Конвенции. </w:t>
      </w:r>
    </w:p>
    <w:p w:rsidR="00DD2AB9" w:rsidRPr="00647B27" w:rsidRDefault="00DD2AB9" w:rsidP="00DD2AB9">
      <w:pPr>
        <w:pStyle w:val="SingleTxtG"/>
        <w:rPr>
          <w:lang w:val="ru-RU"/>
        </w:rPr>
      </w:pPr>
      <w:r w:rsidRPr="00DD2AB9">
        <w:rPr>
          <w:lang w:val="ru-RU"/>
        </w:rPr>
        <w:t>1</w:t>
      </w:r>
      <w:r>
        <w:rPr>
          <w:lang w:val="ru-RU"/>
        </w:rPr>
        <w:t>4</w:t>
      </w:r>
      <w:r w:rsidRPr="00DD2AB9">
        <w:rPr>
          <w:lang w:val="ru-RU"/>
        </w:rPr>
        <w:t>.</w:t>
      </w:r>
      <w:r>
        <w:rPr>
          <w:lang w:val="ru-RU"/>
        </w:rPr>
        <w:tab/>
        <w:t>Было бы полезно узнать, в какие страны были возвращены 3 713 лиц, которые были выдворены между 2000 и 2008 годами (пункт 52 доклада государства-участника), шла ли речь о странах происхождения, и проводилась ли в каждом случае оценка риска пыток, и каким образом. Делегация могла бы, вероятно, сообщить, производились ли выдворения после 2008 года, и если да, то уточнить обстоятельства этих выдворений. Было бы также полезно выяснить, намеревается ли государство-участник присоединиться к Конвенции 1951 года о статусе беженцев. Кроме того, г</w:t>
      </w:r>
      <w:r w:rsidR="00D85FE9">
        <w:rPr>
          <w:lang w:val="ru-RU"/>
        </w:rPr>
        <w:noBreakHyphen/>
      </w:r>
      <w:r>
        <w:rPr>
          <w:lang w:val="ru-RU"/>
        </w:rPr>
        <w:t>н</w:t>
      </w:r>
      <w:r w:rsidR="00D85FE9">
        <w:rPr>
          <w:lang w:val="ru-RU"/>
        </w:rPr>
        <w:t> </w:t>
      </w:r>
      <w:r>
        <w:rPr>
          <w:lang w:val="ru-RU"/>
        </w:rPr>
        <w:t>Бруни спрашивает, установило ли государство-участник подсудность в отношении актов пыток, совершенных в обстоятельствах, определенных в статье 5 Конвенции, и рассматривает ли оно Конвенцию против пыток как предоставляющую правовую основу для экстрадиции в случаях, когда оно получает запрос о выдаче со стороны государства, с которым оно не связано договором о выдаче, как этог</w:t>
      </w:r>
      <w:r w:rsidR="00647B27">
        <w:rPr>
          <w:lang w:val="ru-RU"/>
        </w:rPr>
        <w:t>о требует статья 8 Конвенции.</w:t>
      </w:r>
    </w:p>
    <w:p w:rsidR="00DD2AB9" w:rsidRDefault="00DD2AB9" w:rsidP="00DD2AB9">
      <w:pPr>
        <w:pStyle w:val="SingleTxtG"/>
        <w:rPr>
          <w:lang w:val="ru-RU"/>
        </w:rPr>
      </w:pPr>
      <w:r w:rsidRPr="00DD2AB9">
        <w:rPr>
          <w:lang w:val="ru-RU"/>
        </w:rPr>
        <w:t>1</w:t>
      </w:r>
      <w:r>
        <w:rPr>
          <w:lang w:val="ru-RU"/>
        </w:rPr>
        <w:t>5</w:t>
      </w:r>
      <w:r w:rsidRPr="00DD2AB9">
        <w:rPr>
          <w:lang w:val="ru-RU"/>
        </w:rPr>
        <w:t>.</w:t>
      </w:r>
      <w:r>
        <w:rPr>
          <w:lang w:val="ru-RU"/>
        </w:rPr>
        <w:tab/>
        <w:t>Для сил охраны порядка организуются многочисленные мероприятия по профессиональной подготовке с тем, чтобы соблюдение прав человека стало составной частью их практической деятельности. Было бы интересно узнать, являются ли эти мероприятия предметом мониторинга со стороны соответствующих органов власти, и позволяют ли конкретные показатели оценить их эффективность; было ли констатировано, например, снижение числа жалоб на полицейское насилие? Национальная программа действий по правам человека, принятая в 2003 году, и план по ее осуществлению на 2007-2008 годы (пункт 129 доклада) предусматривали меры в области профессиональной подготовки в целях предупреждения пыток. Было бы интересно узнать, каков был их эффект; было бы желательно привести конкретные данные. Руководство по эффективному расследованию пыток и других жестоких, бесчеловечных или унижающих достоинство видов обращения и наказания или Стамбульский протокол является ценным инструментом профессиональной подготовки для должностных лиц и медицинского персонала, которые окружают заключенных. Г-н Бруни хотел бы узнать, осведомляется ли соответствующий персонал о Стамбульском протоколе, и если нет, предусматривается ли включение этого документа в предназначенные для них программы профессиональной подготовки.</w:t>
      </w:r>
    </w:p>
    <w:p w:rsidR="00DD2AB9" w:rsidRPr="001C4CB5" w:rsidRDefault="00DD2AB9" w:rsidP="00DD2AB9">
      <w:pPr>
        <w:pStyle w:val="SingleTxtG"/>
        <w:rPr>
          <w:lang w:val="ru-RU"/>
        </w:rPr>
      </w:pPr>
      <w:r w:rsidRPr="00DD2AB9">
        <w:rPr>
          <w:lang w:val="ru-RU"/>
        </w:rPr>
        <w:t>1</w:t>
      </w:r>
      <w:r>
        <w:rPr>
          <w:lang w:val="ru-RU"/>
        </w:rPr>
        <w:t>6</w:t>
      </w:r>
      <w:r w:rsidRPr="00DD2AB9">
        <w:rPr>
          <w:lang w:val="ru-RU"/>
        </w:rPr>
        <w:t>.</w:t>
      </w:r>
      <w:r>
        <w:rPr>
          <w:lang w:val="ru-RU"/>
        </w:rPr>
        <w:tab/>
        <w:t xml:space="preserve">В своем докладе о миссии в Монголию в 2005 году </w:t>
      </w:r>
      <w:r w:rsidRPr="00DD2AB9">
        <w:rPr>
          <w:lang w:val="ru-RU"/>
        </w:rPr>
        <w:t>(</w:t>
      </w:r>
      <w:r>
        <w:t>E</w:t>
      </w:r>
      <w:r w:rsidRPr="00DD2AB9">
        <w:rPr>
          <w:lang w:val="ru-RU"/>
        </w:rPr>
        <w:t>/</w:t>
      </w:r>
      <w:r>
        <w:t>CN</w:t>
      </w:r>
      <w:r w:rsidRPr="00DD2AB9">
        <w:rPr>
          <w:lang w:val="ru-RU"/>
        </w:rPr>
        <w:t>.4/2006/6/</w:t>
      </w:r>
      <w:r>
        <w:t>Add</w:t>
      </w:r>
      <w:r w:rsidRPr="00DD2AB9">
        <w:rPr>
          <w:lang w:val="ru-RU"/>
        </w:rPr>
        <w:t>.4)</w:t>
      </w:r>
      <w:r>
        <w:rPr>
          <w:lang w:val="ru-RU"/>
        </w:rPr>
        <w:t xml:space="preserve"> Специальный докладчик по вопросу о пытках делает неутешительный вывод об условиях содержания под стражей в многочисленных местах заключения – перенаселенность, отсутствие разделения между осужденными и подозреваемыми, специальный режим изоляции, приравниваемый к жестокому и бесчеловечному обращению, и даже пыткам. Пять лет спустя было бы интересно узнать, как эволюционировала ситуация в основном центре предварительного задержания Улан-Батора – </w:t>
      </w:r>
      <w:r w:rsidR="001C4CB5">
        <w:rPr>
          <w:lang w:val="ru-RU"/>
        </w:rPr>
        <w:t>"</w:t>
      </w:r>
      <w:r>
        <w:rPr>
          <w:lang w:val="ru-RU"/>
        </w:rPr>
        <w:t>Центре принудительного задержания</w:t>
      </w:r>
      <w:r w:rsidR="00D85FE9">
        <w:rPr>
          <w:lang w:val="ru-RU"/>
        </w:rPr>
        <w:t>"</w:t>
      </w:r>
      <w:r>
        <w:rPr>
          <w:lang w:val="ru-RU"/>
        </w:rPr>
        <w:t xml:space="preserve">, - центрах содержания под стражей в Ганц Худаге и Зуунмоде, а также в тюрьме особо строгого режима в Таширин Аме, также называемом Тангаар Нам или Такхир Сойот. Согласно информации, переданной Комитету </w:t>
      </w:r>
      <w:r w:rsidR="001C4CB5">
        <w:rPr>
          <w:lang w:val="ru-RU"/>
        </w:rPr>
        <w:t>"</w:t>
      </w:r>
      <w:r>
        <w:rPr>
          <w:lang w:val="ru-RU"/>
        </w:rPr>
        <w:t>Международной амнистией</w:t>
      </w:r>
      <w:r w:rsidR="00D85FE9">
        <w:rPr>
          <w:lang w:val="ru-RU"/>
        </w:rPr>
        <w:t>"</w:t>
      </w:r>
      <w:r>
        <w:rPr>
          <w:lang w:val="ru-RU"/>
        </w:rPr>
        <w:t xml:space="preserve"> о ее визите в тюрьму </w:t>
      </w:r>
      <w:r w:rsidR="001C4CB5">
        <w:rPr>
          <w:lang w:val="ru-RU"/>
        </w:rPr>
        <w:t>"</w:t>
      </w:r>
      <w:r>
        <w:rPr>
          <w:lang w:val="ru-RU"/>
        </w:rPr>
        <w:t>Денджин Мьянга</w:t>
      </w:r>
      <w:r w:rsidR="00D85FE9">
        <w:rPr>
          <w:lang w:val="ru-RU"/>
        </w:rPr>
        <w:t>"</w:t>
      </w:r>
      <w:r>
        <w:rPr>
          <w:lang w:val="ru-RU"/>
        </w:rPr>
        <w:t xml:space="preserve"> в Улан-Баторе в 2009 году, в ней в плачевных условиях в то время содержалось 242 заключенных при первоначальной вместимости в 150 человек. Делегация могла бы, вероятно, сообщить, изм</w:t>
      </w:r>
      <w:r w:rsidR="00F0145B">
        <w:rPr>
          <w:lang w:val="ru-RU"/>
        </w:rPr>
        <w:t>енилась ли эта ситуация.</w:t>
      </w:r>
    </w:p>
    <w:p w:rsidR="00DD2AB9" w:rsidRPr="00F0145B" w:rsidRDefault="00DD2AB9" w:rsidP="00DD2AB9">
      <w:pPr>
        <w:pStyle w:val="SingleTxtG"/>
        <w:rPr>
          <w:lang w:val="ru-RU"/>
        </w:rPr>
      </w:pPr>
      <w:r w:rsidRPr="00DD2AB9">
        <w:rPr>
          <w:lang w:val="ru-RU"/>
        </w:rPr>
        <w:t>1</w:t>
      </w:r>
      <w:r>
        <w:rPr>
          <w:lang w:val="ru-RU"/>
        </w:rPr>
        <w:t>7</w:t>
      </w:r>
      <w:r w:rsidRPr="00DD2AB9">
        <w:rPr>
          <w:lang w:val="ru-RU"/>
        </w:rPr>
        <w:t>.</w:t>
      </w:r>
      <w:r>
        <w:rPr>
          <w:lang w:val="ru-RU"/>
        </w:rPr>
        <w:tab/>
        <w:t>Государство-участник сообщает в своем докладе (пункт 199), что службы Генерального прокурора в постоянном режиме надзирают за местами содержания под стражей. Г-н Бруни хотел бы узнать, с какой частотой осуществляются эти инспекции, проводились ли они в последнее время в ранее упомянутых учреждениях, каковы были их выводы, и к каким конкретным мерам они привели. Он хотел бы также получить уточнения по двум учреждениям содержания под стражей, в которых условия заключения не были признаны удовлетворительными службами Генеральной прокуратуры, и о возможных принятых мерах по ликвидации констатированных пробелов. Приветствовались бы также статистические данные об уровне заполняемости це</w:t>
      </w:r>
      <w:r w:rsidR="00F0145B">
        <w:rPr>
          <w:lang w:val="ru-RU"/>
        </w:rPr>
        <w:t>нтров содержания под стражей.</w:t>
      </w:r>
    </w:p>
    <w:p w:rsidR="00DD2AB9" w:rsidRPr="00F0145B" w:rsidRDefault="00DD2AB9" w:rsidP="00DD2AB9">
      <w:pPr>
        <w:pStyle w:val="SingleTxtG"/>
        <w:rPr>
          <w:lang w:val="ru-RU"/>
        </w:rPr>
      </w:pPr>
      <w:r w:rsidRPr="00DD2AB9">
        <w:rPr>
          <w:lang w:val="ru-RU"/>
        </w:rPr>
        <w:t>1</w:t>
      </w:r>
      <w:r>
        <w:rPr>
          <w:lang w:val="ru-RU"/>
        </w:rPr>
        <w:t>8</w:t>
      </w:r>
      <w:r w:rsidRPr="00DD2AB9">
        <w:rPr>
          <w:lang w:val="ru-RU"/>
        </w:rPr>
        <w:t>.</w:t>
      </w:r>
      <w:r>
        <w:rPr>
          <w:lang w:val="ru-RU"/>
        </w:rPr>
        <w:tab/>
        <w:t>В пункте 156 доклада государства-участника выясняется, что за период 2005</w:t>
      </w:r>
      <w:r w:rsidR="00F0145B" w:rsidRPr="00F0145B">
        <w:rPr>
          <w:lang w:val="ru-RU"/>
        </w:rPr>
        <w:noBreakHyphen/>
      </w:r>
      <w:r>
        <w:rPr>
          <w:lang w:val="ru-RU"/>
        </w:rPr>
        <w:t>2008 годов не было опубликовано ни одного исследования по делам, в которых следователи, работники следствия и полицейские были осуждены за выбивание показаний путем пыток. Г-н Бруни хотел бы знать, почему. Согласно ответу монгольского правительства на рекомендации Специального докладчика по вопросу о пытках от 19 января 2010 года, из 744 жалоб на пытки, зарегистрированных с 2007</w:t>
      </w:r>
      <w:r w:rsidR="00F0145B">
        <w:rPr>
          <w:lang w:val="en-US"/>
        </w:rPr>
        <w:t> </w:t>
      </w:r>
      <w:r>
        <w:rPr>
          <w:lang w:val="ru-RU"/>
        </w:rPr>
        <w:t>года, только 14 стали предметом расследования, из которых 3 были доведены до суда; 2 завершились оправдательными приговорами, и только одна привела к</w:t>
      </w:r>
      <w:r w:rsidR="00E00EAF">
        <w:rPr>
          <w:lang w:val="ru-RU"/>
        </w:rPr>
        <w:t> </w:t>
      </w:r>
      <w:r>
        <w:rPr>
          <w:lang w:val="ru-RU"/>
        </w:rPr>
        <w:t>осуждению. Эти цифры требуют комментариев. Кроме того, государство-участник сообщает в пункте 167 своего доклада, что Следственный отдел Генеральной прокуратуры получил и рассмотрел между 2002 и 2009 годами более 132 жалоб на пытки, к которым причастны сотрудники охраны порядка. В этой связи встает вопрос о выяснении того, к ведению какого органа власти относятся 612 оставшихся жалоб. Делегация могла бы, вероятно, указать, какие действуют механизмы по обеспечению защиты истцов и свидетелей от любых видов жестокого обращения и запугивания по причине поданной жалобы или любого представления, сделанного в соответствии со статьей 13 Конвенции. Докладчик хотел бы, например, узнать, может ли какое-либо лицо, заявляющее о том, что оно стало жертвой пыток или жестокого обращения, переведено в такое место, где оно более не будет контак</w:t>
      </w:r>
      <w:r w:rsidR="00F0145B">
        <w:rPr>
          <w:lang w:val="ru-RU"/>
        </w:rPr>
        <w:t>тировать с подозреваемым.</w:t>
      </w:r>
    </w:p>
    <w:p w:rsidR="00DD2AB9" w:rsidRPr="00F0145B" w:rsidRDefault="00DD2AB9" w:rsidP="00DD2AB9">
      <w:pPr>
        <w:pStyle w:val="SingleTxtG"/>
        <w:rPr>
          <w:lang w:val="ru-RU"/>
        </w:rPr>
      </w:pPr>
      <w:r w:rsidRPr="00DD2AB9">
        <w:rPr>
          <w:lang w:val="ru-RU"/>
        </w:rPr>
        <w:t>1</w:t>
      </w:r>
      <w:r>
        <w:rPr>
          <w:lang w:val="ru-RU"/>
        </w:rPr>
        <w:t>9</w:t>
      </w:r>
      <w:r w:rsidRPr="00DD2AB9">
        <w:rPr>
          <w:lang w:val="ru-RU"/>
        </w:rPr>
        <w:t>.</w:t>
      </w:r>
      <w:r>
        <w:rPr>
          <w:lang w:val="ru-RU"/>
        </w:rPr>
        <w:tab/>
        <w:t xml:space="preserve">В дополнение к информации, предоставленной в докладе государства-участника (пункты 170-176) о модальностях компенсаций за любой ущерб, причиненный третьими лицами, делегация могла бы, вероятно, привести примеры случаев, когда жертвы пыток получали компенсации в соответствии с уголовными положениями, приведенными в докладе. Право на возмещение ущерба, гарантированное статьей 14 Конвенции, не ограничивается получением компенсации: оно включает также доступ к средствам по реабилитации. Следовало бы узнать, предусмотрен ли в законодательстве государства-участника этот аспект возмещения ущерба. Что касается осуществления статьи 15 Конвенции, то г-н Бруни хотел бы получить уточнения по статье 256 Уголовного кодекса, которая карает действия, предпринимаемые с целью получения ложных показаний, и о том, каким образом она совмещается со статьей 251 Уголовного кодекса, в которой предусматривается наказание за выбивание показаний </w:t>
      </w:r>
      <w:r w:rsidR="00F0145B">
        <w:rPr>
          <w:lang w:val="ru-RU"/>
        </w:rPr>
        <w:t>и прямо упоминаются пытки.</w:t>
      </w:r>
    </w:p>
    <w:p w:rsidR="00DD2AB9" w:rsidRPr="00F0145B" w:rsidRDefault="00DD2AB9" w:rsidP="00DD2AB9">
      <w:pPr>
        <w:pStyle w:val="SingleTxtG"/>
        <w:rPr>
          <w:lang w:val="ru-RU"/>
        </w:rPr>
      </w:pPr>
      <w:r w:rsidRPr="00DD2AB9">
        <w:rPr>
          <w:lang w:val="ru-RU"/>
        </w:rPr>
        <w:t>20.</w:t>
      </w:r>
      <w:r>
        <w:rPr>
          <w:lang w:val="ru-RU"/>
        </w:rPr>
        <w:tab/>
        <w:t xml:space="preserve">По информации </w:t>
      </w:r>
      <w:r w:rsidR="001C4CB5">
        <w:rPr>
          <w:lang w:val="ru-RU"/>
        </w:rPr>
        <w:t>"</w:t>
      </w:r>
      <w:r>
        <w:rPr>
          <w:lang w:val="ru-RU"/>
        </w:rPr>
        <w:t>Международной амнистии</w:t>
      </w:r>
      <w:r w:rsidR="00D85FE9">
        <w:rPr>
          <w:lang w:val="ru-RU"/>
        </w:rPr>
        <w:t>"</w:t>
      </w:r>
      <w:r>
        <w:rPr>
          <w:lang w:val="ru-RU"/>
        </w:rPr>
        <w:t xml:space="preserve"> смертная казнь относится к</w:t>
      </w:r>
      <w:r w:rsidR="00E00EAF">
        <w:rPr>
          <w:lang w:val="ru-RU"/>
        </w:rPr>
        <w:t> </w:t>
      </w:r>
      <w:r>
        <w:rPr>
          <w:lang w:val="ru-RU"/>
        </w:rPr>
        <w:t xml:space="preserve">государственной тайне в Монголии, в связи с чем отсутствует статистика о ее применении. В пункте 206 своего доклада государство-участник, тем не менее, сообщает, что 6 лицам из 50 приговоренных к смерти наказание было смягчено до тюремного заключения на срок в тридцать лет. Это поднимает вопрос о том, что произошло с 44 другими осужденными. 14 января 2010 года Президент провозгласил мораторий на приведение в исполнение высшей меры наказания и призвал парламент разработать законопроект об отмене смертной казни. Делегация могла бы, вероятно, сообщить, был ли достигнут прогресс в этом направлении, и планирует ли государство-участник ратифицировать второй Факультативный протокол к Международному пакту о гражданских и политических правах, направленный на отмену смертной казни. В докладе о своем визите в Монголию в 2005 году </w:t>
      </w:r>
      <w:r w:rsidRPr="00DD2AB9">
        <w:rPr>
          <w:lang w:val="ru-RU"/>
        </w:rPr>
        <w:t>(</w:t>
      </w:r>
      <w:r>
        <w:t>E</w:t>
      </w:r>
      <w:r w:rsidRPr="00DD2AB9">
        <w:rPr>
          <w:lang w:val="ru-RU"/>
        </w:rPr>
        <w:t>/</w:t>
      </w:r>
      <w:r>
        <w:t>CN</w:t>
      </w:r>
      <w:r w:rsidRPr="00DD2AB9">
        <w:rPr>
          <w:lang w:val="ru-RU"/>
        </w:rPr>
        <w:t>.4/2006/6/</w:t>
      </w:r>
      <w:r>
        <w:t>Add</w:t>
      </w:r>
      <w:r w:rsidRPr="00DD2AB9">
        <w:rPr>
          <w:lang w:val="ru-RU"/>
        </w:rPr>
        <w:t>.4</w:t>
      </w:r>
      <w:r>
        <w:rPr>
          <w:lang w:val="ru-RU"/>
        </w:rPr>
        <w:t>) Специальный докладчик по вопросу о пытках пишет, что условия содержания приговоренных к смертной казни в центрах заключения Ганц Худаге и Зуунмоде – полная изоляция, сковывание наручниками и лишение питания – приравниваются к пыткам. Было бы интересно узнать, как изменились условия содержания приговоренных к смертной казни с 2005 года, и имело ли какое-либо воздействие на эту область провозглашение моратория на исп</w:t>
      </w:r>
      <w:r w:rsidR="00F0145B">
        <w:rPr>
          <w:lang w:val="ru-RU"/>
        </w:rPr>
        <w:t>олнение смертных приговоров.</w:t>
      </w:r>
    </w:p>
    <w:p w:rsidR="00DD2AB9" w:rsidRPr="00F0145B" w:rsidRDefault="00DD2AB9" w:rsidP="00DD2AB9">
      <w:pPr>
        <w:pStyle w:val="SingleTxtG"/>
        <w:rPr>
          <w:lang w:val="ru-RU"/>
        </w:rPr>
      </w:pPr>
      <w:r w:rsidRPr="00DD2AB9">
        <w:rPr>
          <w:lang w:val="ru-RU"/>
        </w:rPr>
        <w:t>21.</w:t>
      </w:r>
      <w:r>
        <w:rPr>
          <w:lang w:val="ru-RU"/>
        </w:rPr>
        <w:tab/>
        <w:t>Наконец, г-н Бруни хотел бы узнать, намеревается ли государство-участник признать компетенцию Комитета по рассмотрению сообщений от частных лиц в соответствии со статьей 22 Конвенции, и планирует ли оно присоединиться к</w:t>
      </w:r>
      <w:r w:rsidR="00E00EAF">
        <w:rPr>
          <w:lang w:val="ru-RU"/>
        </w:rPr>
        <w:t> </w:t>
      </w:r>
      <w:r>
        <w:rPr>
          <w:lang w:val="ru-RU"/>
        </w:rPr>
        <w:t>Факультативному протоколу к Конвенции.</w:t>
      </w:r>
    </w:p>
    <w:p w:rsidR="00DD2AB9" w:rsidRPr="00F0145B" w:rsidRDefault="00DD2AB9" w:rsidP="00DD2AB9">
      <w:pPr>
        <w:pStyle w:val="SingleTxtG"/>
        <w:rPr>
          <w:lang w:val="en-US"/>
        </w:rPr>
      </w:pPr>
      <w:r w:rsidRPr="00DD2AB9">
        <w:rPr>
          <w:lang w:val="ru-RU"/>
        </w:rPr>
        <w:t>2</w:t>
      </w:r>
      <w:r>
        <w:rPr>
          <w:lang w:val="ru-RU"/>
        </w:rPr>
        <w:t>2</w:t>
      </w:r>
      <w:r w:rsidRPr="00DD2AB9">
        <w:rPr>
          <w:lang w:val="ru-RU"/>
        </w:rPr>
        <w:t>.</w:t>
      </w:r>
      <w:r>
        <w:rPr>
          <w:lang w:val="ru-RU"/>
        </w:rPr>
        <w:tab/>
      </w:r>
      <w:r>
        <w:rPr>
          <w:b/>
          <w:bCs/>
          <w:lang w:val="ru-RU"/>
        </w:rPr>
        <w:t>Г-жа Клеопас</w:t>
      </w:r>
      <w:r>
        <w:rPr>
          <w:lang w:val="ru-RU"/>
        </w:rPr>
        <w:t xml:space="preserve"> (содокладчик по Монголии) сожалеет, что в первоначальном докладе государства-участника не содержится статистических данных в достаточном объеме. В докладе Специального докладчика по вопросу о пытках о его визите в</w:t>
      </w:r>
      <w:r w:rsidR="00E00EAF">
        <w:rPr>
          <w:lang w:val="ru-RU"/>
        </w:rPr>
        <w:t> </w:t>
      </w:r>
      <w:r>
        <w:rPr>
          <w:lang w:val="ru-RU"/>
        </w:rPr>
        <w:t>Монголию в 2005 году сообщается, что в монгольском обществе в культурном плане допускается использование определенной степени насилия в отношении подозреваемых или осужденных лиц. Это обстоятельство вкупе с тем фактом, что осуществление преследования основывается большей частью на признательных показаниях, делает риск пыток в особенности реальным. Специальный докладчик приводит в приложении к своему докладу ряд случаев, когда лица подвергались пыткам в ходе содержания под стражей. Г-жа Клеопас хотела бы узнать, были ли открыты расследования по этим делам, и были ли вынесены приговоры. Неправительственный источник привлек внимание Комитета к делу г-на Занданкху, арестованного в июле 2008 года и подвергшегося пыткам со стороны полиции. Он неоднократно подавал жалобы, которые не нашли никакого продолжения. Делегация, вероятно, захочет про</w:t>
      </w:r>
      <w:r w:rsidR="00F0145B">
        <w:rPr>
          <w:lang w:val="ru-RU"/>
        </w:rPr>
        <w:t>комментировать эту информацию.</w:t>
      </w:r>
    </w:p>
    <w:p w:rsidR="00DD2AB9" w:rsidRPr="00F0145B" w:rsidRDefault="00DD2AB9" w:rsidP="00DD2AB9">
      <w:pPr>
        <w:pStyle w:val="SingleTxtG"/>
        <w:rPr>
          <w:lang w:val="ru-RU"/>
        </w:rPr>
      </w:pPr>
      <w:r w:rsidRPr="00DD2AB9">
        <w:rPr>
          <w:lang w:val="ru-RU"/>
        </w:rPr>
        <w:t>23.</w:t>
      </w:r>
      <w:r>
        <w:rPr>
          <w:lang w:val="ru-RU"/>
        </w:rPr>
        <w:tab/>
        <w:t xml:space="preserve">Несмотря на принятие в 2005 году национального плана действий по борьбе с сексуальной эксплуатацией в коммерческих целях и с торговлей женщинами и детьми, ратификацию в 2008 году Конвенции Организации Объединенных Наций о борьбе с транснациональной организованной преступностью и введения в Уголовный кодекс преступления торговли людьми, государство-участник остается важной базой для трэффикинга в целях принудительного труда и сексуальной эксплуатации. По мнению местных НПО и ряда органов Организации Объединенных Наций, имеется даже тенденция к расширению этого феномена. Кроме того, заслуживающие доверия источники утверждают о существовании широкой торговли сексуальными услугами внутри страны, которой в особенности подвержены несовершеннолетние девочки из бедных семей в сельской местности. В своих заключительных замечаниях по Монголии от 2008 года </w:t>
      </w:r>
      <w:r w:rsidRPr="00DD2AB9">
        <w:rPr>
          <w:lang w:val="ru-RU"/>
        </w:rPr>
        <w:t>(</w:t>
      </w:r>
      <w:r>
        <w:t>CEDAW</w:t>
      </w:r>
      <w:r w:rsidRPr="00DD2AB9">
        <w:rPr>
          <w:lang w:val="ru-RU"/>
        </w:rPr>
        <w:t>/</w:t>
      </w:r>
      <w:r>
        <w:t>C</w:t>
      </w:r>
      <w:r w:rsidRPr="00DD2AB9">
        <w:rPr>
          <w:lang w:val="ru-RU"/>
        </w:rPr>
        <w:t>/</w:t>
      </w:r>
      <w:r>
        <w:t>MNG</w:t>
      </w:r>
      <w:r w:rsidRPr="00DD2AB9">
        <w:rPr>
          <w:lang w:val="ru-RU"/>
        </w:rPr>
        <w:t>/</w:t>
      </w:r>
      <w:r>
        <w:t>CO</w:t>
      </w:r>
      <w:r w:rsidRPr="00DD2AB9">
        <w:rPr>
          <w:lang w:val="ru-RU"/>
        </w:rPr>
        <w:t>/7)</w:t>
      </w:r>
      <w:r>
        <w:rPr>
          <w:lang w:val="ru-RU"/>
        </w:rPr>
        <w:t xml:space="preserve"> Комитет по ликвидации дискриминации в отношении женщин с озабоченностью отметил, что дела о торговле людьми редко приводили к судебным разбирательствам, и что, даже если процессы возбуждались, то в большинстве случаев они приводили к вынесению постановлений о прекращении дела. Помимо этого, как представляется, несмотря на то</w:t>
      </w:r>
      <w:r w:rsidR="005F2199">
        <w:rPr>
          <w:lang w:val="ru-RU"/>
        </w:rPr>
        <w:t>,</w:t>
      </w:r>
      <w:r>
        <w:rPr>
          <w:lang w:val="ru-RU"/>
        </w:rPr>
        <w:t xml:space="preserve"> что торговля людьми четко определена в статье 113 Уголовного кодекса, прокуроры, как правило, квалифицируют ее как </w:t>
      </w:r>
      <w:r w:rsidR="001C4CB5">
        <w:rPr>
          <w:lang w:val="ru-RU"/>
        </w:rPr>
        <w:t>"</w:t>
      </w:r>
      <w:r>
        <w:rPr>
          <w:lang w:val="ru-RU"/>
        </w:rPr>
        <w:t>организованную проституцию</w:t>
      </w:r>
      <w:r w:rsidR="00D85FE9">
        <w:rPr>
          <w:lang w:val="ru-RU"/>
        </w:rPr>
        <w:t>"</w:t>
      </w:r>
      <w:r>
        <w:rPr>
          <w:lang w:val="ru-RU"/>
        </w:rPr>
        <w:t>, упомянутую в статье 124 Уголовного кодекса, которая влечет гораздо менее тяжкое наказание, чем торговля людьми. Высокий уровень коррупции затрудняет открытие расследований по делам, по которым проходят члены сил охраны порядка. В этом контексте безнаказанности жертвы колеблются с обращением в суды, тем более, что не существует механизма по обеспечению их защиты. Таким образом, государству-участнику предстоит многое сделать, если оно хочет эффективно бороться с торговлей людьми; в этой связи было бы интересно узнать, намеревается ли оно заключить международные, региональные и двусторонние соглашения о сотрудничестве и ратифицировать Дополнительный протокол к Конвенции Организации Объединенных Наций о борьбе с транснациональной организованной преступностью о предупреждении и пресечении торговли людьми, в особенности женщинами и д</w:t>
      </w:r>
      <w:r w:rsidR="00F0145B">
        <w:rPr>
          <w:lang w:val="ru-RU"/>
        </w:rPr>
        <w:t>етьми, и наказании за нее.</w:t>
      </w:r>
    </w:p>
    <w:p w:rsidR="00DD2AB9" w:rsidRPr="00F0145B" w:rsidRDefault="00DD2AB9" w:rsidP="00DD2AB9">
      <w:pPr>
        <w:pStyle w:val="SingleTxtG"/>
        <w:rPr>
          <w:lang w:val="ru-RU"/>
        </w:rPr>
      </w:pPr>
      <w:r w:rsidRPr="00DD2AB9">
        <w:rPr>
          <w:lang w:val="ru-RU"/>
        </w:rPr>
        <w:t>24.</w:t>
      </w:r>
      <w:r>
        <w:rPr>
          <w:lang w:val="ru-RU"/>
        </w:rPr>
        <w:tab/>
        <w:t>Согласно заключительным замечаниям Комитета по ликвидации дискриминации в отношении женщин и информации неправительственных организаций насилие в семье по-прежнему широко распространено, несмотря на принятие закона о борьбе с насилием в семье (2005 год) и Национальной программы по борьбе с насилием в семье (2007 год). Кроме того, по информации из заслуживающих доверия источников случаи изнасилований весьма многочисленны, а о многих из них не сообщается</w:t>
      </w:r>
      <w:r w:rsidRPr="00DD2AB9">
        <w:rPr>
          <w:lang w:val="ru-RU"/>
        </w:rPr>
        <w:t>, поскольку жертвы</w:t>
      </w:r>
      <w:r>
        <w:rPr>
          <w:lang w:val="ru-RU"/>
        </w:rPr>
        <w:t xml:space="preserve"> обескуражены манерой обращения с ними со стороны следователей и боятся быть отторгнутыми своим окружением. Кроме того, полиция передает якобы очень мало жалоб на изнасилования в суды по той причине, что часто не хватает доказательств. Согласно исследованию, проведенному в 2007 году Национальным центром против насилия, каждая третья женщина являлась жертвой различных форм насилия в семье, а каждая десятая избивалась своим мужем. Вместе с тем, в 2009 году было осуждено только семь человек за насильственные действия такого рода. Кроме того, в докладе, опубликованном в 2010 году страновой группой Организации Объединенных Наций в Монголии, говорится, что хотя полиция на основании закона о насилии в семье и уполномочена получать жалобы на домашнее насилие, налагать меры по временной изоляции предполагаемых виновных лиц от их семей и размещать жертв в приютах, она не располагает достаточными ресурсами для выполнения всех своих задач. Кроме того, она нерешительно вмешивается в такие ситуации, полагая, что совершенные в семье насильственные действия относятся к сфере частной жизни. В</w:t>
      </w:r>
      <w:r w:rsidR="00F0145B">
        <w:rPr>
          <w:lang w:val="en-US"/>
        </w:rPr>
        <w:t> </w:t>
      </w:r>
      <w:r>
        <w:rPr>
          <w:lang w:val="ru-RU"/>
        </w:rPr>
        <w:t>2009 году судами было рассмотрено только 20 дел о нарушении закона о насилии в семье. Монгольская делегация захочет, вероятно, прокомментировать эту информацию и указать, какие принимаются меры для повышения осведомленности полицейских в об</w:t>
      </w:r>
      <w:r w:rsidR="00F0145B">
        <w:rPr>
          <w:lang w:val="ru-RU"/>
        </w:rPr>
        <w:t>ласти домашнего насилия.</w:t>
      </w:r>
    </w:p>
    <w:p w:rsidR="00DD2AB9" w:rsidRPr="00F0145B" w:rsidRDefault="00DD2AB9" w:rsidP="00DD2AB9">
      <w:pPr>
        <w:pStyle w:val="SingleTxtG"/>
        <w:rPr>
          <w:lang w:val="ru-RU"/>
        </w:rPr>
      </w:pPr>
      <w:r w:rsidRPr="00DD2AB9">
        <w:rPr>
          <w:lang w:val="ru-RU"/>
        </w:rPr>
        <w:t>25.</w:t>
      </w:r>
      <w:r>
        <w:rPr>
          <w:lang w:val="ru-RU"/>
        </w:rPr>
        <w:tab/>
        <w:t>Законодательство государства-участника не содержит положений, в явном порядке запрещающих изнасилование в браке и сексуальные домогательства. Так, согласно социологическому исследованию, проведенному недавно Национальной комиссией по правам человека среди женщин в возрасте младше 35 лет, половина респондентов заявили о том, что они являются жертвами сексуальных домогательств на рабочем месте. Г-жа Клеопас хотела бы в этой связи узнать, какие меры планирует принять государство-участник с тем, чтобы изнасилование в браке и сексуальные домогательства определялись в качестве уголовных правонарушений, а все женщины, ставшие жертвами насилия в семье, включая проживающих в сельской местности, пользовались защитными мерами, получали компенсацию и проходили реабилитацию. Кроме того, делегация могла бы сообщить, какие принимаются меры для гарантирования того, чтобы во всех районах страны женщины, заявляющие о</w:t>
      </w:r>
      <w:r w:rsidR="00E00EAF">
        <w:rPr>
          <w:lang w:val="ru-RU"/>
        </w:rPr>
        <w:t> </w:t>
      </w:r>
      <w:r>
        <w:rPr>
          <w:lang w:val="ru-RU"/>
        </w:rPr>
        <w:t>себе как о жертвах изнасилования, получали незамедлительный доступ к</w:t>
      </w:r>
      <w:r w:rsidR="00E00EAF">
        <w:rPr>
          <w:lang w:val="ru-RU"/>
        </w:rPr>
        <w:t> </w:t>
      </w:r>
      <w:r>
        <w:rPr>
          <w:lang w:val="ru-RU"/>
        </w:rPr>
        <w:t>медицинскому обследованию, проводящемуся независимым врачом с момента подачи ими жалоб.</w:t>
      </w:r>
    </w:p>
    <w:p w:rsidR="00DD2AB9" w:rsidRPr="00F0145B" w:rsidRDefault="00DD2AB9" w:rsidP="00DD2AB9">
      <w:pPr>
        <w:pStyle w:val="SingleTxtG"/>
        <w:rPr>
          <w:lang w:val="ru-RU"/>
        </w:rPr>
      </w:pPr>
      <w:r w:rsidRPr="00DD2AB9">
        <w:rPr>
          <w:lang w:val="ru-RU"/>
        </w:rPr>
        <w:t>26.</w:t>
      </w:r>
      <w:r>
        <w:rPr>
          <w:lang w:val="ru-RU"/>
        </w:rPr>
        <w:tab/>
        <w:t xml:space="preserve">В отношении статьи 15 Конвенции содокладчик отмечает, что хотя в пункте 4 статьи 79 Уголовно-процессуального кодекса и предусматривается, что элементы доказательств, которые не были собраны законными средствами, являются неприемлемыми и не могут использоваться в рамках судебного процесса, это положение не соблюдается на практике. В своих ответах </w:t>
      </w:r>
      <w:r w:rsidRPr="00DD2AB9">
        <w:rPr>
          <w:lang w:val="ru-RU"/>
        </w:rPr>
        <w:t>(</w:t>
      </w:r>
      <w:r>
        <w:t>A</w:t>
      </w:r>
      <w:r w:rsidRPr="00DD2AB9">
        <w:rPr>
          <w:lang w:val="ru-RU"/>
        </w:rPr>
        <w:t>/</w:t>
      </w:r>
      <w:r>
        <w:t>HRC</w:t>
      </w:r>
      <w:r w:rsidRPr="00DD2AB9">
        <w:rPr>
          <w:lang w:val="ru-RU"/>
        </w:rPr>
        <w:t>/13/39/</w:t>
      </w:r>
      <w:r>
        <w:t>Add</w:t>
      </w:r>
      <w:r w:rsidRPr="00DD2AB9">
        <w:rPr>
          <w:lang w:val="ru-RU"/>
        </w:rPr>
        <w:t>.6, п</w:t>
      </w:r>
      <w:r w:rsidR="005F2199">
        <w:rPr>
          <w:lang w:val="ru-RU"/>
        </w:rPr>
        <w:t>ункт </w:t>
      </w:r>
      <w:r w:rsidRPr="00DD2AB9">
        <w:rPr>
          <w:lang w:val="ru-RU"/>
        </w:rPr>
        <w:t>108)</w:t>
      </w:r>
      <w:r>
        <w:rPr>
          <w:lang w:val="ru-RU"/>
        </w:rPr>
        <w:t xml:space="preserve"> на рекомендации, сформулированные Специальным докладчиком по вопросу о пытках после его визита в Монголию в 2005 году, государство-участник указало, что оно стремится гарантировать, чтобы все арестованные лица имели доступ к адвокату, а заявления, сделанные в его отсутствие, не могли быть использованы в рамках судебного процесса. Содокладчик хотела бы узнать, принесли ли эти усилия</w:t>
      </w:r>
      <w:r w:rsidR="00F0145B">
        <w:rPr>
          <w:lang w:val="ru-RU"/>
        </w:rPr>
        <w:t xml:space="preserve"> свои плоды.</w:t>
      </w:r>
    </w:p>
    <w:p w:rsidR="00DD2AB9" w:rsidRPr="00F0145B" w:rsidRDefault="00DD2AB9" w:rsidP="00DD2AB9">
      <w:pPr>
        <w:pStyle w:val="SingleTxtG"/>
        <w:rPr>
          <w:lang w:val="ru-RU"/>
        </w:rPr>
      </w:pPr>
      <w:r w:rsidRPr="00DD2AB9">
        <w:rPr>
          <w:lang w:val="ru-RU"/>
        </w:rPr>
        <w:t>27.</w:t>
      </w:r>
      <w:r>
        <w:rPr>
          <w:lang w:val="ru-RU"/>
        </w:rPr>
        <w:tab/>
        <w:t>Несмотря на то</w:t>
      </w:r>
      <w:r w:rsidR="005F2199">
        <w:rPr>
          <w:lang w:val="ru-RU"/>
        </w:rPr>
        <w:t>,</w:t>
      </w:r>
      <w:r>
        <w:rPr>
          <w:lang w:val="ru-RU"/>
        </w:rPr>
        <w:t xml:space="preserve"> что в 2006 году был принят закон, запрещающий телесные наказания в школах, эта практика все еще широко распространена в государстве-участнике. С учетом того, что работы по пересмотру внутреннего законодательства продолжаются, г-жа Клеопас хотела бы узнать, планирует ли государство-участник полностью запретить телесные наказания вне зависимости от их контекста и провести профессиональную подготовку преподавательского состава в области ненасильственных дисциплинарных методов воздействия. Наконец, она спрашивает, намеревается ли государство-участник принять меры по ускорению процесса ратификации Факультативного протокола к Конвенции и созданию механизма по предупреждению, который будет отвечать за осуществление визитов в мес</w:t>
      </w:r>
      <w:r w:rsidR="00F0145B">
        <w:rPr>
          <w:lang w:val="ru-RU"/>
        </w:rPr>
        <w:t>та содержания под стражей.</w:t>
      </w:r>
    </w:p>
    <w:p w:rsidR="00DD2AB9" w:rsidRDefault="00DD2AB9" w:rsidP="00DD2AB9">
      <w:pPr>
        <w:pStyle w:val="SingleTxtG"/>
        <w:rPr>
          <w:lang w:val="ru-RU"/>
        </w:rPr>
      </w:pPr>
      <w:r w:rsidRPr="00DD2AB9">
        <w:rPr>
          <w:lang w:val="ru-RU"/>
        </w:rPr>
        <w:t>28.</w:t>
      </w:r>
      <w:r>
        <w:rPr>
          <w:lang w:val="ru-RU"/>
        </w:rPr>
        <w:tab/>
      </w:r>
      <w:r>
        <w:rPr>
          <w:i/>
          <w:iCs/>
          <w:lang w:val="ru-RU"/>
        </w:rPr>
        <w:t>Г-н Ван Сэюсянь, заместитель Председателя, принимает председательство</w:t>
      </w:r>
      <w:r>
        <w:rPr>
          <w:lang w:val="ru-RU"/>
        </w:rPr>
        <w:t>.</w:t>
      </w:r>
    </w:p>
    <w:p w:rsidR="00DD2AB9" w:rsidRPr="00F0145B" w:rsidRDefault="00DD2AB9" w:rsidP="00DD2AB9">
      <w:pPr>
        <w:pStyle w:val="SingleTxtG"/>
        <w:rPr>
          <w:i/>
          <w:lang w:val="ru-RU"/>
        </w:rPr>
      </w:pPr>
      <w:r w:rsidRPr="00DD2AB9">
        <w:rPr>
          <w:lang w:val="ru-RU"/>
        </w:rPr>
        <w:t>29.</w:t>
      </w:r>
      <w:r>
        <w:rPr>
          <w:lang w:val="ru-RU"/>
        </w:rPr>
        <w:tab/>
      </w:r>
      <w:r>
        <w:rPr>
          <w:b/>
          <w:bCs/>
          <w:lang w:val="ru-RU"/>
        </w:rPr>
        <w:t>Г-жа Бельмир</w:t>
      </w:r>
      <w:r>
        <w:rPr>
          <w:lang w:val="ru-RU"/>
        </w:rPr>
        <w:t xml:space="preserve"> спрашивает, выполняет ли также Министр юстиции обязанности министра внутренних дел, как это подразумевает формулировка пункта 36 доклада. Читая в пункте 131 этого документа о принятом в 2002 году решении о том, что ходатайства на помещение в предварительное заключение будут впредь относиться к компетенции судей, а не прокуроров, она спрашивает, была ли эта мера действенной, поскольку Специальный докладчик с обеспокоенностью констатировал в своем докладе, что судьи систематически одобряли ходатайства о помещении в предварительное заключение. Отмечая, что продолжительность предварительного заключения варьируется в зависимости от тяжести преступления, в котором подозревается лицо, г-жа Бельмир хотел бы получить уточнения об используемых критериях по разбивке преступлений на три категории, указанные в пункте 134 доклада. Она спрашивает, не могло бы государство-участник предусмотреть дальнейшее сокращение сроков предварительного содержания под стражей, которое является в особенности длительным, несмотря на успешно принимаемые с 1994 года поправки</w:t>
      </w:r>
      <w:r w:rsidR="00F0145B">
        <w:rPr>
          <w:lang w:val="ru-RU"/>
        </w:rPr>
        <w:t>.</w:t>
      </w:r>
    </w:p>
    <w:p w:rsidR="00DD2AB9" w:rsidRPr="00F0145B" w:rsidRDefault="00DD2AB9" w:rsidP="00DD2AB9">
      <w:pPr>
        <w:pStyle w:val="SingleTxtG"/>
        <w:rPr>
          <w:lang w:val="ru-RU"/>
        </w:rPr>
      </w:pPr>
      <w:r w:rsidRPr="00DD2AB9">
        <w:rPr>
          <w:lang w:val="ru-RU"/>
        </w:rPr>
        <w:t>30.</w:t>
      </w:r>
      <w:r>
        <w:rPr>
          <w:lang w:val="ru-RU"/>
        </w:rPr>
        <w:tab/>
        <w:t>Ссылаясь на пункт 48 доклада, г-жа Бельмир спрашивает, могло бы государство-участник предусмотреть приведение глав 46 и 47 Уголовно-процессуального кодекса в соответствие со статьей 3 Конвенции. Наконец, что касается обращения с несовершеннолетними, находящимися в конфликте с законом, она хотела бы узнать, были ли приняты меры по недопущению их содержания под стражей вместе со взрослыми и получения их признательных показаний под давлением, а также с тем, чтобы несовершеннолетние, пострадавшие от сексуальной эксплуатации, инцеста и изнасилований, рассматривались впредь как жертвы, а не как правонарушители.</w:t>
      </w:r>
    </w:p>
    <w:p w:rsidR="00DD2AB9" w:rsidRPr="00F0145B" w:rsidRDefault="00DD2AB9" w:rsidP="00DD2AB9">
      <w:pPr>
        <w:pStyle w:val="SingleTxtG"/>
        <w:rPr>
          <w:lang w:val="ru-RU"/>
        </w:rPr>
      </w:pPr>
      <w:r w:rsidRPr="00DD2AB9">
        <w:rPr>
          <w:lang w:val="ru-RU"/>
        </w:rPr>
        <w:t>31.</w:t>
      </w:r>
      <w:r>
        <w:rPr>
          <w:lang w:val="ru-RU"/>
        </w:rPr>
        <w:tab/>
      </w:r>
      <w:r>
        <w:rPr>
          <w:b/>
          <w:bCs/>
          <w:lang w:val="ru-RU"/>
        </w:rPr>
        <w:t>Г-н Гайе</w:t>
      </w:r>
      <w:r>
        <w:rPr>
          <w:lang w:val="ru-RU"/>
        </w:rPr>
        <w:t xml:space="preserve"> на основании пункта 31 доклада понимает так, что сотрудник судебной полиции не может поместить какое-либо лицо под стражу по своей собственной инициативе. Если это действительно так, то он хотел бы узнать, какой судебный орган уполномочен давать санкцию на помещение под стражу. Констатируя, что в уголовном законодательстве не содержится положений, закрепляющих принцип невысылки или устанавливающих универсальную юрисдикцию государства-участника в области пыток, г-н Гайе спрашивает, могут ли суды напрямую ссылаться на статьи 3 и 7 Конвенции для заполнения этих пробелов во внутреннем праве. Наконец, он хотел бы узнать, могут ли иностранцы, находящиеся в процессе выдворения, обжаловать решение, объектом которого они являются. Если это так, делегация могла бы уточнить, имеет ли это обжалование</w:t>
      </w:r>
      <w:r w:rsidR="00F0145B">
        <w:rPr>
          <w:lang w:val="ru-RU"/>
        </w:rPr>
        <w:t xml:space="preserve"> приостанавливающее действие. </w:t>
      </w:r>
    </w:p>
    <w:p w:rsidR="00DD2AB9" w:rsidRPr="00F0145B" w:rsidRDefault="00DD2AB9" w:rsidP="00DD2AB9">
      <w:pPr>
        <w:pStyle w:val="SingleTxtG"/>
        <w:rPr>
          <w:lang w:val="ru-RU"/>
        </w:rPr>
      </w:pPr>
      <w:r w:rsidRPr="00DD2AB9">
        <w:rPr>
          <w:lang w:val="ru-RU"/>
        </w:rPr>
        <w:t>32.</w:t>
      </w:r>
      <w:r>
        <w:rPr>
          <w:lang w:val="ru-RU"/>
        </w:rPr>
        <w:tab/>
      </w:r>
      <w:r>
        <w:rPr>
          <w:b/>
          <w:bCs/>
          <w:lang w:val="ru-RU"/>
        </w:rPr>
        <w:t>Г-жа Свеосс</w:t>
      </w:r>
      <w:r>
        <w:rPr>
          <w:lang w:val="ru-RU"/>
        </w:rPr>
        <w:t xml:space="preserve"> с удовлетворением отмечает, что государство-участник ратифицировало Факультативный протокол к Конвенции, а также Конвенцию о</w:t>
      </w:r>
      <w:r w:rsidR="00E00EAF">
        <w:rPr>
          <w:lang w:val="ru-RU"/>
        </w:rPr>
        <w:t> </w:t>
      </w:r>
      <w:r>
        <w:rPr>
          <w:lang w:val="ru-RU"/>
        </w:rPr>
        <w:t>правах инвалидов – договоры, которые тесно связаны с объектом Конвенции. Несмотря на принятие закона о психическом здоровье, согласно опубликованному в 2006 году докладу Всемирной организации здравоохранения представляется, что ни один независимый орган не уполномочен осуществлять визиты в психиатрические учреждения и надзирать за условиями госпитализации пациентов и назначенным им лечением. Делегация могла бы предоставить уточнения о правовых гарантиях, которые защищают права психически неполноценных лиц и лиц, страдающих психическими расстройствами, а также о профессиональной подготовке персонала психиатрических учреждений.</w:t>
      </w:r>
    </w:p>
    <w:p w:rsidR="00DD2AB9" w:rsidRPr="00F0145B" w:rsidRDefault="00DD2AB9" w:rsidP="00DD2AB9">
      <w:pPr>
        <w:pStyle w:val="SingleTxtG"/>
        <w:rPr>
          <w:lang w:val="ru-RU"/>
        </w:rPr>
      </w:pPr>
      <w:r w:rsidRPr="00DD2AB9">
        <w:rPr>
          <w:lang w:val="ru-RU"/>
        </w:rPr>
        <w:t>33.</w:t>
      </w:r>
      <w:r>
        <w:rPr>
          <w:lang w:val="ru-RU"/>
        </w:rPr>
        <w:tab/>
        <w:t>Подчеркивая, что лесбиянки, гомосексуалисты, транссексуалы и бисексуалы (ЛГБТ-сообщество) являются особо уязвимой группой с точки зрения нарушений Конвенции, и отмечая, что после многих затруднений в государстве-участнике была создана неправительственная организация, проявляющая активность в области защиты прав этих лиц, г-жа Свеосс хотела бы узнать, могли бы монгольские власти предусмотреть поддержку деятельности этой организации, проводить кампании по повышению осведомленности в целях предупреждения актов насилия, совершаемых по признаку сексуальной ориентации, и принять меры по преследованию в судебном порядке виновных в этих действиях лиц. Наконец, с учетом того, что браки между монгольскими женщинами и иностранцами заключаются весьма часто, и что в результате таких союзов многие из этих женщин являются жертвами насилия или торговли людьми в целях сексуальной эксплуатации, г-жа Свеосс спрашивает, какие меры принимает государство-участник для защиты женщин от негатив</w:t>
      </w:r>
      <w:r w:rsidR="00F0145B">
        <w:rPr>
          <w:lang w:val="ru-RU"/>
        </w:rPr>
        <w:t>ных последствий этой практики.</w:t>
      </w:r>
    </w:p>
    <w:p w:rsidR="00DD2AB9" w:rsidRPr="00F0145B" w:rsidRDefault="00DD2AB9" w:rsidP="00DD2AB9">
      <w:pPr>
        <w:pStyle w:val="SingleTxtG"/>
        <w:rPr>
          <w:lang w:val="ru-RU"/>
        </w:rPr>
      </w:pPr>
      <w:r w:rsidRPr="00DD2AB9">
        <w:rPr>
          <w:lang w:val="ru-RU"/>
        </w:rPr>
        <w:t>34.</w:t>
      </w:r>
      <w:r>
        <w:rPr>
          <w:lang w:val="ru-RU"/>
        </w:rPr>
        <w:tab/>
      </w:r>
      <w:r>
        <w:rPr>
          <w:b/>
          <w:bCs/>
          <w:lang w:val="ru-RU"/>
        </w:rPr>
        <w:t>Г-н Мариньо Менендес</w:t>
      </w:r>
      <w:r>
        <w:rPr>
          <w:lang w:val="ru-RU"/>
        </w:rPr>
        <w:t>, отмечая, что в законе о правовом статусе иностранных граждан 1993 года не рассматривается вопрос иностранцев, находящихся на нелегальном положении в стране, спрашивает, выдворяются ли незамедлительно иностранцы, въехавшие в Монголию незаконно, или же они имеют право подать заявление на получение международной защиты. Было бы также полезно узнать, были ли приняты меры по защите лиц без гражданства с учетом того, что Монголия не ратифицировала ни Конвенцию о статусе апатридов, ни Конвенц</w:t>
      </w:r>
      <w:r w:rsidR="00F0145B">
        <w:rPr>
          <w:lang w:val="ru-RU"/>
        </w:rPr>
        <w:t>ию о сокращении безгражданства.</w:t>
      </w:r>
    </w:p>
    <w:p w:rsidR="00DD2AB9" w:rsidRPr="005F2199" w:rsidRDefault="00DD2AB9" w:rsidP="00DD2AB9">
      <w:pPr>
        <w:pStyle w:val="SingleTxtG"/>
        <w:rPr>
          <w:lang w:val="ru-RU"/>
        </w:rPr>
      </w:pPr>
      <w:r w:rsidRPr="00DD2AB9">
        <w:rPr>
          <w:lang w:val="ru-RU"/>
        </w:rPr>
        <w:t>35.</w:t>
      </w:r>
      <w:r>
        <w:rPr>
          <w:lang w:val="ru-RU"/>
        </w:rPr>
        <w:tab/>
        <w:t>По определенной информации, трудящиеся горнопромышленного сектора часто становятся жертвами нарушения своих прав. Делегация могла бы, вероятно, сообщить, планирует ли Монголия ратифицировать основные конвенции Международной организации труда, в частности Конвенцию о принудительном труде 1930 года и Конвенцию об упразднении принудительного труда 1957 года. Приветствовались бы также дополнительные сведения о принятых Монголией мерах в целях гарантирования независимости судей, в частности нормах, относящихся к их назн</w:t>
      </w:r>
      <w:r w:rsidR="005F2199">
        <w:rPr>
          <w:lang w:val="ru-RU"/>
        </w:rPr>
        <w:t>ачению и продвижению по службе.</w:t>
      </w:r>
    </w:p>
    <w:p w:rsidR="00DD2AB9" w:rsidRDefault="00DD2AB9" w:rsidP="00DD2AB9">
      <w:pPr>
        <w:pStyle w:val="SingleTxtG"/>
        <w:rPr>
          <w:lang w:val="ru-RU"/>
        </w:rPr>
      </w:pPr>
      <w:r w:rsidRPr="00DD2AB9">
        <w:rPr>
          <w:lang w:val="ru-RU"/>
        </w:rPr>
        <w:t>3</w:t>
      </w:r>
      <w:r>
        <w:rPr>
          <w:lang w:val="ru-RU"/>
        </w:rPr>
        <w:t>6</w:t>
      </w:r>
      <w:r w:rsidRPr="00DD2AB9">
        <w:rPr>
          <w:lang w:val="ru-RU"/>
        </w:rPr>
        <w:t>.</w:t>
      </w:r>
      <w:r>
        <w:rPr>
          <w:lang w:val="ru-RU"/>
        </w:rPr>
        <w:tab/>
      </w:r>
      <w:r>
        <w:rPr>
          <w:b/>
          <w:bCs/>
          <w:lang w:val="ru-RU"/>
        </w:rPr>
        <w:t>Г-жа Гаер</w:t>
      </w:r>
      <w:r>
        <w:rPr>
          <w:lang w:val="ru-RU"/>
        </w:rPr>
        <w:t xml:space="preserve"> хотела бы узнать, были ли приняты меры по осуществлению рекомендаций, сформулированных Специальным докладчиком по вопросу о пытках по итогам его визита в страну в 2008 году, в частности в том, что касается принятия определения пытки, полностью соответствующего определению, изложенному в первой статье Конвенции. В своем докладе по правам человека от 2007 года Государственный департамент Соединенных Штатов сообщает о периодических посягательствах на имущество и личность граждан китайского происхождения, к которым причастны националистические и ксенофобские группировки. Мишенью также являются находящиеся замужем за китайскими гражданами монгольские женщины, которых в стране насчитывается более 12 000. Приветствовались бы уточнения о содержании принятых государством-участником мер по борьбе с этим феноменом. </w:t>
      </w:r>
    </w:p>
    <w:p w:rsidR="00DD2AB9" w:rsidRDefault="00DD2AB9" w:rsidP="00DD2AB9">
      <w:pPr>
        <w:pStyle w:val="SingleTxtG"/>
        <w:rPr>
          <w:lang w:val="ru-RU"/>
        </w:rPr>
      </w:pPr>
      <w:r w:rsidRPr="00DD2AB9">
        <w:rPr>
          <w:lang w:val="ru-RU"/>
        </w:rPr>
        <w:t>37.</w:t>
      </w:r>
      <w:r>
        <w:rPr>
          <w:lang w:val="ru-RU"/>
        </w:rPr>
        <w:tab/>
        <w:t xml:space="preserve">По некоторым данным складывается впечатление, что жертвы не сообщают об определенном числе преступлений на почве ненависти или </w:t>
      </w:r>
      <w:r w:rsidR="001C4CB5">
        <w:rPr>
          <w:lang w:val="ru-RU"/>
        </w:rPr>
        <w:t>"</w:t>
      </w:r>
      <w:r>
        <w:rPr>
          <w:lang w:val="ru-RU"/>
        </w:rPr>
        <w:t>вопиющих</w:t>
      </w:r>
      <w:r w:rsidR="00D85FE9">
        <w:rPr>
          <w:lang w:val="ru-RU"/>
        </w:rPr>
        <w:t>"</w:t>
      </w:r>
      <w:r>
        <w:rPr>
          <w:lang w:val="ru-RU"/>
        </w:rPr>
        <w:t xml:space="preserve"> актах дискриминации по признаку сексуальной ориентации, приравниваемых к актам преследования, поскольку они боятся подвергнуться такому же обращению со стороны полиции. Делегация смогла бы, вероятно, прокомментировать эту информацию и указать, планирует ли государство-участник создать в полиции подразделение, специально отвечающее за прием жалоб, относящихся к пыткам или жестокому обращению по признаку сексуальной ори</w:t>
      </w:r>
      <w:r w:rsidR="00E00EAF">
        <w:rPr>
          <w:lang w:val="ru-RU"/>
        </w:rPr>
        <w:t>ентации, и за их расследование.</w:t>
      </w:r>
    </w:p>
    <w:p w:rsidR="00DD2AB9" w:rsidRPr="005F2199" w:rsidRDefault="00DD2AB9" w:rsidP="00DD2AB9">
      <w:pPr>
        <w:pStyle w:val="SingleTxtG"/>
        <w:rPr>
          <w:lang w:val="ru-RU"/>
        </w:rPr>
      </w:pPr>
      <w:r w:rsidRPr="00DD2AB9">
        <w:rPr>
          <w:lang w:val="ru-RU"/>
        </w:rPr>
        <w:t>38.</w:t>
      </w:r>
      <w:r>
        <w:rPr>
          <w:lang w:val="ru-RU"/>
        </w:rPr>
        <w:tab/>
        <w:t xml:space="preserve">В пункте 153 доклада говорится, что во всех центрах содержания под стражей были установлены системы видеонаблюдения с целью предотвращения такой практики, когда следователи и следственные работники произвольным образом меняют заключенных в камере с тем, чтобы их запугать и получить признательные показания. Было бы интересно узнать, какие дисциплинарные санкции были применены к следователям или следственным работникам, которые действовали подобным образом. В докладе о своем визите в Монголию Специальный докладчик по вопросу о пытках говорит, что с момента своего прибытия в страну он был проинформирован о смерти в заключении г-на Мункхбайяра Баатара вследствие предполагаемых актов пыток. Комитет хотел бы узнать, были ли наказаны лица, виновные в этих действиях. Специальный докладчик также привлек внимание к полной тайне, которая до настоящего времени окружала смертную казнь. Было бы интересно выяснить, готовы ли сегодня власти, исходя из введенного недавно моратория на смертную казнь, разрешить сбор и распространение информации об исполнении этого наказания, в частности для семей лиц, приговоренных к смерти, которые утверждают, что они никогда не </w:t>
      </w:r>
      <w:r w:rsidR="005F2199">
        <w:rPr>
          <w:lang w:val="ru-RU"/>
        </w:rPr>
        <w:t>информировались об их судьбе.</w:t>
      </w:r>
    </w:p>
    <w:p w:rsidR="00DD2AB9" w:rsidRPr="005F2199" w:rsidRDefault="00DD2AB9" w:rsidP="00DD2AB9">
      <w:pPr>
        <w:pStyle w:val="SingleTxtG"/>
        <w:rPr>
          <w:lang w:val="ru-RU"/>
        </w:rPr>
      </w:pPr>
      <w:r w:rsidRPr="00DD2AB9">
        <w:rPr>
          <w:lang w:val="ru-RU"/>
        </w:rPr>
        <w:t>39.</w:t>
      </w:r>
      <w:r>
        <w:rPr>
          <w:lang w:val="ru-RU"/>
        </w:rPr>
        <w:tab/>
        <w:t>Наконец, делегация смогла бы, вероятно, прокомментировать сообщение в международной прессе об аресте в Лондоне в сентябре 2010 года высокопоставленного сотрудника монгольских разведывательных служб, обвиненного в организации похищения во Франции Дамирана Энкхбата. Последний, являющийся монгольским беженцем, подозревался в убийстве в 1998 году министра монгольского правительства; после похищения он был возвращен в Монг</w:t>
      </w:r>
      <w:r w:rsidR="005F2199">
        <w:rPr>
          <w:lang w:val="ru-RU"/>
        </w:rPr>
        <w:t>олию, где его подвергли пыткам.</w:t>
      </w:r>
    </w:p>
    <w:p w:rsidR="00DD2AB9" w:rsidRPr="005F2199" w:rsidRDefault="00DD2AB9" w:rsidP="00DD2AB9">
      <w:pPr>
        <w:pStyle w:val="SingleTxtG"/>
        <w:rPr>
          <w:lang w:val="ru-RU"/>
        </w:rPr>
      </w:pPr>
      <w:r w:rsidRPr="00DD2AB9">
        <w:rPr>
          <w:lang w:val="ru-RU"/>
        </w:rPr>
        <w:t>40.</w:t>
      </w:r>
      <w:r>
        <w:rPr>
          <w:lang w:val="ru-RU"/>
        </w:rPr>
        <w:tab/>
      </w:r>
      <w:r>
        <w:rPr>
          <w:b/>
          <w:bCs/>
          <w:lang w:val="ru-RU"/>
        </w:rPr>
        <w:t>Г-н Гроссман</w:t>
      </w:r>
      <w:r>
        <w:rPr>
          <w:lang w:val="ru-RU"/>
        </w:rPr>
        <w:t xml:space="preserve"> отмечает, что международные договоры, участником которых является Монголия, начинают действовать во внутреннем праве с момента вступления в силу относящихся к ним законов о ратификации или присоединении. Он просит делегацию привести примеры судебных решений, непосредственно основанных на положениях Конвенции. Он хотел бы также узнать, верно ли, что в случае пыток или жестокого обращения, применяемых по приказу вышестоящего начальника, только он один подвергается уголовным санкциям, а не их непосредственный исполнитель. Кроме того, он спрашивает, что конкретно понимается под правом на возмещение ущерба жертвам пыток и жестокого обращения, и в частности могут ли родственники жертвы требовать возмещения ущерба за</w:t>
      </w:r>
      <w:r w:rsidR="005F2199">
        <w:rPr>
          <w:lang w:val="ru-RU"/>
        </w:rPr>
        <w:t xml:space="preserve"> причиненный им моральный вред.</w:t>
      </w:r>
    </w:p>
    <w:p w:rsidR="00DD2AB9" w:rsidRPr="005F2199" w:rsidRDefault="00DD2AB9" w:rsidP="00DD2AB9">
      <w:pPr>
        <w:pStyle w:val="SingleTxtG"/>
        <w:rPr>
          <w:lang w:val="ru-RU"/>
        </w:rPr>
      </w:pPr>
      <w:r w:rsidRPr="00DD2AB9">
        <w:rPr>
          <w:lang w:val="ru-RU"/>
        </w:rPr>
        <w:t>4</w:t>
      </w:r>
      <w:r>
        <w:rPr>
          <w:lang w:val="ru-RU"/>
        </w:rPr>
        <w:t>1</w:t>
      </w:r>
      <w:r w:rsidRPr="00DD2AB9">
        <w:rPr>
          <w:lang w:val="ru-RU"/>
        </w:rPr>
        <w:t>.</w:t>
      </w:r>
      <w:r>
        <w:rPr>
          <w:lang w:val="ru-RU"/>
        </w:rPr>
        <w:tab/>
        <w:t>Было бы также полезно узнать, были ли приняты меры для обеспечения реабилитации жертв пыток в соответствии со статьей 14 Конвенции, и вменяется ли в вину попытка применения пыток и соучастие в их совершении. Как представляется, положения Уголовного кодекса, относящиеся к назначаемым наказаниям в случае актов пыток или жестокого обращения, были изменены; приветствовались бы уточнения о нынешнем режиме в этой области.</w:t>
      </w:r>
    </w:p>
    <w:p w:rsidR="00DD2AB9" w:rsidRPr="005F2199" w:rsidRDefault="00DD2AB9" w:rsidP="00DD2AB9">
      <w:pPr>
        <w:pStyle w:val="SingleTxtG"/>
        <w:rPr>
          <w:lang w:val="ru-RU"/>
        </w:rPr>
      </w:pPr>
      <w:r w:rsidRPr="00DD2AB9">
        <w:rPr>
          <w:lang w:val="ru-RU"/>
        </w:rPr>
        <w:t>4</w:t>
      </w:r>
      <w:r>
        <w:rPr>
          <w:lang w:val="ru-RU"/>
        </w:rPr>
        <w:t>2</w:t>
      </w:r>
      <w:r w:rsidRPr="00DD2AB9">
        <w:rPr>
          <w:lang w:val="ru-RU"/>
        </w:rPr>
        <w:t>.</w:t>
      </w:r>
      <w:r>
        <w:rPr>
          <w:lang w:val="ru-RU"/>
        </w:rPr>
        <w:tab/>
        <w:t>В докладе о своем визите в Монголию в 2008 году Специальный докладчик по вопросу о пытках отмечает, что в целом население не осведомлено, либо плохо осведомлено о принципе запрета пыток и жестокого обращения, и что в стране  подспудно допускается определенная степень насилия в отношении подозреваемых и осужденных лиц. Делегации предлагается сообщить, какой ход государство-участник дало рекомендации Специального докладчика, направленной на то, чтобы систематические программы профессиональной подготовки и повышения осведомленности были введены в действие для населения в целом, и в частности для должностных лиц, отвечающих за применение законов, и работников юстиции. Г</w:t>
      </w:r>
      <w:r w:rsidR="005F2199">
        <w:rPr>
          <w:lang w:val="ru-RU"/>
        </w:rPr>
        <w:noBreakHyphen/>
      </w:r>
      <w:r>
        <w:rPr>
          <w:lang w:val="ru-RU"/>
        </w:rPr>
        <w:t>н</w:t>
      </w:r>
      <w:r w:rsidR="005F2199">
        <w:rPr>
          <w:lang w:val="ru-RU"/>
        </w:rPr>
        <w:t> </w:t>
      </w:r>
      <w:r>
        <w:rPr>
          <w:lang w:val="ru-RU"/>
        </w:rPr>
        <w:t>Гроссман хотел бы также узнать, имеют ли право заключенные, сообщающие о предполагаемых актах пыток или жестокого обращения, на н</w:t>
      </w:r>
      <w:r w:rsidR="005F2199">
        <w:rPr>
          <w:lang w:val="ru-RU"/>
        </w:rPr>
        <w:t>езамедлительный доступ к врачу.</w:t>
      </w:r>
    </w:p>
    <w:p w:rsidR="00DD2AB9" w:rsidRPr="005F2199" w:rsidRDefault="005F2199" w:rsidP="00DD2AB9">
      <w:pPr>
        <w:pStyle w:val="SingleTxtG"/>
        <w:rPr>
          <w:lang w:val="ru-RU"/>
        </w:rPr>
      </w:pPr>
      <w:r>
        <w:rPr>
          <w:lang w:val="ru-RU"/>
        </w:rPr>
        <w:br w:type="page"/>
      </w:r>
      <w:r w:rsidR="00DD2AB9" w:rsidRPr="00DD2AB9">
        <w:rPr>
          <w:lang w:val="ru-RU"/>
        </w:rPr>
        <w:t>4</w:t>
      </w:r>
      <w:r w:rsidR="00DD2AB9">
        <w:rPr>
          <w:lang w:val="ru-RU"/>
        </w:rPr>
        <w:t>3</w:t>
      </w:r>
      <w:r w:rsidR="00DD2AB9" w:rsidRPr="00DD2AB9">
        <w:rPr>
          <w:lang w:val="ru-RU"/>
        </w:rPr>
        <w:t>.</w:t>
      </w:r>
      <w:r w:rsidR="00DD2AB9">
        <w:rPr>
          <w:lang w:val="ru-RU"/>
        </w:rPr>
        <w:tab/>
      </w:r>
      <w:r w:rsidR="00DD2AB9" w:rsidRPr="00616844">
        <w:rPr>
          <w:b/>
          <w:lang w:val="ru-RU"/>
        </w:rPr>
        <w:t>Председатель</w:t>
      </w:r>
      <w:r w:rsidR="00DD2AB9">
        <w:rPr>
          <w:lang w:val="ru-RU"/>
        </w:rPr>
        <w:t xml:space="preserve"> понимает так, что государство-участник намеревается принять закон о пресечении правонарушений на почве ненависти, и хотел бы получить уточнения на этот счет. Он предлагает делегации ответить на вопросы Комитета на следующем заседании.</w:t>
      </w:r>
    </w:p>
    <w:p w:rsidR="00DD2AB9" w:rsidRPr="00DD2AB9" w:rsidRDefault="00DD2AB9" w:rsidP="00DD2AB9">
      <w:pPr>
        <w:pStyle w:val="SingleTxtG"/>
        <w:rPr>
          <w:lang w:val="ru-RU"/>
        </w:rPr>
      </w:pPr>
      <w:r>
        <w:rPr>
          <w:i/>
          <w:lang w:val="ru-RU"/>
        </w:rPr>
        <w:t xml:space="preserve">Заседание закрывается в </w:t>
      </w:r>
      <w:r w:rsidRPr="00DD2AB9">
        <w:rPr>
          <w:i/>
          <w:lang w:val="ru-RU"/>
        </w:rPr>
        <w:t>17</w:t>
      </w:r>
      <w:r w:rsidR="005F2199">
        <w:rPr>
          <w:i/>
          <w:lang w:val="ru-RU"/>
        </w:rPr>
        <w:t xml:space="preserve"> ч</w:t>
      </w:r>
      <w:r w:rsidRPr="00DD2AB9">
        <w:rPr>
          <w:i/>
          <w:lang w:val="ru-RU"/>
        </w:rPr>
        <w:t xml:space="preserve"> 15</w:t>
      </w:r>
      <w:r>
        <w:rPr>
          <w:i/>
          <w:lang w:val="ru-RU"/>
        </w:rPr>
        <w:t xml:space="preserve"> м</w:t>
      </w:r>
    </w:p>
    <w:p w:rsidR="00F90607" w:rsidRPr="005F2199" w:rsidRDefault="005F2199" w:rsidP="005F2199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5F2199" w:rsidRPr="005F2199" w:rsidRDefault="005F2199" w:rsidP="005F2199">
      <w:pPr>
        <w:spacing w:before="240"/>
        <w:jc w:val="center"/>
        <w:rPr>
          <w:u w:val="single"/>
        </w:rPr>
      </w:pPr>
    </w:p>
    <w:sectPr w:rsidR="005F2199" w:rsidRPr="005F2199" w:rsidSect="00F90607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A6B82" w:rsidRDefault="008A6B82">
      <w:r>
        <w:rPr>
          <w:lang w:val="en-US"/>
        </w:rPr>
        <w:tab/>
      </w:r>
      <w:r>
        <w:separator/>
      </w:r>
    </w:p>
  </w:endnote>
  <w:endnote w:type="continuationSeparator" w:id="0">
    <w:p w:rsidR="008A6B82" w:rsidRDefault="008A6B8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A6B82" w:rsidRPr="00B74BE2" w:rsidRDefault="008A6B82">
    <w:pPr>
      <w:pStyle w:val="Footer"/>
      <w:rPr>
        <w:szCs w:val="16"/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12</w:t>
    </w:r>
    <w:r>
      <w:rPr>
        <w:rStyle w:val="PageNumber"/>
      </w:rPr>
      <w:fldChar w:fldCharType="end"/>
    </w:r>
    <w:r>
      <w:rPr>
        <w:rStyle w:val="PageNumber"/>
        <w:lang w:val="en-US"/>
      </w:rPr>
      <w:tab/>
    </w:r>
    <w:r>
      <w:rPr>
        <w:rStyle w:val="PageNumber"/>
        <w:b w:val="0"/>
        <w:sz w:val="16"/>
        <w:szCs w:val="16"/>
        <w:lang w:val="en-US"/>
      </w:rPr>
      <w:t>GE.10-46478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A6B82" w:rsidRPr="00B74BE2" w:rsidRDefault="008A6B82">
    <w:pPr>
      <w:pStyle w:val="Footer"/>
      <w:rPr>
        <w:b/>
        <w:sz w:val="18"/>
        <w:szCs w:val="18"/>
        <w:lang w:val="en-US"/>
      </w:rPr>
    </w:pPr>
    <w:r>
      <w:rPr>
        <w:lang w:val="en-US"/>
      </w:rPr>
      <w:t>GE.10-46478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11</w:t>
    </w:r>
    <w:r>
      <w:rPr>
        <w:rStyle w:val="PageNumber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A6B82" w:rsidRDefault="008A6B82" w:rsidP="00DD2AB9">
    <w:pPr>
      <w:pStyle w:val="FootnoteText"/>
      <w:tabs>
        <w:tab w:val="clear" w:pos="1021"/>
        <w:tab w:val="right" w:pos="2155"/>
      </w:tabs>
      <w:spacing w:after="80"/>
      <w:ind w:left="680" w:firstLine="0"/>
      <w:rPr>
        <w:u w:val="single"/>
      </w:rPr>
    </w:pPr>
    <w:r>
      <w:rPr>
        <w:u w:val="single"/>
      </w:rPr>
      <w:tab/>
    </w:r>
  </w:p>
  <w:p w:rsidR="008A6B82" w:rsidRPr="00DD2AB9" w:rsidRDefault="008A6B82" w:rsidP="00DD2AB9">
    <w:pPr>
      <w:pStyle w:val="FootnoteText"/>
      <w:rPr>
        <w:lang w:val="ru-RU"/>
      </w:rPr>
    </w:pPr>
    <w:r>
      <w:rPr>
        <w:b/>
        <w:bCs/>
        <w:vertAlign w:val="superscript"/>
      </w:rPr>
      <w:tab/>
    </w:r>
    <w:r w:rsidRPr="00DD2AB9">
      <w:rPr>
        <w:b/>
        <w:bCs/>
        <w:sz w:val="20"/>
        <w:lang w:val="ru-RU"/>
      </w:rPr>
      <w:t>*</w:t>
    </w:r>
    <w:r w:rsidRPr="00DD2AB9">
      <w:rPr>
        <w:lang w:val="ru-RU"/>
      </w:rPr>
      <w:tab/>
    </w:r>
    <w:r>
      <w:rPr>
        <w:lang w:val="ru-RU"/>
      </w:rPr>
      <w:t>Краткого отчета о второй (закрытой) части заседания не составлялось</w:t>
    </w:r>
    <w:r w:rsidRPr="00DD2AB9">
      <w:rPr>
        <w:lang w:val="ru-RU"/>
      </w:rPr>
      <w:t>.</w:t>
    </w:r>
  </w:p>
  <w:p w:rsidR="008A6B82" w:rsidRDefault="008A6B82" w:rsidP="00DD2AB9">
    <w:pPr>
      <w:pBdr>
        <w:bottom w:val="single" w:sz="4" w:space="1" w:color="auto"/>
      </w:pBdr>
      <w:spacing w:line="240" w:lineRule="auto"/>
    </w:pPr>
  </w:p>
  <w:p w:rsidR="008A6B82" w:rsidRDefault="008A6B82" w:rsidP="00DD2AB9">
    <w:pPr>
      <w:spacing w:after="120"/>
      <w:ind w:left="567" w:firstLine="567"/>
      <w:rPr>
        <w:sz w:val="18"/>
        <w:szCs w:val="18"/>
      </w:rPr>
    </w:pPr>
    <w:r>
      <w:rPr>
        <w:sz w:val="18"/>
        <w:szCs w:val="18"/>
      </w:rPr>
      <w:t>В настоящий отчет могут вноситься поправки.</w:t>
    </w:r>
  </w:p>
  <w:p w:rsidR="008A6B82" w:rsidRDefault="008A6B82" w:rsidP="00DD2AB9">
    <w:pPr>
      <w:spacing w:after="120"/>
      <w:ind w:left="1134"/>
      <w:jc w:val="both"/>
      <w:rPr>
        <w:sz w:val="18"/>
        <w:szCs w:val="18"/>
      </w:rPr>
    </w:pPr>
    <w:r>
      <w:rPr>
        <w:sz w:val="18"/>
        <w:szCs w:val="18"/>
      </w:rPr>
      <w:t>Поправки должны представляться на одном из рабочих языков. Они должны быть изложены в поя</w:t>
    </w:r>
    <w:r>
      <w:rPr>
        <w:sz w:val="18"/>
        <w:szCs w:val="18"/>
      </w:rPr>
      <w:t>с</w:t>
    </w:r>
    <w:r>
      <w:rPr>
        <w:sz w:val="18"/>
        <w:szCs w:val="18"/>
      </w:rPr>
      <w:t xml:space="preserve">нительной записке, а также внесены в один из экземпляров отчета. Поправки следует направлять </w:t>
    </w:r>
    <w:r>
      <w:rPr>
        <w:i/>
        <w:sz w:val="18"/>
        <w:szCs w:val="18"/>
      </w:rPr>
      <w:t>в течение одной недели с момента выпуска настоящего документа</w:t>
    </w:r>
    <w:r>
      <w:rPr>
        <w:sz w:val="18"/>
        <w:szCs w:val="18"/>
      </w:rPr>
      <w:t xml:space="preserve"> в Группу издания официальных д</w:t>
    </w:r>
    <w:r>
      <w:rPr>
        <w:sz w:val="18"/>
        <w:szCs w:val="18"/>
      </w:rPr>
      <w:t>о</w:t>
    </w:r>
    <w:r>
      <w:rPr>
        <w:sz w:val="18"/>
        <w:szCs w:val="18"/>
      </w:rPr>
      <w:t>кументов, комната E.4108, Дворец Наций, Женева.</w:t>
    </w:r>
  </w:p>
  <w:p w:rsidR="008A6B82" w:rsidRDefault="008A6B82" w:rsidP="00DD2AB9">
    <w:pPr>
      <w:spacing w:after="240"/>
      <w:ind w:left="1134"/>
      <w:jc w:val="both"/>
      <w:rPr>
        <w:sz w:val="18"/>
        <w:szCs w:val="18"/>
      </w:rPr>
    </w:pPr>
    <w:r>
      <w:rPr>
        <w:sz w:val="18"/>
        <w:szCs w:val="18"/>
      </w:rPr>
      <w:t>Любые поправки к отчетам об открытых заседаниях Комитета на данной сессии будут сведены в ед</w:t>
    </w:r>
    <w:r>
      <w:rPr>
        <w:sz w:val="18"/>
        <w:szCs w:val="18"/>
      </w:rPr>
      <w:t>и</w:t>
    </w:r>
    <w:r>
      <w:rPr>
        <w:sz w:val="18"/>
        <w:szCs w:val="18"/>
      </w:rPr>
      <w:t xml:space="preserve">ное исправление, которое будет издано вскоре после окончания сессии. </w:t>
    </w:r>
  </w:p>
  <w:p w:rsidR="008A6B82" w:rsidRDefault="008A6B82">
    <w:pPr>
      <w:pStyle w:val="Footer"/>
      <w:rPr>
        <w:sz w:val="20"/>
        <w:lang w:val="ru-RU"/>
      </w:rPr>
    </w:pPr>
  </w:p>
  <w:p w:rsidR="008A6B82" w:rsidRPr="00B74BE2" w:rsidRDefault="008A6B82">
    <w:pPr>
      <w:pStyle w:val="Footer"/>
      <w:rPr>
        <w:sz w:val="20"/>
        <w:lang w:val="en-US"/>
      </w:rPr>
    </w:pPr>
    <w:r>
      <w:rPr>
        <w:sz w:val="20"/>
        <w:lang w:val="en-US"/>
      </w:rPr>
      <w:t>GE.10-46478  (R)  041111  041111</w:t>
    </w:r>
    <w:r>
      <w:rPr>
        <w:sz w:val="20"/>
        <w:lang w:val="en-US"/>
      </w:rPr>
      <w:tab/>
    </w:r>
    <w:r w:rsidRPr="00206282">
      <w:rPr>
        <w:b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213pt;height:18pt">
          <v:imagedata r:id="rId1" o:title="recycle_Russian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A6B82" w:rsidRPr="00F71F63" w:rsidRDefault="008A6B82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8A6B82" w:rsidRPr="00F71F63" w:rsidRDefault="008A6B82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8A6B82" w:rsidRPr="00635E86" w:rsidRDefault="008A6B82" w:rsidP="00635E86">
      <w:pPr>
        <w:pStyle w:val="Footer"/>
      </w:pP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A6B82" w:rsidRPr="008C469F" w:rsidRDefault="008A6B82">
    <w:pPr>
      <w:pStyle w:val="Header"/>
      <w:rPr>
        <w:lang w:val="en-US"/>
      </w:rPr>
    </w:pPr>
    <w:r>
      <w:rPr>
        <w:lang w:val="en-US"/>
      </w:rPr>
      <w:t>CAT/C/SR.963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A6B82" w:rsidRPr="00B74BE2" w:rsidRDefault="008A6B82">
    <w:pPr>
      <w:pStyle w:val="Header"/>
      <w:rPr>
        <w:lang w:val="en-US"/>
      </w:rPr>
    </w:pPr>
    <w:r>
      <w:rPr>
        <w:lang w:val="en-US"/>
      </w:rPr>
      <w:tab/>
      <w:t>CAT/C/SR.963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17"/>
  <w:activeWritingStyle w:appName="MSWord" w:lang="en-US" w:vendorID="64" w:dllVersion="131078" w:nlCheck="1" w:checkStyle="1"/>
  <w:activeWritingStyle w:appName="MSWord" w:lang="en-GB" w:vendorID="64" w:dllVersion="131078" w:nlCheck="1" w:checkStyle="1"/>
  <w:attachedTemplate r:id="rId1"/>
  <w:stylePaneFormatFilter w:val="1F01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D490E"/>
    <w:rsid w:val="000033D8"/>
    <w:rsid w:val="00005C1C"/>
    <w:rsid w:val="00016553"/>
    <w:rsid w:val="000233B3"/>
    <w:rsid w:val="000236A7"/>
    <w:rsid w:val="00023E9E"/>
    <w:rsid w:val="00026B0C"/>
    <w:rsid w:val="0003638E"/>
    <w:rsid w:val="00036FF2"/>
    <w:rsid w:val="0004010A"/>
    <w:rsid w:val="00043D88"/>
    <w:rsid w:val="00046E4D"/>
    <w:rsid w:val="000539BA"/>
    <w:rsid w:val="0006401A"/>
    <w:rsid w:val="00072C27"/>
    <w:rsid w:val="00080A04"/>
    <w:rsid w:val="00086182"/>
    <w:rsid w:val="00090891"/>
    <w:rsid w:val="00092E62"/>
    <w:rsid w:val="00097975"/>
    <w:rsid w:val="000A3DDF"/>
    <w:rsid w:val="000A60A0"/>
    <w:rsid w:val="000C3688"/>
    <w:rsid w:val="000D6863"/>
    <w:rsid w:val="00117AEE"/>
    <w:rsid w:val="001463F7"/>
    <w:rsid w:val="0015769C"/>
    <w:rsid w:val="00180752"/>
    <w:rsid w:val="001826B9"/>
    <w:rsid w:val="00185076"/>
    <w:rsid w:val="0018543C"/>
    <w:rsid w:val="00190231"/>
    <w:rsid w:val="00192ABD"/>
    <w:rsid w:val="001A75D5"/>
    <w:rsid w:val="001A7D40"/>
    <w:rsid w:val="001C4CB5"/>
    <w:rsid w:val="001D07F7"/>
    <w:rsid w:val="001D384C"/>
    <w:rsid w:val="001D7B8F"/>
    <w:rsid w:val="001E48EE"/>
    <w:rsid w:val="001F2D04"/>
    <w:rsid w:val="0020059C"/>
    <w:rsid w:val="002019BD"/>
    <w:rsid w:val="00232D42"/>
    <w:rsid w:val="00237334"/>
    <w:rsid w:val="002444F4"/>
    <w:rsid w:val="002629A0"/>
    <w:rsid w:val="0028492B"/>
    <w:rsid w:val="00291C8F"/>
    <w:rsid w:val="002C5036"/>
    <w:rsid w:val="002C6A71"/>
    <w:rsid w:val="002C6D5F"/>
    <w:rsid w:val="002D15EA"/>
    <w:rsid w:val="002D6C07"/>
    <w:rsid w:val="002E0CE6"/>
    <w:rsid w:val="002E1163"/>
    <w:rsid w:val="002E43F3"/>
    <w:rsid w:val="002F5FCF"/>
    <w:rsid w:val="003215F5"/>
    <w:rsid w:val="00332891"/>
    <w:rsid w:val="00352AB4"/>
    <w:rsid w:val="00356BB2"/>
    <w:rsid w:val="00360477"/>
    <w:rsid w:val="00367FC9"/>
    <w:rsid w:val="003711A1"/>
    <w:rsid w:val="00372123"/>
    <w:rsid w:val="00386581"/>
    <w:rsid w:val="00387100"/>
    <w:rsid w:val="003951D3"/>
    <w:rsid w:val="003978C6"/>
    <w:rsid w:val="003B40A9"/>
    <w:rsid w:val="003C016E"/>
    <w:rsid w:val="003D5EBD"/>
    <w:rsid w:val="003F770B"/>
    <w:rsid w:val="00401CE0"/>
    <w:rsid w:val="00403234"/>
    <w:rsid w:val="00407AC3"/>
    <w:rsid w:val="00414586"/>
    <w:rsid w:val="00415059"/>
    <w:rsid w:val="00424FDD"/>
    <w:rsid w:val="0043033D"/>
    <w:rsid w:val="004313F0"/>
    <w:rsid w:val="00435FE4"/>
    <w:rsid w:val="00457634"/>
    <w:rsid w:val="00474F42"/>
    <w:rsid w:val="004802AC"/>
    <w:rsid w:val="0048244D"/>
    <w:rsid w:val="004A0DE8"/>
    <w:rsid w:val="004A4CB7"/>
    <w:rsid w:val="004A57B5"/>
    <w:rsid w:val="004B19DA"/>
    <w:rsid w:val="004C2A53"/>
    <w:rsid w:val="004C3B35"/>
    <w:rsid w:val="004C43EC"/>
    <w:rsid w:val="004E6729"/>
    <w:rsid w:val="004F0E47"/>
    <w:rsid w:val="0051339C"/>
    <w:rsid w:val="0051412F"/>
    <w:rsid w:val="00522B6F"/>
    <w:rsid w:val="0052430E"/>
    <w:rsid w:val="005276AD"/>
    <w:rsid w:val="00540A9A"/>
    <w:rsid w:val="00543522"/>
    <w:rsid w:val="00545680"/>
    <w:rsid w:val="0056618E"/>
    <w:rsid w:val="00576F59"/>
    <w:rsid w:val="00577A34"/>
    <w:rsid w:val="00580AAD"/>
    <w:rsid w:val="005823C0"/>
    <w:rsid w:val="00593A04"/>
    <w:rsid w:val="005A6D5A"/>
    <w:rsid w:val="005B1B28"/>
    <w:rsid w:val="005B7D51"/>
    <w:rsid w:val="005B7F35"/>
    <w:rsid w:val="005C2081"/>
    <w:rsid w:val="005C678A"/>
    <w:rsid w:val="005D346D"/>
    <w:rsid w:val="005E74AB"/>
    <w:rsid w:val="005F2199"/>
    <w:rsid w:val="00606A3E"/>
    <w:rsid w:val="006115AA"/>
    <w:rsid w:val="006120AE"/>
    <w:rsid w:val="00635E86"/>
    <w:rsid w:val="00636A37"/>
    <w:rsid w:val="00647B27"/>
    <w:rsid w:val="006501A5"/>
    <w:rsid w:val="006567B2"/>
    <w:rsid w:val="00662ADE"/>
    <w:rsid w:val="00664106"/>
    <w:rsid w:val="006756F1"/>
    <w:rsid w:val="00677773"/>
    <w:rsid w:val="006805FC"/>
    <w:rsid w:val="006926C7"/>
    <w:rsid w:val="00694C37"/>
    <w:rsid w:val="006A1BEB"/>
    <w:rsid w:val="006A401C"/>
    <w:rsid w:val="006A7C6E"/>
    <w:rsid w:val="006B1F7F"/>
    <w:rsid w:val="006B23D9"/>
    <w:rsid w:val="006C1814"/>
    <w:rsid w:val="006C2F45"/>
    <w:rsid w:val="006C361A"/>
    <w:rsid w:val="006C5657"/>
    <w:rsid w:val="006D5E4E"/>
    <w:rsid w:val="006E6860"/>
    <w:rsid w:val="006E7183"/>
    <w:rsid w:val="006F5FBF"/>
    <w:rsid w:val="0070327E"/>
    <w:rsid w:val="00707B5F"/>
    <w:rsid w:val="00735602"/>
    <w:rsid w:val="0075279B"/>
    <w:rsid w:val="00753748"/>
    <w:rsid w:val="00762446"/>
    <w:rsid w:val="00781ACB"/>
    <w:rsid w:val="007A79EB"/>
    <w:rsid w:val="007D4CA0"/>
    <w:rsid w:val="007D7256"/>
    <w:rsid w:val="007D7A23"/>
    <w:rsid w:val="007E38C3"/>
    <w:rsid w:val="007E549E"/>
    <w:rsid w:val="007E71C9"/>
    <w:rsid w:val="007F7553"/>
    <w:rsid w:val="0080755E"/>
    <w:rsid w:val="008120D4"/>
    <w:rsid w:val="008139A5"/>
    <w:rsid w:val="00817F73"/>
    <w:rsid w:val="0082228E"/>
    <w:rsid w:val="00830402"/>
    <w:rsid w:val="008305D7"/>
    <w:rsid w:val="00834887"/>
    <w:rsid w:val="00842FED"/>
    <w:rsid w:val="008455CF"/>
    <w:rsid w:val="00847689"/>
    <w:rsid w:val="00861C52"/>
    <w:rsid w:val="008727A1"/>
    <w:rsid w:val="00886B0F"/>
    <w:rsid w:val="00891C08"/>
    <w:rsid w:val="008A3879"/>
    <w:rsid w:val="008A5FA8"/>
    <w:rsid w:val="008A6B82"/>
    <w:rsid w:val="008A7575"/>
    <w:rsid w:val="008B5F47"/>
    <w:rsid w:val="008C7B87"/>
    <w:rsid w:val="008D6A7A"/>
    <w:rsid w:val="008E3E87"/>
    <w:rsid w:val="008E7F13"/>
    <w:rsid w:val="008F3185"/>
    <w:rsid w:val="00915B0A"/>
    <w:rsid w:val="00926904"/>
    <w:rsid w:val="009372F0"/>
    <w:rsid w:val="00955022"/>
    <w:rsid w:val="00957B4D"/>
    <w:rsid w:val="00964EEA"/>
    <w:rsid w:val="00980C86"/>
    <w:rsid w:val="009B1D9B"/>
    <w:rsid w:val="009B4074"/>
    <w:rsid w:val="009C30BB"/>
    <w:rsid w:val="009C60BE"/>
    <w:rsid w:val="009E6279"/>
    <w:rsid w:val="009F00A6"/>
    <w:rsid w:val="009F56A7"/>
    <w:rsid w:val="009F5B05"/>
    <w:rsid w:val="00A026CA"/>
    <w:rsid w:val="00A07232"/>
    <w:rsid w:val="00A14800"/>
    <w:rsid w:val="00A156DE"/>
    <w:rsid w:val="00A157ED"/>
    <w:rsid w:val="00A2446A"/>
    <w:rsid w:val="00A325A9"/>
    <w:rsid w:val="00A4025D"/>
    <w:rsid w:val="00A800D1"/>
    <w:rsid w:val="00A92699"/>
    <w:rsid w:val="00AB5BF0"/>
    <w:rsid w:val="00AC1C95"/>
    <w:rsid w:val="00AC2CCB"/>
    <w:rsid w:val="00AC443A"/>
    <w:rsid w:val="00AE60E2"/>
    <w:rsid w:val="00B0169F"/>
    <w:rsid w:val="00B05F21"/>
    <w:rsid w:val="00B14EA9"/>
    <w:rsid w:val="00B30A3C"/>
    <w:rsid w:val="00B46A1E"/>
    <w:rsid w:val="00B81305"/>
    <w:rsid w:val="00BB17DC"/>
    <w:rsid w:val="00BB1AF9"/>
    <w:rsid w:val="00BB4C4A"/>
    <w:rsid w:val="00BD3CAE"/>
    <w:rsid w:val="00BD490E"/>
    <w:rsid w:val="00BD5F3C"/>
    <w:rsid w:val="00C07C0F"/>
    <w:rsid w:val="00C145C4"/>
    <w:rsid w:val="00C20D2F"/>
    <w:rsid w:val="00C2131B"/>
    <w:rsid w:val="00C37AF8"/>
    <w:rsid w:val="00C37C79"/>
    <w:rsid w:val="00C41BBC"/>
    <w:rsid w:val="00C51419"/>
    <w:rsid w:val="00C54056"/>
    <w:rsid w:val="00C663A3"/>
    <w:rsid w:val="00C75CB2"/>
    <w:rsid w:val="00C90723"/>
    <w:rsid w:val="00C90D5C"/>
    <w:rsid w:val="00CA609E"/>
    <w:rsid w:val="00CA7DA4"/>
    <w:rsid w:val="00CB31FB"/>
    <w:rsid w:val="00CE3D6F"/>
    <w:rsid w:val="00CE79A5"/>
    <w:rsid w:val="00CF0042"/>
    <w:rsid w:val="00CF262F"/>
    <w:rsid w:val="00D025D5"/>
    <w:rsid w:val="00D26B13"/>
    <w:rsid w:val="00D26CC1"/>
    <w:rsid w:val="00D30662"/>
    <w:rsid w:val="00D32A0B"/>
    <w:rsid w:val="00D34CFC"/>
    <w:rsid w:val="00D6236B"/>
    <w:rsid w:val="00D809D1"/>
    <w:rsid w:val="00D84ECF"/>
    <w:rsid w:val="00D85FE9"/>
    <w:rsid w:val="00DA2851"/>
    <w:rsid w:val="00DA2B7C"/>
    <w:rsid w:val="00DA5686"/>
    <w:rsid w:val="00DB2FC0"/>
    <w:rsid w:val="00DD2AB9"/>
    <w:rsid w:val="00DF18FA"/>
    <w:rsid w:val="00DF49CA"/>
    <w:rsid w:val="00DF775B"/>
    <w:rsid w:val="00E007F3"/>
    <w:rsid w:val="00E00DEA"/>
    <w:rsid w:val="00E00EAF"/>
    <w:rsid w:val="00E06EF0"/>
    <w:rsid w:val="00E11679"/>
    <w:rsid w:val="00E307D1"/>
    <w:rsid w:val="00E46A04"/>
    <w:rsid w:val="00E717F3"/>
    <w:rsid w:val="00E72C5E"/>
    <w:rsid w:val="00E73451"/>
    <w:rsid w:val="00E7489F"/>
    <w:rsid w:val="00E75147"/>
    <w:rsid w:val="00E8167D"/>
    <w:rsid w:val="00E907E9"/>
    <w:rsid w:val="00E96BE7"/>
    <w:rsid w:val="00EA2CD0"/>
    <w:rsid w:val="00EC0044"/>
    <w:rsid w:val="00EC6B9F"/>
    <w:rsid w:val="00EE516D"/>
    <w:rsid w:val="00EF4D1B"/>
    <w:rsid w:val="00EF7295"/>
    <w:rsid w:val="00F0145B"/>
    <w:rsid w:val="00F069D1"/>
    <w:rsid w:val="00F1503D"/>
    <w:rsid w:val="00F22712"/>
    <w:rsid w:val="00F275F5"/>
    <w:rsid w:val="00F33188"/>
    <w:rsid w:val="00F35BDE"/>
    <w:rsid w:val="00F52A0E"/>
    <w:rsid w:val="00F71F63"/>
    <w:rsid w:val="00F87506"/>
    <w:rsid w:val="00F90607"/>
    <w:rsid w:val="00F92C41"/>
    <w:rsid w:val="00FA5522"/>
    <w:rsid w:val="00FA6E4A"/>
    <w:rsid w:val="00FB2B35"/>
    <w:rsid w:val="00FC4AE1"/>
    <w:rsid w:val="00FD78A3"/>
    <w:rsid w:val="00FF6C8A"/>
    <w:rsid w:val="00FF7C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semiHidden/>
    <w:rsid w:val="00F90607"/>
    <w:pPr>
      <w:spacing w:before="40" w:after="40" w:line="220" w:lineRule="exact"/>
    </w:pPr>
    <w:rPr>
      <w:sz w:val="18"/>
    </w:rPr>
    <w:tblPr>
      <w:tblInd w:w="0" w:type="dxa"/>
      <w:tblBorders>
        <w:top w:val="single" w:sz="4" w:space="0" w:color="auto"/>
        <w:bottom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nil"/>
        </w:tcBorders>
      </w:tcPr>
    </w:tblStyle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basedOn w:val="DefaultParagraphFont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,5_G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basedOn w:val="DefaultParagraphFont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SingleTxtG">
    <w:name w:val="_ Single Txt_G"/>
    <w:basedOn w:val="Normal"/>
    <w:rsid w:val="00DD2AB9"/>
    <w:pPr>
      <w:suppressAutoHyphens/>
      <w:spacing w:after="120"/>
      <w:ind w:left="1134" w:right="1134"/>
      <w:jc w:val="both"/>
    </w:pPr>
    <w:rPr>
      <w:spacing w:val="0"/>
      <w:w w:val="100"/>
      <w:kern w:val="0"/>
      <w:lang w:val="fr-CH"/>
    </w:rPr>
  </w:style>
  <w:style w:type="character" w:styleId="Emphasis">
    <w:name w:val="Emphasis"/>
    <w:basedOn w:val="DefaultParagraphFont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basedOn w:val="DefaultParagraphFont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basedOn w:val="DefaultParagraphFont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basedOn w:val="DefaultParagraphFont"/>
    <w:semiHidden/>
    <w:rsid w:val="007E71C9"/>
    <w:rPr>
      <w:i/>
      <w:iCs/>
    </w:rPr>
  </w:style>
  <w:style w:type="character" w:styleId="HTMLTypewriter">
    <w:name w:val="HTML Typewriter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basedOn w:val="DefaultParagraphFont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basedOn w:val="DefaultParagraphFont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basedOn w:val="DefaultParagraphFont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basedOn w:val="DefaultParagraphFont"/>
    <w:semiHidden/>
    <w:rsid w:val="007E71C9"/>
    <w:rPr>
      <w:color w:val="000000"/>
      <w:u w:val="single"/>
    </w:rPr>
  </w:style>
  <w:style w:type="paragraph" w:customStyle="1" w:styleId="H23G">
    <w:name w:val="_ H_2/3_G"/>
    <w:basedOn w:val="Normal"/>
    <w:next w:val="Normal"/>
    <w:rsid w:val="00DD2AB9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spacing w:val="0"/>
      <w:w w:val="100"/>
      <w:kern w:val="0"/>
      <w:lang w:val="fr-CH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basedOn w:val="DefaultParagraphFont"/>
    <w:semiHidden/>
    <w:rsid w:val="007E71C9"/>
    <w:rPr>
      <w:sz w:val="16"/>
      <w:szCs w:val="16"/>
    </w:rPr>
  </w:style>
  <w:style w:type="paragraph" w:customStyle="1" w:styleId="H4G">
    <w:name w:val="_ H_4_G"/>
    <w:basedOn w:val="Normal"/>
    <w:next w:val="Normal"/>
    <w:rsid w:val="00DD2AB9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i/>
      <w:spacing w:val="0"/>
      <w:w w:val="100"/>
      <w:kern w:val="0"/>
      <w:lang w:val="fr-CH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A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CAT</Template>
  <TotalTime>0</TotalTime>
  <Pages>12</Pages>
  <Words>5539</Words>
  <Characters>31578</Characters>
  <Application>Microsoft Office Outlook</Application>
  <DocSecurity>4</DocSecurity>
  <Lines>263</Lines>
  <Paragraphs>74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1046478.doc</vt:lpstr>
    </vt:vector>
  </TitlesOfParts>
  <Company>CSD</Company>
  <LinksUpToDate>false</LinksUpToDate>
  <CharactersWithSpaces>37043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1046478.doc</dc:title>
  <dc:subject>Власов</dc:subject>
  <dc:creator>Беляева Светлана</dc:creator>
  <cp:keywords/>
  <dc:description/>
  <cp:lastModifiedBy>Беляева Светлана</cp:lastModifiedBy>
  <cp:revision>2</cp:revision>
  <cp:lastPrinted>2011-11-04T12:02:00Z</cp:lastPrinted>
  <dcterms:created xsi:type="dcterms:W3CDTF">2011-11-08T10:00:00Z</dcterms:created>
  <dcterms:modified xsi:type="dcterms:W3CDTF">2011-11-08T10:00:00Z</dcterms:modified>
</cp:coreProperties>
</file>