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CC1C4" w14:textId="77777777" w:rsidR="00A92D23" w:rsidRPr="00485C85" w:rsidRDefault="00A92D23" w:rsidP="00A92D23">
      <w:pPr>
        <w:spacing w:line="240" w:lineRule="auto"/>
        <w:rPr>
          <w:sz w:val="2"/>
          <w:lang w:val="en-US"/>
        </w:rPr>
        <w:sectPr w:rsidR="00A92D23" w:rsidRPr="00485C85" w:rsidSect="00583FB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83FBD">
        <w:rPr>
          <w:rStyle w:val="CommentReference"/>
          <w:szCs w:val="20"/>
        </w:rPr>
        <w:commentReference w:id="0"/>
      </w:r>
    </w:p>
    <w:p w14:paraId="14F2317F" w14:textId="17A9F4A4" w:rsidR="00583FBD" w:rsidRDefault="00583FBD" w:rsidP="00D84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Comité para la Eliminación de la Discriminación contra la Mujer</w:t>
      </w:r>
    </w:p>
    <w:p w14:paraId="7D766344" w14:textId="77777777" w:rsidR="00583FBD" w:rsidRPr="00583FBD" w:rsidRDefault="00583FBD" w:rsidP="00583FBD">
      <w:pPr>
        <w:spacing w:line="120" w:lineRule="exact"/>
        <w:rPr>
          <w:sz w:val="10"/>
        </w:rPr>
      </w:pPr>
    </w:p>
    <w:p w14:paraId="108E49DB" w14:textId="19534D1B" w:rsidR="00583FBD" w:rsidRDefault="00583FBD" w:rsidP="00583FB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14:ligatures w14:val="none"/>
        </w:rPr>
      </w:pPr>
      <w:r w:rsidRPr="00583FBD">
        <w:rPr>
          <w:noProof/>
          <w:w w:val="100"/>
        </w:rPr>
        <mc:AlternateContent>
          <mc:Choice Requires="wps">
            <w:drawing>
              <wp:anchor distT="0" distB="0" distL="114300" distR="114300" simplePos="0" relativeHeight="251659264" behindDoc="0" locked="0" layoutInCell="1" allowOverlap="1" wp14:anchorId="666BD251" wp14:editId="61166C10">
                <wp:simplePos x="0" y="0"/>
                <wp:positionH relativeFrom="column">
                  <wp:posOffset>548640</wp:posOffset>
                </wp:positionH>
                <wp:positionV relativeFrom="paragraph">
                  <wp:posOffset>-12700</wp:posOffset>
                </wp:positionV>
                <wp:extent cx="914400" cy="0"/>
                <wp:effectExtent l="0" t="0" r="0" b="0"/>
                <wp:wrapNone/>
                <wp:docPr id="47118596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40B12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583FBD">
        <w:rPr>
          <w:spacing w:val="5"/>
          <w:w w:val="104"/>
          <w:kern w:val="14"/>
          <w:sz w:val="17"/>
          <w:szCs w:val="20"/>
          <w14:ligatures w14:val="none"/>
        </w:rPr>
        <w:t>El presente documento se publica sin haber sido objeto de revisión editorial oficial</w:t>
      </w:r>
      <w:r>
        <w:rPr>
          <w:spacing w:val="5"/>
          <w:w w:val="104"/>
          <w:kern w:val="14"/>
          <w:sz w:val="17"/>
          <w:szCs w:val="20"/>
          <w14:ligatures w14:val="none"/>
        </w:rPr>
        <w:t>.</w:t>
      </w:r>
    </w:p>
    <w:p w14:paraId="3C95DAB6" w14:textId="29DD777A" w:rsidR="00583FBD" w:rsidRPr="00583FBD" w:rsidRDefault="00583FBD" w:rsidP="00583FB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583FBD">
        <w:rPr>
          <w:spacing w:val="5"/>
          <w:w w:val="104"/>
          <w:kern w:val="14"/>
          <w:sz w:val="17"/>
          <w:szCs w:val="20"/>
          <w14:ligatures w14:val="none"/>
        </w:rPr>
        <w:t>El anexo del presente documento puede consultarse en la página web del Comité</w:t>
      </w:r>
      <w:r>
        <w:rPr>
          <w:spacing w:val="5"/>
          <w:w w:val="104"/>
          <w:kern w:val="14"/>
          <w:sz w:val="17"/>
          <w:szCs w:val="20"/>
          <w14:ligatures w14:val="none"/>
        </w:rPr>
        <w:t>.</w:t>
      </w:r>
    </w:p>
    <w:p w14:paraId="1F0220E1" w14:textId="77777777" w:rsidR="00583FBD" w:rsidRPr="00583FBD" w:rsidRDefault="00583FBD" w:rsidP="00583FBD">
      <w:pPr>
        <w:spacing w:line="120" w:lineRule="exact"/>
        <w:rPr>
          <w:sz w:val="10"/>
        </w:rPr>
      </w:pPr>
    </w:p>
    <w:p w14:paraId="098CC417" w14:textId="77777777" w:rsidR="00583FBD" w:rsidRPr="00583FBD" w:rsidRDefault="00583FBD" w:rsidP="00583FBD">
      <w:pPr>
        <w:spacing w:line="120" w:lineRule="exact"/>
        <w:rPr>
          <w:sz w:val="10"/>
        </w:rPr>
      </w:pPr>
    </w:p>
    <w:p w14:paraId="2A618D69" w14:textId="3E0A482F" w:rsidR="00583FBD" w:rsidRPr="00F841F1" w:rsidRDefault="00583FBD" w:rsidP="00583FBD">
      <w:pPr>
        <w:pStyle w:val="TitleHCH"/>
        <w:ind w:right="1260"/>
      </w:pPr>
      <w:r w:rsidRPr="00F841F1">
        <w:tab/>
      </w:r>
      <w:r w:rsidRPr="00F841F1">
        <w:tab/>
      </w:r>
      <w:r w:rsidRPr="00C4227A">
        <w:rPr>
          <w:lang w:val="es-ES_tradnl"/>
        </w:rPr>
        <w:t>Octavo informe periódico</w:t>
      </w:r>
      <w:r w:rsidRPr="004A4532">
        <w:rPr>
          <w:lang w:val="es-ES_tradnl"/>
        </w:rPr>
        <w:t xml:space="preserve"> que </w:t>
      </w:r>
      <w:r>
        <w:rPr>
          <w:lang w:val="es-ES_tradnl"/>
        </w:rPr>
        <w:t>el Paraguay</w:t>
      </w:r>
      <w:r w:rsidRPr="004A4532">
        <w:rPr>
          <w:lang w:val="es-ES_tradnl"/>
        </w:rPr>
        <w:t xml:space="preserve"> debía presentar en </w:t>
      </w:r>
      <w:r w:rsidRPr="008C35D6">
        <w:rPr>
          <w:lang w:val="es-ES_tradnl"/>
        </w:rPr>
        <w:t>2021</w:t>
      </w:r>
      <w:r w:rsidRPr="004A4532">
        <w:rPr>
          <w:lang w:val="es-ES_tradnl"/>
        </w:rPr>
        <w:t xml:space="preserve"> en virtud del artículo</w:t>
      </w:r>
      <w:r>
        <w:rPr>
          <w:lang w:val="es-ES_tradnl"/>
        </w:rPr>
        <w:t> </w:t>
      </w:r>
      <w:r w:rsidRPr="004A4532">
        <w:rPr>
          <w:lang w:val="es-ES_tradnl"/>
        </w:rPr>
        <w:t>18 de la Convención</w:t>
      </w:r>
      <w:r w:rsidR="00D849F6" w:rsidRPr="00D849F6">
        <w:rPr>
          <w:b w:val="0"/>
          <w:bCs/>
          <w:sz w:val="20"/>
          <w:szCs w:val="20"/>
          <w:lang w:val="es-ES_tradnl"/>
        </w:rPr>
        <w:t>*</w:t>
      </w:r>
      <w:r w:rsidR="00D849F6" w:rsidRPr="00D849F6">
        <w:rPr>
          <w:b w:val="0"/>
          <w:bCs/>
          <w:sz w:val="20"/>
          <w:szCs w:val="20"/>
          <w:vertAlign w:val="superscript"/>
          <w:lang w:val="es-ES_tradnl"/>
        </w:rPr>
        <w:t>,</w:t>
      </w:r>
      <w:r w:rsidR="00D849F6" w:rsidRPr="00D849F6">
        <w:rPr>
          <w:b w:val="0"/>
          <w:bCs/>
          <w:sz w:val="20"/>
          <w:szCs w:val="20"/>
          <w:lang w:val="es-ES_tradnl"/>
        </w:rPr>
        <w:t>**</w:t>
      </w:r>
    </w:p>
    <w:p w14:paraId="05CCBE8C" w14:textId="77777777" w:rsidR="00583FBD" w:rsidRPr="00583FBD" w:rsidRDefault="00583FBD" w:rsidP="00583FBD">
      <w:pPr>
        <w:pStyle w:val="SingleTxt"/>
        <w:spacing w:after="0" w:line="120" w:lineRule="exact"/>
        <w:rPr>
          <w:sz w:val="10"/>
        </w:rPr>
      </w:pPr>
    </w:p>
    <w:p w14:paraId="508E223F" w14:textId="77777777" w:rsidR="00583FBD" w:rsidRPr="00583FBD" w:rsidRDefault="00583FBD" w:rsidP="00583FBD">
      <w:pPr>
        <w:pStyle w:val="SingleTxt"/>
        <w:spacing w:after="0" w:line="120" w:lineRule="exact"/>
        <w:rPr>
          <w:sz w:val="10"/>
        </w:rPr>
      </w:pPr>
    </w:p>
    <w:p w14:paraId="7B7AB86D" w14:textId="2F865C42" w:rsidR="00583FBD" w:rsidRPr="00BC3E2F" w:rsidRDefault="00583FBD" w:rsidP="00583FBD">
      <w:pPr>
        <w:pStyle w:val="SingleTxt"/>
        <w:jc w:val="right"/>
      </w:pPr>
      <w:r>
        <w:t>[Fecha de recepción: 18</w:t>
      </w:r>
      <w:r w:rsidRPr="00F514C1">
        <w:t xml:space="preserve"> de </w:t>
      </w:r>
      <w:r>
        <w:t>julio</w:t>
      </w:r>
      <w:r w:rsidRPr="00F514C1">
        <w:t xml:space="preserve"> de </w:t>
      </w:r>
      <w:r>
        <w:t>2024]</w:t>
      </w:r>
    </w:p>
    <w:p w14:paraId="331EB50A" w14:textId="77777777" w:rsidR="00A92D23" w:rsidRDefault="00A92D23" w:rsidP="00A92D23"/>
    <w:p w14:paraId="39156EA4" w14:textId="77777777" w:rsidR="00583FBD" w:rsidRPr="00583FBD" w:rsidRDefault="00583FBD" w:rsidP="00583FBD">
      <w:pPr>
        <w:pStyle w:val="SingleTxt"/>
        <w:spacing w:after="0" w:line="120" w:lineRule="exact"/>
        <w:rPr>
          <w:sz w:val="10"/>
        </w:rPr>
      </w:pPr>
    </w:p>
    <w:p w14:paraId="3C710B98" w14:textId="57D6A1DB" w:rsidR="00583FBD" w:rsidRDefault="00583FBD">
      <w:pPr>
        <w:suppressAutoHyphens w:val="0"/>
        <w:spacing w:after="160" w:line="259" w:lineRule="auto"/>
        <w:rPr>
          <w:kern w:val="14"/>
        </w:rPr>
      </w:pPr>
      <w:r>
        <w:br w:type="page"/>
      </w:r>
    </w:p>
    <w:p w14:paraId="05F841F3" w14:textId="46A32B72" w:rsidR="00055A77" w:rsidRPr="00490448" w:rsidRDefault="002576AC" w:rsidP="00055A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Sigla</w:t>
      </w:r>
      <w:r w:rsidR="00FD7944">
        <w:t>s</w:t>
      </w:r>
    </w:p>
    <w:p w14:paraId="2B09EA5C" w14:textId="77777777" w:rsidR="00055A77" w:rsidRPr="00055A77" w:rsidRDefault="00055A77" w:rsidP="00055A77">
      <w:pPr>
        <w:pStyle w:val="SingleTxt"/>
        <w:spacing w:after="0" w:line="120" w:lineRule="exact"/>
        <w:rPr>
          <w:sz w:val="10"/>
        </w:rPr>
      </w:pPr>
    </w:p>
    <w:p w14:paraId="1844C6C0" w14:textId="77777777" w:rsidR="00055A77" w:rsidRPr="00055A77" w:rsidRDefault="00055A77" w:rsidP="00055A77">
      <w:pPr>
        <w:pStyle w:val="SingleTxt"/>
        <w:spacing w:after="0" w:line="120" w:lineRule="exact"/>
        <w:rPr>
          <w:sz w:val="10"/>
        </w:rPr>
      </w:pPr>
    </w:p>
    <w:p w14:paraId="2006ACF8" w14:textId="7E15742A" w:rsidR="00055A77" w:rsidRPr="00055A77" w:rsidRDefault="00055A77" w:rsidP="00055A77">
      <w:pPr>
        <w:pStyle w:val="SingleTxt"/>
      </w:pPr>
      <w:r w:rsidRPr="00055A77">
        <w:t>AECID</w:t>
      </w:r>
      <w:r w:rsidRPr="00055A77">
        <w:tab/>
      </w:r>
      <w:r w:rsidRPr="00055A77">
        <w:tab/>
      </w:r>
      <w:r w:rsidR="00AF6BB3">
        <w:tab/>
      </w:r>
      <w:r w:rsidRPr="00055A77">
        <w:t>Agencia Española de Cooperación Internacional</w:t>
      </w:r>
    </w:p>
    <w:p w14:paraId="3B266795" w14:textId="18166379" w:rsidR="00055A77" w:rsidRPr="00055A77" w:rsidRDefault="00055A77" w:rsidP="00055A77">
      <w:pPr>
        <w:pStyle w:val="SingleTxt"/>
      </w:pPr>
      <w:r w:rsidRPr="00055A77">
        <w:t>BNF</w:t>
      </w:r>
      <w:r w:rsidRPr="00055A77">
        <w:tab/>
      </w:r>
      <w:r w:rsidRPr="00055A77">
        <w:tab/>
      </w:r>
      <w:r w:rsidRPr="00055A77">
        <w:tab/>
      </w:r>
      <w:r w:rsidR="00AF6BB3">
        <w:tab/>
      </w:r>
      <w:r w:rsidRPr="00055A77">
        <w:t>Banco Nacional de Fomento</w:t>
      </w:r>
    </w:p>
    <w:p w14:paraId="4B608F87" w14:textId="2DF2E84F" w:rsidR="00055A77" w:rsidRPr="00055A77" w:rsidRDefault="00055A77" w:rsidP="00055A77">
      <w:pPr>
        <w:pStyle w:val="SingleTxt"/>
      </w:pPr>
      <w:r w:rsidRPr="00055A77">
        <w:t>CAV</w:t>
      </w:r>
      <w:r w:rsidRPr="00055A77">
        <w:tab/>
      </w:r>
      <w:r w:rsidRPr="00055A77">
        <w:tab/>
      </w:r>
      <w:r w:rsidRPr="00055A77">
        <w:tab/>
      </w:r>
      <w:r w:rsidR="00AF6BB3">
        <w:tab/>
      </w:r>
      <w:r w:rsidRPr="00055A77">
        <w:t>Centro de Atención a Víctimas</w:t>
      </w:r>
    </w:p>
    <w:p w14:paraId="526F040F" w14:textId="6D1AF907" w:rsidR="00055A77" w:rsidRPr="00055A77" w:rsidRDefault="00055A77" w:rsidP="00055A77">
      <w:pPr>
        <w:pStyle w:val="SingleTxt"/>
      </w:pPr>
      <w:r w:rsidRPr="00055A77">
        <w:t>CEMP</w:t>
      </w:r>
      <w:r w:rsidRPr="00055A77">
        <w:tab/>
      </w:r>
      <w:r w:rsidRPr="00055A77">
        <w:tab/>
      </w:r>
      <w:r w:rsidR="00AF6BB3">
        <w:tab/>
      </w:r>
      <w:r w:rsidRPr="00055A77">
        <w:t>Centro de Entrenamiento del Ministerio Público</w:t>
      </w:r>
    </w:p>
    <w:p w14:paraId="07FBA15F" w14:textId="1A87E25B" w:rsidR="00055A77" w:rsidRPr="00055A77" w:rsidRDefault="00055A77" w:rsidP="00055A77">
      <w:pPr>
        <w:pStyle w:val="SingleTxt"/>
      </w:pPr>
      <w:r w:rsidRPr="00055A77">
        <w:t>CONARE</w:t>
      </w:r>
      <w:r w:rsidRPr="00055A77">
        <w:tab/>
      </w:r>
      <w:r w:rsidRPr="00055A77">
        <w:tab/>
      </w:r>
      <w:r w:rsidR="00AF6BB3">
        <w:tab/>
      </w:r>
      <w:r w:rsidRPr="00055A77">
        <w:t>Comisión Nacional de Apátridas y Refugiados</w:t>
      </w:r>
    </w:p>
    <w:p w14:paraId="5B6A7EE5" w14:textId="6A037D32" w:rsidR="00055A77" w:rsidRPr="00055A77" w:rsidRDefault="00055A77" w:rsidP="00055A77">
      <w:pPr>
        <w:pStyle w:val="SingleTxt"/>
      </w:pPr>
      <w:r w:rsidRPr="00055A77">
        <w:t>CSJ</w:t>
      </w:r>
      <w:r w:rsidRPr="00055A77">
        <w:tab/>
      </w:r>
      <w:r w:rsidRPr="00055A77">
        <w:tab/>
      </w:r>
      <w:r w:rsidRPr="00055A77">
        <w:tab/>
      </w:r>
      <w:r w:rsidR="00AF6BB3">
        <w:tab/>
      </w:r>
      <w:r w:rsidRPr="00055A77">
        <w:t>Corte Suprema de Justicia</w:t>
      </w:r>
    </w:p>
    <w:p w14:paraId="1F92F8AD" w14:textId="22E6D396" w:rsidR="00055A77" w:rsidRPr="00055A77" w:rsidRDefault="00055A77" w:rsidP="00055A77">
      <w:pPr>
        <w:pStyle w:val="SingleTxt"/>
      </w:pPr>
      <w:r w:rsidRPr="00055A77">
        <w:t>CN</w:t>
      </w:r>
      <w:r w:rsidRPr="00055A77">
        <w:tab/>
      </w:r>
      <w:r w:rsidRPr="00055A77">
        <w:tab/>
      </w:r>
      <w:r w:rsidRPr="00055A77">
        <w:tab/>
      </w:r>
      <w:r w:rsidR="00AF6BB3">
        <w:tab/>
      </w:r>
      <w:r w:rsidRPr="00055A77">
        <w:t>Constitución Nacional</w:t>
      </w:r>
    </w:p>
    <w:p w14:paraId="645AC463" w14:textId="0C4FF4F7" w:rsidR="00055A77" w:rsidRPr="00055A77" w:rsidRDefault="00055A77" w:rsidP="00055A77">
      <w:pPr>
        <w:pStyle w:val="SingleTxt"/>
      </w:pPr>
      <w:r w:rsidRPr="00055A77">
        <w:t>CM</w:t>
      </w:r>
      <w:r w:rsidRPr="00055A77">
        <w:tab/>
      </w:r>
      <w:r w:rsidRPr="00055A77">
        <w:tab/>
      </w:r>
      <w:r w:rsidRPr="00055A77">
        <w:tab/>
      </w:r>
      <w:r w:rsidR="00AF6BB3">
        <w:tab/>
      </w:r>
      <w:r w:rsidRPr="00055A77">
        <w:t>Consejo de la Magistratura</w:t>
      </w:r>
    </w:p>
    <w:p w14:paraId="092CE502" w14:textId="7275688A" w:rsidR="00055A77" w:rsidRPr="00055A77" w:rsidRDefault="00055A77" w:rsidP="00055A77">
      <w:pPr>
        <w:pStyle w:val="SingleTxt"/>
      </w:pPr>
      <w:r w:rsidRPr="00055A77">
        <w:t>DDHH</w:t>
      </w:r>
      <w:r w:rsidRPr="00055A77">
        <w:tab/>
      </w:r>
      <w:r w:rsidRPr="00055A77">
        <w:tab/>
      </w:r>
      <w:r w:rsidR="00AF6BB3">
        <w:tab/>
      </w:r>
      <w:r w:rsidRPr="00055A77">
        <w:t>Derechos Humanos</w:t>
      </w:r>
    </w:p>
    <w:p w14:paraId="1A5A2571" w14:textId="1D387AE8" w:rsidR="00055A77" w:rsidRPr="00055A77" w:rsidRDefault="00055A77" w:rsidP="00055A77">
      <w:pPr>
        <w:pStyle w:val="SingleTxt"/>
      </w:pPr>
      <w:r w:rsidRPr="00055A77">
        <w:t>DP</w:t>
      </w:r>
      <w:r w:rsidRPr="00055A77">
        <w:tab/>
      </w:r>
      <w:r w:rsidRPr="00055A77">
        <w:tab/>
      </w:r>
      <w:r w:rsidRPr="00055A77">
        <w:tab/>
      </w:r>
      <w:r w:rsidR="00AF6BB3">
        <w:tab/>
      </w:r>
      <w:r w:rsidRPr="00055A77">
        <w:t>Defensor del Pueblo</w:t>
      </w:r>
    </w:p>
    <w:p w14:paraId="0F5B1DDF" w14:textId="1ACFEB07" w:rsidR="00055A77" w:rsidRPr="00055A77" w:rsidRDefault="00055A77" w:rsidP="00055A77">
      <w:pPr>
        <w:pStyle w:val="SingleTxt"/>
      </w:pPr>
      <w:r w:rsidRPr="00055A77">
        <w:t>DGRC</w:t>
      </w:r>
      <w:r w:rsidRPr="00055A77">
        <w:tab/>
      </w:r>
      <w:r w:rsidRPr="00055A77">
        <w:tab/>
      </w:r>
      <w:r w:rsidR="00AF6BB3">
        <w:tab/>
      </w:r>
      <w:r w:rsidRPr="00055A77">
        <w:t>Dirección General del Registro Civil</w:t>
      </w:r>
    </w:p>
    <w:p w14:paraId="3595A1DE" w14:textId="35782FBB" w:rsidR="00055A77" w:rsidRPr="00055A77" w:rsidRDefault="00055A77" w:rsidP="00055A77">
      <w:pPr>
        <w:pStyle w:val="SingleTxt"/>
      </w:pPr>
      <w:r w:rsidRPr="00055A77">
        <w:t>FGE</w:t>
      </w:r>
      <w:r w:rsidRPr="00055A77">
        <w:tab/>
      </w:r>
      <w:r w:rsidRPr="00055A77">
        <w:tab/>
      </w:r>
      <w:r w:rsidRPr="00055A77">
        <w:tab/>
      </w:r>
      <w:r w:rsidR="00AF6BB3">
        <w:tab/>
      </w:r>
      <w:r w:rsidRPr="00055A77">
        <w:t>Fiscalía General del Estado</w:t>
      </w:r>
    </w:p>
    <w:p w14:paraId="486FA1C8" w14:textId="5ECBD7A6" w:rsidR="00055A77" w:rsidRPr="00055A77" w:rsidRDefault="00055A77" w:rsidP="00055A77">
      <w:pPr>
        <w:pStyle w:val="SingleTxt"/>
      </w:pPr>
      <w:r w:rsidRPr="00055A77">
        <w:t>UNFPA</w:t>
      </w:r>
      <w:r w:rsidRPr="00055A77">
        <w:tab/>
      </w:r>
      <w:r w:rsidRPr="00055A77">
        <w:tab/>
      </w:r>
      <w:r w:rsidR="00AF6BB3">
        <w:tab/>
      </w:r>
      <w:r w:rsidRPr="00055A77">
        <w:t>Fondo de Población de las Naciones Unidas</w:t>
      </w:r>
    </w:p>
    <w:p w14:paraId="7D9E5137" w14:textId="4D1CD66B" w:rsidR="00055A77" w:rsidRPr="00055A77" w:rsidRDefault="00055A77" w:rsidP="00055A77">
      <w:pPr>
        <w:pStyle w:val="SingleTxt"/>
      </w:pPr>
      <w:r w:rsidRPr="00055A77">
        <w:t>FONACIDE</w:t>
      </w:r>
      <w:r w:rsidRPr="00055A77">
        <w:tab/>
      </w:r>
      <w:r w:rsidR="00AF6BB3">
        <w:tab/>
      </w:r>
      <w:r w:rsidRPr="00055A77">
        <w:t>Fondo Nacional de Inversión Pública y Desarrollo</w:t>
      </w:r>
    </w:p>
    <w:p w14:paraId="3D9EA9D6" w14:textId="665A9BEA" w:rsidR="00055A77" w:rsidRPr="00055A77" w:rsidRDefault="00055A77" w:rsidP="00055A77">
      <w:pPr>
        <w:pStyle w:val="SingleTxt"/>
      </w:pPr>
      <w:r w:rsidRPr="00055A77">
        <w:t>FRS</w:t>
      </w:r>
      <w:r w:rsidRPr="00055A77">
        <w:tab/>
      </w:r>
      <w:r w:rsidRPr="00055A77">
        <w:tab/>
      </w:r>
      <w:r w:rsidRPr="00055A77">
        <w:tab/>
      </w:r>
      <w:r w:rsidR="00AF6BB3">
        <w:tab/>
      </w:r>
      <w:r w:rsidRPr="00055A77">
        <w:t>Fundación de Religiosos para la Salud</w:t>
      </w:r>
    </w:p>
    <w:p w14:paraId="0AE63E27" w14:textId="3D1C4011" w:rsidR="00055A77" w:rsidRPr="00055A77" w:rsidRDefault="00055A77" w:rsidP="00990C31">
      <w:pPr>
        <w:pStyle w:val="SingleTxt"/>
        <w:ind w:left="3182" w:hanging="1915"/>
        <w:jc w:val="left"/>
      </w:pPr>
      <w:r w:rsidRPr="00055A77">
        <w:t>FIIAPP</w:t>
      </w:r>
      <w:r w:rsidRPr="00055A77">
        <w:tab/>
      </w:r>
      <w:r w:rsidRPr="00055A77">
        <w:tab/>
      </w:r>
      <w:r w:rsidR="00AF6BB3">
        <w:tab/>
      </w:r>
      <w:r w:rsidRPr="00055A77">
        <w:t>Fundación Internacional y para Iberoamérica de Administración y Políticas Públicas</w:t>
      </w:r>
    </w:p>
    <w:p w14:paraId="3DEB159E" w14:textId="7FD2A0C4" w:rsidR="00055A77" w:rsidRPr="00055A77" w:rsidRDefault="00055A77" w:rsidP="00055A77">
      <w:pPr>
        <w:pStyle w:val="SingleTxt"/>
      </w:pPr>
      <w:r w:rsidRPr="00055A77">
        <w:t>HCD</w:t>
      </w:r>
      <w:r w:rsidRPr="00055A77">
        <w:tab/>
      </w:r>
      <w:r w:rsidRPr="00055A77">
        <w:tab/>
      </w:r>
      <w:r w:rsidRPr="00055A77">
        <w:tab/>
      </w:r>
      <w:r w:rsidR="00AF6BB3">
        <w:tab/>
      </w:r>
      <w:r w:rsidRPr="00055A77">
        <w:t>Honorable Cámara de Diputados</w:t>
      </w:r>
    </w:p>
    <w:p w14:paraId="7EA911C1" w14:textId="4E6E822D" w:rsidR="00055A77" w:rsidRPr="00055A77" w:rsidRDefault="00055A77" w:rsidP="00055A77">
      <w:pPr>
        <w:pStyle w:val="SingleTxt"/>
      </w:pPr>
      <w:r w:rsidRPr="00055A77">
        <w:t>HCS</w:t>
      </w:r>
      <w:r w:rsidRPr="00055A77">
        <w:tab/>
      </w:r>
      <w:r w:rsidRPr="00055A77">
        <w:tab/>
      </w:r>
      <w:r w:rsidRPr="00055A77">
        <w:tab/>
      </w:r>
      <w:r w:rsidR="00AF6BB3">
        <w:tab/>
      </w:r>
      <w:r w:rsidRPr="00055A77">
        <w:t>Honorable Cámara de Senadores</w:t>
      </w:r>
    </w:p>
    <w:p w14:paraId="371B24A1" w14:textId="0084E5AC" w:rsidR="00055A77" w:rsidRPr="00055A77" w:rsidRDefault="00055A77" w:rsidP="00055A77">
      <w:pPr>
        <w:pStyle w:val="SingleTxt"/>
      </w:pPr>
      <w:r w:rsidRPr="00055A77">
        <w:t>INDERT</w:t>
      </w:r>
      <w:r w:rsidRPr="00055A77">
        <w:tab/>
      </w:r>
      <w:r w:rsidRPr="00055A77">
        <w:tab/>
      </w:r>
      <w:r w:rsidR="00AF6BB3">
        <w:tab/>
      </w:r>
      <w:r w:rsidRPr="00055A77">
        <w:t>Instituto Nacional de Desarrollo Rural y de la Tierra</w:t>
      </w:r>
    </w:p>
    <w:p w14:paraId="275916B9" w14:textId="056BAB7D" w:rsidR="00055A77" w:rsidRPr="00055A77" w:rsidRDefault="00055A77" w:rsidP="00055A77">
      <w:pPr>
        <w:pStyle w:val="SingleTxt"/>
      </w:pPr>
      <w:r w:rsidRPr="00055A77">
        <w:t>INE</w:t>
      </w:r>
      <w:r w:rsidRPr="00055A77">
        <w:tab/>
      </w:r>
      <w:r w:rsidRPr="00055A77">
        <w:tab/>
      </w:r>
      <w:r w:rsidRPr="00055A77">
        <w:tab/>
      </w:r>
      <w:r w:rsidR="00AF6BB3">
        <w:tab/>
      </w:r>
      <w:r w:rsidRPr="00055A77">
        <w:t>Instituto Nacional de Estadística</w:t>
      </w:r>
    </w:p>
    <w:p w14:paraId="1FC96FB5" w14:textId="0E9E9023" w:rsidR="00055A77" w:rsidRPr="00055A77" w:rsidRDefault="00055A77" w:rsidP="00055A77">
      <w:pPr>
        <w:pStyle w:val="SingleTxt"/>
      </w:pPr>
      <w:r w:rsidRPr="00055A77">
        <w:t>INDI</w:t>
      </w:r>
      <w:r w:rsidRPr="00055A77">
        <w:tab/>
      </w:r>
      <w:r w:rsidRPr="00055A77">
        <w:tab/>
      </w:r>
      <w:r w:rsidRPr="00055A77">
        <w:tab/>
      </w:r>
      <w:r w:rsidR="00AF6BB3">
        <w:tab/>
      </w:r>
      <w:r w:rsidRPr="00055A77">
        <w:t>Instituto Paraguayo del Indígena</w:t>
      </w:r>
    </w:p>
    <w:p w14:paraId="0DCF2496" w14:textId="4E69CDB4" w:rsidR="00055A77" w:rsidRPr="00055A77" w:rsidRDefault="00055A77" w:rsidP="00055A77">
      <w:pPr>
        <w:pStyle w:val="SingleTxt"/>
      </w:pPr>
      <w:r w:rsidRPr="00055A77">
        <w:t>IV PNI 2018-2024</w:t>
      </w:r>
      <w:r>
        <w:tab/>
      </w:r>
      <w:r w:rsidRPr="00055A77">
        <w:t>IV Plan Nacional de Igualdad 2018-2024</w:t>
      </w:r>
    </w:p>
    <w:p w14:paraId="5EBB39F3" w14:textId="77777777" w:rsidR="00055A77" w:rsidRPr="00055A77" w:rsidRDefault="00055A77" w:rsidP="00055A77">
      <w:pPr>
        <w:pStyle w:val="SingleTxt"/>
      </w:pPr>
      <w:r w:rsidRPr="00055A77">
        <w:t>JE</w:t>
      </w:r>
      <w:r w:rsidRPr="00055A77">
        <w:tab/>
      </w:r>
      <w:r w:rsidRPr="00055A77">
        <w:tab/>
      </w:r>
      <w:r w:rsidRPr="00055A77">
        <w:tab/>
      </w:r>
      <w:r w:rsidRPr="00055A77">
        <w:tab/>
        <w:t>Justicia Electoral</w:t>
      </w:r>
    </w:p>
    <w:p w14:paraId="4FAB069A" w14:textId="77777777" w:rsidR="00055A77" w:rsidRPr="00055A77" w:rsidRDefault="00055A77" w:rsidP="00055A77">
      <w:pPr>
        <w:pStyle w:val="SingleTxt"/>
      </w:pPr>
      <w:r w:rsidRPr="00055A77">
        <w:t>MEF</w:t>
      </w:r>
      <w:r w:rsidRPr="00055A77">
        <w:tab/>
      </w:r>
      <w:r w:rsidRPr="00055A77">
        <w:tab/>
      </w:r>
      <w:r w:rsidRPr="00055A77">
        <w:tab/>
      </w:r>
      <w:r w:rsidRPr="00055A77">
        <w:tab/>
        <w:t>Ministerio de Economía y Finanzas</w:t>
      </w:r>
    </w:p>
    <w:p w14:paraId="6F292E4A" w14:textId="31EDC76D" w:rsidR="00055A77" w:rsidRPr="00055A77" w:rsidRDefault="00055A77" w:rsidP="00055A77">
      <w:pPr>
        <w:pStyle w:val="SingleTxt"/>
      </w:pPr>
      <w:r w:rsidRPr="00055A77">
        <w:t>MNPT</w:t>
      </w:r>
      <w:r w:rsidRPr="00055A77">
        <w:tab/>
      </w:r>
      <w:r w:rsidRPr="00055A77">
        <w:tab/>
      </w:r>
      <w:r w:rsidRPr="00055A77">
        <w:tab/>
        <w:t>Mecanismo Nacional de Prevención contra la Tortura</w:t>
      </w:r>
    </w:p>
    <w:p w14:paraId="19E1BFC0" w14:textId="77777777" w:rsidR="00055A77" w:rsidRPr="00055A77" w:rsidRDefault="00055A77" w:rsidP="00055A77">
      <w:pPr>
        <w:pStyle w:val="SingleTxt"/>
      </w:pPr>
      <w:r w:rsidRPr="00055A77">
        <w:t>MINMUJER</w:t>
      </w:r>
      <w:r w:rsidRPr="00055A77">
        <w:tab/>
      </w:r>
      <w:r w:rsidRPr="00055A77">
        <w:tab/>
        <w:t>Ministerio de la Mujer</w:t>
      </w:r>
    </w:p>
    <w:p w14:paraId="0485EDC3" w14:textId="77777777" w:rsidR="00055A77" w:rsidRPr="00055A77" w:rsidRDefault="00055A77" w:rsidP="00055A77">
      <w:pPr>
        <w:pStyle w:val="SingleTxt"/>
      </w:pPr>
      <w:r w:rsidRPr="00055A77">
        <w:t>MRE</w:t>
      </w:r>
      <w:r w:rsidRPr="00055A77">
        <w:tab/>
      </w:r>
      <w:r w:rsidRPr="00055A77">
        <w:tab/>
      </w:r>
      <w:r w:rsidRPr="00055A77">
        <w:tab/>
      </w:r>
      <w:r w:rsidRPr="00055A77">
        <w:tab/>
        <w:t>Ministerio de Relaciones Exteriores</w:t>
      </w:r>
    </w:p>
    <w:p w14:paraId="20FF107B" w14:textId="77777777" w:rsidR="00055A77" w:rsidRPr="00055A77" w:rsidRDefault="00055A77" w:rsidP="00055A77">
      <w:pPr>
        <w:pStyle w:val="SingleTxt"/>
      </w:pPr>
      <w:r w:rsidRPr="00055A77">
        <w:t>MEC</w:t>
      </w:r>
      <w:r w:rsidRPr="00055A77">
        <w:tab/>
      </w:r>
      <w:r w:rsidRPr="00055A77">
        <w:tab/>
      </w:r>
      <w:r w:rsidRPr="00055A77">
        <w:tab/>
      </w:r>
      <w:r w:rsidRPr="00055A77">
        <w:tab/>
        <w:t>Ministerio de Educación y Ciencias</w:t>
      </w:r>
    </w:p>
    <w:p w14:paraId="742812D3" w14:textId="740C56C0" w:rsidR="00055A77" w:rsidRPr="00055A77" w:rsidRDefault="00055A77" w:rsidP="00055A77">
      <w:pPr>
        <w:pStyle w:val="SingleTxt"/>
      </w:pPr>
      <w:r w:rsidRPr="00055A77">
        <w:t>MITIC</w:t>
      </w:r>
      <w:r w:rsidRPr="00055A77">
        <w:tab/>
      </w:r>
      <w:r w:rsidRPr="00055A77">
        <w:tab/>
      </w:r>
      <w:r w:rsidR="00AF6BB3">
        <w:tab/>
      </w:r>
      <w:r w:rsidRPr="00055A77">
        <w:t>Ministerio de Tecnologías de la Información y Comunicación</w:t>
      </w:r>
    </w:p>
    <w:p w14:paraId="4067282E" w14:textId="77777777" w:rsidR="00055A77" w:rsidRPr="00055A77" w:rsidRDefault="00055A77" w:rsidP="00055A77">
      <w:pPr>
        <w:pStyle w:val="SingleTxt"/>
      </w:pPr>
      <w:r w:rsidRPr="00055A77">
        <w:t>MP</w:t>
      </w:r>
      <w:r w:rsidRPr="00055A77">
        <w:tab/>
      </w:r>
      <w:r w:rsidRPr="00055A77">
        <w:tab/>
      </w:r>
      <w:r w:rsidRPr="00055A77">
        <w:tab/>
      </w:r>
      <w:r w:rsidRPr="00055A77">
        <w:tab/>
        <w:t>Ministerio Público</w:t>
      </w:r>
    </w:p>
    <w:p w14:paraId="507D4C8B" w14:textId="77777777" w:rsidR="00055A77" w:rsidRPr="00055A77" w:rsidRDefault="00055A77" w:rsidP="00055A77">
      <w:pPr>
        <w:pStyle w:val="SingleTxt"/>
      </w:pPr>
      <w:r w:rsidRPr="00055A77">
        <w:t>MJ</w:t>
      </w:r>
      <w:r w:rsidRPr="00055A77">
        <w:tab/>
      </w:r>
      <w:r w:rsidRPr="00055A77">
        <w:tab/>
      </w:r>
      <w:r w:rsidRPr="00055A77">
        <w:tab/>
      </w:r>
      <w:r w:rsidRPr="00055A77">
        <w:tab/>
        <w:t>Ministerio de Justicia</w:t>
      </w:r>
    </w:p>
    <w:p w14:paraId="71EE568C" w14:textId="77777777" w:rsidR="00055A77" w:rsidRPr="00055A77" w:rsidRDefault="00055A77" w:rsidP="00055A77">
      <w:pPr>
        <w:pStyle w:val="SingleTxt"/>
      </w:pPr>
      <w:r w:rsidRPr="00055A77">
        <w:t>MI</w:t>
      </w:r>
      <w:r w:rsidRPr="00055A77">
        <w:tab/>
      </w:r>
      <w:r w:rsidRPr="00055A77">
        <w:tab/>
      </w:r>
      <w:r w:rsidRPr="00055A77">
        <w:tab/>
      </w:r>
      <w:r w:rsidRPr="00055A77">
        <w:tab/>
        <w:t>Ministerio del Interior</w:t>
      </w:r>
    </w:p>
    <w:p w14:paraId="5F7B21D5" w14:textId="77777777" w:rsidR="00055A77" w:rsidRPr="00055A77" w:rsidRDefault="00055A77" w:rsidP="00055A77">
      <w:pPr>
        <w:pStyle w:val="SingleTxt"/>
      </w:pPr>
      <w:r w:rsidRPr="00055A77">
        <w:t>MDP</w:t>
      </w:r>
      <w:r w:rsidRPr="00055A77">
        <w:tab/>
      </w:r>
      <w:r w:rsidRPr="00055A77">
        <w:tab/>
      </w:r>
      <w:r w:rsidRPr="00055A77">
        <w:tab/>
      </w:r>
      <w:r w:rsidRPr="00055A77">
        <w:tab/>
        <w:t>Ministerio de la Defensa Pública</w:t>
      </w:r>
    </w:p>
    <w:p w14:paraId="11CDD4A7" w14:textId="186901FD" w:rsidR="00055A77" w:rsidRPr="00055A77" w:rsidRDefault="00055A77" w:rsidP="00055A77">
      <w:pPr>
        <w:pStyle w:val="SingleTxt"/>
      </w:pPr>
      <w:proofErr w:type="spellStart"/>
      <w:r w:rsidRPr="00055A77">
        <w:t>MSPyBS</w:t>
      </w:r>
      <w:proofErr w:type="spellEnd"/>
      <w:r w:rsidRPr="00055A77">
        <w:tab/>
      </w:r>
      <w:r w:rsidRPr="00055A77">
        <w:tab/>
      </w:r>
      <w:r w:rsidR="00AF6BB3">
        <w:tab/>
      </w:r>
      <w:r w:rsidRPr="00055A77">
        <w:t>Ministerio de Salud Pública y Bienestar Social</w:t>
      </w:r>
    </w:p>
    <w:p w14:paraId="2063D034" w14:textId="0DD2EB3E" w:rsidR="00055A77" w:rsidRPr="00055A77" w:rsidRDefault="00055A77" w:rsidP="00055A77">
      <w:pPr>
        <w:pStyle w:val="SingleTxt"/>
      </w:pPr>
      <w:r w:rsidRPr="00055A77">
        <w:lastRenderedPageBreak/>
        <w:t>MINNA</w:t>
      </w:r>
      <w:r w:rsidRPr="00055A77">
        <w:tab/>
      </w:r>
      <w:r w:rsidRPr="00055A77">
        <w:tab/>
      </w:r>
      <w:r w:rsidR="00AF6BB3">
        <w:tab/>
      </w:r>
      <w:r w:rsidRPr="00055A77">
        <w:t>Ministerio de la Niñez y la Adolescencia</w:t>
      </w:r>
    </w:p>
    <w:p w14:paraId="303723F2" w14:textId="708827C9" w:rsidR="00055A77" w:rsidRPr="00055A77" w:rsidRDefault="00055A77" w:rsidP="00055A77">
      <w:pPr>
        <w:pStyle w:val="SingleTxt"/>
      </w:pPr>
      <w:r w:rsidRPr="00055A77">
        <w:t>MAG</w:t>
      </w:r>
      <w:r w:rsidRPr="00055A77">
        <w:tab/>
      </w:r>
      <w:r w:rsidRPr="00055A77">
        <w:tab/>
      </w:r>
      <w:r w:rsidRPr="00055A77">
        <w:tab/>
        <w:t>Ministerio de Agricultura y Ganadería</w:t>
      </w:r>
    </w:p>
    <w:p w14:paraId="4E6AD893" w14:textId="3ED07E86" w:rsidR="00055A77" w:rsidRPr="00055A77" w:rsidRDefault="00055A77" w:rsidP="00055A77">
      <w:pPr>
        <w:pStyle w:val="SingleTxt"/>
      </w:pPr>
      <w:r w:rsidRPr="00055A77">
        <w:t>MADES</w:t>
      </w:r>
      <w:r w:rsidRPr="00055A77">
        <w:tab/>
      </w:r>
      <w:r w:rsidRPr="00055A77">
        <w:tab/>
      </w:r>
      <w:r w:rsidR="00AF6BB3">
        <w:tab/>
      </w:r>
      <w:r w:rsidRPr="00055A77">
        <w:t>Ministerio del Ambiente y Desarrollo Sostenible</w:t>
      </w:r>
    </w:p>
    <w:p w14:paraId="74035B30" w14:textId="4E828750" w:rsidR="00055A77" w:rsidRPr="00055A77" w:rsidRDefault="00055A77" w:rsidP="00055A77">
      <w:pPr>
        <w:pStyle w:val="SingleTxt"/>
      </w:pPr>
      <w:r w:rsidRPr="00055A77">
        <w:t>MTESS</w:t>
      </w:r>
      <w:r w:rsidRPr="00055A77">
        <w:tab/>
      </w:r>
      <w:r w:rsidRPr="00055A77">
        <w:tab/>
      </w:r>
      <w:r w:rsidR="00AF6BB3">
        <w:tab/>
      </w:r>
      <w:r w:rsidRPr="00055A77">
        <w:t>Ministerio de Trabajo, Empleo y Seguridad Social</w:t>
      </w:r>
    </w:p>
    <w:p w14:paraId="3FCE2DD5" w14:textId="008DF1A4" w:rsidR="00055A77" w:rsidRPr="00055A77" w:rsidRDefault="00055A77" w:rsidP="00055A77">
      <w:pPr>
        <w:pStyle w:val="SingleTxt"/>
      </w:pPr>
      <w:r w:rsidRPr="00055A77">
        <w:t>MUVH</w:t>
      </w:r>
      <w:r w:rsidRPr="00055A77">
        <w:tab/>
      </w:r>
      <w:r w:rsidRPr="00055A77">
        <w:tab/>
      </w:r>
      <w:r w:rsidR="00AF6BB3">
        <w:tab/>
      </w:r>
      <w:r w:rsidRPr="00055A77">
        <w:t>Ministerio de Urbanismo, Vivienda y Hábitat</w:t>
      </w:r>
    </w:p>
    <w:p w14:paraId="63C125B5" w14:textId="72E44A21" w:rsidR="00055A77" w:rsidRPr="00055A77" w:rsidRDefault="00055A77" w:rsidP="00055A77">
      <w:pPr>
        <w:pStyle w:val="SingleTxt"/>
      </w:pPr>
      <w:r w:rsidRPr="00055A77">
        <w:t>ODS</w:t>
      </w:r>
      <w:r w:rsidRPr="00055A77">
        <w:tab/>
      </w:r>
      <w:r w:rsidRPr="00055A77">
        <w:tab/>
      </w:r>
      <w:r w:rsidRPr="00055A77">
        <w:tab/>
      </w:r>
      <w:r w:rsidRPr="00055A77">
        <w:tab/>
        <w:t>Objetivos de Desarrollo Sostenible</w:t>
      </w:r>
    </w:p>
    <w:p w14:paraId="03D08F16" w14:textId="77777777" w:rsidR="00055A77" w:rsidRPr="00055A77" w:rsidRDefault="00055A77" w:rsidP="00055A77">
      <w:pPr>
        <w:pStyle w:val="SingleTxt"/>
      </w:pPr>
      <w:r w:rsidRPr="00055A77">
        <w:t>ONU</w:t>
      </w:r>
      <w:r w:rsidRPr="00055A77">
        <w:tab/>
      </w:r>
      <w:r w:rsidRPr="00055A77">
        <w:tab/>
      </w:r>
      <w:r w:rsidRPr="00055A77">
        <w:tab/>
      </w:r>
      <w:r w:rsidRPr="00055A77">
        <w:tab/>
        <w:t>Organización de las Naciones Unidas</w:t>
      </w:r>
    </w:p>
    <w:p w14:paraId="730DFBE8" w14:textId="77777777" w:rsidR="00055A77" w:rsidRPr="00055A77" w:rsidRDefault="00055A77" w:rsidP="00055A77">
      <w:pPr>
        <w:pStyle w:val="SingleTxt"/>
      </w:pPr>
      <w:r w:rsidRPr="00055A77">
        <w:t>OEA</w:t>
      </w:r>
      <w:r w:rsidRPr="00055A77">
        <w:tab/>
      </w:r>
      <w:r w:rsidRPr="00055A77">
        <w:tab/>
      </w:r>
      <w:r w:rsidRPr="00055A77">
        <w:tab/>
      </w:r>
      <w:r w:rsidRPr="00055A77">
        <w:tab/>
        <w:t>Organización de Estados Americanos</w:t>
      </w:r>
    </w:p>
    <w:p w14:paraId="7A85E6F8" w14:textId="146146C2" w:rsidR="00055A77" w:rsidRPr="00055A77" w:rsidRDefault="00055A77" w:rsidP="00055A77">
      <w:pPr>
        <w:pStyle w:val="SingleTxt"/>
      </w:pPr>
      <w:r w:rsidRPr="00055A77">
        <w:t>OIM</w:t>
      </w:r>
      <w:r w:rsidRPr="00055A77">
        <w:tab/>
      </w:r>
      <w:r w:rsidRPr="00055A77">
        <w:tab/>
      </w:r>
      <w:r w:rsidRPr="00055A77">
        <w:tab/>
      </w:r>
      <w:r w:rsidRPr="00055A77">
        <w:tab/>
        <w:t>Organización Internacional para las Migraciones</w:t>
      </w:r>
    </w:p>
    <w:p w14:paraId="7DFAA350" w14:textId="77777777" w:rsidR="00055A77" w:rsidRPr="00055A77" w:rsidRDefault="00055A77" w:rsidP="00055A77">
      <w:pPr>
        <w:pStyle w:val="SingleTxt"/>
      </w:pPr>
      <w:r w:rsidRPr="00055A77">
        <w:t>OMS</w:t>
      </w:r>
      <w:r w:rsidRPr="00055A77">
        <w:tab/>
      </w:r>
      <w:r w:rsidRPr="00055A77">
        <w:tab/>
      </w:r>
      <w:r w:rsidRPr="00055A77">
        <w:tab/>
      </w:r>
      <w:r w:rsidRPr="00055A77">
        <w:tab/>
        <w:t>Organización Mundial de la Salud</w:t>
      </w:r>
    </w:p>
    <w:p w14:paraId="13583192" w14:textId="77777777" w:rsidR="00055A77" w:rsidRPr="00055A77" w:rsidRDefault="00055A77" w:rsidP="00055A77">
      <w:pPr>
        <w:pStyle w:val="SingleTxt"/>
      </w:pPr>
      <w:r w:rsidRPr="00055A77">
        <w:t>OPS</w:t>
      </w:r>
      <w:r w:rsidRPr="00055A77">
        <w:tab/>
      </w:r>
      <w:r w:rsidRPr="00055A77">
        <w:tab/>
      </w:r>
      <w:r w:rsidRPr="00055A77">
        <w:tab/>
      </w:r>
      <w:r w:rsidRPr="00055A77">
        <w:tab/>
        <w:t>Organización Panamericana de la Salud</w:t>
      </w:r>
    </w:p>
    <w:p w14:paraId="39726B1B" w14:textId="77777777" w:rsidR="00055A77" w:rsidRPr="00055A77" w:rsidRDefault="00055A77" w:rsidP="00055A77">
      <w:pPr>
        <w:pStyle w:val="SingleTxt"/>
      </w:pPr>
      <w:r w:rsidRPr="00055A77">
        <w:t>PE</w:t>
      </w:r>
      <w:r w:rsidRPr="00055A77">
        <w:tab/>
      </w:r>
      <w:r w:rsidRPr="00055A77">
        <w:tab/>
      </w:r>
      <w:r w:rsidRPr="00055A77">
        <w:tab/>
      </w:r>
      <w:r w:rsidRPr="00055A77">
        <w:tab/>
        <w:t>Poder Ejecutivo</w:t>
      </w:r>
    </w:p>
    <w:p w14:paraId="7583C611" w14:textId="4C056422" w:rsidR="00055A77" w:rsidRPr="00055A77" w:rsidRDefault="00055A77" w:rsidP="00055A77">
      <w:pPr>
        <w:pStyle w:val="SingleTxt"/>
      </w:pPr>
      <w:r w:rsidRPr="00055A77">
        <w:t>PL</w:t>
      </w:r>
      <w:r w:rsidRPr="00055A77">
        <w:tab/>
      </w:r>
      <w:r w:rsidRPr="00055A77">
        <w:tab/>
      </w:r>
      <w:r w:rsidRPr="00055A77">
        <w:tab/>
      </w:r>
      <w:r w:rsidRPr="00055A77">
        <w:tab/>
        <w:t>Poder Legislativo</w:t>
      </w:r>
    </w:p>
    <w:p w14:paraId="5B528385" w14:textId="77777777" w:rsidR="00055A77" w:rsidRPr="00055A77" w:rsidRDefault="00055A77" w:rsidP="00055A77">
      <w:pPr>
        <w:pStyle w:val="SingleTxt"/>
      </w:pPr>
      <w:r w:rsidRPr="00055A77">
        <w:t>PJ</w:t>
      </w:r>
      <w:r w:rsidRPr="00055A77">
        <w:tab/>
      </w:r>
      <w:r w:rsidRPr="00055A77">
        <w:tab/>
      </w:r>
      <w:r w:rsidRPr="00055A77">
        <w:tab/>
      </w:r>
      <w:r w:rsidRPr="00055A77">
        <w:tab/>
        <w:t>Poder Judicial</w:t>
      </w:r>
    </w:p>
    <w:p w14:paraId="078C5D36" w14:textId="091E534A" w:rsidR="00055A77" w:rsidRPr="00055A77" w:rsidRDefault="00055A77" w:rsidP="00055A77">
      <w:pPr>
        <w:pStyle w:val="SingleTxt"/>
      </w:pPr>
      <w:r w:rsidRPr="00055A77">
        <w:t>PNUD</w:t>
      </w:r>
      <w:r w:rsidRPr="00055A77">
        <w:tab/>
      </w:r>
      <w:r w:rsidRPr="00055A77">
        <w:tab/>
      </w:r>
      <w:r w:rsidRPr="00055A77">
        <w:tab/>
        <w:t>Programa de las Naciones Unidas para el Desarrollo</w:t>
      </w:r>
    </w:p>
    <w:p w14:paraId="2EE09691" w14:textId="6B6DF328" w:rsidR="00055A77" w:rsidRPr="00055A77" w:rsidRDefault="00055A77" w:rsidP="00055A77">
      <w:pPr>
        <w:pStyle w:val="SingleTxt"/>
      </w:pPr>
      <w:r w:rsidRPr="00055A77">
        <w:t>SENAC</w:t>
      </w:r>
      <w:r w:rsidRPr="00055A77">
        <w:tab/>
      </w:r>
      <w:r w:rsidRPr="00055A77">
        <w:tab/>
      </w:r>
      <w:r w:rsidR="00AF6BB3">
        <w:tab/>
      </w:r>
      <w:r w:rsidRPr="00055A77">
        <w:t>Secretaría Nacional Anticorrupción</w:t>
      </w:r>
    </w:p>
    <w:p w14:paraId="78FD0A1F" w14:textId="38D66804" w:rsidR="00055A77" w:rsidRPr="00055A77" w:rsidRDefault="00055A77" w:rsidP="00055A77">
      <w:pPr>
        <w:pStyle w:val="SingleTxt"/>
      </w:pPr>
      <w:r w:rsidRPr="00055A77">
        <w:t>SNC</w:t>
      </w:r>
      <w:r w:rsidRPr="00055A77">
        <w:tab/>
      </w:r>
      <w:r w:rsidRPr="00055A77">
        <w:tab/>
      </w:r>
      <w:r w:rsidRPr="00055A77">
        <w:tab/>
      </w:r>
      <w:r w:rsidRPr="00055A77">
        <w:tab/>
        <w:t>Secretaría Nacional de Cultura</w:t>
      </w:r>
    </w:p>
    <w:p w14:paraId="1E7A321D" w14:textId="0B1B7EA6" w:rsidR="00055A77" w:rsidRPr="00055A77" w:rsidRDefault="00055A77" w:rsidP="00055A77">
      <w:pPr>
        <w:pStyle w:val="SingleTxt"/>
      </w:pPr>
      <w:r w:rsidRPr="00055A77">
        <w:t>TSJE</w:t>
      </w:r>
      <w:r w:rsidRPr="00055A77">
        <w:tab/>
      </w:r>
      <w:r w:rsidRPr="00055A77">
        <w:tab/>
      </w:r>
      <w:r w:rsidRPr="00055A77">
        <w:tab/>
      </w:r>
      <w:r w:rsidRPr="00055A77">
        <w:tab/>
        <w:t>Tribunal Superior de Justicia Electoral</w:t>
      </w:r>
    </w:p>
    <w:p w14:paraId="50E136E9" w14:textId="77777777" w:rsidR="00055A77" w:rsidRPr="00055A77" w:rsidRDefault="00055A77" w:rsidP="00055A77">
      <w:pPr>
        <w:pStyle w:val="SingleTxt"/>
      </w:pPr>
      <w:r w:rsidRPr="00055A77">
        <w:t>UE</w:t>
      </w:r>
      <w:r w:rsidRPr="00055A77">
        <w:tab/>
      </w:r>
      <w:r w:rsidRPr="00055A77">
        <w:tab/>
      </w:r>
      <w:r w:rsidRPr="00055A77">
        <w:tab/>
      </w:r>
      <w:r w:rsidRPr="00055A77">
        <w:tab/>
        <w:t>Unión Europea</w:t>
      </w:r>
    </w:p>
    <w:p w14:paraId="6B046135" w14:textId="742A0555" w:rsidR="00055A77" w:rsidRPr="00055A77" w:rsidRDefault="00055A77" w:rsidP="00055A77">
      <w:pPr>
        <w:pStyle w:val="SingleTxt"/>
      </w:pPr>
      <w:r w:rsidRPr="00055A77">
        <w:t>VCHGO</w:t>
      </w:r>
      <w:r w:rsidRPr="00055A77">
        <w:tab/>
      </w:r>
      <w:r w:rsidRPr="00055A77">
        <w:tab/>
      </w:r>
      <w:r w:rsidR="00990C31">
        <w:tab/>
      </w:r>
      <w:r w:rsidRPr="00055A77">
        <w:t>Viceministerio de Capital Humano y Gestión Organizacional</w:t>
      </w:r>
    </w:p>
    <w:p w14:paraId="5EEFF723" w14:textId="77777777" w:rsidR="00E81B37" w:rsidRDefault="00E81B37">
      <w:pPr>
        <w:suppressAutoHyphens w:val="0"/>
        <w:spacing w:after="160" w:line="259" w:lineRule="auto"/>
      </w:pPr>
    </w:p>
    <w:p w14:paraId="682536A5" w14:textId="4A5CA342" w:rsidR="00055A77" w:rsidRPr="00990C31" w:rsidRDefault="00055A77">
      <w:pPr>
        <w:suppressAutoHyphens w:val="0"/>
        <w:spacing w:after="160" w:line="259" w:lineRule="auto"/>
        <w:rPr>
          <w:bCs/>
          <w:spacing w:val="-2"/>
          <w:kern w:val="14"/>
          <w:szCs w:val="20"/>
        </w:rPr>
      </w:pPr>
      <w:r>
        <w:br w:type="page"/>
      </w:r>
    </w:p>
    <w:p w14:paraId="17A3827F" w14:textId="1A37C249" w:rsidR="00583FBD" w:rsidRPr="00621CE1" w:rsidRDefault="00583FBD" w:rsidP="00583F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Pr="00621CE1">
        <w:t>I.</w:t>
      </w:r>
      <w:r w:rsidRPr="00621CE1">
        <w:tab/>
        <w:t>Introducción</w:t>
      </w:r>
    </w:p>
    <w:p w14:paraId="0AF2C94A" w14:textId="77777777" w:rsidR="00583FBD" w:rsidRPr="00583FBD" w:rsidRDefault="00583FBD" w:rsidP="00E81B37">
      <w:pPr>
        <w:pStyle w:val="SingleTxtG"/>
        <w:spacing w:after="0" w:line="120" w:lineRule="exact"/>
        <w:ind w:left="1267"/>
        <w:rPr>
          <w:bCs/>
          <w:sz w:val="10"/>
        </w:rPr>
      </w:pPr>
    </w:p>
    <w:p w14:paraId="46AC0605" w14:textId="77777777" w:rsidR="00583FBD" w:rsidRPr="00583FBD" w:rsidRDefault="00583FBD" w:rsidP="00E81B37">
      <w:pPr>
        <w:pStyle w:val="SingleTxtG"/>
        <w:spacing w:after="0" w:line="120" w:lineRule="exact"/>
        <w:ind w:left="1267"/>
        <w:rPr>
          <w:bCs/>
          <w:sz w:val="10"/>
        </w:rPr>
      </w:pPr>
    </w:p>
    <w:p w14:paraId="76D204BF" w14:textId="7726D7A6" w:rsidR="00583FBD" w:rsidRPr="00621CE1" w:rsidRDefault="00583FBD" w:rsidP="00583FBD">
      <w:pPr>
        <w:pStyle w:val="SingleTxt"/>
        <w:numPr>
          <w:ilvl w:val="0"/>
          <w:numId w:val="44"/>
        </w:numPr>
        <w:ind w:left="1267"/>
      </w:pPr>
      <w:r w:rsidRPr="00B64C1B">
        <w:t>La República del Paraguay presenta su VIII Informe Periódico al Comité para la Eliminación de la Discriminación contra la Mujer (el Comité), con arreglo al artículo 18 de la Convención sobre la eliminación de todas las formas de discriminación contra la mujer (la Convención), ofreciendo información respecto a los esfuerzos realizados, las acciones llevadas a cabo, los avances verificados y los logros alcanzados, así como los desafíos y obstáculos que aún persisten, a partir del seguimiento efectuado a las recomendaciones contenidas en las Observaciones Finales del Comité (</w:t>
      </w:r>
      <w:hyperlink r:id="rId20" w:history="1">
        <w:r w:rsidRPr="005A582B">
          <w:rPr>
            <w:rStyle w:val="Hyperlink"/>
          </w:rPr>
          <w:t>CEDAW/C/PRY/CO/7</w:t>
        </w:r>
      </w:hyperlink>
      <w:r w:rsidRPr="00B64C1B">
        <w:t>) tras la evaluación del VII Informe Periódico Nacional</w:t>
      </w:r>
      <w:r w:rsidRPr="00621CE1">
        <w:rPr>
          <w:vertAlign w:val="superscript"/>
        </w:rPr>
        <w:footnoteReference w:id="1"/>
      </w:r>
      <w:r>
        <w:t>.</w:t>
      </w:r>
    </w:p>
    <w:p w14:paraId="720CFF95" w14:textId="67A6E657" w:rsidR="00583FBD" w:rsidRPr="00B64C1B" w:rsidRDefault="00583FBD" w:rsidP="00583FBD">
      <w:pPr>
        <w:pStyle w:val="SingleTxt"/>
        <w:numPr>
          <w:ilvl w:val="0"/>
          <w:numId w:val="44"/>
        </w:numPr>
        <w:ind w:left="1267"/>
        <w:rPr>
          <w:lang w:val="es-PY"/>
        </w:rPr>
      </w:pPr>
      <w:r w:rsidRPr="00B64C1B">
        <w:rPr>
          <w:lang w:val="es-PY"/>
        </w:rPr>
        <w:t>A fin de cumplir con los principios constitucionales y sus compromisos internacionales, el Estado paraguayo, a través de sus instituciones competentes, implementa acciones para consolidar las responsabilidades asumidas para lograr la igualdad real y efectiva de las mujeres y para la</w:t>
      </w:r>
      <w:r w:rsidR="007E06AB">
        <w:rPr>
          <w:lang w:val="es-PY"/>
        </w:rPr>
        <w:t xml:space="preserve"> </w:t>
      </w:r>
      <w:r w:rsidRPr="00B64C1B">
        <w:rPr>
          <w:lang w:val="es-PY"/>
        </w:rPr>
        <w:t>eliminación de la discriminación contra la mujer mediante regulaciones normativas y la implementación de políticas, planes, programas y proyectos que inciden particularmente en sus condiciones de vida en sus ámbitos cotidianos, y a fin de promover transformaciones sociales, culturales y económicas que construyan ciudadanía sobre la base del ejercicio de derechos.</w:t>
      </w:r>
    </w:p>
    <w:p w14:paraId="77B5DC0E" w14:textId="02D32321" w:rsidR="00583FBD" w:rsidRPr="00B64C1B" w:rsidRDefault="00583FBD" w:rsidP="00583FBD">
      <w:pPr>
        <w:pStyle w:val="SingleTxt"/>
        <w:numPr>
          <w:ilvl w:val="0"/>
          <w:numId w:val="44"/>
        </w:numPr>
        <w:ind w:left="1267"/>
        <w:rPr>
          <w:lang w:val="es-PY"/>
        </w:rPr>
      </w:pPr>
      <w:r w:rsidRPr="00B64C1B">
        <w:rPr>
          <w:lang w:val="es-PY"/>
        </w:rPr>
        <w:t>El presente documento fue elaborado tomando en cuenta las directrices armonizadas para la presentación de informes a los Órganos de Tratados (</w:t>
      </w:r>
      <w:hyperlink r:id="rId21" w:history="1">
        <w:r w:rsidRPr="005A582B">
          <w:rPr>
            <w:rStyle w:val="Hyperlink"/>
            <w:lang w:val="es-PY"/>
          </w:rPr>
          <w:t>HRI/GEN/2/Rev.6</w:t>
        </w:r>
      </w:hyperlink>
      <w:r w:rsidRPr="00B64C1B">
        <w:rPr>
          <w:lang w:val="es-PY"/>
        </w:rPr>
        <w:t xml:space="preserve">), así como las directrices específicas sobre la forma y el contenido de los informes al Comité (Cap. V), y la nota orientativa </w:t>
      </w:r>
      <w:hyperlink r:id="rId22" w:history="1">
        <w:r w:rsidRPr="005A582B">
          <w:rPr>
            <w:rStyle w:val="Hyperlink"/>
            <w:lang w:val="es-PY"/>
          </w:rPr>
          <w:t>CEDAW/C/74/3</w:t>
        </w:r>
      </w:hyperlink>
      <w:r w:rsidRPr="00B64C1B">
        <w:rPr>
          <w:lang w:val="es-PY"/>
        </w:rPr>
        <w:t xml:space="preserve">. </w:t>
      </w:r>
    </w:p>
    <w:p w14:paraId="16C7F8B4" w14:textId="1F6FE496" w:rsidR="00583FBD" w:rsidRPr="00B64C1B" w:rsidRDefault="00583FBD" w:rsidP="00583FBD">
      <w:pPr>
        <w:pStyle w:val="SingleTxt"/>
        <w:numPr>
          <w:ilvl w:val="0"/>
          <w:numId w:val="44"/>
        </w:numPr>
        <w:ind w:left="1267"/>
        <w:rPr>
          <w:lang w:val="es-PY"/>
        </w:rPr>
      </w:pPr>
      <w:r w:rsidRPr="00B64C1B">
        <w:rPr>
          <w:lang w:val="es-PY"/>
        </w:rPr>
        <w:t>Aunque Paraguay está adscrito al Procedimiento Simplificado de presentación de informes, el Estado paraguayo decidió iniciar el proceso de elaboración del VIII</w:t>
      </w:r>
      <w:r w:rsidR="00E81B37">
        <w:rPr>
          <w:lang w:val="es-PY"/>
        </w:rPr>
        <w:t> </w:t>
      </w:r>
      <w:r w:rsidRPr="00B64C1B">
        <w:rPr>
          <w:lang w:val="es-PY"/>
        </w:rPr>
        <w:t>Informe Periódico Nacional utilizando el procedimiento ordinario, excepto en lo referente al documento básico común. Esta decisión se tomó con el fin de evitar demoras adicionales para su presentación.</w:t>
      </w:r>
    </w:p>
    <w:p w14:paraId="1A2BAF56" w14:textId="77777777" w:rsidR="00583FBD" w:rsidRPr="00583FBD" w:rsidRDefault="00583FBD" w:rsidP="00583FBD">
      <w:pPr>
        <w:pStyle w:val="SingleTxt"/>
        <w:spacing w:after="0" w:line="120" w:lineRule="exact"/>
        <w:rPr>
          <w:sz w:val="10"/>
          <w:lang w:val="es-PY"/>
        </w:rPr>
      </w:pPr>
    </w:p>
    <w:p w14:paraId="1DC7030D" w14:textId="77777777" w:rsidR="00583FBD" w:rsidRPr="00583FBD" w:rsidRDefault="00583FBD" w:rsidP="00583FBD">
      <w:pPr>
        <w:pStyle w:val="SingleTxt"/>
        <w:spacing w:after="0" w:line="120" w:lineRule="exact"/>
        <w:rPr>
          <w:sz w:val="10"/>
          <w:lang w:val="es-PY"/>
        </w:rPr>
      </w:pPr>
    </w:p>
    <w:p w14:paraId="109CCF5C" w14:textId="5D4B1456" w:rsidR="00583FBD" w:rsidRPr="00B64C1B" w:rsidRDefault="00583FBD" w:rsidP="00583F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t>II.</w:t>
      </w:r>
      <w:r>
        <w:rPr>
          <w:lang w:val="es-PY"/>
        </w:rPr>
        <w:tab/>
      </w:r>
      <w:r w:rsidRPr="00B64C1B">
        <w:rPr>
          <w:lang w:val="es-PY"/>
        </w:rPr>
        <w:t>Metodología de seguimiento, implementación y difusión de recomendaciones y preparación del informe</w:t>
      </w:r>
    </w:p>
    <w:p w14:paraId="5D6A8EEE" w14:textId="77777777" w:rsidR="00583FBD" w:rsidRPr="00583FBD" w:rsidRDefault="00583FBD" w:rsidP="00E95A89">
      <w:pPr>
        <w:pStyle w:val="SingleTxtG"/>
        <w:spacing w:after="0" w:line="120" w:lineRule="exact"/>
        <w:ind w:left="1267"/>
        <w:rPr>
          <w:bCs/>
          <w:sz w:val="10"/>
          <w:lang w:val="es-PY"/>
        </w:rPr>
      </w:pPr>
    </w:p>
    <w:p w14:paraId="29815797" w14:textId="77777777" w:rsidR="00583FBD" w:rsidRPr="00583FBD" w:rsidRDefault="00583FBD" w:rsidP="00E95A89">
      <w:pPr>
        <w:pStyle w:val="SingleTxtG"/>
        <w:spacing w:after="0" w:line="120" w:lineRule="exact"/>
        <w:ind w:left="1267"/>
        <w:rPr>
          <w:bCs/>
          <w:sz w:val="10"/>
          <w:lang w:val="es-PY"/>
        </w:rPr>
      </w:pPr>
    </w:p>
    <w:p w14:paraId="6ACBB836" w14:textId="0CA10931" w:rsidR="00485C85" w:rsidRDefault="00583FBD" w:rsidP="00583FBD">
      <w:pPr>
        <w:pStyle w:val="SingleTxt"/>
        <w:numPr>
          <w:ilvl w:val="0"/>
          <w:numId w:val="44"/>
        </w:numPr>
        <w:ind w:left="1267"/>
        <w:rPr>
          <w:lang w:val="es-PY"/>
        </w:rPr>
      </w:pPr>
      <w:r w:rsidRPr="00B64C1B">
        <w:rPr>
          <w:lang w:val="es-PY"/>
        </w:rPr>
        <w:t>El Paraguay dispone de un mecanismo interinstitucional permanente, conocido como SIMORE Plus</w:t>
      </w:r>
      <w:r w:rsidRPr="00B64C1B">
        <w:rPr>
          <w:vertAlign w:val="superscript"/>
          <w:lang w:val="es-PY"/>
        </w:rPr>
        <w:footnoteReference w:id="2"/>
      </w:r>
      <w:r w:rsidRPr="00B64C1B">
        <w:rPr>
          <w:lang w:val="es-PY"/>
        </w:rPr>
        <w:t>, dedicado a la sistematización, seguimiento y coordinación de acciones para el cumplimiento e implementación de compromisos y recomendaciones en materia de derechos humanos, del que la Convención es parte, así como para la elaboración de informes. Este informe es resultado de un proceso de consultas interinstitucionales y recopilación de datos articulado por el Ministerio de la Mujer (MINMUJER) y el Ministerio de Relaciones Exteriores (MRE), a través de dicho mecanismo. Para enriquecer la participación se han solicitado informes a instituciones que de forma específica implementan acciones para avanzar hacia la igualdad de las mujeres.</w:t>
      </w:r>
    </w:p>
    <w:p w14:paraId="18EA4C29" w14:textId="77777777" w:rsidR="00485C85" w:rsidRDefault="00485C85">
      <w:pPr>
        <w:suppressAutoHyphens w:val="0"/>
        <w:spacing w:after="160" w:line="259" w:lineRule="auto"/>
        <w:rPr>
          <w:kern w:val="14"/>
          <w:lang w:val="es-PY"/>
        </w:rPr>
      </w:pPr>
      <w:r>
        <w:rPr>
          <w:lang w:val="es-PY"/>
        </w:rPr>
        <w:br w:type="page"/>
      </w:r>
    </w:p>
    <w:p w14:paraId="2466EDE0" w14:textId="77777777" w:rsidR="00583FBD" w:rsidRPr="00485C85" w:rsidRDefault="00583FBD" w:rsidP="00485C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PY"/>
        </w:rPr>
      </w:pPr>
      <w:r>
        <w:rPr>
          <w:lang w:val="es-PY"/>
        </w:rPr>
        <w:lastRenderedPageBreak/>
        <w:tab/>
        <w:t>III.</w:t>
      </w:r>
      <w:r>
        <w:rPr>
          <w:lang w:val="es-PY"/>
        </w:rPr>
        <w:tab/>
      </w:r>
      <w:r w:rsidRPr="00B64C1B">
        <w:rPr>
          <w:lang w:val="es-PY"/>
        </w:rPr>
        <w:t>Seguimiento a las principales esferas de preocupación y recomendaciones del Comité</w:t>
      </w:r>
    </w:p>
    <w:p w14:paraId="4BEF8EBD" w14:textId="77777777" w:rsidR="00485C85" w:rsidRPr="00485C85" w:rsidRDefault="00485C85" w:rsidP="00485C85">
      <w:pPr>
        <w:pStyle w:val="SingleTxt"/>
        <w:spacing w:after="0" w:line="120" w:lineRule="exact"/>
        <w:rPr>
          <w:sz w:val="10"/>
          <w:lang w:val="es-PY"/>
        </w:rPr>
      </w:pPr>
    </w:p>
    <w:p w14:paraId="23DF8152" w14:textId="77777777" w:rsidR="00485C85" w:rsidRPr="00485C85" w:rsidRDefault="00485C85" w:rsidP="00485C85">
      <w:pPr>
        <w:pStyle w:val="SingleTxt"/>
        <w:spacing w:after="0" w:line="120" w:lineRule="exact"/>
        <w:rPr>
          <w:sz w:val="10"/>
          <w:lang w:val="es-PY"/>
        </w:rPr>
      </w:pPr>
    </w:p>
    <w:p w14:paraId="1BC06067" w14:textId="0F0D4D83" w:rsidR="00583FBD" w:rsidRPr="00B64C1B" w:rsidRDefault="00583FBD" w:rsidP="00485C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Marco jurídico e institucional (artículos 1 y 2)</w:t>
      </w:r>
      <w:r w:rsidRPr="00E95A89">
        <w:rPr>
          <w:b w:val="0"/>
          <w:bCs/>
          <w:sz w:val="20"/>
          <w:szCs w:val="20"/>
          <w:vertAlign w:val="superscript"/>
          <w:lang w:val="es-PY"/>
        </w:rPr>
        <w:footnoteReference w:id="3"/>
      </w:r>
    </w:p>
    <w:p w14:paraId="10588DCD" w14:textId="77777777" w:rsidR="00485C85" w:rsidRPr="00485C85" w:rsidRDefault="00485C85" w:rsidP="00485C85">
      <w:pPr>
        <w:pStyle w:val="SingleTxt"/>
        <w:spacing w:after="0" w:line="120" w:lineRule="exact"/>
        <w:rPr>
          <w:bCs/>
          <w:sz w:val="10"/>
          <w:lang w:val="es-PY"/>
        </w:rPr>
      </w:pPr>
    </w:p>
    <w:p w14:paraId="52E0A250" w14:textId="77777777" w:rsidR="00485C85" w:rsidRPr="00485C85" w:rsidRDefault="00485C85" w:rsidP="00485C85">
      <w:pPr>
        <w:pStyle w:val="SingleTxt"/>
        <w:spacing w:after="0" w:line="120" w:lineRule="exact"/>
        <w:rPr>
          <w:bCs/>
          <w:sz w:val="10"/>
          <w:lang w:val="es-PY"/>
        </w:rPr>
      </w:pPr>
    </w:p>
    <w:p w14:paraId="3E3F0178" w14:textId="1BA8502E" w:rsidR="00583FBD" w:rsidRPr="00B64C1B" w:rsidRDefault="00583FBD" w:rsidP="00485C85">
      <w:pPr>
        <w:pStyle w:val="SingleTxt"/>
        <w:numPr>
          <w:ilvl w:val="0"/>
          <w:numId w:val="44"/>
        </w:numPr>
        <w:ind w:left="1267"/>
        <w:rPr>
          <w:lang w:val="es-PY"/>
        </w:rPr>
      </w:pPr>
      <w:r w:rsidRPr="00B64C1B">
        <w:rPr>
          <w:lang w:val="es-PY"/>
        </w:rPr>
        <w:t>El marco normativo general relativo a la igualdad y la no discriminación se encuentra establecido en la Parte I, Título II, Capítulo III de la Constitución del Paraguay</w:t>
      </w:r>
      <w:r w:rsidRPr="00B64C1B">
        <w:rPr>
          <w:vertAlign w:val="superscript"/>
          <w:lang w:val="es-PY"/>
        </w:rPr>
        <w:footnoteReference w:id="4"/>
      </w:r>
      <w:r w:rsidRPr="00B64C1B">
        <w:rPr>
          <w:lang w:val="es-PY"/>
        </w:rPr>
        <w:t>, cuyo artículo 46</w:t>
      </w:r>
      <w:r w:rsidRPr="00B64C1B">
        <w:rPr>
          <w:vertAlign w:val="superscript"/>
          <w:lang w:val="es-PY"/>
        </w:rPr>
        <w:footnoteReference w:id="5"/>
      </w:r>
      <w:r w:rsidRPr="00B64C1B">
        <w:rPr>
          <w:lang w:val="es-PY"/>
        </w:rPr>
        <w:t xml:space="preserve">, sobre la base de que todos los habitantes de la República son iguales en dignidad y derechos, dispone de manera tajante que no se admiten discriminaciones. La </w:t>
      </w:r>
      <w:r w:rsidRPr="00B64C1B">
        <w:t>igualdad</w:t>
      </w:r>
      <w:r w:rsidRPr="00B64C1B">
        <w:rPr>
          <w:lang w:val="es-PY"/>
        </w:rPr>
        <w:t xml:space="preserve"> entre mujeres y hombres y la no discriminación por razón de sexo están consagradas en el artículo 48</w:t>
      </w:r>
      <w:r w:rsidRPr="00B64C1B">
        <w:rPr>
          <w:vertAlign w:val="superscript"/>
          <w:lang w:val="es-PY"/>
        </w:rPr>
        <w:footnoteReference w:id="6"/>
      </w:r>
      <w:r w:rsidRPr="00B64C1B">
        <w:rPr>
          <w:lang w:val="es-PY"/>
        </w:rPr>
        <w:t>, cuya jerarquía en el orden de prelación legal, prevalece sobre las disposiciones discriminatorias que pudieran subsistir en instrumentos normativos de inferior jerarquía.</w:t>
      </w:r>
    </w:p>
    <w:p w14:paraId="12283F53" w14:textId="69A8D44A" w:rsidR="00583FBD" w:rsidRPr="00B64C1B" w:rsidRDefault="00583FBD" w:rsidP="00485C85">
      <w:pPr>
        <w:pStyle w:val="SingleTxt"/>
        <w:numPr>
          <w:ilvl w:val="0"/>
          <w:numId w:val="44"/>
        </w:numPr>
        <w:ind w:left="1267"/>
        <w:rPr>
          <w:lang w:val="es-PY"/>
        </w:rPr>
      </w:pPr>
      <w:r w:rsidRPr="00B64C1B">
        <w:rPr>
          <w:lang w:val="es-PY"/>
        </w:rPr>
        <w:t>Estos principios constitucionales orientan iniciativas que promueven las condiciones y mecanismos adecuados para que la igualdad entre mujeres y hombres sea real y efectiva, y para garantizar a las mujeres todos los derechos civiles, políticos, sociales, económicos y culturales, allanando los obstáculos que impidan o dificulten su ejercicio y la participación de las mujeres en todos los ámbitos de la vida nacional, teniendo en cuenta la premisa constitucional de que las protecciones sobre desigualdades injustas no serán consideradas discriminatorias, sino igualitarias (art. 46, in fine).</w:t>
      </w:r>
    </w:p>
    <w:p w14:paraId="2D1207C1" w14:textId="2E6AEE6A" w:rsidR="00583FBD" w:rsidRPr="00B64C1B" w:rsidRDefault="00583FBD" w:rsidP="00485C85">
      <w:pPr>
        <w:pStyle w:val="SingleTxt"/>
        <w:numPr>
          <w:ilvl w:val="0"/>
          <w:numId w:val="44"/>
        </w:numPr>
        <w:ind w:left="1267"/>
        <w:rPr>
          <w:lang w:val="es-PY"/>
        </w:rPr>
      </w:pPr>
      <w:r w:rsidRPr="00B64C1B">
        <w:rPr>
          <w:lang w:val="es-PY"/>
        </w:rPr>
        <w:t>De acuerdo con el art. 45 de la Constitución paraguaya</w:t>
      </w:r>
      <w:r w:rsidRPr="00B64C1B">
        <w:rPr>
          <w:vertAlign w:val="superscript"/>
          <w:lang w:val="es-PY"/>
        </w:rPr>
        <w:footnoteReference w:id="7"/>
      </w:r>
      <w:r w:rsidRPr="00B64C1B">
        <w:rPr>
          <w:lang w:val="es-PY"/>
        </w:rPr>
        <w:t>, en el marco normativo paraguayo la falta de ley reglamentaria no puede ser invocada para negar ni para menoscabar algún derecho o garantía; en ese sentido, aunque subsiste el desafío de contar con una ley contra toda forma de discriminación</w:t>
      </w:r>
      <w:r w:rsidRPr="00B64C1B">
        <w:rPr>
          <w:vertAlign w:val="superscript"/>
          <w:lang w:val="es-PY"/>
        </w:rPr>
        <w:footnoteReference w:id="8"/>
      </w:r>
      <w:r w:rsidRPr="00B64C1B">
        <w:rPr>
          <w:lang w:val="es-PY"/>
        </w:rPr>
        <w:t xml:space="preserve">, por mandato constitucional se despliegan acciones para remover obstáculos e impedir factores que mantengan o propicien discriminaciones, a través de diversos instrumentos de políticas públicas (Anexo 1). </w:t>
      </w:r>
    </w:p>
    <w:p w14:paraId="27C03E39" w14:textId="18F6819C" w:rsidR="00583FBD" w:rsidRPr="00B64C1B" w:rsidRDefault="00583FBD" w:rsidP="00485C85">
      <w:pPr>
        <w:pStyle w:val="SingleTxt"/>
        <w:numPr>
          <w:ilvl w:val="0"/>
          <w:numId w:val="44"/>
        </w:numPr>
        <w:ind w:left="1267"/>
        <w:rPr>
          <w:lang w:val="es-PY"/>
        </w:rPr>
      </w:pPr>
      <w:r w:rsidRPr="00B64C1B">
        <w:rPr>
          <w:lang w:val="es-PY"/>
        </w:rPr>
        <w:t>En particular, el IV Plan Nacional de Igualdad 2018-2024 (</w:t>
      </w:r>
      <w:proofErr w:type="spellStart"/>
      <w:r w:rsidRPr="00B64C1B">
        <w:rPr>
          <w:lang w:val="es-PY"/>
        </w:rPr>
        <w:t>PlaNI</w:t>
      </w:r>
      <w:proofErr w:type="spellEnd"/>
      <w:r w:rsidRPr="00B64C1B">
        <w:rPr>
          <w:lang w:val="es-PY"/>
        </w:rPr>
        <w:t>)</w:t>
      </w:r>
      <w:r w:rsidRPr="00B64C1B">
        <w:rPr>
          <w:vertAlign w:val="superscript"/>
          <w:lang w:val="es-PY"/>
        </w:rPr>
        <w:footnoteReference w:id="9"/>
      </w:r>
      <w:r w:rsidRPr="00B64C1B">
        <w:rPr>
          <w:lang w:val="es-PY"/>
        </w:rPr>
        <w:t xml:space="preserve"> contempla estrategias para lograr la igualdad sustantiva entre hombres y mujeres, buscando </w:t>
      </w:r>
      <w:r w:rsidRPr="00B64C1B">
        <w:rPr>
          <w:lang w:val="es-PY"/>
        </w:rPr>
        <w:lastRenderedPageBreak/>
        <w:t>allanar obstáculos que la dificultan o impiden y eliminar toda forma de discriminación.</w:t>
      </w:r>
    </w:p>
    <w:p w14:paraId="151FD2A6" w14:textId="7206AA6D" w:rsidR="00583FBD" w:rsidRPr="00B64C1B" w:rsidRDefault="00583FBD" w:rsidP="00485C85">
      <w:pPr>
        <w:pStyle w:val="SingleTxt"/>
        <w:numPr>
          <w:ilvl w:val="0"/>
          <w:numId w:val="44"/>
        </w:numPr>
        <w:ind w:left="1267"/>
        <w:rPr>
          <w:lang w:val="es-PY"/>
        </w:rPr>
      </w:pPr>
      <w:r w:rsidRPr="00B64C1B">
        <w:rPr>
          <w:lang w:val="es-PY"/>
        </w:rPr>
        <w:t>En los últimos años, se ha avanzado en la armonización y mejoramiento normativo, incluyendo la aprobación de legislación vinculada a la promoción y protección de derechos de las mujeres, la eliminación de la discriminación por razón de género y la promoción de la igualdad de género, la ratificación</w:t>
      </w:r>
      <w:r w:rsidRPr="00B64C1B">
        <w:rPr>
          <w:vertAlign w:val="superscript"/>
          <w:lang w:val="es-PY"/>
        </w:rPr>
        <w:t xml:space="preserve"> </w:t>
      </w:r>
      <w:r w:rsidRPr="00B64C1B">
        <w:rPr>
          <w:lang w:val="es-PY"/>
        </w:rPr>
        <w:t xml:space="preserve">de instrumentos internacionales y el fortalecimiento institucional, cuyo detalle correspondiente se presenta en el Anexo 2. </w:t>
      </w:r>
    </w:p>
    <w:p w14:paraId="00E0D7CA" w14:textId="0279C31C" w:rsidR="00583FBD" w:rsidRPr="00B64C1B" w:rsidRDefault="00583FBD" w:rsidP="00485C85">
      <w:pPr>
        <w:pStyle w:val="SingleTxt"/>
        <w:numPr>
          <w:ilvl w:val="0"/>
          <w:numId w:val="44"/>
        </w:numPr>
        <w:tabs>
          <w:tab w:val="num" w:pos="2804"/>
        </w:tabs>
        <w:ind w:left="1267"/>
        <w:rPr>
          <w:lang w:val="es-PY"/>
        </w:rPr>
      </w:pPr>
      <w:r w:rsidRPr="00B64C1B">
        <w:rPr>
          <w:lang w:val="es-PY"/>
        </w:rPr>
        <w:t xml:space="preserve">En febrero de 2018, el MINMUJER inauguró el Centro </w:t>
      </w:r>
      <w:r w:rsidR="00F019B7">
        <w:rPr>
          <w:lang w:val="es-PY"/>
        </w:rPr>
        <w:t>“</w:t>
      </w:r>
      <w:r w:rsidRPr="00B64C1B">
        <w:rPr>
          <w:lang w:val="es-PY"/>
        </w:rPr>
        <w:t>Ciudad Mujer</w:t>
      </w:r>
      <w:r w:rsidR="00F019B7">
        <w:rPr>
          <w:lang w:val="es-PY"/>
        </w:rPr>
        <w:t>”</w:t>
      </w:r>
      <w:r w:rsidRPr="00B64C1B">
        <w:rPr>
          <w:vertAlign w:val="superscript"/>
          <w:lang w:val="es-PY"/>
        </w:rPr>
        <w:footnoteReference w:id="10"/>
      </w:r>
      <w:r w:rsidRPr="00B64C1B">
        <w:rPr>
          <w:lang w:val="es-PY"/>
        </w:rPr>
        <w:t>, para facilitar el acceso a servicios públicos de calidad organizados en 6 módulos: orientación inicial, empoderamiento económico, educación para la equidad, prevención de la violencia contra las mujeres, atención infantil y salud sexual y reproductiva, con un enfoque de atención integral y con calidez para propiciar el desarrollo, la autonomía, el crecimiento personal y empoderamiento de las mujeres. Reúne los servicios de un total de 13 instituciones, con áreas de atención, coordinadas por estas instancias de acuerdo a sus competencias.</w:t>
      </w:r>
    </w:p>
    <w:p w14:paraId="4CC31DAC" w14:textId="08DF8A2D" w:rsidR="00583FBD" w:rsidRPr="00B64C1B" w:rsidRDefault="00583FBD" w:rsidP="00485C85">
      <w:pPr>
        <w:pStyle w:val="SingleTxt"/>
        <w:numPr>
          <w:ilvl w:val="0"/>
          <w:numId w:val="44"/>
        </w:numPr>
        <w:tabs>
          <w:tab w:val="num" w:pos="2804"/>
        </w:tabs>
        <w:ind w:left="1267"/>
        <w:rPr>
          <w:lang w:val="es-PY"/>
        </w:rPr>
      </w:pPr>
      <w:r w:rsidRPr="00B64C1B">
        <w:rPr>
          <w:lang w:val="es-PY"/>
        </w:rPr>
        <w:t xml:space="preserve">En 2021 el Estado estableció el Sistema de Protección Social </w:t>
      </w:r>
      <w:r w:rsidR="00F019B7">
        <w:rPr>
          <w:lang w:val="es-PY"/>
        </w:rPr>
        <w:t>“</w:t>
      </w:r>
      <w:r w:rsidRPr="00B64C1B">
        <w:rPr>
          <w:lang w:val="es-PY"/>
        </w:rPr>
        <w:t>¡Vamos!</w:t>
      </w:r>
      <w:r w:rsidR="00F019B7">
        <w:rPr>
          <w:lang w:val="es-PY"/>
        </w:rPr>
        <w:t>”</w:t>
      </w:r>
      <w:r w:rsidRPr="00B64C1B">
        <w:rPr>
          <w:vertAlign w:val="superscript"/>
          <w:lang w:val="es-PY"/>
        </w:rPr>
        <w:footnoteReference w:id="11"/>
      </w:r>
      <w:r w:rsidRPr="00B64C1B">
        <w:rPr>
          <w:lang w:val="es-PY"/>
        </w:rPr>
        <w:t xml:space="preserve"> uno de los avances más importantes del Paraguay en cuanto a la integración de servicios que protegen a la población y promueve el acceso a sus derechos económicos, sociales y culturales</w:t>
      </w:r>
      <w:r w:rsidRPr="00B64C1B">
        <w:rPr>
          <w:vertAlign w:val="superscript"/>
          <w:lang w:val="es-PY"/>
        </w:rPr>
        <w:footnoteReference w:id="12"/>
      </w:r>
      <w:r w:rsidRPr="00B64C1B">
        <w:rPr>
          <w:lang w:val="es-PY"/>
        </w:rPr>
        <w:t>. El sistema consiste en articular, desde la perspectiva de los derechos ciudadanos y a lo largo del ciclo de vida, las estrategias de intervención del sector público, constando de tres pilares básicos:</w:t>
      </w:r>
      <w:r w:rsidR="007E06AB">
        <w:rPr>
          <w:lang w:val="es-PY"/>
        </w:rPr>
        <w:t xml:space="preserve"> </w:t>
      </w:r>
      <w:r w:rsidRPr="00B64C1B">
        <w:rPr>
          <w:lang w:val="es-PY"/>
        </w:rPr>
        <w:t>I) Integración Social, vinculado a las Políticas de corte universal y selectivas orientadas a la población en situación de pobreza; II) Inserción Laboral y Productiva, relacionado con las Políticas de Inclusión y de Regulación Laboral y III) Seguridad Social, vinculado a las Políticas contributivas y no contributivas</w:t>
      </w:r>
      <w:r w:rsidRPr="00B64C1B">
        <w:rPr>
          <w:vertAlign w:val="superscript"/>
          <w:lang w:val="es-PY"/>
        </w:rPr>
        <w:footnoteReference w:id="13"/>
      </w:r>
      <w:r w:rsidRPr="00B64C1B">
        <w:rPr>
          <w:lang w:val="es-PY"/>
        </w:rPr>
        <w:t>.</w:t>
      </w:r>
    </w:p>
    <w:p w14:paraId="44820849" w14:textId="77777777" w:rsidR="00485C85" w:rsidRPr="00485C85" w:rsidRDefault="00485C85" w:rsidP="00485C85">
      <w:pPr>
        <w:pStyle w:val="SingleTxt"/>
        <w:spacing w:after="0" w:line="120" w:lineRule="exact"/>
        <w:rPr>
          <w:sz w:val="10"/>
          <w:lang w:val="es-PY"/>
        </w:rPr>
      </w:pPr>
    </w:p>
    <w:p w14:paraId="3BE96E89" w14:textId="77777777" w:rsidR="00485C85" w:rsidRPr="00485C85" w:rsidRDefault="00485C85" w:rsidP="00485C85">
      <w:pPr>
        <w:pStyle w:val="SingleTxt"/>
        <w:spacing w:after="0" w:line="120" w:lineRule="exact"/>
        <w:rPr>
          <w:sz w:val="10"/>
          <w:lang w:val="es-PY"/>
        </w:rPr>
      </w:pPr>
    </w:p>
    <w:p w14:paraId="74563FA6" w14:textId="4B84ACE3" w:rsidR="00583FBD" w:rsidRPr="00B64C1B" w:rsidRDefault="00583FBD" w:rsidP="00485C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Regresión en la promoción de la igualdad de género (art. 2)</w:t>
      </w:r>
      <w:r w:rsidRPr="00D849F6">
        <w:rPr>
          <w:b w:val="0"/>
          <w:bCs/>
          <w:sz w:val="20"/>
          <w:szCs w:val="20"/>
          <w:vertAlign w:val="superscript"/>
          <w:lang w:val="es-PY"/>
        </w:rPr>
        <w:footnoteReference w:id="14"/>
      </w:r>
    </w:p>
    <w:p w14:paraId="5BC9E652" w14:textId="77777777" w:rsidR="00485C85" w:rsidRPr="00485C85" w:rsidRDefault="00485C85" w:rsidP="00D849F6">
      <w:pPr>
        <w:pStyle w:val="SingleTxtG"/>
        <w:spacing w:after="0" w:line="120" w:lineRule="exact"/>
        <w:ind w:left="1267"/>
        <w:rPr>
          <w:bCs/>
          <w:sz w:val="10"/>
          <w:lang w:val="es-PY"/>
        </w:rPr>
      </w:pPr>
    </w:p>
    <w:p w14:paraId="6B86BFBB" w14:textId="77777777" w:rsidR="00485C85" w:rsidRPr="00485C85" w:rsidRDefault="00485C85" w:rsidP="00D849F6">
      <w:pPr>
        <w:pStyle w:val="SingleTxtG"/>
        <w:spacing w:after="0" w:line="120" w:lineRule="exact"/>
        <w:ind w:left="1267"/>
        <w:rPr>
          <w:bCs/>
          <w:sz w:val="10"/>
          <w:lang w:val="es-PY"/>
        </w:rPr>
      </w:pPr>
    </w:p>
    <w:p w14:paraId="2BD4CBC0" w14:textId="7675EFCC" w:rsidR="00583FBD" w:rsidRPr="00B64C1B" w:rsidRDefault="00583FBD" w:rsidP="00485C85">
      <w:pPr>
        <w:pStyle w:val="SingleTxt"/>
        <w:numPr>
          <w:ilvl w:val="0"/>
          <w:numId w:val="44"/>
        </w:numPr>
        <w:ind w:left="1267"/>
        <w:rPr>
          <w:lang w:val="es-PY"/>
        </w:rPr>
      </w:pPr>
      <w:r w:rsidRPr="00B64C1B">
        <w:rPr>
          <w:lang w:val="es-PY"/>
        </w:rPr>
        <w:t xml:space="preserve">En concordancia con la Constitución Nacional, la Ley General de Educación y otras normativas afines vigentes, el Ministerio de Educación y Ciencias (MEC), órgano rector del sistema educativo nacional y responsable del establecimiento de la política educativa nacional, garantiza el acceso a todas las personas sin discriminación alguna a una educación integral y de calidad, lo cual se proyecta en sus números planes, programas y proyectos en materia de educación y ciencias. La construcción de tales planes, programas y proyectos de educación y ciencias conlleva la participación de la comunidad educativa, a través de la apertura de espacios de </w:t>
      </w:r>
      <w:r w:rsidRPr="00B64C1B">
        <w:rPr>
          <w:lang w:val="es-PY"/>
        </w:rPr>
        <w:lastRenderedPageBreak/>
        <w:t>diálogos con los diferentes actores que la componen, así como de otros mecanismos de participación. Las decisiones de esta Cartera de Estado son el resultado de un proceso de análisis, debate y valoración que se realiza sobre bases constitucionales y con participación de la comunidad educativa.</w:t>
      </w:r>
    </w:p>
    <w:p w14:paraId="1D9955C0" w14:textId="11EA0673" w:rsidR="00583FBD" w:rsidRPr="00B64C1B" w:rsidRDefault="00583FBD" w:rsidP="00485C85">
      <w:pPr>
        <w:pStyle w:val="SingleTxt"/>
        <w:numPr>
          <w:ilvl w:val="0"/>
          <w:numId w:val="44"/>
        </w:numPr>
        <w:ind w:left="1267"/>
        <w:rPr>
          <w:lang w:val="es-PY"/>
        </w:rPr>
      </w:pPr>
      <w:r w:rsidRPr="00B64C1B">
        <w:rPr>
          <w:lang w:val="es-PY"/>
        </w:rPr>
        <w:t xml:space="preserve">El MINMUJER coordina desde el año 2020 el Programa de Certificación </w:t>
      </w:r>
      <w:r w:rsidR="00F019B7">
        <w:rPr>
          <w:lang w:val="es-PY"/>
        </w:rPr>
        <w:t>“</w:t>
      </w:r>
      <w:r w:rsidRPr="00B64C1B">
        <w:rPr>
          <w:lang w:val="es-PY"/>
        </w:rPr>
        <w:t>Sello de Igualdad en el Sector Público</w:t>
      </w:r>
      <w:r w:rsidR="00F019B7">
        <w:rPr>
          <w:lang w:val="es-PY"/>
        </w:rPr>
        <w:t>”</w:t>
      </w:r>
      <w:r w:rsidRPr="00B64C1B">
        <w:rPr>
          <w:lang w:val="es-PY"/>
        </w:rPr>
        <w:t>, con el objetivo de apoyar y avanzar hacia la igualdad sustantiva entre hombres y mujeres en línea con la Agenda 2030 de desarrollo sostenible con el apoyo del Programa de las Naciones Unidas para el Desarrollo (PNUD).</w:t>
      </w:r>
    </w:p>
    <w:p w14:paraId="1E7B67CA" w14:textId="651B66F0" w:rsidR="00583FBD" w:rsidRPr="00B64C1B" w:rsidRDefault="00583FBD" w:rsidP="00485C85">
      <w:pPr>
        <w:pStyle w:val="SingleTxt"/>
        <w:numPr>
          <w:ilvl w:val="0"/>
          <w:numId w:val="44"/>
        </w:numPr>
        <w:ind w:left="1267"/>
        <w:rPr>
          <w:lang w:val="es-PY"/>
        </w:rPr>
      </w:pPr>
      <w:r w:rsidRPr="00B64C1B">
        <w:rPr>
          <w:lang w:val="es-PY"/>
        </w:rPr>
        <w:t>El Ministerio de Urbanismo, Vivienda y Hábitat (MUVH) implementó un programa de formación dirigido a 35 servidores públicos en 2019, centrado en la prevención y detección del abuso sexual en niñas, niños y adolescentes. Durante los años 2022 y 2023 se ofreció un Diplomado en Género y Políticas Públicas dirigido a Servidores Públicos</w:t>
      </w:r>
      <w:r w:rsidRPr="00B64C1B">
        <w:rPr>
          <w:vertAlign w:val="superscript"/>
          <w:lang w:val="es-PY"/>
        </w:rPr>
        <w:footnoteReference w:id="15"/>
      </w:r>
      <w:r w:rsidRPr="00B64C1B">
        <w:rPr>
          <w:lang w:val="es-PY"/>
        </w:rPr>
        <w:t xml:space="preserve">. </w:t>
      </w:r>
    </w:p>
    <w:p w14:paraId="7F497D55" w14:textId="6748FF65" w:rsidR="00583FBD" w:rsidRPr="00B64C1B" w:rsidRDefault="00583FBD" w:rsidP="00485C85">
      <w:pPr>
        <w:pStyle w:val="SingleTxt"/>
        <w:numPr>
          <w:ilvl w:val="0"/>
          <w:numId w:val="44"/>
        </w:numPr>
        <w:tabs>
          <w:tab w:val="num" w:pos="2804"/>
        </w:tabs>
        <w:ind w:left="1267"/>
        <w:rPr>
          <w:lang w:val="es-PY"/>
        </w:rPr>
      </w:pPr>
      <w:r w:rsidRPr="00B64C1B">
        <w:rPr>
          <w:lang w:val="es-PY"/>
        </w:rPr>
        <w:t xml:space="preserve">En el proceso de construcción participativa del IV </w:t>
      </w:r>
      <w:proofErr w:type="spellStart"/>
      <w:r w:rsidRPr="00B64C1B">
        <w:rPr>
          <w:lang w:val="es-PY"/>
        </w:rPr>
        <w:t>PlaNI</w:t>
      </w:r>
      <w:proofErr w:type="spellEnd"/>
      <w:r w:rsidRPr="00B64C1B">
        <w:rPr>
          <w:lang w:val="es-PY"/>
        </w:rPr>
        <w:t xml:space="preserve"> se realizaron consultas con diversas instituciones públicas y organizaciones de la sociedad civil. Se recibieron aportes de servidores/as públicos/as, así como de redes feministas y articulaciones de mujeres, lo cual permitió incorporar diferentes perspectivas y enfoques.</w:t>
      </w:r>
    </w:p>
    <w:p w14:paraId="415A14A0" w14:textId="767AA958" w:rsidR="00583FBD" w:rsidRPr="00B64C1B" w:rsidRDefault="00583FBD" w:rsidP="00485C85">
      <w:pPr>
        <w:pStyle w:val="SingleTxt"/>
        <w:numPr>
          <w:ilvl w:val="0"/>
          <w:numId w:val="44"/>
        </w:numPr>
        <w:tabs>
          <w:tab w:val="num" w:pos="2804"/>
        </w:tabs>
        <w:ind w:left="1267"/>
        <w:rPr>
          <w:lang w:val="es-PY"/>
        </w:rPr>
      </w:pPr>
      <w:r w:rsidRPr="00B64C1B">
        <w:rPr>
          <w:lang w:val="es-PY"/>
        </w:rPr>
        <w:t>El Instituto Paraguayo del Indígena (INDI) diseñó el Plan Nacional de Pueblos Indígenas (PNPI) 2020 – 2030. Durante este proceso participativo y consensuado se aseguró la participación activa de mujeres y jóvenes de los 19 pueblos indígenas presentes en el territorio nacional.</w:t>
      </w:r>
    </w:p>
    <w:p w14:paraId="37D60396" w14:textId="5ABF8523" w:rsidR="00583FBD" w:rsidRPr="00B64C1B" w:rsidRDefault="00583FBD" w:rsidP="00485C85">
      <w:pPr>
        <w:pStyle w:val="SingleTxt"/>
        <w:numPr>
          <w:ilvl w:val="0"/>
          <w:numId w:val="44"/>
        </w:numPr>
        <w:tabs>
          <w:tab w:val="num" w:pos="2804"/>
        </w:tabs>
        <w:ind w:left="1267"/>
        <w:rPr>
          <w:lang w:val="es-PY"/>
        </w:rPr>
      </w:pPr>
      <w:r w:rsidRPr="00B64C1B">
        <w:rPr>
          <w:lang w:val="es-PY"/>
        </w:rPr>
        <w:t>El proceso de elaboración de la Política Nacional de Cuidados (PNCUPA) y de su correspondiente proyecto de ley ha contado con la participación de diferentes sectores, particularmente del movimiento de mujeres de diferentes puntos del país.</w:t>
      </w:r>
    </w:p>
    <w:p w14:paraId="28545395" w14:textId="5ED53236" w:rsidR="00583FBD" w:rsidRPr="00B64C1B" w:rsidRDefault="00583FBD" w:rsidP="00485C85">
      <w:pPr>
        <w:pStyle w:val="SingleTxt"/>
        <w:numPr>
          <w:ilvl w:val="0"/>
          <w:numId w:val="44"/>
        </w:numPr>
        <w:tabs>
          <w:tab w:val="num" w:pos="2804"/>
        </w:tabs>
        <w:ind w:left="1267"/>
        <w:rPr>
          <w:lang w:val="es-PY"/>
        </w:rPr>
      </w:pPr>
      <w:r w:rsidRPr="00B64C1B">
        <w:rPr>
          <w:lang w:val="es-PY"/>
        </w:rPr>
        <w:t>La Constitución Nacional consagra la igualdad entre mujeres y hombres</w:t>
      </w:r>
      <w:r w:rsidRPr="00B64C1B">
        <w:rPr>
          <w:vertAlign w:val="superscript"/>
          <w:lang w:val="es-PY"/>
        </w:rPr>
        <w:footnoteReference w:id="16"/>
      </w:r>
      <w:r w:rsidRPr="00B64C1B">
        <w:rPr>
          <w:lang w:val="es-PY"/>
        </w:rPr>
        <w:t>, prevaleciendo sobre cualquier disposición discriminatoria en otros instrumentos normativos de inferior jerarquía. Si bien el proyecto de ley Contra Toda Forma de Discriminación continúa sin ser objeto de análisis a nivel parlamentario, se ha avanzado en el establecimiento de normativa específica para prevenir discriminaciones, como la Ley Nº6940, que establece mecanismos y procedimientos para prevenir y sancionar actos de racismo y discriminación hacia las personas afrodescendientes</w:t>
      </w:r>
      <w:r w:rsidRPr="00B64C1B">
        <w:rPr>
          <w:vertAlign w:val="superscript"/>
          <w:lang w:val="es-PY"/>
        </w:rPr>
        <w:footnoteReference w:id="17"/>
      </w:r>
      <w:r w:rsidRPr="00B64C1B">
        <w:rPr>
          <w:lang w:val="es-PY"/>
        </w:rPr>
        <w:t>. Además, se han realizado avances significativos en la protección de los derechos de las personas LGTBI mediante la adopción de, decretos, resoluciones y protocolos en diversas áreas. La Política Nacional de Salud 2015 – 2030</w:t>
      </w:r>
      <w:r w:rsidRPr="00B64C1B">
        <w:rPr>
          <w:vertAlign w:val="superscript"/>
          <w:lang w:val="es-PY"/>
        </w:rPr>
        <w:footnoteReference w:id="18"/>
      </w:r>
      <w:r w:rsidRPr="00B64C1B">
        <w:rPr>
          <w:lang w:val="es-PY"/>
        </w:rPr>
        <w:t>, aprobada por Decreto N°</w:t>
      </w:r>
      <w:r w:rsidRPr="00664A86">
        <w:rPr>
          <w:lang w:val="es-PY"/>
        </w:rPr>
        <w:t>4541/2015</w:t>
      </w:r>
      <w:r w:rsidRPr="00B64C1B">
        <w:rPr>
          <w:lang w:val="es-PY"/>
        </w:rPr>
        <w:t xml:space="preserve"> en consonancia con las metas delineadas </w:t>
      </w:r>
      <w:r w:rsidRPr="00B64C1B">
        <w:rPr>
          <w:lang w:val="es-PY"/>
        </w:rPr>
        <w:lastRenderedPageBreak/>
        <w:t xml:space="preserve">en el marco de los Objetivos de Desarrollo Sostenible (ODS) expresa dentro de sus valores el respeto a la diversidad donde no hay </w:t>
      </w:r>
      <w:r w:rsidR="00F019B7">
        <w:rPr>
          <w:lang w:val="es-PY"/>
        </w:rPr>
        <w:t>“</w:t>
      </w:r>
      <w:r w:rsidRPr="00B64C1B">
        <w:rPr>
          <w:lang w:val="es-PY"/>
        </w:rPr>
        <w:t>diferentes</w:t>
      </w:r>
      <w:r w:rsidR="00F019B7">
        <w:rPr>
          <w:lang w:val="es-PY"/>
        </w:rPr>
        <w:t>”</w:t>
      </w:r>
      <w:r w:rsidRPr="00B64C1B">
        <w:rPr>
          <w:lang w:val="es-PY"/>
        </w:rPr>
        <w:t xml:space="preserve"> y </w:t>
      </w:r>
      <w:r w:rsidR="00F019B7">
        <w:rPr>
          <w:lang w:val="es-PY"/>
        </w:rPr>
        <w:t>“</w:t>
      </w:r>
      <w:r w:rsidRPr="00B64C1B">
        <w:rPr>
          <w:lang w:val="es-PY"/>
        </w:rPr>
        <w:t>normales</w:t>
      </w:r>
      <w:r w:rsidR="00F019B7">
        <w:rPr>
          <w:lang w:val="es-PY"/>
        </w:rPr>
        <w:t>”</w:t>
      </w:r>
      <w:r w:rsidRPr="00B64C1B">
        <w:rPr>
          <w:lang w:val="es-PY"/>
        </w:rPr>
        <w:t xml:space="preserve"> en la atención a la salud. Además, dentro de las Líneas de Acción de la Estrategia 1, se estableció </w:t>
      </w:r>
      <w:r w:rsidR="00F019B7">
        <w:rPr>
          <w:lang w:val="es-PY"/>
        </w:rPr>
        <w:t>“</w:t>
      </w:r>
      <w:r w:rsidRPr="00B64C1B">
        <w:rPr>
          <w:i/>
          <w:lang w:val="es-PY"/>
        </w:rPr>
        <w:t>fortalecer las funciones esenciales de salud pública</w:t>
      </w:r>
      <w:r w:rsidRPr="00B64C1B">
        <w:rPr>
          <w:lang w:val="es-PY"/>
        </w:rPr>
        <w:t xml:space="preserve"> </w:t>
      </w:r>
      <w:r w:rsidRPr="00B64C1B">
        <w:rPr>
          <w:i/>
          <w:iCs/>
          <w:lang w:val="es-PY"/>
        </w:rPr>
        <w:t>considerando la definición el desarrollo y la garantía de prestaciones básicas desde una perspectiva de derechos</w:t>
      </w:r>
      <w:r w:rsidR="00F019B7">
        <w:rPr>
          <w:lang w:val="es-PY"/>
        </w:rPr>
        <w:t>”</w:t>
      </w:r>
      <w:r w:rsidRPr="00B64C1B">
        <w:rPr>
          <w:lang w:val="es-PY"/>
        </w:rPr>
        <w:t xml:space="preserve"> y en ese sentido también </w:t>
      </w:r>
      <w:r w:rsidR="00F019B7">
        <w:rPr>
          <w:lang w:val="es-PY"/>
        </w:rPr>
        <w:t>“</w:t>
      </w:r>
      <w:r w:rsidRPr="00B64C1B">
        <w:rPr>
          <w:i/>
          <w:iCs/>
          <w:lang w:val="es-PY"/>
        </w:rPr>
        <w:t>fortalecer las acciones de Protección Social, con enfoque de derechos, con énfasis en las poblaciones vulnerables, los grupos etarios del ciclo vital (niños/as, adolescentes y adultos mayores) y de las personas con discapacidad, incorporando el enfoque de género e interculturalidad</w:t>
      </w:r>
      <w:r w:rsidR="00F019B7">
        <w:rPr>
          <w:lang w:val="es-PY"/>
        </w:rPr>
        <w:t>”</w:t>
      </w:r>
      <w:r w:rsidRPr="00B64C1B">
        <w:rPr>
          <w:lang w:val="es-PY"/>
        </w:rPr>
        <w:t>. En ese mismo contexto, para la construcción de la Política Nacional de Promoción de la Salud 2021 - 2030</w:t>
      </w:r>
      <w:r w:rsidRPr="00B64C1B">
        <w:rPr>
          <w:vertAlign w:val="superscript"/>
          <w:lang w:val="es-PY"/>
        </w:rPr>
        <w:footnoteReference w:id="19"/>
      </w:r>
      <w:r w:rsidRPr="00B64C1B">
        <w:rPr>
          <w:lang w:val="es-PY"/>
        </w:rPr>
        <w:t xml:space="preserve">, como uno de sus principios básicos se encuentra la </w:t>
      </w:r>
      <w:r w:rsidR="00F019B7">
        <w:rPr>
          <w:lang w:val="es-PY"/>
        </w:rPr>
        <w:t>“</w:t>
      </w:r>
      <w:r w:rsidRPr="00B64C1B">
        <w:rPr>
          <w:lang w:val="es-PY"/>
        </w:rPr>
        <w:t>ausencia de todo tipo de discriminación estigmas estereotipos y prejuicios</w:t>
      </w:r>
      <w:r w:rsidR="00F019B7">
        <w:rPr>
          <w:lang w:val="es-PY"/>
        </w:rPr>
        <w:t>”</w:t>
      </w:r>
      <w:r w:rsidRPr="00B64C1B">
        <w:rPr>
          <w:lang w:val="es-PY"/>
        </w:rPr>
        <w:t xml:space="preserve">. De igual manera, cabe mencionar que se encuentra en vigencia la Resolución S.G. N°695 de fecha 31 de octubre de 2016, por la cual se establece que en las Redes Integradas e Integrales de Servicios de Salud dependientes de la Cartera Sanitaria, podrá utilizarse el nombre de uso social de las personas trans, con el cual las mismas se identifican, a más de los nombres y apellidos consignados en su documento de identidad civil. </w:t>
      </w:r>
    </w:p>
    <w:p w14:paraId="4617368C" w14:textId="6EE6FFF4" w:rsidR="00583FBD" w:rsidRPr="00B64C1B" w:rsidRDefault="00583FBD" w:rsidP="00F019B7">
      <w:pPr>
        <w:pStyle w:val="SingleTxt"/>
        <w:numPr>
          <w:ilvl w:val="0"/>
          <w:numId w:val="44"/>
        </w:numPr>
        <w:ind w:left="1267"/>
        <w:rPr>
          <w:lang w:val="es-PY"/>
        </w:rPr>
      </w:pPr>
      <w:r w:rsidRPr="00B64C1B">
        <w:rPr>
          <w:lang w:val="es-PY"/>
        </w:rPr>
        <w:t xml:space="preserve">El Plan Nacional de Salud Sexual y Salud Reproductiva 2019-2023 establece estrategias para la atención a la salud de personas LGTBI. Por Resolución N°1.287/2020, el Ministerio de la Defensa Pública (MDP) aprobó la aplicación de un Protocolo de atención a personas LGBTI en todas sus sedes. Como fuente de datos para políticas públicas contra la discriminación, el Sistema de Información Policial (SIP) </w:t>
      </w:r>
      <w:r w:rsidR="00F019B7">
        <w:rPr>
          <w:lang w:val="es-PY"/>
        </w:rPr>
        <w:t>“</w:t>
      </w:r>
      <w:proofErr w:type="spellStart"/>
      <w:r w:rsidRPr="00B64C1B">
        <w:rPr>
          <w:lang w:val="es-PY"/>
        </w:rPr>
        <w:t>Marandu</w:t>
      </w:r>
      <w:proofErr w:type="spellEnd"/>
      <w:r w:rsidR="00F019B7">
        <w:rPr>
          <w:lang w:val="es-PY"/>
        </w:rPr>
        <w:t>”</w:t>
      </w:r>
      <w:r w:rsidRPr="00B64C1B">
        <w:rPr>
          <w:lang w:val="es-PY"/>
        </w:rPr>
        <w:t xml:space="preserve"> incorporó la variable LGTBI en la toma de denuncias. </w:t>
      </w:r>
    </w:p>
    <w:p w14:paraId="04B1C8B2" w14:textId="77777777" w:rsidR="00F019B7" w:rsidRPr="00F019B7" w:rsidRDefault="00F019B7" w:rsidP="00F019B7">
      <w:pPr>
        <w:pStyle w:val="SingleTxt"/>
        <w:spacing w:after="0" w:line="120" w:lineRule="exact"/>
        <w:rPr>
          <w:sz w:val="10"/>
          <w:lang w:val="es-PY"/>
        </w:rPr>
      </w:pPr>
    </w:p>
    <w:p w14:paraId="7A1D3064" w14:textId="77777777" w:rsidR="00F019B7" w:rsidRPr="00F019B7" w:rsidRDefault="00F019B7" w:rsidP="00F019B7">
      <w:pPr>
        <w:pStyle w:val="SingleTxt"/>
        <w:spacing w:after="0" w:line="120" w:lineRule="exact"/>
        <w:rPr>
          <w:sz w:val="10"/>
          <w:lang w:val="es-PY"/>
        </w:rPr>
      </w:pPr>
    </w:p>
    <w:p w14:paraId="03947447" w14:textId="336D1075" w:rsidR="00583FBD" w:rsidRPr="00B64C1B" w:rsidRDefault="00583FBD" w:rsidP="00F01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Acceso a la justicia</w:t>
      </w:r>
    </w:p>
    <w:p w14:paraId="1DF9206B" w14:textId="77777777" w:rsidR="00F019B7" w:rsidRPr="00F019B7" w:rsidRDefault="00F019B7" w:rsidP="00F019B7">
      <w:pPr>
        <w:pStyle w:val="SingleTxt"/>
        <w:spacing w:after="0" w:line="120" w:lineRule="exact"/>
        <w:rPr>
          <w:bCs/>
          <w:sz w:val="10"/>
          <w:lang w:val="es-PY"/>
        </w:rPr>
      </w:pPr>
    </w:p>
    <w:p w14:paraId="0FC8FBB2" w14:textId="77777777" w:rsidR="00F019B7" w:rsidRPr="00F019B7" w:rsidRDefault="00F019B7" w:rsidP="00F019B7">
      <w:pPr>
        <w:pStyle w:val="SingleTxt"/>
        <w:spacing w:after="0" w:line="120" w:lineRule="exact"/>
        <w:rPr>
          <w:bCs/>
          <w:sz w:val="10"/>
          <w:lang w:val="es-PY"/>
        </w:rPr>
      </w:pPr>
    </w:p>
    <w:p w14:paraId="713D6BFB" w14:textId="2A460BA5" w:rsidR="00583FBD" w:rsidRPr="00B64C1B" w:rsidRDefault="00583FBD" w:rsidP="00F019B7">
      <w:pPr>
        <w:pStyle w:val="SingleTxt"/>
        <w:numPr>
          <w:ilvl w:val="0"/>
          <w:numId w:val="44"/>
        </w:numPr>
        <w:ind w:left="1267"/>
        <w:rPr>
          <w:lang w:val="es-PY"/>
        </w:rPr>
      </w:pPr>
      <w:r w:rsidRPr="00B64C1B">
        <w:rPr>
          <w:lang w:val="es-PY"/>
        </w:rPr>
        <w:t>Desde la Secretaría Nacional Anticorrupción (SENAC) se ha implementado el Portal de Denuncias Anticorrupción y el Sistema de Registro y Seguimiento de Causas Penales, Sumarios e Investigaciones. Además, se ha establecido la Plataforma de monitoreo del cumplimiento de las obligaciones de transparencia activa en el sector público; y se aprobó el Plan Nacional de Integridad, Transparencia y Anticorrupción 2021-2025. La Cumbre de Poderes 2023 estableció entre sus 44 puntos para combatir la corrupción la implementación del Sistema de Recepción de Denuncias por Violencia contra la Mujer, permitiendo el monitoreo de este tipo de casos en tiempo real.</w:t>
      </w:r>
    </w:p>
    <w:p w14:paraId="5C64721F" w14:textId="43ECC7E8" w:rsidR="00583FBD" w:rsidRPr="00B64C1B" w:rsidRDefault="00583FBD" w:rsidP="00F019B7">
      <w:pPr>
        <w:pStyle w:val="SingleTxt"/>
        <w:numPr>
          <w:ilvl w:val="0"/>
          <w:numId w:val="44"/>
        </w:numPr>
        <w:ind w:left="1267"/>
        <w:rPr>
          <w:lang w:val="es-PY"/>
        </w:rPr>
      </w:pPr>
      <w:r w:rsidRPr="00B64C1B">
        <w:rPr>
          <w:lang w:val="es-PY"/>
        </w:rPr>
        <w:t>El Poder Judicial (PJ) ha establecido plataformas web como el Observatorio de Causas Judiciales, que monitorea denuncias de corrupción, y la Oficina de Quejas y Denuncias del PJ, lo cual ha facilitado la denuncia de irregularidades en la gestión judicial.</w:t>
      </w:r>
    </w:p>
    <w:p w14:paraId="147AE582" w14:textId="6DBDECDD" w:rsidR="00583FBD" w:rsidRPr="00B64C1B" w:rsidRDefault="00583FBD" w:rsidP="00F019B7">
      <w:pPr>
        <w:pStyle w:val="SingleTxt"/>
        <w:numPr>
          <w:ilvl w:val="0"/>
          <w:numId w:val="44"/>
        </w:numPr>
        <w:tabs>
          <w:tab w:val="num" w:pos="2804"/>
        </w:tabs>
        <w:ind w:left="1267"/>
        <w:rPr>
          <w:lang w:val="es-PY"/>
        </w:rPr>
      </w:pPr>
      <w:r w:rsidRPr="00B64C1B">
        <w:rPr>
          <w:lang w:val="es-PY"/>
        </w:rPr>
        <w:t>El Ministerio del Interior (MI) ha instalado el Comité de Mapa de Riesgo de Corrupción.</w:t>
      </w:r>
    </w:p>
    <w:p w14:paraId="49C36253" w14:textId="2A34D578" w:rsidR="00583FBD" w:rsidRPr="00B64C1B" w:rsidRDefault="00583FBD" w:rsidP="00F019B7">
      <w:pPr>
        <w:pStyle w:val="SingleTxt"/>
        <w:numPr>
          <w:ilvl w:val="0"/>
          <w:numId w:val="44"/>
        </w:numPr>
        <w:tabs>
          <w:tab w:val="num" w:pos="2804"/>
        </w:tabs>
        <w:ind w:left="1267"/>
        <w:rPr>
          <w:lang w:val="es-PY"/>
        </w:rPr>
      </w:pPr>
      <w:r w:rsidRPr="00B64C1B">
        <w:rPr>
          <w:lang w:val="es-PY"/>
        </w:rPr>
        <w:t>El Ministerio Público (MP), como órgano representante de la sociedad, ha habilitado una plataforma de denuncias anticorrupción interna. En la página web se habilitó una plataforma para recibir denuncias contra prestadores de servicios del MP, hechos de corrupción o hechos que vayan en detrimento de los intereses de la institución y la sociedad, garantizando la confidencialidad</w:t>
      </w:r>
      <w:r w:rsidRPr="00B64C1B">
        <w:rPr>
          <w:vertAlign w:val="superscript"/>
          <w:lang w:val="es-PY"/>
        </w:rPr>
        <w:footnoteReference w:id="20"/>
      </w:r>
      <w:r w:rsidRPr="00B64C1B">
        <w:rPr>
          <w:lang w:val="es-PY"/>
        </w:rPr>
        <w:t xml:space="preserve">. Asimismo, el MP cuenta con una Dirección de Transparencia y Acceso a la Información Pública, a través de la </w:t>
      </w:r>
      <w:r w:rsidRPr="00B64C1B">
        <w:rPr>
          <w:lang w:val="es-PY"/>
        </w:rPr>
        <w:lastRenderedPageBreak/>
        <w:t>cual se canalizan las solicitudes de información pública requeridas por toda persona interesada en obtenerla, orienta y asiste al solicitante.</w:t>
      </w:r>
    </w:p>
    <w:p w14:paraId="679FE989" w14:textId="6328AB5B" w:rsidR="00583FBD" w:rsidRPr="00B64C1B" w:rsidRDefault="00583FBD" w:rsidP="00F019B7">
      <w:pPr>
        <w:pStyle w:val="SingleTxt"/>
        <w:numPr>
          <w:ilvl w:val="0"/>
          <w:numId w:val="44"/>
        </w:numPr>
        <w:ind w:left="1267"/>
        <w:rPr>
          <w:lang w:val="es-PY"/>
        </w:rPr>
      </w:pPr>
      <w:r w:rsidRPr="00B64C1B">
        <w:rPr>
          <w:lang w:val="es-PY"/>
        </w:rPr>
        <w:t>En 2021 se aprobó la Ley N°</w:t>
      </w:r>
      <w:r w:rsidRPr="00521F74">
        <w:rPr>
          <w:lang w:val="es-PY"/>
        </w:rPr>
        <w:t>6806/2021</w:t>
      </w:r>
      <w:r w:rsidRPr="00B64C1B">
        <w:rPr>
          <w:lang w:val="es-PY"/>
        </w:rPr>
        <w:t xml:space="preserve">, </w:t>
      </w:r>
      <w:r w:rsidR="00F019B7">
        <w:rPr>
          <w:lang w:val="es-PY"/>
        </w:rPr>
        <w:t>“</w:t>
      </w:r>
      <w:r w:rsidRPr="00B64C1B">
        <w:rPr>
          <w:lang w:val="es-PY"/>
        </w:rPr>
        <w:t>Que declara Emergencia Nacional por Femicidios</w:t>
      </w:r>
      <w:r w:rsidR="00F019B7">
        <w:rPr>
          <w:lang w:val="es-PY"/>
        </w:rPr>
        <w:t>”</w:t>
      </w:r>
      <w:r w:rsidRPr="00B64C1B">
        <w:rPr>
          <w:vertAlign w:val="superscript"/>
          <w:lang w:val="es-PY"/>
        </w:rPr>
        <w:footnoteReference w:id="21"/>
      </w:r>
      <w:r w:rsidRPr="00B64C1B">
        <w:rPr>
          <w:lang w:val="es-PY"/>
        </w:rPr>
        <w:t xml:space="preserve">, orientada a movilizar recursos, fortalecer las políticas públicas y promover acciones concretas para prevenir, investigar y sancionar los feminicidios, así como para brindar apoyo integral a las víctimas y sus familias. </w:t>
      </w:r>
    </w:p>
    <w:p w14:paraId="7CCF0F5F" w14:textId="0E5FDD33"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Fue presentado el proyecto de ley </w:t>
      </w:r>
      <w:r w:rsidR="00F019B7">
        <w:rPr>
          <w:lang w:val="es-PY"/>
        </w:rPr>
        <w:t>“</w:t>
      </w:r>
      <w:r w:rsidRPr="00B64C1B">
        <w:rPr>
          <w:lang w:val="es-PY"/>
        </w:rPr>
        <w:t>Para prevenir, sancionar y erradicar la violencia política contra las mujeres por razones de género</w:t>
      </w:r>
      <w:r w:rsidR="00F019B7">
        <w:rPr>
          <w:lang w:val="es-PY"/>
        </w:rPr>
        <w:t>”</w:t>
      </w:r>
      <w:r w:rsidRPr="00B64C1B">
        <w:rPr>
          <w:vertAlign w:val="superscript"/>
          <w:lang w:val="es-PY"/>
        </w:rPr>
        <w:footnoteReference w:id="22"/>
      </w:r>
      <w:r w:rsidRPr="00B64C1B">
        <w:rPr>
          <w:lang w:val="es-PY"/>
        </w:rPr>
        <w:t>, que se encuentra en su primer trámite constitucional.</w:t>
      </w:r>
    </w:p>
    <w:p w14:paraId="2E8DB137" w14:textId="1B09B620" w:rsidR="00583FBD" w:rsidRPr="00B64C1B" w:rsidRDefault="00583FBD" w:rsidP="00F019B7">
      <w:pPr>
        <w:pStyle w:val="SingleTxt"/>
        <w:numPr>
          <w:ilvl w:val="0"/>
          <w:numId w:val="44"/>
        </w:numPr>
        <w:tabs>
          <w:tab w:val="num" w:pos="2804"/>
        </w:tabs>
        <w:ind w:left="1267"/>
        <w:rPr>
          <w:lang w:val="es-PY"/>
        </w:rPr>
      </w:pPr>
      <w:r w:rsidRPr="00B64C1B">
        <w:rPr>
          <w:lang w:val="es-PY"/>
        </w:rPr>
        <w:t>La implementación del sistema de audiencias telemáticas en procesos judiciales sobre violencia contra la mujer o violencia familiar ha mejorado significativamente el acceso a la justicia, especialmente en situaciones donde la distancia o la seguridad personal son un factor determinante.</w:t>
      </w:r>
    </w:p>
    <w:p w14:paraId="0CD44EA5" w14:textId="5D9C3C17" w:rsidR="00583FBD" w:rsidRPr="00B64C1B" w:rsidRDefault="00583FBD" w:rsidP="00F019B7">
      <w:pPr>
        <w:pStyle w:val="SingleTxt"/>
        <w:numPr>
          <w:ilvl w:val="0"/>
          <w:numId w:val="44"/>
        </w:numPr>
        <w:ind w:left="1267"/>
        <w:rPr>
          <w:lang w:val="es-PY"/>
        </w:rPr>
      </w:pPr>
      <w:r w:rsidRPr="00B64C1B">
        <w:rPr>
          <w:lang w:val="es-PY"/>
        </w:rPr>
        <w:t xml:space="preserve">El MP ha establecido una Oficina de Género para promover el acceso a la justicia de las mujeres víctimas de violencia. Esta dependencia proporciona orientación, acompañamiento y promueve campañas de sensibilización. Además, la institución cuenta con una </w:t>
      </w:r>
      <w:r w:rsidRPr="00521F74">
        <w:rPr>
          <w:w w:val="100"/>
          <w:lang w:val="es-PY"/>
        </w:rPr>
        <w:t>Unidad Especializada contra la Violencia Familiar y de Género, que posee competencia e interviene en la ciudad de Asunción inicialmente y además, tiene competencia para investigar hechos punibles de violencia familiar, tipificados en el art. 229 del Código Penal, modificado por Ley Nº6934/2022</w:t>
      </w:r>
      <w:r w:rsidRPr="00521F74">
        <w:rPr>
          <w:w w:val="100"/>
          <w:vertAlign w:val="superscript"/>
          <w:lang w:val="es-PY"/>
        </w:rPr>
        <w:footnoteReference w:id="23"/>
      </w:r>
      <w:r w:rsidRPr="00521F74">
        <w:rPr>
          <w:w w:val="100"/>
          <w:lang w:val="es-PY"/>
        </w:rPr>
        <w:t>. Las causas son atendidas por cuatro agentes fiscales especializadas quienes trabajan bajo la coordinación de una Fiscal Adjunta. En el departamento de Alto Paraná se encuentran habilitadas tres Unidades Especializadas de Lucha contra la Violencia Familiar, en el departamento de Guairá se</w:t>
      </w:r>
      <w:r w:rsidRPr="00B64C1B">
        <w:rPr>
          <w:lang w:val="es-PY"/>
        </w:rPr>
        <w:t xml:space="preserve"> encuentran habilitadas dos unidades de este tipo. </w:t>
      </w:r>
    </w:p>
    <w:p w14:paraId="47D9C43E" w14:textId="6766A640" w:rsidR="00583FBD" w:rsidRPr="00B64C1B" w:rsidRDefault="00583FBD" w:rsidP="00F019B7">
      <w:pPr>
        <w:pStyle w:val="SingleTxt"/>
        <w:numPr>
          <w:ilvl w:val="0"/>
          <w:numId w:val="44"/>
        </w:numPr>
        <w:ind w:left="1267"/>
        <w:rPr>
          <w:lang w:val="es-PY"/>
        </w:rPr>
      </w:pPr>
      <w:r w:rsidRPr="00B64C1B">
        <w:rPr>
          <w:lang w:val="es-PY"/>
        </w:rPr>
        <w:t xml:space="preserve">El Programa Nacional de Casas de Justicia, ejecutado por el Ministerio de Justicia (MJ), facilita el acceso a la justicia a comunidades y personas en situación de vulnerabilidad, incluyendo comunidades indígenas y rurales. En el año 2017 se han instalado oficinas de Casas de Justicia en el Barrio San Francisco de la Ciudad de Asunción, en el Primer Centro Ciudad Mujer de Villa Elisa y en la ciudad de </w:t>
      </w:r>
      <w:proofErr w:type="spellStart"/>
      <w:r w:rsidRPr="00B64C1B">
        <w:rPr>
          <w:lang w:val="es-PY"/>
        </w:rPr>
        <w:t>Ybycui</w:t>
      </w:r>
      <w:proofErr w:type="spellEnd"/>
      <w:r w:rsidRPr="00B64C1B">
        <w:rPr>
          <w:lang w:val="es-PY"/>
        </w:rPr>
        <w:t xml:space="preserve">, en el 2018 en la ciudad de Quiindy; y, en el 2020 en la Ciudad de Caaguazú. La Casa de Justicia Móvil lleva servicios a zonas alejadas, brindando atención en salud, identidad y capacitaciones. Del 2016 al 2023 se han realizado un total de 88 jornadas de Casa de Justicia Móvil en diversos departamentos del país, particularmente en comunidades indígenas y establecimientos penitenciarios. </w:t>
      </w:r>
    </w:p>
    <w:p w14:paraId="084A5020" w14:textId="6804C12F" w:rsidR="00583FBD" w:rsidRPr="00B64C1B" w:rsidRDefault="00583FBD" w:rsidP="00F019B7">
      <w:pPr>
        <w:pStyle w:val="SingleTxt"/>
        <w:numPr>
          <w:ilvl w:val="0"/>
          <w:numId w:val="44"/>
        </w:numPr>
        <w:ind w:left="1267"/>
        <w:rPr>
          <w:lang w:val="es-PY"/>
        </w:rPr>
      </w:pPr>
      <w:r w:rsidRPr="00B64C1B">
        <w:rPr>
          <w:lang w:val="es-PY"/>
        </w:rPr>
        <w:t xml:space="preserve">Entre 2020 y 2023, en el marco del Programa Nacional de Casas de Justicia, se realizaron jornadas de capacitación dirigidas a las Fuerzas Armadas y gobiernos municipales con un total de 721 participantes. </w:t>
      </w:r>
    </w:p>
    <w:p w14:paraId="25F087AF" w14:textId="1B475B51" w:rsidR="00583FBD" w:rsidRPr="00B64C1B" w:rsidRDefault="00583FBD" w:rsidP="00F019B7">
      <w:pPr>
        <w:pStyle w:val="SingleTxt"/>
        <w:numPr>
          <w:ilvl w:val="0"/>
          <w:numId w:val="44"/>
        </w:numPr>
        <w:ind w:left="1267"/>
        <w:rPr>
          <w:lang w:val="es-PY"/>
        </w:rPr>
      </w:pPr>
      <w:r w:rsidRPr="00B64C1B">
        <w:rPr>
          <w:lang w:val="es-PY"/>
        </w:rPr>
        <w:t xml:space="preserve">En el marco de la Red de Derechos Humanos del Poder Ejecutivo se realizaron 25 jornadas de socialización y capacitación en atención a la Ley </w:t>
      </w:r>
      <w:r w:rsidRPr="00521F74">
        <w:rPr>
          <w:lang w:val="es-PY"/>
        </w:rPr>
        <w:t>5777/16</w:t>
      </w:r>
      <w:r w:rsidRPr="00B64C1B">
        <w:rPr>
          <w:lang w:val="es-PY"/>
        </w:rPr>
        <w:t xml:space="preserve">, </w:t>
      </w:r>
      <w:r w:rsidR="00F019B7">
        <w:rPr>
          <w:lang w:val="es-PY"/>
        </w:rPr>
        <w:t>“</w:t>
      </w:r>
      <w:r w:rsidRPr="00B64C1B">
        <w:rPr>
          <w:lang w:val="es-PY"/>
        </w:rPr>
        <w:t>De Protección Integral a las Mujeres contra toda forma de violencia</w:t>
      </w:r>
      <w:r w:rsidR="00F019B7">
        <w:rPr>
          <w:lang w:val="es-PY"/>
        </w:rPr>
        <w:t>”</w:t>
      </w:r>
      <w:r w:rsidRPr="00B64C1B">
        <w:rPr>
          <w:lang w:val="es-PY"/>
        </w:rPr>
        <w:t>, de las cuales participaron 1.165 servidores penitenciarios, personas privadas de libertad (hombres y mujeres), así como servidores públicos de gobiernos departamentales y municipales.</w:t>
      </w:r>
    </w:p>
    <w:p w14:paraId="179216EC" w14:textId="25C08BF5" w:rsidR="00583FBD" w:rsidRPr="00B64C1B" w:rsidRDefault="00583FBD" w:rsidP="00F019B7">
      <w:pPr>
        <w:pStyle w:val="SingleTxt"/>
        <w:numPr>
          <w:ilvl w:val="0"/>
          <w:numId w:val="44"/>
        </w:numPr>
        <w:ind w:left="1267"/>
        <w:rPr>
          <w:lang w:val="es-PY"/>
        </w:rPr>
      </w:pPr>
      <w:r w:rsidRPr="00B64C1B">
        <w:rPr>
          <w:lang w:val="es-PY"/>
        </w:rPr>
        <w:lastRenderedPageBreak/>
        <w:t xml:space="preserve">Entre 2019 y 2023, el MDP llevó a cabo capacitaciones en el Fuero Especializado en la Ley </w:t>
      </w:r>
      <w:r w:rsidRPr="00521F74">
        <w:rPr>
          <w:lang w:val="es-PY"/>
        </w:rPr>
        <w:t>5777/16</w:t>
      </w:r>
      <w:r w:rsidRPr="00B64C1B">
        <w:rPr>
          <w:lang w:val="es-PY"/>
        </w:rPr>
        <w:t xml:space="preserve">, </w:t>
      </w:r>
      <w:r w:rsidR="00F019B7">
        <w:rPr>
          <w:lang w:val="es-PY"/>
        </w:rPr>
        <w:t>“</w:t>
      </w:r>
      <w:r w:rsidRPr="00B64C1B">
        <w:rPr>
          <w:lang w:val="es-PY"/>
        </w:rPr>
        <w:t>De Protección Integral a las Mujeres contra toda forma de violencia</w:t>
      </w:r>
      <w:r w:rsidR="00F019B7">
        <w:rPr>
          <w:lang w:val="es-PY"/>
        </w:rPr>
        <w:t>”</w:t>
      </w:r>
      <w:r w:rsidRPr="00B64C1B">
        <w:rPr>
          <w:lang w:val="es-PY"/>
        </w:rPr>
        <w:t>, con un total de 575 horas cátedras desarrolladas.</w:t>
      </w:r>
    </w:p>
    <w:p w14:paraId="5A86271C" w14:textId="3AF7E60A" w:rsidR="00583FBD" w:rsidRPr="00B64C1B" w:rsidRDefault="00583FBD" w:rsidP="00F019B7">
      <w:pPr>
        <w:pStyle w:val="SingleTxt"/>
        <w:numPr>
          <w:ilvl w:val="0"/>
          <w:numId w:val="44"/>
        </w:numPr>
        <w:tabs>
          <w:tab w:val="num" w:pos="2804"/>
        </w:tabs>
        <w:ind w:left="1267"/>
        <w:rPr>
          <w:lang w:val="es-PY"/>
        </w:rPr>
      </w:pPr>
      <w:r w:rsidRPr="00B64C1B">
        <w:rPr>
          <w:lang w:val="es-PY"/>
        </w:rPr>
        <w:t>El Centro de Entrenamiento del Ministerio Público (CEMP) realiza de manera periódica actividades de capacitación relativas a los derechos de la mujer, entre ellos se destacan ciclos de conversatorios jurídicos vinculados a violencia familiar, donde se abordan temas relacionados a técnicas de investigación, aspectos jurídicos, psicológicos, psicosociales, feminicidio, análisis de casos y fallos judiciales. Para esta oferta académica se cuenta con programas y guías académicas relacionados con el acceso de la justicia de las mujeres. En el año 2023 el CEMP promovió el Primer Congreso Internacional de investigadores, en cuyos ejes se incluyó la temática de violencia contra la mujer y de género.</w:t>
      </w:r>
    </w:p>
    <w:p w14:paraId="09DD2550" w14:textId="77777777" w:rsidR="00F019B7" w:rsidRPr="00F019B7" w:rsidRDefault="00F019B7" w:rsidP="00F019B7">
      <w:pPr>
        <w:pStyle w:val="SingleTxt"/>
        <w:spacing w:after="0" w:line="120" w:lineRule="exact"/>
        <w:rPr>
          <w:sz w:val="10"/>
          <w:lang w:val="es-PY"/>
        </w:rPr>
      </w:pPr>
    </w:p>
    <w:p w14:paraId="3C62EED7" w14:textId="77777777" w:rsidR="00F019B7" w:rsidRPr="00F019B7" w:rsidRDefault="00F019B7" w:rsidP="00F019B7">
      <w:pPr>
        <w:pStyle w:val="SingleTxt"/>
        <w:spacing w:after="0" w:line="120" w:lineRule="exact"/>
        <w:rPr>
          <w:sz w:val="10"/>
          <w:lang w:val="es-PY"/>
        </w:rPr>
      </w:pPr>
    </w:p>
    <w:p w14:paraId="67975308" w14:textId="69840C6A" w:rsidR="00583FBD" w:rsidRPr="00B64C1B" w:rsidRDefault="00583FBD" w:rsidP="00F01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Mecanismos nacionales encargados del adelanto de la mujer</w:t>
      </w:r>
      <w:r w:rsidRPr="00521F74">
        <w:rPr>
          <w:b w:val="0"/>
          <w:bCs/>
          <w:sz w:val="20"/>
          <w:szCs w:val="20"/>
          <w:vertAlign w:val="superscript"/>
          <w:lang w:val="es-PY"/>
        </w:rPr>
        <w:footnoteReference w:id="24"/>
      </w:r>
    </w:p>
    <w:p w14:paraId="544939EE" w14:textId="77777777" w:rsidR="00F019B7" w:rsidRPr="00F019B7" w:rsidRDefault="00F019B7" w:rsidP="00521F74">
      <w:pPr>
        <w:pStyle w:val="SingleTxtG"/>
        <w:spacing w:after="0" w:line="120" w:lineRule="exact"/>
        <w:ind w:left="1267"/>
        <w:rPr>
          <w:bCs/>
          <w:sz w:val="10"/>
          <w:lang w:val="es-PY"/>
        </w:rPr>
      </w:pPr>
    </w:p>
    <w:p w14:paraId="743C011F" w14:textId="77777777" w:rsidR="00F019B7" w:rsidRPr="00F019B7" w:rsidRDefault="00F019B7" w:rsidP="00521F74">
      <w:pPr>
        <w:pStyle w:val="SingleTxtG"/>
        <w:spacing w:after="0" w:line="120" w:lineRule="exact"/>
        <w:ind w:left="1267"/>
        <w:rPr>
          <w:bCs/>
          <w:sz w:val="10"/>
          <w:lang w:val="es-PY"/>
        </w:rPr>
      </w:pPr>
    </w:p>
    <w:p w14:paraId="33594F65" w14:textId="227F62FE" w:rsidR="00583FBD" w:rsidRPr="00B64C1B" w:rsidRDefault="00583FBD" w:rsidP="00F019B7">
      <w:pPr>
        <w:pStyle w:val="SingleTxt"/>
        <w:numPr>
          <w:ilvl w:val="0"/>
          <w:numId w:val="44"/>
        </w:numPr>
        <w:ind w:left="1267"/>
        <w:rPr>
          <w:lang w:val="es-PY"/>
        </w:rPr>
      </w:pPr>
      <w:r w:rsidRPr="00B64C1B">
        <w:rPr>
          <w:lang w:val="es-PY"/>
        </w:rPr>
        <w:t xml:space="preserve">La revisión retrospectiva del presupuesto del MINMUJER evidencia esfuerzos progresivos para fortalecer su presupuesto. En sus inicios, entre 2003 y 2008, el Ministerio enfrentaba limitaciones presupuestarias. A partir de 2009, se incrementó la asignación, particularmente con fondos provenientes de cooperación externa, lo cual fue crucial para la implementación efectiva de las líneas programáticas. En 2017, se obtuvo una ampliación presupuestaria del Fondo Nacional de Inversión Pública y Desarrollo (FONACIDE) para la construcción y habilitación del Centro Ciudad Mujer </w:t>
      </w:r>
      <w:r w:rsidR="00F019B7">
        <w:rPr>
          <w:lang w:val="es-PY"/>
        </w:rPr>
        <w:t>“</w:t>
      </w:r>
      <w:proofErr w:type="spellStart"/>
      <w:r w:rsidRPr="00B64C1B">
        <w:rPr>
          <w:lang w:val="es-PY"/>
        </w:rPr>
        <w:t>Ñande</w:t>
      </w:r>
      <w:proofErr w:type="spellEnd"/>
      <w:r w:rsidRPr="00B64C1B">
        <w:rPr>
          <w:lang w:val="es-PY"/>
        </w:rPr>
        <w:t xml:space="preserve"> </w:t>
      </w:r>
      <w:proofErr w:type="spellStart"/>
      <w:r w:rsidRPr="00B64C1B">
        <w:rPr>
          <w:lang w:val="es-PY"/>
        </w:rPr>
        <w:t>Kerayvoty</w:t>
      </w:r>
      <w:proofErr w:type="spellEnd"/>
      <w:r w:rsidRPr="00B64C1B">
        <w:rPr>
          <w:lang w:val="es-PY"/>
        </w:rPr>
        <w:t xml:space="preserve"> Renda</w:t>
      </w:r>
      <w:r w:rsidR="00F019B7">
        <w:rPr>
          <w:lang w:val="es-PY"/>
        </w:rPr>
        <w:t>”</w:t>
      </w:r>
      <w:r w:rsidRPr="00B64C1B">
        <w:rPr>
          <w:lang w:val="es-PY"/>
        </w:rPr>
        <w:t xml:space="preserve">. En 2018, se registró un aumento presupuestario para el Programa Nacional de Prevención, Combate y Atención a Víctimas de Trata, conforme a la Ley 4.788/2012, </w:t>
      </w:r>
      <w:r w:rsidR="00F019B7">
        <w:rPr>
          <w:lang w:val="es-PY"/>
        </w:rPr>
        <w:t>“</w:t>
      </w:r>
      <w:r w:rsidRPr="00B64C1B">
        <w:rPr>
          <w:lang w:val="es-PY"/>
        </w:rPr>
        <w:t>Integral contra la Trata de Personas</w:t>
      </w:r>
      <w:r w:rsidR="00F019B7">
        <w:rPr>
          <w:lang w:val="es-PY"/>
        </w:rPr>
        <w:t>”</w:t>
      </w:r>
      <w:r w:rsidRPr="00B64C1B">
        <w:rPr>
          <w:lang w:val="es-PY"/>
        </w:rPr>
        <w:t xml:space="preserve">. En 2019, se asignó alrededor de 26.000 millones de guaraníes al presupuesto del MINMUJER, aunque persiste el desafío de aumentar este porcentaje para garantizar la ejecución eficiente de acciones estratégicas como el Observatorio de la Mujer y el Programa Nacional Ciudad Mujer, entre otros. A partir de 2020, los esfuerzos para hacer frente a la pandemia de COVID-19 implicaron ajustes en las partidas presupuestarias de la Institución. No obstante, en la actualidad el MINMUJER se encuentra camino a la recuperación de esos recursos presupuestarios desafectados. </w:t>
      </w:r>
    </w:p>
    <w:p w14:paraId="0447A857" w14:textId="55378122" w:rsidR="00583FBD" w:rsidRPr="00B64C1B" w:rsidRDefault="00583FBD" w:rsidP="00F019B7">
      <w:pPr>
        <w:pStyle w:val="SingleTxt"/>
        <w:numPr>
          <w:ilvl w:val="0"/>
          <w:numId w:val="44"/>
        </w:numPr>
        <w:ind w:left="1267"/>
        <w:rPr>
          <w:lang w:val="es-PY"/>
        </w:rPr>
      </w:pPr>
      <w:r w:rsidRPr="00B64C1B">
        <w:rPr>
          <w:lang w:val="es-PY"/>
        </w:rPr>
        <w:t>El Ministerio de Economía y Finanzas (MEF) ha diseñado y se encuentra a su cargo la implementación de la Guía Metodológica para la vinculación de los presupuestos de gastos nacionales a los Objetivos de Desarrollo Sostenible (ODS), y la Guía Metodológica de medición de género en el presupuesto, para avanzar en la materialización de presupuestos sensibles al género.</w:t>
      </w:r>
    </w:p>
    <w:p w14:paraId="4C11D27E" w14:textId="4D61DCD4"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Se han realizado esfuerzos para garantizar que el IV </w:t>
      </w:r>
      <w:proofErr w:type="spellStart"/>
      <w:r w:rsidRPr="00B64C1B">
        <w:rPr>
          <w:lang w:val="es-PY"/>
        </w:rPr>
        <w:t>PlaNI</w:t>
      </w:r>
      <w:proofErr w:type="spellEnd"/>
      <w:r w:rsidRPr="00B64C1B">
        <w:rPr>
          <w:lang w:val="es-PY"/>
        </w:rPr>
        <w:t xml:space="preserve"> cuente con recursos suficientes. Además, se encuentra en desarrollo la evaluación, con el fin de realizar los ajustes necesarios. </w:t>
      </w:r>
    </w:p>
    <w:p w14:paraId="62C51126" w14:textId="3627029E"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La Defensoría del Pueblo logró en marzo de 2019 la acreditación con la categoría </w:t>
      </w:r>
      <w:r w:rsidR="00F019B7">
        <w:rPr>
          <w:lang w:val="es-PY"/>
        </w:rPr>
        <w:t>“</w:t>
      </w:r>
      <w:r w:rsidRPr="00B64C1B">
        <w:rPr>
          <w:lang w:val="es-PY"/>
        </w:rPr>
        <w:t>B</w:t>
      </w:r>
      <w:r w:rsidR="00F019B7">
        <w:rPr>
          <w:lang w:val="es-PY"/>
        </w:rPr>
        <w:t>”</w:t>
      </w:r>
      <w:r w:rsidRPr="00B64C1B">
        <w:rPr>
          <w:lang w:val="es-PY"/>
        </w:rPr>
        <w:t xml:space="preserve"> otorgada por el Subcomité de Acreditación de la Alianza Global de las Instituciones Nacionales de Derechos Humanos (GANHRI). Esto ha tenido lugar luego de varios años de suspensión, como resultado de avances en la gestión institucional. Actualmente, la Defensoría del Pueblo, se encuentra en proceso de reacreditación ante el Subcomité de Acreditación (SCA) de la GANHRI. En este contexto, se han proporcionado todas las informaciones requeridas, las cuales han sido aprobadas y ya se cuenta con fecha para la entrevista con el Subcomité, siendo el 1 de mayo de </w:t>
      </w:r>
      <w:sdt>
        <w:sdtPr>
          <w:rPr>
            <w:lang w:val="es-PY"/>
          </w:rPr>
          <w:tag w:val="goog_rdk_1"/>
          <w:id w:val="1296259274"/>
        </w:sdtPr>
        <w:sdtContent/>
      </w:sdt>
      <w:r w:rsidRPr="00B64C1B">
        <w:rPr>
          <w:lang w:val="es-PY"/>
        </w:rPr>
        <w:t>2024.</w:t>
      </w:r>
    </w:p>
    <w:p w14:paraId="3D2FD5CB" w14:textId="77777777" w:rsidR="00583FBD" w:rsidRPr="00B64C1B" w:rsidRDefault="00583FBD" w:rsidP="00F01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lastRenderedPageBreak/>
        <w:tab/>
      </w:r>
      <w:r>
        <w:rPr>
          <w:lang w:val="es-PY"/>
        </w:rPr>
        <w:tab/>
      </w:r>
      <w:r w:rsidRPr="00B64C1B">
        <w:rPr>
          <w:lang w:val="es-PY"/>
        </w:rPr>
        <w:t>Medidas especiales de carácter temporal (art. 4)</w:t>
      </w:r>
      <w:r w:rsidRPr="00521F74">
        <w:rPr>
          <w:b w:val="0"/>
          <w:bCs/>
          <w:sz w:val="20"/>
          <w:szCs w:val="20"/>
          <w:vertAlign w:val="superscript"/>
          <w:lang w:val="es-PY"/>
        </w:rPr>
        <w:footnoteReference w:id="25"/>
      </w:r>
    </w:p>
    <w:p w14:paraId="33FDFB0D" w14:textId="77777777" w:rsidR="00F019B7" w:rsidRPr="00F019B7" w:rsidRDefault="00F019B7" w:rsidP="00F019B7">
      <w:pPr>
        <w:pStyle w:val="SingleTxt"/>
        <w:spacing w:after="0" w:line="120" w:lineRule="exact"/>
        <w:rPr>
          <w:bCs/>
          <w:sz w:val="10"/>
          <w:lang w:val="es-PY"/>
        </w:rPr>
      </w:pPr>
    </w:p>
    <w:p w14:paraId="38561996" w14:textId="77777777" w:rsidR="00F019B7" w:rsidRPr="00F019B7" w:rsidRDefault="00F019B7" w:rsidP="00F019B7">
      <w:pPr>
        <w:pStyle w:val="SingleTxt"/>
        <w:spacing w:after="0" w:line="120" w:lineRule="exact"/>
        <w:rPr>
          <w:bCs/>
          <w:sz w:val="10"/>
          <w:lang w:val="es-PY"/>
        </w:rPr>
      </w:pPr>
    </w:p>
    <w:p w14:paraId="6F29914E" w14:textId="4F70CE9A" w:rsidR="00583FBD" w:rsidRPr="00B64C1B" w:rsidRDefault="00583FBD" w:rsidP="00F019B7">
      <w:pPr>
        <w:pStyle w:val="SingleTxt"/>
        <w:numPr>
          <w:ilvl w:val="0"/>
          <w:numId w:val="44"/>
        </w:numPr>
        <w:ind w:left="1267"/>
        <w:rPr>
          <w:lang w:val="es-PY"/>
        </w:rPr>
      </w:pPr>
      <w:r w:rsidRPr="00B64C1B">
        <w:rPr>
          <w:lang w:val="es-PY"/>
        </w:rPr>
        <w:t>El Ministerio de Agricultura y Ganadería (MAG) benefició a 5.934 mujeres organizadas en los 17 departamentos del país a través de la financiación de inversiones productivas de tres proyectos dirigidos específicamente mujeres</w:t>
      </w:r>
      <w:r w:rsidRPr="00B64C1B">
        <w:rPr>
          <w:vertAlign w:val="superscript"/>
          <w:lang w:val="es-PY"/>
        </w:rPr>
        <w:footnoteReference w:id="26"/>
      </w:r>
      <w:r w:rsidRPr="00B64C1B">
        <w:rPr>
          <w:lang w:val="es-PY"/>
        </w:rPr>
        <w:t>. Asimismo, el Ministerio de Trabajo, Empleo y Seguridad Social (MTESS), a través del Sistema Nacional de Formación y Capacitación Laboral (SINAFOCAL) benefició a 3.954 mujeres del sector rural mediante el desarrollo de distintas acciones formativas</w:t>
      </w:r>
      <w:r w:rsidRPr="00B64C1B">
        <w:rPr>
          <w:vertAlign w:val="superscript"/>
          <w:lang w:val="es-PY"/>
        </w:rPr>
        <w:footnoteReference w:id="27"/>
      </w:r>
      <w:r w:rsidRPr="00B64C1B">
        <w:rPr>
          <w:lang w:val="es-PY"/>
        </w:rPr>
        <w:t>.</w:t>
      </w:r>
    </w:p>
    <w:p w14:paraId="28B83EE5" w14:textId="3F8BDEF2" w:rsidR="00583FBD" w:rsidRPr="00B64C1B" w:rsidRDefault="00583FBD" w:rsidP="00F019B7">
      <w:pPr>
        <w:pStyle w:val="SingleTxt"/>
        <w:numPr>
          <w:ilvl w:val="0"/>
          <w:numId w:val="44"/>
        </w:numPr>
        <w:ind w:left="1267"/>
        <w:rPr>
          <w:lang w:val="es-PY"/>
        </w:rPr>
      </w:pPr>
      <w:r w:rsidRPr="00B64C1B">
        <w:rPr>
          <w:lang w:val="es-PY"/>
        </w:rPr>
        <w:t>En 2023, el Instituto Nacional de Desarrollo Rural y de la Tierra (INDERT) estableció la reducción del 12% al 0% de las tasas de interés a las mujeres por el pago de sus lotes. Como resultado de ello, en enero de 2024 se reportó que esta medida tuvo un impacto en el aumento en 114% de títulos definitivos a esta población</w:t>
      </w:r>
      <w:r w:rsidRPr="00B64C1B">
        <w:rPr>
          <w:vertAlign w:val="superscript"/>
          <w:lang w:val="es-PY"/>
        </w:rPr>
        <w:footnoteReference w:id="28"/>
      </w:r>
      <w:r w:rsidRPr="00B64C1B">
        <w:rPr>
          <w:lang w:val="es-PY"/>
        </w:rPr>
        <w:t>.</w:t>
      </w:r>
    </w:p>
    <w:p w14:paraId="3F519DD9" w14:textId="483A489D" w:rsidR="00583FBD" w:rsidRPr="00B64C1B" w:rsidRDefault="00583FBD" w:rsidP="00F019B7">
      <w:pPr>
        <w:pStyle w:val="SingleTxt"/>
        <w:numPr>
          <w:ilvl w:val="0"/>
          <w:numId w:val="44"/>
        </w:numPr>
        <w:ind w:left="1267"/>
        <w:rPr>
          <w:lang w:val="es-PY"/>
        </w:rPr>
      </w:pPr>
      <w:r w:rsidRPr="00B64C1B">
        <w:rPr>
          <w:lang w:val="es-PY"/>
        </w:rPr>
        <w:t xml:space="preserve">En el ámbito legislativo, se presentaron han presentado dos proyectos de ley que buscan abordar las disparidades salariales de género y promover la igualdad en el ámbito laboral. Los proyectos </w:t>
      </w:r>
      <w:r w:rsidRPr="00521F74">
        <w:rPr>
          <w:lang w:val="es-PY"/>
        </w:rPr>
        <w:t>S-199205</w:t>
      </w:r>
      <w:r w:rsidRPr="00B64C1B">
        <w:rPr>
          <w:vertAlign w:val="superscript"/>
          <w:lang w:val="es-PY"/>
        </w:rPr>
        <w:footnoteReference w:id="29"/>
      </w:r>
      <w:r w:rsidRPr="00B64C1B">
        <w:rPr>
          <w:lang w:val="es-PY"/>
        </w:rPr>
        <w:t xml:space="preserve"> y </w:t>
      </w:r>
      <w:r w:rsidRPr="00521F74">
        <w:rPr>
          <w:lang w:val="es-PY"/>
        </w:rPr>
        <w:t>S-2211034</w:t>
      </w:r>
      <w:r w:rsidRPr="00B64C1B">
        <w:rPr>
          <w:vertAlign w:val="superscript"/>
          <w:lang w:val="es-PY"/>
        </w:rPr>
        <w:footnoteReference w:id="30"/>
      </w:r>
      <w:r w:rsidRPr="00B64C1B">
        <w:rPr>
          <w:lang w:val="es-PY"/>
        </w:rPr>
        <w:t>, que establecen la igualdad salarial entre hombres y mujeres en el sector público y privado, se encuentran en su primer trámite constitucional.</w:t>
      </w:r>
    </w:p>
    <w:p w14:paraId="392172B0" w14:textId="11C420BE" w:rsidR="00583FBD" w:rsidRPr="00B64C1B" w:rsidRDefault="00583FBD" w:rsidP="00F019B7">
      <w:pPr>
        <w:pStyle w:val="SingleTxt"/>
        <w:numPr>
          <w:ilvl w:val="0"/>
          <w:numId w:val="44"/>
        </w:numPr>
        <w:ind w:left="1267"/>
        <w:rPr>
          <w:lang w:val="es-PY"/>
        </w:rPr>
      </w:pPr>
      <w:r w:rsidRPr="00B64C1B">
        <w:rPr>
          <w:lang w:val="es-PY"/>
        </w:rPr>
        <w:t>La Secretaría Nacional de Cultura (SNC) estima que el 65% de las personas destinatarias de los programas institucionales son mujeres, y el Programa de Fondos de Cultura 2018-2022 contó con un 60% de mujeres destinatarias.</w:t>
      </w:r>
    </w:p>
    <w:p w14:paraId="53399025" w14:textId="6584472B" w:rsidR="00F019B7" w:rsidRDefault="00583FBD" w:rsidP="00F019B7">
      <w:pPr>
        <w:pStyle w:val="SingleTxt"/>
        <w:numPr>
          <w:ilvl w:val="0"/>
          <w:numId w:val="44"/>
        </w:numPr>
        <w:ind w:left="1267"/>
        <w:rPr>
          <w:lang w:val="es-PY"/>
        </w:rPr>
      </w:pPr>
      <w:r w:rsidRPr="00B64C1B">
        <w:rPr>
          <w:lang w:val="es-PY"/>
        </w:rPr>
        <w:t xml:space="preserve">Se encuentra en ejecución el proyecto </w:t>
      </w:r>
      <w:r w:rsidR="00F019B7">
        <w:rPr>
          <w:lang w:val="es-PY"/>
        </w:rPr>
        <w:t>“</w:t>
      </w:r>
      <w:r w:rsidRPr="00B64C1B">
        <w:rPr>
          <w:lang w:val="es-PY"/>
        </w:rPr>
        <w:t>Fondo India - UN - Extensión del acceso y cobertura en salud materno infantil a zonas rurales dispersas, comunidades indígenas y territorios de fronteras del Chaco</w:t>
      </w:r>
      <w:r w:rsidR="00F019B7">
        <w:rPr>
          <w:lang w:val="es-PY"/>
        </w:rPr>
        <w:t>”</w:t>
      </w:r>
      <w:r w:rsidRPr="00B64C1B">
        <w:rPr>
          <w:lang w:val="es-PY"/>
        </w:rPr>
        <w:t>, que permitirá planificar adecuada y previsiblemente los servicios e identificar las debilidades, condiciones necesarias para el acceso y cobertura universal en salud de estas poblaciones y la implementación de estrategias innovadoras e inteligentes para avanzar en el fortalecimiento de las microrredes, desarrollando mejoras en la calidad de los servicios de salud materno infantil incluyendo servicios de planificación familiar culturalmente adecuados y en las habilidades de los recursos humanos de los proveedores, administradores y autoridades locales, en el marco del mantenimiento de los servicios de salud esenciales en tiempos de la pandemia y post pandemia COVID-19, finalmente, empoderar a las comunidades para la participación activa y la movilización en salud</w:t>
      </w:r>
      <w:r w:rsidRPr="00B64C1B">
        <w:rPr>
          <w:vertAlign w:val="superscript"/>
          <w:lang w:val="es-PY"/>
        </w:rPr>
        <w:footnoteReference w:id="31"/>
      </w:r>
      <w:r w:rsidRPr="00B64C1B">
        <w:rPr>
          <w:lang w:val="es-PY"/>
        </w:rPr>
        <w:t>.</w:t>
      </w:r>
    </w:p>
    <w:p w14:paraId="1EAB235A" w14:textId="77777777" w:rsidR="00F019B7" w:rsidRDefault="00F019B7">
      <w:pPr>
        <w:suppressAutoHyphens w:val="0"/>
        <w:spacing w:after="160" w:line="259" w:lineRule="auto"/>
        <w:rPr>
          <w:kern w:val="14"/>
          <w:lang w:val="es-PY"/>
        </w:rPr>
      </w:pPr>
      <w:r>
        <w:rPr>
          <w:lang w:val="es-PY"/>
        </w:rPr>
        <w:br w:type="page"/>
      </w:r>
    </w:p>
    <w:p w14:paraId="625BBCD9" w14:textId="0405C99F" w:rsidR="00583FBD" w:rsidRPr="00B64C1B" w:rsidRDefault="00583FBD" w:rsidP="00F01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lastRenderedPageBreak/>
        <w:tab/>
      </w:r>
      <w:r>
        <w:rPr>
          <w:lang w:val="es-PY"/>
        </w:rPr>
        <w:tab/>
      </w:r>
      <w:r w:rsidRPr="00B64C1B">
        <w:rPr>
          <w:lang w:val="es-PY"/>
        </w:rPr>
        <w:t>Estereotipos discriminatorios (art. 5)</w:t>
      </w:r>
      <w:r w:rsidRPr="00521F74">
        <w:rPr>
          <w:b w:val="0"/>
          <w:bCs/>
          <w:sz w:val="20"/>
          <w:szCs w:val="20"/>
          <w:vertAlign w:val="superscript"/>
          <w:lang w:val="es-PY"/>
        </w:rPr>
        <w:footnoteReference w:id="32"/>
      </w:r>
    </w:p>
    <w:p w14:paraId="71D9F9B1" w14:textId="77777777" w:rsidR="00F019B7" w:rsidRPr="00F019B7" w:rsidRDefault="00F019B7" w:rsidP="00521F74">
      <w:pPr>
        <w:pStyle w:val="SingleTxtG"/>
        <w:spacing w:after="0" w:line="120" w:lineRule="exact"/>
        <w:ind w:left="1267"/>
        <w:rPr>
          <w:bCs/>
          <w:sz w:val="10"/>
          <w:lang w:val="es-PY"/>
        </w:rPr>
      </w:pPr>
    </w:p>
    <w:p w14:paraId="6DA71DA0" w14:textId="77777777" w:rsidR="00F019B7" w:rsidRPr="00F019B7" w:rsidRDefault="00F019B7" w:rsidP="00521F74">
      <w:pPr>
        <w:pStyle w:val="SingleTxtG"/>
        <w:spacing w:after="0" w:line="120" w:lineRule="exact"/>
        <w:ind w:left="1267"/>
        <w:rPr>
          <w:bCs/>
          <w:sz w:val="10"/>
          <w:lang w:val="es-PY"/>
        </w:rPr>
      </w:pPr>
    </w:p>
    <w:p w14:paraId="7468AFC3" w14:textId="5569EA32" w:rsidR="00583FBD" w:rsidRPr="00B64C1B" w:rsidRDefault="00583FBD" w:rsidP="00F019B7">
      <w:pPr>
        <w:pStyle w:val="SingleTxt"/>
        <w:numPr>
          <w:ilvl w:val="0"/>
          <w:numId w:val="44"/>
        </w:numPr>
        <w:ind w:left="1267"/>
        <w:rPr>
          <w:lang w:val="es-PY"/>
        </w:rPr>
      </w:pPr>
      <w:r w:rsidRPr="00B64C1B">
        <w:rPr>
          <w:lang w:val="es-PY"/>
        </w:rPr>
        <w:t xml:space="preserve">El MEC en coordinación con el MINMUJER realizó capacitaciones sobre la Ley </w:t>
      </w:r>
      <w:proofErr w:type="spellStart"/>
      <w:r w:rsidRPr="00B64C1B">
        <w:rPr>
          <w:lang w:val="es-PY"/>
        </w:rPr>
        <w:t>Nº</w:t>
      </w:r>
      <w:proofErr w:type="spellEnd"/>
      <w:r w:rsidRPr="00B64C1B">
        <w:rPr>
          <w:lang w:val="es-PY"/>
        </w:rPr>
        <w:t xml:space="preserve"> </w:t>
      </w:r>
      <w:r w:rsidRPr="00521F74">
        <w:rPr>
          <w:lang w:val="es-PY"/>
        </w:rPr>
        <w:t>5777/2016</w:t>
      </w:r>
      <w:r w:rsidRPr="00B64C1B">
        <w:rPr>
          <w:lang w:val="es-PY"/>
        </w:rPr>
        <w:t xml:space="preserve"> </w:t>
      </w:r>
      <w:r w:rsidR="00F019B7">
        <w:rPr>
          <w:lang w:val="es-PY"/>
        </w:rPr>
        <w:t>“</w:t>
      </w:r>
      <w:r w:rsidRPr="00B64C1B">
        <w:rPr>
          <w:lang w:val="es-PY"/>
        </w:rPr>
        <w:t>De Protección Integral a las Mujeres, contra toda forma de Violencia</w:t>
      </w:r>
      <w:r w:rsidR="00F019B7">
        <w:rPr>
          <w:lang w:val="es-PY"/>
        </w:rPr>
        <w:t>”</w:t>
      </w:r>
      <w:r w:rsidRPr="00B64C1B">
        <w:rPr>
          <w:lang w:val="es-PY"/>
        </w:rPr>
        <w:t xml:space="preserve"> dirigidas a la comunidad educativa, de las cuales participaron704 personas. Asimismo, ha incluido en el calendario educativo nacional fechas relevantes para el diálogo sobre el concepto de igualdad como el 24 de febrero </w:t>
      </w:r>
      <w:r w:rsidR="00F019B7">
        <w:rPr>
          <w:lang w:val="es-PY"/>
        </w:rPr>
        <w:t>“</w:t>
      </w:r>
      <w:r w:rsidRPr="00B64C1B">
        <w:rPr>
          <w:lang w:val="es-PY"/>
        </w:rPr>
        <w:t>Día de la Mujer Paraguaya</w:t>
      </w:r>
      <w:r w:rsidR="00F019B7">
        <w:rPr>
          <w:lang w:val="es-PY"/>
        </w:rPr>
        <w:t>”</w:t>
      </w:r>
      <w:r w:rsidRPr="00B64C1B">
        <w:rPr>
          <w:lang w:val="es-PY"/>
        </w:rPr>
        <w:t xml:space="preserve">, 8 de marzo </w:t>
      </w:r>
      <w:r w:rsidR="00F019B7">
        <w:rPr>
          <w:lang w:val="es-PY"/>
        </w:rPr>
        <w:t>“</w:t>
      </w:r>
      <w:r w:rsidRPr="00B64C1B">
        <w:rPr>
          <w:lang w:val="es-PY"/>
        </w:rPr>
        <w:t>Día Internacional de la Mujer</w:t>
      </w:r>
      <w:r w:rsidR="00F019B7">
        <w:rPr>
          <w:lang w:val="es-PY"/>
        </w:rPr>
        <w:t>”</w:t>
      </w:r>
      <w:r w:rsidRPr="00B64C1B">
        <w:rPr>
          <w:lang w:val="es-PY"/>
        </w:rPr>
        <w:t xml:space="preserve">, 5 de setiembre </w:t>
      </w:r>
      <w:r w:rsidR="00F019B7">
        <w:rPr>
          <w:lang w:val="es-PY"/>
        </w:rPr>
        <w:t>“</w:t>
      </w:r>
      <w:r w:rsidRPr="00B64C1B">
        <w:rPr>
          <w:lang w:val="es-PY"/>
        </w:rPr>
        <w:t xml:space="preserve">Día Internacional de la Mujer, 11 de octubre </w:t>
      </w:r>
      <w:r w:rsidR="00F019B7">
        <w:rPr>
          <w:lang w:val="es-PY"/>
        </w:rPr>
        <w:t>“</w:t>
      </w:r>
      <w:r w:rsidRPr="00B64C1B">
        <w:rPr>
          <w:lang w:val="es-PY"/>
        </w:rPr>
        <w:t>Día Internacional de la Niña</w:t>
      </w:r>
      <w:r w:rsidR="00F019B7">
        <w:rPr>
          <w:lang w:val="es-PY"/>
        </w:rPr>
        <w:t>”</w:t>
      </w:r>
      <w:r w:rsidRPr="00B64C1B">
        <w:rPr>
          <w:lang w:val="es-PY"/>
        </w:rPr>
        <w:t xml:space="preserve"> y 25 de noviembre </w:t>
      </w:r>
      <w:r w:rsidR="00F019B7">
        <w:rPr>
          <w:lang w:val="es-PY"/>
        </w:rPr>
        <w:t>“</w:t>
      </w:r>
      <w:r w:rsidRPr="00B64C1B">
        <w:rPr>
          <w:lang w:val="es-PY"/>
        </w:rPr>
        <w:t>Día Internacional de la Eliminación de la Violencia contra la Mujer</w:t>
      </w:r>
      <w:r w:rsidR="00F019B7">
        <w:rPr>
          <w:lang w:val="es-PY"/>
        </w:rPr>
        <w:t>”</w:t>
      </w:r>
      <w:r w:rsidRPr="00B64C1B">
        <w:rPr>
          <w:lang w:val="es-PY"/>
        </w:rPr>
        <w:t xml:space="preserve">, entre otras. </w:t>
      </w:r>
    </w:p>
    <w:p w14:paraId="6F2BD15C" w14:textId="58946EA9" w:rsidR="00583FBD" w:rsidRPr="00B64C1B" w:rsidRDefault="00583FBD" w:rsidP="00F019B7">
      <w:pPr>
        <w:pStyle w:val="SingleTxt"/>
        <w:numPr>
          <w:ilvl w:val="0"/>
          <w:numId w:val="44"/>
        </w:numPr>
        <w:ind w:left="1267"/>
        <w:rPr>
          <w:lang w:val="es-PY"/>
        </w:rPr>
      </w:pPr>
      <w:r w:rsidRPr="00B64C1B">
        <w:rPr>
          <w:lang w:val="es-PY"/>
        </w:rPr>
        <w:t xml:space="preserve">El Centro </w:t>
      </w:r>
      <w:r w:rsidR="00F019B7">
        <w:rPr>
          <w:lang w:val="es-PY"/>
        </w:rPr>
        <w:t>“</w:t>
      </w:r>
      <w:r w:rsidRPr="00B64C1B">
        <w:rPr>
          <w:lang w:val="es-PY"/>
        </w:rPr>
        <w:t>Ciudad Mujer</w:t>
      </w:r>
      <w:r w:rsidR="00F019B7">
        <w:rPr>
          <w:lang w:val="es-PY"/>
        </w:rPr>
        <w:t>”</w:t>
      </w:r>
      <w:r w:rsidRPr="00B64C1B">
        <w:rPr>
          <w:lang w:val="es-PY"/>
        </w:rPr>
        <w:t xml:space="preserve"> del MINMUJER implementa, además de la oferta de servicios públicos exclusivos para las mujeres, un calendario de charlas que abordan la prevención de la violencia, conceptos de igualdad y principales brechas de desigualdad del país, entre otros temas que permiten la toma de conciencia y sensibilización.</w:t>
      </w:r>
    </w:p>
    <w:p w14:paraId="7F0BAAA2" w14:textId="516624A8"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El MINMUJER desarrolló el Protocolo Unificado para la Asistencia, Atención y Protección Integral a Mujeres en Situación de Violencia, aprobado por Resolución </w:t>
      </w:r>
      <w:proofErr w:type="spellStart"/>
      <w:r w:rsidRPr="00B64C1B">
        <w:rPr>
          <w:lang w:val="es-PY"/>
        </w:rPr>
        <w:t>N°</w:t>
      </w:r>
      <w:proofErr w:type="spellEnd"/>
      <w:r w:rsidRPr="00B64C1B">
        <w:rPr>
          <w:lang w:val="es-PY"/>
        </w:rPr>
        <w:t xml:space="preserve"> 274/2022, con su respectiva Guía curricular y metodológica de contenidos esenciales para la capacitación y apropiación del funcionariado responsable de su implementación.</w:t>
      </w:r>
    </w:p>
    <w:p w14:paraId="7D9DFE8F" w14:textId="56992403"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En torno al cuidado de los cuidadores, a través de la cooperación técnica de la Organización Mundial de la Salud (OMS) y la Organización Panamericana de la Salud (OPS), como parte de sus políticas laborales para profesionales que están en la atención directa a las mujeres en situación de violencia, se desarrolló el Curso Taller </w:t>
      </w:r>
      <w:r w:rsidR="00F019B7">
        <w:rPr>
          <w:lang w:val="es-PY"/>
        </w:rPr>
        <w:t>“</w:t>
      </w:r>
      <w:r w:rsidRPr="00B64C1B">
        <w:rPr>
          <w:lang w:val="es-PY"/>
        </w:rPr>
        <w:t>Yo me cuido: Yo te cuido</w:t>
      </w:r>
      <w:r w:rsidR="00F019B7">
        <w:rPr>
          <w:lang w:val="es-PY"/>
        </w:rPr>
        <w:t>”</w:t>
      </w:r>
      <w:r w:rsidRPr="00B64C1B">
        <w:rPr>
          <w:lang w:val="es-PY"/>
        </w:rPr>
        <w:t xml:space="preserve"> en la que han participado profesionales de los servicios de atención especializados del MINMUJER.</w:t>
      </w:r>
    </w:p>
    <w:p w14:paraId="313BC1F1" w14:textId="4C075EE8" w:rsidR="00583FBD" w:rsidRPr="00B64C1B" w:rsidRDefault="00583FBD" w:rsidP="00F019B7">
      <w:pPr>
        <w:pStyle w:val="SingleTxt"/>
        <w:numPr>
          <w:ilvl w:val="0"/>
          <w:numId w:val="44"/>
        </w:numPr>
        <w:tabs>
          <w:tab w:val="num" w:pos="2804"/>
        </w:tabs>
        <w:ind w:left="1267"/>
        <w:jc w:val="lowKashida"/>
        <w:rPr>
          <w:lang w:val="es-PY"/>
        </w:rPr>
      </w:pPr>
      <w:r w:rsidRPr="00B64C1B">
        <w:rPr>
          <w:lang w:val="es-PY"/>
        </w:rPr>
        <w:t xml:space="preserve">El Manual </w:t>
      </w:r>
      <w:r w:rsidR="00F019B7">
        <w:rPr>
          <w:lang w:val="es-PY"/>
        </w:rPr>
        <w:t>“</w:t>
      </w:r>
      <w:r w:rsidRPr="00B64C1B">
        <w:rPr>
          <w:lang w:val="es-PY"/>
        </w:rPr>
        <w:t>Modelo de Atención Integral a la Salud del Hombre con enfoque en la Salud Materno Infantil</w:t>
      </w:r>
      <w:r w:rsidR="00F019B7">
        <w:rPr>
          <w:lang w:val="es-PY"/>
        </w:rPr>
        <w:t>”</w:t>
      </w:r>
      <w:r w:rsidRPr="00B64C1B">
        <w:rPr>
          <w:vertAlign w:val="superscript"/>
          <w:lang w:val="es-PY"/>
        </w:rPr>
        <w:footnoteReference w:id="33"/>
      </w:r>
      <w:r w:rsidRPr="00B64C1B">
        <w:rPr>
          <w:lang w:val="es-PY"/>
        </w:rPr>
        <w:t xml:space="preserve"> aprobado por Resolución S.G. N°271/2023, encauza tareas de promoción, prevención y tratamiento de las afecciones más comunes en este grupo poblacional, en sus diferentes etapas de la vida, haciendo especial énfasis en el momento del embarazo de la pareja.</w:t>
      </w:r>
    </w:p>
    <w:p w14:paraId="5C8BF61E" w14:textId="21C90551" w:rsidR="00583FBD" w:rsidRPr="00B64C1B" w:rsidRDefault="00583FBD" w:rsidP="00F019B7">
      <w:pPr>
        <w:pStyle w:val="SingleTxt"/>
        <w:numPr>
          <w:ilvl w:val="0"/>
          <w:numId w:val="44"/>
        </w:numPr>
        <w:tabs>
          <w:tab w:val="num" w:pos="2804"/>
        </w:tabs>
        <w:ind w:left="1267"/>
        <w:rPr>
          <w:lang w:val="es-PY"/>
        </w:rPr>
      </w:pPr>
      <w:r w:rsidRPr="00B64C1B">
        <w:rPr>
          <w:lang w:val="es-PY"/>
        </w:rPr>
        <w:t>Con el objetivo de combatir los estereotipos y prácticas de discriminación de género en los medios de comunicación, tanto públicos como privados, se han emprendido acciones legislativas para establecer un marco normativo adecuado. En este sentido, se encuentra en estudio en la Honorable Cámara de Diputados (HCD) un proyecto de ley</w:t>
      </w:r>
      <w:r w:rsidRPr="00B64C1B">
        <w:rPr>
          <w:vertAlign w:val="superscript"/>
          <w:lang w:val="es-PY"/>
        </w:rPr>
        <w:footnoteReference w:id="34"/>
      </w:r>
      <w:r w:rsidRPr="00B64C1B">
        <w:rPr>
          <w:lang w:val="es-PY"/>
        </w:rPr>
        <w:t xml:space="preserve"> que amplía el alcance de la Ley </w:t>
      </w:r>
      <w:proofErr w:type="spellStart"/>
      <w:r w:rsidRPr="00B64C1B">
        <w:rPr>
          <w:lang w:val="es-PY"/>
        </w:rPr>
        <w:t>Nº</w:t>
      </w:r>
      <w:proofErr w:type="spellEnd"/>
      <w:r w:rsidR="00216321" w:rsidRPr="00D849F6">
        <w:t>5777/16</w:t>
      </w:r>
      <w:r w:rsidRPr="00B64C1B">
        <w:rPr>
          <w:lang w:val="es-PY"/>
        </w:rPr>
        <w:t xml:space="preserve">, </w:t>
      </w:r>
      <w:r w:rsidR="00F019B7">
        <w:rPr>
          <w:lang w:val="es-PY"/>
        </w:rPr>
        <w:t>“</w:t>
      </w:r>
      <w:r w:rsidRPr="00B64C1B">
        <w:rPr>
          <w:lang w:val="es-PY"/>
        </w:rPr>
        <w:t>de protección integral de las mujeres contra toda forma de violencia</w:t>
      </w:r>
      <w:r w:rsidR="00F019B7">
        <w:rPr>
          <w:lang w:val="es-PY"/>
        </w:rPr>
        <w:t>”</w:t>
      </w:r>
      <w:r w:rsidRPr="00B64C1B">
        <w:rPr>
          <w:lang w:val="es-PY"/>
        </w:rPr>
        <w:t>, en lo que se refiere a la violencia telemática.</w:t>
      </w:r>
    </w:p>
    <w:p w14:paraId="006DC640" w14:textId="37DDB791"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En 2022 el MINMUJER relanzó el material </w:t>
      </w:r>
      <w:r w:rsidR="00F019B7">
        <w:rPr>
          <w:lang w:val="es-PY"/>
        </w:rPr>
        <w:t>“</w:t>
      </w:r>
      <w:r w:rsidRPr="00B64C1B">
        <w:rPr>
          <w:lang w:val="es-PY"/>
        </w:rPr>
        <w:t>Lentes Lilas para los medios de comunicación</w:t>
      </w:r>
      <w:r w:rsidR="00F019B7">
        <w:rPr>
          <w:lang w:val="es-PY"/>
        </w:rPr>
        <w:t>”</w:t>
      </w:r>
      <w:r w:rsidRPr="00B64C1B">
        <w:rPr>
          <w:lang w:val="es-PY"/>
        </w:rPr>
        <w:t>, una guía destinada a comunicadores para la elaboración y publicación de materiales en diferentes formatos. Esta nueva edición fue actualizada, incluyendo contenidos relacionados los medios digitales y las redes sociales.</w:t>
      </w:r>
      <w:r w:rsidR="007E06AB">
        <w:rPr>
          <w:lang w:val="es-PY"/>
        </w:rPr>
        <w:t xml:space="preserve"> </w:t>
      </w:r>
      <w:r w:rsidRPr="00B64C1B">
        <w:rPr>
          <w:lang w:val="es-PY"/>
        </w:rPr>
        <w:t xml:space="preserve">Se realizaron talleres de capacitación para comunicadores de Asunción y del departamento de Itapúa, con apoyo del Proyecto </w:t>
      </w:r>
      <w:r w:rsidR="00F019B7">
        <w:rPr>
          <w:lang w:val="es-PY"/>
        </w:rPr>
        <w:t>“</w:t>
      </w:r>
      <w:r w:rsidRPr="00B64C1B">
        <w:rPr>
          <w:lang w:val="es-PY"/>
        </w:rPr>
        <w:t xml:space="preserve">Promovida una Conciencia Social e Institucional </w:t>
      </w:r>
      <w:r w:rsidRPr="00B64C1B">
        <w:rPr>
          <w:lang w:val="es-PY"/>
        </w:rPr>
        <w:lastRenderedPageBreak/>
        <w:t>sobre la Violencia Contra las Mujeres Basada en Género en cinco municipios del Departamento de Itapúa</w:t>
      </w:r>
      <w:r w:rsidR="00F019B7">
        <w:rPr>
          <w:lang w:val="es-PY"/>
        </w:rPr>
        <w:t>”</w:t>
      </w:r>
      <w:r w:rsidRPr="00B64C1B">
        <w:rPr>
          <w:lang w:val="es-PY"/>
        </w:rPr>
        <w:t>.</w:t>
      </w:r>
    </w:p>
    <w:p w14:paraId="28F3DB08" w14:textId="77777777" w:rsidR="00F019B7" w:rsidRPr="00F019B7" w:rsidRDefault="00F019B7" w:rsidP="00F019B7">
      <w:pPr>
        <w:pStyle w:val="SingleTxt"/>
        <w:spacing w:after="0" w:line="120" w:lineRule="exact"/>
        <w:rPr>
          <w:sz w:val="10"/>
          <w:lang w:val="es-PY"/>
        </w:rPr>
      </w:pPr>
    </w:p>
    <w:p w14:paraId="75EF6233" w14:textId="77777777" w:rsidR="00F019B7" w:rsidRPr="00F019B7" w:rsidRDefault="00F019B7" w:rsidP="00F019B7">
      <w:pPr>
        <w:pStyle w:val="SingleTxt"/>
        <w:spacing w:after="0" w:line="120" w:lineRule="exact"/>
        <w:rPr>
          <w:sz w:val="10"/>
          <w:lang w:val="es-PY"/>
        </w:rPr>
      </w:pPr>
    </w:p>
    <w:p w14:paraId="0E5B4791" w14:textId="61AC4585" w:rsidR="00583FBD" w:rsidRPr="00B64C1B" w:rsidRDefault="00583FBD" w:rsidP="00F01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Violencia por razón de género contra la mujer (art. 5)</w:t>
      </w:r>
      <w:r w:rsidRPr="00521F74">
        <w:rPr>
          <w:b w:val="0"/>
          <w:bCs/>
          <w:sz w:val="20"/>
          <w:szCs w:val="20"/>
          <w:vertAlign w:val="superscript"/>
          <w:lang w:val="es-PY"/>
        </w:rPr>
        <w:footnoteReference w:id="35"/>
      </w:r>
    </w:p>
    <w:p w14:paraId="60C39E7A" w14:textId="77777777" w:rsidR="00F019B7" w:rsidRPr="00F019B7" w:rsidRDefault="00F019B7" w:rsidP="00521F74">
      <w:pPr>
        <w:pStyle w:val="SingleTxtG"/>
        <w:spacing w:after="0" w:line="120" w:lineRule="exact"/>
        <w:ind w:left="1267"/>
        <w:rPr>
          <w:bCs/>
          <w:sz w:val="10"/>
          <w:lang w:val="es-PY"/>
        </w:rPr>
      </w:pPr>
    </w:p>
    <w:p w14:paraId="5FE14E11" w14:textId="77777777" w:rsidR="00F019B7" w:rsidRPr="00F019B7" w:rsidRDefault="00F019B7" w:rsidP="00521F74">
      <w:pPr>
        <w:pStyle w:val="SingleTxtG"/>
        <w:spacing w:after="0" w:line="120" w:lineRule="exact"/>
        <w:ind w:left="1267"/>
        <w:rPr>
          <w:bCs/>
          <w:sz w:val="10"/>
          <w:lang w:val="es-PY"/>
        </w:rPr>
      </w:pPr>
    </w:p>
    <w:p w14:paraId="5ED52FA3" w14:textId="06E0D041" w:rsidR="00583FBD" w:rsidRPr="00B64C1B" w:rsidRDefault="00583FBD" w:rsidP="00F019B7">
      <w:pPr>
        <w:pStyle w:val="SingleTxt"/>
        <w:numPr>
          <w:ilvl w:val="0"/>
          <w:numId w:val="44"/>
        </w:numPr>
        <w:ind w:left="1267"/>
        <w:rPr>
          <w:lang w:val="es-PY"/>
        </w:rPr>
      </w:pPr>
      <w:r w:rsidRPr="00B64C1B">
        <w:rPr>
          <w:lang w:val="es-PY"/>
        </w:rPr>
        <w:t>La evaluación del II Plan Nacional Contra la Violencia hacia las Mujeres 2015 – 2020</w:t>
      </w:r>
      <w:r w:rsidRPr="00B64C1B">
        <w:rPr>
          <w:vertAlign w:val="superscript"/>
          <w:lang w:val="es-PY"/>
        </w:rPr>
        <w:footnoteReference w:id="36"/>
      </w:r>
      <w:r w:rsidRPr="00B64C1B">
        <w:rPr>
          <w:lang w:val="es-PY"/>
        </w:rPr>
        <w:t xml:space="preserve">, se realizó con el objetivo de identificar los logros, avances, obstáculos, lecciones aprendidas y recomendaciones fundamentales para la elaboración del III Plan Nacional contra la Violencia hacia las Mujeres. </w:t>
      </w:r>
    </w:p>
    <w:p w14:paraId="33915AC4" w14:textId="723169AF" w:rsidR="00583FBD" w:rsidRPr="00B64C1B" w:rsidRDefault="00583FBD" w:rsidP="00F019B7">
      <w:pPr>
        <w:pStyle w:val="SingleTxt"/>
        <w:numPr>
          <w:ilvl w:val="0"/>
          <w:numId w:val="44"/>
        </w:numPr>
        <w:ind w:left="1267"/>
        <w:rPr>
          <w:lang w:val="es-PY"/>
        </w:rPr>
      </w:pPr>
      <w:r w:rsidRPr="00B64C1B">
        <w:rPr>
          <w:lang w:val="es-PY"/>
        </w:rPr>
        <w:t xml:space="preserve">Como una manera de fortalecer el marco de implementación del II Plan Nacional Contra la Violencia hacia las Mujeres 2015 – 2020, en colaboración con la Cooperación de la República de Costa Rica se desarrolló el primer borrador para la Primera Política Nacional para la Atención y Prevención de la Violencia hacia las Mujeres de todas las edades (PLANOVI) 2021 – 2032, que tiene como objetivo proporcionar un enfoque integral para abordar la violencia de género en todas sus manifestaciones. </w:t>
      </w:r>
    </w:p>
    <w:p w14:paraId="6A53EB90" w14:textId="6CB0491F"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Los servicios en el Servicio de Atención a la Mujer (SEDAMUR), Centros Regionales de las Mujeres y albergues del MINMUJER se fortalecieron con apoyo del proyecto </w:t>
      </w:r>
      <w:r w:rsidR="00F019B7">
        <w:rPr>
          <w:lang w:val="es-PY"/>
        </w:rPr>
        <w:t>“</w:t>
      </w:r>
      <w:r w:rsidRPr="00B64C1B">
        <w:rPr>
          <w:lang w:val="es-PY"/>
        </w:rPr>
        <w:t>Paraguay protege a mujeres, niñas, niños y adolescentes contra la violencia basada en género, en el contexto de la emergencia Covid-19</w:t>
      </w:r>
      <w:r w:rsidR="00F019B7">
        <w:rPr>
          <w:lang w:val="es-PY"/>
        </w:rPr>
        <w:t>”</w:t>
      </w:r>
      <w:r w:rsidRPr="00B64C1B">
        <w:rPr>
          <w:lang w:val="es-PY"/>
        </w:rPr>
        <w:t>. En ese marco, se capacitó a los equipos interdisciplinarios y se han mejorado las instalaciones y equipamientos para brindar una atención más efectiva a las mujeres que enfrentan situaciones de violencia.</w:t>
      </w:r>
    </w:p>
    <w:p w14:paraId="3080F5C4" w14:textId="41F20F7D" w:rsidR="00583FBD" w:rsidRPr="00B64C1B" w:rsidRDefault="00583FBD" w:rsidP="00F019B7">
      <w:pPr>
        <w:pStyle w:val="SingleTxt"/>
        <w:numPr>
          <w:ilvl w:val="0"/>
          <w:numId w:val="44"/>
        </w:numPr>
        <w:tabs>
          <w:tab w:val="num" w:pos="2804"/>
        </w:tabs>
        <w:ind w:left="1267"/>
        <w:rPr>
          <w:lang w:val="es-PY"/>
        </w:rPr>
      </w:pPr>
      <w:r w:rsidRPr="00B64C1B">
        <w:rPr>
          <w:lang w:val="es-PY"/>
        </w:rPr>
        <w:t>La Corte Suprema de Justicia (CSJ) aprobó en 2021 la Acordada N°1506</w:t>
      </w:r>
      <w:r w:rsidRPr="00B64C1B">
        <w:rPr>
          <w:vertAlign w:val="superscript"/>
          <w:lang w:val="es-PY"/>
        </w:rPr>
        <w:footnoteReference w:id="37"/>
      </w:r>
      <w:r w:rsidRPr="00B64C1B">
        <w:rPr>
          <w:lang w:val="es-PY"/>
        </w:rPr>
        <w:t xml:space="preserve">, que establece el </w:t>
      </w:r>
      <w:r w:rsidR="00F019B7">
        <w:rPr>
          <w:lang w:val="es-PY"/>
        </w:rPr>
        <w:t>“</w:t>
      </w:r>
      <w:r w:rsidRPr="00B64C1B">
        <w:rPr>
          <w:lang w:val="es-PY"/>
        </w:rPr>
        <w:t>Protocolo de atención a casos de violencia contra las mujeres en el ámbito doméstico e intrafamiliar</w:t>
      </w:r>
      <w:r w:rsidR="00F019B7">
        <w:rPr>
          <w:lang w:val="es-PY"/>
        </w:rPr>
        <w:t>”</w:t>
      </w:r>
      <w:r w:rsidRPr="00B64C1B">
        <w:rPr>
          <w:lang w:val="es-PY"/>
        </w:rPr>
        <w:t>, dirigida a la magistratura y el funcionariado de los Juzgados de Paz y Primera Instancia en lo Civil y Comercial, con el objetivo de lograr una acción unificada y una respuesta homogénea en todos los Juzgados de Paz, que facilite el control de constitucionalidad y el control de convencionalidad por parte de la judicatura de todo el país.</w:t>
      </w:r>
    </w:p>
    <w:p w14:paraId="5E611CBE" w14:textId="7E491788" w:rsidR="00583FBD" w:rsidRPr="00B64C1B" w:rsidRDefault="00583FBD" w:rsidP="00F019B7">
      <w:pPr>
        <w:pStyle w:val="SingleTxt"/>
        <w:numPr>
          <w:ilvl w:val="0"/>
          <w:numId w:val="44"/>
        </w:numPr>
        <w:tabs>
          <w:tab w:val="num" w:pos="2804"/>
        </w:tabs>
        <w:ind w:left="1267"/>
        <w:rPr>
          <w:lang w:val="es-PY"/>
        </w:rPr>
      </w:pPr>
      <w:r w:rsidRPr="00B64C1B">
        <w:rPr>
          <w:lang w:val="es-PY"/>
        </w:rPr>
        <w:t>La Policía Nacional (PN) cuenta con el Manual de Actuación Policial y Articulación para la Atención Integral ante Hechos de Violencia Intrafamiliar, implementada según Resolución N°368 del 5 de mayo de 2023.</w:t>
      </w:r>
    </w:p>
    <w:p w14:paraId="4E989C3C" w14:textId="5518B68A" w:rsidR="00583FBD" w:rsidRPr="00B64C1B" w:rsidRDefault="00583FBD" w:rsidP="00F019B7">
      <w:pPr>
        <w:pStyle w:val="SingleTxt"/>
        <w:numPr>
          <w:ilvl w:val="0"/>
          <w:numId w:val="44"/>
        </w:numPr>
        <w:tabs>
          <w:tab w:val="num" w:pos="2804"/>
        </w:tabs>
        <w:ind w:left="1267"/>
        <w:rPr>
          <w:lang w:val="es-PY"/>
        </w:rPr>
      </w:pPr>
      <w:r w:rsidRPr="00B64C1B">
        <w:rPr>
          <w:lang w:val="es-PY"/>
        </w:rPr>
        <w:t>En el MP se encuentra vigente el Protocolo de Investigación Penal del Hecho Punible de Feminicidio, que adopta el Modelo de Protocolo Latinoamericano de Investigación de las Muertes Violentas de Mujeres por Razones de Género, adaptando el instrumento a la legislación paraguaya, los procedimientos y mecanismos de investigación de la institución, a fin de lograr la unidad de criterios y buenas prácticas en la investigación penal del feminicidio.</w:t>
      </w:r>
    </w:p>
    <w:p w14:paraId="4FAE8343" w14:textId="29CFF336" w:rsidR="00583FBD" w:rsidRPr="00B64C1B" w:rsidRDefault="00583FBD" w:rsidP="00F019B7">
      <w:pPr>
        <w:pStyle w:val="SingleTxt"/>
        <w:numPr>
          <w:ilvl w:val="0"/>
          <w:numId w:val="44"/>
        </w:numPr>
        <w:ind w:left="1267"/>
        <w:rPr>
          <w:lang w:val="es-PY"/>
        </w:rPr>
      </w:pPr>
      <w:r w:rsidRPr="00B64C1B">
        <w:rPr>
          <w:lang w:val="es-PY"/>
        </w:rPr>
        <w:t xml:space="preserve">El MDP, a través de la Resolución 197/2021, estableció el Protocolo de actuación de la Defensa Pública Especializada en La Ley </w:t>
      </w:r>
      <w:r w:rsidRPr="00521F74">
        <w:rPr>
          <w:lang w:val="es-PY"/>
        </w:rPr>
        <w:t>5777/16</w:t>
      </w:r>
      <w:r w:rsidRPr="00B64C1B">
        <w:rPr>
          <w:lang w:val="es-PY"/>
        </w:rPr>
        <w:t xml:space="preserve"> </w:t>
      </w:r>
      <w:r w:rsidR="00F019B7">
        <w:rPr>
          <w:lang w:val="es-PY"/>
        </w:rPr>
        <w:t>“</w:t>
      </w:r>
      <w:r w:rsidRPr="00B64C1B">
        <w:rPr>
          <w:lang w:val="es-PY"/>
        </w:rPr>
        <w:t>De Protección Integral a las Mujeres contra toda forma de violencia</w:t>
      </w:r>
      <w:r w:rsidR="00F019B7">
        <w:rPr>
          <w:lang w:val="es-PY"/>
        </w:rPr>
        <w:t>”</w:t>
      </w:r>
      <w:r w:rsidRPr="00B64C1B">
        <w:rPr>
          <w:lang w:val="es-PY"/>
        </w:rPr>
        <w:t xml:space="preserve">. Además, desde 1999 mantiene una oficina de atención en el Centro </w:t>
      </w:r>
      <w:r w:rsidR="00F019B7">
        <w:rPr>
          <w:lang w:val="es-PY"/>
        </w:rPr>
        <w:t>“</w:t>
      </w:r>
      <w:r w:rsidRPr="00B64C1B">
        <w:rPr>
          <w:lang w:val="es-PY"/>
        </w:rPr>
        <w:t>Ciudad Mujer</w:t>
      </w:r>
      <w:r w:rsidR="00F019B7">
        <w:rPr>
          <w:lang w:val="es-PY"/>
        </w:rPr>
        <w:t>”</w:t>
      </w:r>
      <w:r w:rsidRPr="00B64C1B">
        <w:rPr>
          <w:lang w:val="es-PY"/>
        </w:rPr>
        <w:t xml:space="preserve"> del MINMUJER, para la asistencia jurídica y asesoramientos de mujeres víctimas de violencia. Entre 2020 y 2023, atendió a 14.498 mujeres en situación de violencia.</w:t>
      </w:r>
    </w:p>
    <w:p w14:paraId="74EE7688" w14:textId="0F34214E" w:rsidR="00583FBD" w:rsidRDefault="002743B0" w:rsidP="00274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583FBD" w:rsidRPr="00D0213F">
        <w:t>Atención a mujeres en situación de violencia por parte del MDP</w:t>
      </w:r>
      <w:r w:rsidR="00583FBD" w:rsidRPr="00521F74">
        <w:rPr>
          <w:b w:val="0"/>
          <w:vertAlign w:val="superscript"/>
        </w:rPr>
        <w:footnoteReference w:id="38"/>
      </w:r>
    </w:p>
    <w:p w14:paraId="55A44AE5" w14:textId="77777777" w:rsidR="00F019B7" w:rsidRDefault="00F019B7" w:rsidP="002743B0">
      <w:pPr>
        <w:pStyle w:val="SingleTxt"/>
        <w:spacing w:after="0" w:line="120" w:lineRule="exact"/>
        <w:rPr>
          <w:sz w:val="10"/>
        </w:rPr>
      </w:pPr>
    </w:p>
    <w:p w14:paraId="26D338D4" w14:textId="77777777" w:rsidR="002743B0" w:rsidRDefault="002743B0" w:rsidP="002743B0">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714"/>
        <w:gridCol w:w="3714"/>
      </w:tblGrid>
      <w:tr w:rsidR="002743B0" w:rsidRPr="002743B0" w14:paraId="6AE034D3" w14:textId="77777777" w:rsidTr="002743B0">
        <w:trPr>
          <w:tblHeader/>
        </w:trPr>
        <w:tc>
          <w:tcPr>
            <w:tcW w:w="3714" w:type="dxa"/>
            <w:tcBorders>
              <w:top w:val="single" w:sz="4" w:space="0" w:color="auto"/>
              <w:bottom w:val="single" w:sz="12" w:space="0" w:color="auto"/>
            </w:tcBorders>
            <w:shd w:val="clear" w:color="auto" w:fill="auto"/>
            <w:vAlign w:val="bottom"/>
          </w:tcPr>
          <w:p w14:paraId="53E65F90" w14:textId="4AB4EB7D" w:rsidR="002743B0" w:rsidRPr="00521F74" w:rsidRDefault="002743B0" w:rsidP="002743B0">
            <w:pPr>
              <w:tabs>
                <w:tab w:val="left" w:pos="288"/>
                <w:tab w:val="left" w:pos="576"/>
                <w:tab w:val="left" w:pos="864"/>
                <w:tab w:val="left" w:pos="1152"/>
              </w:tabs>
              <w:spacing w:before="80" w:after="80" w:line="160" w:lineRule="exact"/>
              <w:ind w:right="40"/>
              <w:rPr>
                <w:i/>
                <w:sz w:val="14"/>
                <w:szCs w:val="14"/>
              </w:rPr>
            </w:pPr>
            <w:r w:rsidRPr="00521F74">
              <w:rPr>
                <w:bCs/>
                <w:i/>
                <w:sz w:val="14"/>
                <w:szCs w:val="14"/>
                <w:lang w:val="es-PY"/>
              </w:rPr>
              <w:t>Año</w:t>
            </w:r>
          </w:p>
        </w:tc>
        <w:tc>
          <w:tcPr>
            <w:tcW w:w="3714" w:type="dxa"/>
            <w:tcBorders>
              <w:top w:val="single" w:sz="4" w:space="0" w:color="auto"/>
              <w:bottom w:val="single" w:sz="12" w:space="0" w:color="auto"/>
            </w:tcBorders>
            <w:shd w:val="clear" w:color="auto" w:fill="auto"/>
            <w:vAlign w:val="bottom"/>
          </w:tcPr>
          <w:p w14:paraId="47ED04DC" w14:textId="19BAF2E7" w:rsidR="002743B0" w:rsidRPr="00521F74" w:rsidRDefault="002743B0" w:rsidP="002743B0">
            <w:pPr>
              <w:tabs>
                <w:tab w:val="left" w:pos="288"/>
                <w:tab w:val="left" w:pos="576"/>
                <w:tab w:val="left" w:pos="864"/>
                <w:tab w:val="left" w:pos="1152"/>
              </w:tabs>
              <w:spacing w:before="80" w:after="80" w:line="160" w:lineRule="exact"/>
              <w:ind w:right="40"/>
              <w:jc w:val="right"/>
              <w:rPr>
                <w:i/>
                <w:sz w:val="14"/>
                <w:szCs w:val="14"/>
              </w:rPr>
            </w:pPr>
            <w:r w:rsidRPr="00521F74">
              <w:rPr>
                <w:bCs/>
                <w:i/>
                <w:sz w:val="14"/>
                <w:szCs w:val="14"/>
                <w:lang w:val="es-PY"/>
              </w:rPr>
              <w:t>Cantidad</w:t>
            </w:r>
          </w:p>
        </w:tc>
      </w:tr>
      <w:tr w:rsidR="002743B0" w:rsidRPr="002743B0" w14:paraId="2D7785CB" w14:textId="77777777" w:rsidTr="002743B0">
        <w:trPr>
          <w:trHeight w:hRule="exact" w:val="115"/>
          <w:tblHeader/>
        </w:trPr>
        <w:tc>
          <w:tcPr>
            <w:tcW w:w="3714" w:type="dxa"/>
            <w:tcBorders>
              <w:top w:val="single" w:sz="12" w:space="0" w:color="auto"/>
            </w:tcBorders>
            <w:shd w:val="clear" w:color="auto" w:fill="auto"/>
            <w:vAlign w:val="bottom"/>
          </w:tcPr>
          <w:p w14:paraId="425E81D2" w14:textId="77777777" w:rsidR="002743B0" w:rsidRPr="002743B0" w:rsidRDefault="002743B0" w:rsidP="002743B0">
            <w:pPr>
              <w:tabs>
                <w:tab w:val="left" w:pos="288"/>
                <w:tab w:val="left" w:pos="576"/>
                <w:tab w:val="left" w:pos="864"/>
                <w:tab w:val="left" w:pos="1152"/>
              </w:tabs>
              <w:spacing w:before="40" w:after="40" w:line="210" w:lineRule="exact"/>
              <w:ind w:right="40"/>
              <w:rPr>
                <w:sz w:val="17"/>
              </w:rPr>
            </w:pPr>
          </w:p>
        </w:tc>
        <w:tc>
          <w:tcPr>
            <w:tcW w:w="3714" w:type="dxa"/>
            <w:tcBorders>
              <w:top w:val="single" w:sz="12" w:space="0" w:color="auto"/>
            </w:tcBorders>
            <w:shd w:val="clear" w:color="auto" w:fill="auto"/>
            <w:vAlign w:val="bottom"/>
          </w:tcPr>
          <w:p w14:paraId="3EA7265D" w14:textId="7777777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p>
        </w:tc>
      </w:tr>
      <w:tr w:rsidR="002743B0" w:rsidRPr="002743B0" w14:paraId="5D692295" w14:textId="77777777" w:rsidTr="00E27273">
        <w:tc>
          <w:tcPr>
            <w:tcW w:w="3714" w:type="dxa"/>
            <w:shd w:val="clear" w:color="auto" w:fill="auto"/>
          </w:tcPr>
          <w:p w14:paraId="365778BE" w14:textId="78895C2C"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2020</w:t>
            </w:r>
          </w:p>
        </w:tc>
        <w:tc>
          <w:tcPr>
            <w:tcW w:w="3714" w:type="dxa"/>
            <w:shd w:val="clear" w:color="auto" w:fill="auto"/>
            <w:vAlign w:val="bottom"/>
          </w:tcPr>
          <w:p w14:paraId="54BFCEB0" w14:textId="46B74765"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0E4DFE">
              <w:rPr>
                <w:sz w:val="18"/>
                <w:lang w:val="es-PY"/>
              </w:rPr>
              <w:t>1</w:t>
            </w:r>
            <w:r>
              <w:rPr>
                <w:sz w:val="18"/>
                <w:lang w:val="es-PY"/>
              </w:rPr>
              <w:t xml:space="preserve"> </w:t>
            </w:r>
            <w:r w:rsidRPr="000E4DFE">
              <w:rPr>
                <w:sz w:val="18"/>
                <w:lang w:val="es-PY"/>
              </w:rPr>
              <w:t>818</w:t>
            </w:r>
          </w:p>
        </w:tc>
      </w:tr>
      <w:tr w:rsidR="002743B0" w:rsidRPr="002743B0" w14:paraId="4E65A561" w14:textId="77777777" w:rsidTr="00E27273">
        <w:tc>
          <w:tcPr>
            <w:tcW w:w="3714" w:type="dxa"/>
            <w:shd w:val="clear" w:color="auto" w:fill="auto"/>
          </w:tcPr>
          <w:p w14:paraId="25609682" w14:textId="48A1F281"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2021</w:t>
            </w:r>
          </w:p>
        </w:tc>
        <w:tc>
          <w:tcPr>
            <w:tcW w:w="3714" w:type="dxa"/>
            <w:shd w:val="clear" w:color="auto" w:fill="auto"/>
            <w:vAlign w:val="bottom"/>
          </w:tcPr>
          <w:p w14:paraId="057AADAE" w14:textId="6B728DA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0E4DFE">
              <w:rPr>
                <w:sz w:val="18"/>
                <w:lang w:val="es-PY"/>
              </w:rPr>
              <w:t>3</w:t>
            </w:r>
            <w:r>
              <w:rPr>
                <w:sz w:val="18"/>
                <w:lang w:val="es-PY"/>
              </w:rPr>
              <w:t xml:space="preserve"> </w:t>
            </w:r>
            <w:r w:rsidRPr="000E4DFE">
              <w:rPr>
                <w:sz w:val="18"/>
                <w:lang w:val="es-PY"/>
              </w:rPr>
              <w:t>434</w:t>
            </w:r>
          </w:p>
        </w:tc>
      </w:tr>
      <w:tr w:rsidR="002743B0" w:rsidRPr="002743B0" w14:paraId="1BA2A973" w14:textId="77777777" w:rsidTr="00E27273">
        <w:tc>
          <w:tcPr>
            <w:tcW w:w="3714" w:type="dxa"/>
            <w:shd w:val="clear" w:color="auto" w:fill="auto"/>
          </w:tcPr>
          <w:p w14:paraId="2C866AC8" w14:textId="07E115B5"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2022</w:t>
            </w:r>
          </w:p>
        </w:tc>
        <w:tc>
          <w:tcPr>
            <w:tcW w:w="3714" w:type="dxa"/>
            <w:shd w:val="clear" w:color="auto" w:fill="auto"/>
            <w:vAlign w:val="bottom"/>
          </w:tcPr>
          <w:p w14:paraId="3BBB4DC1" w14:textId="3B293965"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0E4DFE">
              <w:rPr>
                <w:sz w:val="18"/>
                <w:lang w:val="es-PY"/>
              </w:rPr>
              <w:t>4</w:t>
            </w:r>
            <w:r>
              <w:rPr>
                <w:sz w:val="18"/>
                <w:lang w:val="es-PY"/>
              </w:rPr>
              <w:t xml:space="preserve"> </w:t>
            </w:r>
            <w:r w:rsidRPr="000E4DFE">
              <w:rPr>
                <w:sz w:val="18"/>
                <w:lang w:val="es-PY"/>
              </w:rPr>
              <w:t>632</w:t>
            </w:r>
          </w:p>
        </w:tc>
      </w:tr>
      <w:tr w:rsidR="002743B0" w:rsidRPr="002743B0" w14:paraId="2617AC2C" w14:textId="77777777" w:rsidTr="00E27273">
        <w:tc>
          <w:tcPr>
            <w:tcW w:w="3714" w:type="dxa"/>
            <w:tcBorders>
              <w:bottom w:val="single" w:sz="12" w:space="0" w:color="auto"/>
            </w:tcBorders>
            <w:shd w:val="clear" w:color="auto" w:fill="auto"/>
          </w:tcPr>
          <w:p w14:paraId="4A4B6D6E" w14:textId="610A883C"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2023</w:t>
            </w:r>
          </w:p>
        </w:tc>
        <w:tc>
          <w:tcPr>
            <w:tcW w:w="3714" w:type="dxa"/>
            <w:tcBorders>
              <w:bottom w:val="single" w:sz="12" w:space="0" w:color="auto"/>
            </w:tcBorders>
            <w:shd w:val="clear" w:color="auto" w:fill="auto"/>
            <w:vAlign w:val="bottom"/>
          </w:tcPr>
          <w:p w14:paraId="4AB1E7D5" w14:textId="04492A0A"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0E4DFE">
              <w:rPr>
                <w:sz w:val="18"/>
                <w:lang w:val="es-PY"/>
              </w:rPr>
              <w:t>4</w:t>
            </w:r>
            <w:r>
              <w:rPr>
                <w:sz w:val="18"/>
                <w:lang w:val="es-PY"/>
              </w:rPr>
              <w:t xml:space="preserve"> </w:t>
            </w:r>
            <w:r w:rsidRPr="000E4DFE">
              <w:rPr>
                <w:sz w:val="18"/>
                <w:lang w:val="es-PY"/>
              </w:rPr>
              <w:t>614</w:t>
            </w:r>
          </w:p>
        </w:tc>
      </w:tr>
    </w:tbl>
    <w:p w14:paraId="50C412D8" w14:textId="77777777" w:rsidR="002743B0" w:rsidRDefault="002743B0" w:rsidP="002743B0">
      <w:pPr>
        <w:pStyle w:val="SingleTxt"/>
        <w:spacing w:after="0" w:line="120" w:lineRule="exact"/>
        <w:rPr>
          <w:sz w:val="10"/>
        </w:rPr>
      </w:pPr>
    </w:p>
    <w:p w14:paraId="4A8260B6" w14:textId="77777777" w:rsidR="002743B0" w:rsidRDefault="002743B0" w:rsidP="002743B0">
      <w:pPr>
        <w:pStyle w:val="SingleTxt"/>
        <w:spacing w:after="0" w:line="120" w:lineRule="exact"/>
        <w:rPr>
          <w:sz w:val="10"/>
        </w:rPr>
      </w:pPr>
    </w:p>
    <w:p w14:paraId="05C543A9" w14:textId="13E3D4D8" w:rsidR="00583FBD" w:rsidRPr="00B64C1B" w:rsidRDefault="00583FBD" w:rsidP="00521F74">
      <w:pPr>
        <w:pStyle w:val="SingleTxt"/>
        <w:numPr>
          <w:ilvl w:val="0"/>
          <w:numId w:val="44"/>
        </w:numPr>
        <w:tabs>
          <w:tab w:val="num" w:pos="2804"/>
          <w:tab w:val="left" w:pos="8550"/>
        </w:tabs>
        <w:ind w:left="1267"/>
        <w:rPr>
          <w:lang w:val="es-PY"/>
        </w:rPr>
      </w:pPr>
      <w:r w:rsidRPr="00B64C1B">
        <w:rPr>
          <w:lang w:val="es-PY"/>
        </w:rPr>
        <w:t>En 2020, la CSJ creó una Oficina de Atención Permanente a Víctimas de violencia en los Juzgados de Paz de la Circunscripción Judicial del departamento Central</w:t>
      </w:r>
      <w:r w:rsidRPr="00B64C1B">
        <w:rPr>
          <w:vertAlign w:val="superscript"/>
          <w:lang w:val="es-PY"/>
        </w:rPr>
        <w:footnoteReference w:id="39"/>
      </w:r>
      <w:r>
        <w:rPr>
          <w:lang w:val="es-PY"/>
        </w:rPr>
        <w:t>.</w:t>
      </w:r>
    </w:p>
    <w:p w14:paraId="7BC15F97" w14:textId="4FD7F690"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El Módulo de Prevención y Atención a Mujeres Víctimas de Violencia del Centro </w:t>
      </w:r>
      <w:r w:rsidR="00F019B7">
        <w:rPr>
          <w:lang w:val="es-PY"/>
        </w:rPr>
        <w:t>“</w:t>
      </w:r>
      <w:r w:rsidRPr="00B64C1B">
        <w:rPr>
          <w:lang w:val="es-PY"/>
        </w:rPr>
        <w:t>Ciudad Mujer</w:t>
      </w:r>
      <w:r w:rsidR="00F019B7">
        <w:rPr>
          <w:lang w:val="es-PY"/>
        </w:rPr>
        <w:t>”</w:t>
      </w:r>
      <w:r w:rsidRPr="00B64C1B">
        <w:rPr>
          <w:lang w:val="es-PY"/>
        </w:rPr>
        <w:t xml:space="preserve"> del MINMUJER articula a 7 instituciones con responsabilidades directas en la ruta crítica de atención y protección a las mujeres en contra de todas las formas de violencia, ampliando de esta forma los servicios de denuncia y atención con un modelo de abordaje integral. A seis años de su inauguración, el Sistema de Información, Registro y Monitoreo (SIRM) del Centro reporta más de 74.000 atenciones, de las cuales 12.625 fueron realizadas en el Módulo de Prevención de la Violencia contra la Mujer, con 37.338 servicios prestados. El Servicio </w:t>
      </w:r>
      <w:r w:rsidR="00F019B7">
        <w:rPr>
          <w:lang w:val="es-PY"/>
        </w:rPr>
        <w:t>“</w:t>
      </w:r>
      <w:r w:rsidRPr="00B64C1B">
        <w:rPr>
          <w:lang w:val="es-PY"/>
        </w:rPr>
        <w:t>Ciudad Mujer Móvil</w:t>
      </w:r>
      <w:r w:rsidR="00F019B7">
        <w:rPr>
          <w:lang w:val="es-PY"/>
        </w:rPr>
        <w:t>”</w:t>
      </w:r>
      <w:r w:rsidRPr="00B64C1B">
        <w:rPr>
          <w:vertAlign w:val="superscript"/>
          <w:lang w:val="es-PY"/>
        </w:rPr>
        <w:footnoteReference w:id="40"/>
      </w:r>
      <w:r w:rsidRPr="00B64C1B">
        <w:rPr>
          <w:lang w:val="es-PY"/>
        </w:rPr>
        <w:t xml:space="preserve"> se encarga de </w:t>
      </w:r>
      <w:proofErr w:type="spellStart"/>
      <w:r w:rsidRPr="00B64C1B">
        <w:rPr>
          <w:lang w:val="es-PY"/>
        </w:rPr>
        <w:t>disponibilizar</w:t>
      </w:r>
      <w:proofErr w:type="spellEnd"/>
      <w:r w:rsidRPr="00B64C1B">
        <w:rPr>
          <w:lang w:val="es-PY"/>
        </w:rPr>
        <w:t xml:space="preserve"> los servicios en comunidades remotas. </w:t>
      </w:r>
    </w:p>
    <w:p w14:paraId="447D22B6" w14:textId="29420DAA" w:rsidR="00583FBD" w:rsidRPr="00B64C1B" w:rsidRDefault="00583FBD" w:rsidP="00F019B7">
      <w:pPr>
        <w:pStyle w:val="SingleTxt"/>
        <w:numPr>
          <w:ilvl w:val="0"/>
          <w:numId w:val="44"/>
        </w:numPr>
        <w:tabs>
          <w:tab w:val="num" w:pos="2804"/>
        </w:tabs>
        <w:ind w:left="1267"/>
        <w:rPr>
          <w:lang w:val="es-PY"/>
        </w:rPr>
      </w:pPr>
      <w:r w:rsidRPr="00B64C1B">
        <w:rPr>
          <w:lang w:val="es-PY"/>
        </w:rPr>
        <w:t>La línea telefónica gratuita 137 está disponible las 24 horas del día, ofreciendo atención especializada y toma de casos por personal capacitado en valoración de riesgo y derivación de casos, con apoyo de psicólogos especializados en contención emocional.</w:t>
      </w:r>
    </w:p>
    <w:p w14:paraId="0FA96787" w14:textId="6612FC56"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En el marco de la atención integral a mujeres en situación de violencia, en el 2023, a través de los servicios de atención (SEDAMUR, Centros Regionales y Centro </w:t>
      </w:r>
      <w:r w:rsidR="00F019B7">
        <w:rPr>
          <w:lang w:val="es-PY"/>
        </w:rPr>
        <w:t>“</w:t>
      </w:r>
      <w:r w:rsidRPr="00B64C1B">
        <w:rPr>
          <w:lang w:val="es-PY"/>
        </w:rPr>
        <w:t>Ciudad Mujer</w:t>
      </w:r>
      <w:r w:rsidR="00F019B7">
        <w:rPr>
          <w:lang w:val="es-PY"/>
        </w:rPr>
        <w:t>”</w:t>
      </w:r>
      <w:r w:rsidRPr="00B64C1B">
        <w:rPr>
          <w:lang w:val="es-PY"/>
        </w:rPr>
        <w:t xml:space="preserve">) se brindó atención integral a un total de 5.188 mujeres, quienes recibieron 11.985 servicios de atención psicológica, jurídica y social. En los espacios de protección del MINMUJER en el departamento Central y Canindeyú se brindó atención a 164 mujeres, 29 niñas y 26 niños (hijas/os de usuarias) a las/os cuales se brindó un total de 921 servicios de atención integral. </w:t>
      </w:r>
    </w:p>
    <w:p w14:paraId="70F55D7D" w14:textId="01675752"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La Casa para Mujeres </w:t>
      </w:r>
      <w:r w:rsidR="00F019B7">
        <w:rPr>
          <w:lang w:val="es-PY"/>
        </w:rPr>
        <w:t>“</w:t>
      </w:r>
      <w:r w:rsidRPr="00B64C1B">
        <w:rPr>
          <w:lang w:val="es-PY"/>
        </w:rPr>
        <w:t>Mercedes Sandoval</w:t>
      </w:r>
      <w:r w:rsidR="00F019B7">
        <w:rPr>
          <w:lang w:val="es-PY"/>
        </w:rPr>
        <w:t>”</w:t>
      </w:r>
      <w:r w:rsidRPr="00B64C1B">
        <w:rPr>
          <w:lang w:val="es-PY"/>
        </w:rPr>
        <w:t xml:space="preserve">, ubicada en el departamento Central, ofrece alojamiento, protección, atención psicológica, asesoría legal, atención médica, terapia ocupacional y apoyo educativo a hijos/as de mujeres en situación de violencia. </w:t>
      </w:r>
    </w:p>
    <w:p w14:paraId="10106E23" w14:textId="748DA3BA"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El MINMUJER promueve la Campaña </w:t>
      </w:r>
      <w:r w:rsidR="00F019B7">
        <w:rPr>
          <w:lang w:val="es-PY"/>
        </w:rPr>
        <w:t>“</w:t>
      </w:r>
      <w:r w:rsidRPr="00B64C1B">
        <w:rPr>
          <w:lang w:val="es-PY"/>
        </w:rPr>
        <w:t>Tapabocas 37</w:t>
      </w:r>
      <w:r w:rsidR="00F019B7">
        <w:rPr>
          <w:lang w:val="es-PY"/>
        </w:rPr>
        <w:t>”</w:t>
      </w:r>
      <w:r w:rsidRPr="00B64C1B">
        <w:rPr>
          <w:lang w:val="es-PY"/>
        </w:rPr>
        <w:t xml:space="preserve">, que pone a disposición de las mujeres más de 200 sucursales de la farmacia </w:t>
      </w:r>
      <w:proofErr w:type="spellStart"/>
      <w:r w:rsidRPr="00B64C1B">
        <w:rPr>
          <w:lang w:val="es-PY"/>
        </w:rPr>
        <w:t>Puntofarma</w:t>
      </w:r>
      <w:proofErr w:type="spellEnd"/>
      <w:r w:rsidRPr="00B64C1B">
        <w:rPr>
          <w:lang w:val="es-PY"/>
        </w:rPr>
        <w:t xml:space="preserve"> utilizando la palabra clave </w:t>
      </w:r>
      <w:r w:rsidR="00F019B7">
        <w:rPr>
          <w:lang w:val="es-PY"/>
        </w:rPr>
        <w:t>“</w:t>
      </w:r>
      <w:r w:rsidRPr="00B64C1B">
        <w:rPr>
          <w:lang w:val="es-PY"/>
        </w:rPr>
        <w:t>Tapabocas 37</w:t>
      </w:r>
      <w:r w:rsidR="00F019B7">
        <w:rPr>
          <w:lang w:val="es-PY"/>
        </w:rPr>
        <w:t>”</w:t>
      </w:r>
      <w:r w:rsidRPr="00B64C1B">
        <w:rPr>
          <w:lang w:val="es-PY"/>
        </w:rPr>
        <w:t xml:space="preserve">. Esta palabra clave activa de inmediato el protocolo de atención. </w:t>
      </w:r>
    </w:p>
    <w:p w14:paraId="615DF394" w14:textId="78CF0696" w:rsidR="00583FBD" w:rsidRPr="00B64C1B" w:rsidRDefault="00583FBD" w:rsidP="00F019B7">
      <w:pPr>
        <w:pStyle w:val="SingleTxt"/>
        <w:numPr>
          <w:ilvl w:val="0"/>
          <w:numId w:val="44"/>
        </w:numPr>
        <w:ind w:left="1267"/>
        <w:rPr>
          <w:lang w:val="es-PY"/>
        </w:rPr>
      </w:pPr>
      <w:r w:rsidRPr="00B64C1B">
        <w:rPr>
          <w:lang w:val="es-PY"/>
        </w:rPr>
        <w:t>Los Centros Regionales de Mujeres, del MINMUJER, proporcionan servicios sociales, psicológicos y jurídicos como parte de las políticas de prevención, atención y protección a mujeres en situación de violencia en los departamentos de departamentos de Alto Paraná, Amambay, Canindeyú, Boquerón y San Pedro.</w:t>
      </w:r>
    </w:p>
    <w:p w14:paraId="6C565DD0" w14:textId="278C0F9E" w:rsidR="00583FBD" w:rsidRPr="00B64C1B" w:rsidRDefault="00583FBD" w:rsidP="00F019B7">
      <w:pPr>
        <w:pStyle w:val="SingleTxt"/>
        <w:numPr>
          <w:ilvl w:val="0"/>
          <w:numId w:val="44"/>
        </w:numPr>
        <w:ind w:left="1267"/>
        <w:rPr>
          <w:lang w:val="es-PY"/>
        </w:rPr>
      </w:pPr>
      <w:r w:rsidRPr="00B64C1B">
        <w:rPr>
          <w:lang w:val="es-PY"/>
        </w:rPr>
        <w:lastRenderedPageBreak/>
        <w:t xml:space="preserve">La PN cuenta con un Manual de Actuación Policial y Articulación para la atención integral ante hechos de violencia intrafamiliar, aprobado por Resolución 368/23, donde se establece que las Oficinas Especializadas de Atención a Víctimas de Violencia Intrafamiliar o Comisarías afectadas se encuentran debidamente instruidas para </w:t>
      </w:r>
      <w:proofErr w:type="spellStart"/>
      <w:r w:rsidRPr="00B64C1B">
        <w:rPr>
          <w:lang w:val="es-PY"/>
        </w:rPr>
        <w:t>recepcionar</w:t>
      </w:r>
      <w:proofErr w:type="spellEnd"/>
      <w:r w:rsidRPr="00B64C1B">
        <w:rPr>
          <w:lang w:val="es-PY"/>
        </w:rPr>
        <w:t xml:space="preserve"> denuncias y realizar su posterior derivación, como así también la adopción de medidas de protección a la víctima.</w:t>
      </w:r>
    </w:p>
    <w:p w14:paraId="4859E7BA" w14:textId="433FEBB4" w:rsidR="00583FBD" w:rsidRPr="00B64C1B" w:rsidRDefault="00583FBD" w:rsidP="00F019B7">
      <w:pPr>
        <w:pStyle w:val="SingleTxt"/>
        <w:numPr>
          <w:ilvl w:val="0"/>
          <w:numId w:val="44"/>
        </w:numPr>
        <w:ind w:left="1267"/>
        <w:rPr>
          <w:lang w:val="es-PY"/>
        </w:rPr>
      </w:pPr>
      <w:r w:rsidRPr="00B64C1B">
        <w:rPr>
          <w:lang w:val="es-PY"/>
        </w:rPr>
        <w:t xml:space="preserve">La Oficina de Género del MP proporciona orientación y acompañamiento a mujeres víctimas de violencia en el proceso judicial, colabora con unidades fiscales y promueve campañas de sensibilización. Esta Oficina cuenta con representantes para recepción de denuncias en el Centro </w:t>
      </w:r>
      <w:r w:rsidR="00F019B7">
        <w:rPr>
          <w:lang w:val="es-PY"/>
        </w:rPr>
        <w:t>“</w:t>
      </w:r>
      <w:r w:rsidRPr="00B64C1B">
        <w:rPr>
          <w:lang w:val="es-PY"/>
        </w:rPr>
        <w:t>Ciudad Mujer</w:t>
      </w:r>
      <w:r w:rsidR="00F019B7">
        <w:rPr>
          <w:lang w:val="es-PY"/>
        </w:rPr>
        <w:t>”</w:t>
      </w:r>
      <w:r w:rsidRPr="00B64C1B">
        <w:rPr>
          <w:lang w:val="es-PY"/>
        </w:rPr>
        <w:t>, y además trabaja conjuntamente con las unidades fiscales, e impulsa campañas de información y talleres de sensibilización. Asimismo, el Instructivo General 9/11 del MP prevé la atención inmediata a mujeres víctimas de violencia</w:t>
      </w:r>
      <w:r w:rsidRPr="00B64C1B">
        <w:rPr>
          <w:vertAlign w:val="superscript"/>
          <w:lang w:val="es-PY"/>
        </w:rPr>
        <w:footnoteReference w:id="41"/>
      </w:r>
      <w:r w:rsidRPr="00B64C1B">
        <w:rPr>
          <w:lang w:val="es-PY"/>
        </w:rPr>
        <w:t>. De enero a octubre de 2023, la Unidad Especializada de Lucha contra la Violencia Familiar y de Género logró la condena de 33 personas.</w:t>
      </w:r>
    </w:p>
    <w:p w14:paraId="3C1BAB74" w14:textId="064220ED" w:rsidR="00583FBD" w:rsidRPr="00B64C1B" w:rsidRDefault="00583FBD" w:rsidP="00F019B7">
      <w:pPr>
        <w:pStyle w:val="SingleTxt"/>
        <w:numPr>
          <w:ilvl w:val="0"/>
          <w:numId w:val="44"/>
        </w:numPr>
        <w:ind w:left="1267"/>
        <w:rPr>
          <w:lang w:val="es-PY"/>
        </w:rPr>
      </w:pPr>
      <w:r w:rsidRPr="00B64C1B">
        <w:rPr>
          <w:lang w:val="es-PY"/>
        </w:rPr>
        <w:t xml:space="preserve">Se han establecido Mesas Departamentales de Prevención de la Violencia (PREVIM) contra la Mujer en cuatro Centros Regionales del MINMUJER, localizados en los departamentos de Alto Paraná, Boquerón, Amambay y Canindeyú. En este contexto, se ha proporcionado asistencia técnica para el uso del </w:t>
      </w:r>
      <w:r w:rsidR="00F019B7">
        <w:rPr>
          <w:lang w:val="es-PY"/>
        </w:rPr>
        <w:t>“</w:t>
      </w:r>
      <w:r w:rsidRPr="00B64C1B">
        <w:rPr>
          <w:lang w:val="es-PY"/>
        </w:rPr>
        <w:t>Protocolo Unificado para la asistencia, atención y protección integral a mujeres en situación de violencia</w:t>
      </w:r>
      <w:r w:rsidR="00F019B7">
        <w:rPr>
          <w:lang w:val="es-PY"/>
        </w:rPr>
        <w:t>”</w:t>
      </w:r>
      <w:r w:rsidRPr="00B64C1B">
        <w:rPr>
          <w:lang w:val="es-PY"/>
        </w:rPr>
        <w:t>. Además, se desarrollaron jornadas de capacitación y asistencia técnica para representantes de las Mesas. En 2024, con la asistencia técnica del MINMUJER, se instalaron Mesas Departamentales PREVIM en los departamentos de Cordillera y Guairá.</w:t>
      </w:r>
    </w:p>
    <w:p w14:paraId="0C8D55AA" w14:textId="13AF526D" w:rsidR="00583FBD" w:rsidRPr="00B64C1B" w:rsidRDefault="00583FBD" w:rsidP="00F019B7">
      <w:pPr>
        <w:pStyle w:val="SingleTxt"/>
        <w:numPr>
          <w:ilvl w:val="0"/>
          <w:numId w:val="44"/>
        </w:numPr>
        <w:ind w:left="1267"/>
        <w:rPr>
          <w:lang w:val="es-PY"/>
        </w:rPr>
      </w:pPr>
      <w:r w:rsidRPr="00B64C1B">
        <w:rPr>
          <w:lang w:val="es-PY"/>
        </w:rPr>
        <w:t xml:space="preserve">En el 2024 la Gobernación de Boquerón habilitó un albergue transitorio para mujeres víctimas de violencia y, en ese marco, el MINMUJER brinda capacitación permanente al equipo de atención de dicho albergue y a la Secretaría de la Mujer de la Gobernación y su equipo en la implementación del </w:t>
      </w:r>
      <w:r w:rsidR="00F019B7">
        <w:rPr>
          <w:lang w:val="es-PY"/>
        </w:rPr>
        <w:t>“</w:t>
      </w:r>
      <w:r w:rsidRPr="00B64C1B">
        <w:rPr>
          <w:lang w:val="es-PY"/>
        </w:rPr>
        <w:t>Protocolo Unificado para la Asistencia, Atención y Protección Integral a Mujeres en Situación de Violencia</w:t>
      </w:r>
      <w:r w:rsidR="00F019B7">
        <w:rPr>
          <w:lang w:val="es-PY"/>
        </w:rPr>
        <w:t>”</w:t>
      </w:r>
      <w:r w:rsidRPr="00B64C1B">
        <w:rPr>
          <w:lang w:val="es-PY"/>
        </w:rPr>
        <w:t xml:space="preserve">. </w:t>
      </w:r>
    </w:p>
    <w:p w14:paraId="251C0A0A" w14:textId="47F9E44F" w:rsidR="00583FBD" w:rsidRPr="00B64C1B" w:rsidRDefault="00583FBD" w:rsidP="00F019B7">
      <w:pPr>
        <w:pStyle w:val="SingleTxt"/>
        <w:numPr>
          <w:ilvl w:val="0"/>
          <w:numId w:val="44"/>
        </w:numPr>
        <w:ind w:left="1267"/>
        <w:rPr>
          <w:lang w:val="es-PY"/>
        </w:rPr>
      </w:pPr>
      <w:r w:rsidRPr="00B64C1B">
        <w:rPr>
          <w:lang w:val="es-PY"/>
        </w:rPr>
        <w:t xml:space="preserve">Se encuentra en vigencia desde el 2020 el </w:t>
      </w:r>
      <w:r w:rsidR="00F019B7">
        <w:rPr>
          <w:lang w:val="es-PY"/>
        </w:rPr>
        <w:t>“</w:t>
      </w:r>
      <w:r w:rsidRPr="00B64C1B">
        <w:rPr>
          <w:bCs/>
          <w:lang w:val="es-PY"/>
        </w:rPr>
        <w:t>Plan Nacional de prevención y atención a la violencia basada en género desde el Sistema Nacional de Salud 2020-2025</w:t>
      </w:r>
      <w:r w:rsidRPr="00B64C1B">
        <w:rPr>
          <w:bCs/>
          <w:vertAlign w:val="superscript"/>
          <w:lang w:val="es-PY"/>
        </w:rPr>
        <w:footnoteReference w:id="42"/>
      </w:r>
      <w:r w:rsidRPr="00B64C1B">
        <w:rPr>
          <w:lang w:val="es-PY"/>
        </w:rPr>
        <w:t xml:space="preserve">. Este documento sistematiza las prioridades para el sector Salud teniendo en cuenta la colaboración de actores claves, y considerando los diferentes tipos de violencia: violencia intrafamiliar, violencia doméstica, violencia sexual y otras formas de violencia contra la mujer, niños, niñas y adolescentes incluidos el trabajo forzoso, la trata de personas y el trabajo infantil. De este Plan se desprende, como uno de sus instrumentos principales, el </w:t>
      </w:r>
      <w:r w:rsidR="00F019B7">
        <w:rPr>
          <w:lang w:val="es-PY"/>
        </w:rPr>
        <w:t>“</w:t>
      </w:r>
      <w:r w:rsidRPr="00B64C1B">
        <w:rPr>
          <w:bCs/>
          <w:lang w:val="es-PY"/>
        </w:rPr>
        <w:t>Manual de Atención Integral a víctimas de violencia intrafamiliar, sexual y de género en el Sistema de Salud – segunda edición</w:t>
      </w:r>
      <w:r w:rsidR="00F019B7">
        <w:rPr>
          <w:bCs/>
          <w:lang w:val="es-PY"/>
        </w:rPr>
        <w:t>”</w:t>
      </w:r>
      <w:r w:rsidRPr="00B64C1B">
        <w:rPr>
          <w:bCs/>
          <w:vertAlign w:val="superscript"/>
          <w:lang w:val="es-PY"/>
        </w:rPr>
        <w:footnoteReference w:id="43"/>
      </w:r>
      <w:r w:rsidRPr="00B64C1B">
        <w:rPr>
          <w:lang w:val="es-PY"/>
        </w:rPr>
        <w:t>. El documento contiene lineamientos, orientación y guía para la atención integral a mujeres, niños, niñas y adolescentes víctimas de violencia intrafamiliar, sexual y de género, incluidos el trabajo forzoso, la trata de personas y el trabajo infantil.</w:t>
      </w:r>
      <w:bookmarkStart w:id="1" w:name="_heading=h.gjdgxs" w:colFirst="0" w:colLast="0"/>
      <w:bookmarkEnd w:id="1"/>
    </w:p>
    <w:p w14:paraId="3FB9ECB6" w14:textId="64AD4A84" w:rsidR="00583FBD" w:rsidRPr="00B64C1B" w:rsidRDefault="00583FBD" w:rsidP="00F019B7">
      <w:pPr>
        <w:pStyle w:val="SingleTxt"/>
        <w:numPr>
          <w:ilvl w:val="0"/>
          <w:numId w:val="44"/>
        </w:numPr>
        <w:ind w:left="1267"/>
        <w:rPr>
          <w:lang w:val="es-PY"/>
        </w:rPr>
      </w:pPr>
      <w:r w:rsidRPr="00B64C1B">
        <w:rPr>
          <w:lang w:val="es-PY"/>
        </w:rPr>
        <w:t xml:space="preserve">El Instituto Nacional de Estadística (INE), en coordinación con el MINMUJER impulsó la realización de la </w:t>
      </w:r>
      <w:r w:rsidR="00F019B7">
        <w:rPr>
          <w:lang w:val="es-PY"/>
        </w:rPr>
        <w:t>“</w:t>
      </w:r>
      <w:r w:rsidRPr="00B64C1B">
        <w:rPr>
          <w:lang w:val="es-PY"/>
        </w:rPr>
        <w:t xml:space="preserve">Encuesta Nacional sobre la Situación de las Mujeres en </w:t>
      </w:r>
      <w:r w:rsidRPr="00B64C1B">
        <w:rPr>
          <w:lang w:val="es-PY"/>
        </w:rPr>
        <w:lastRenderedPageBreak/>
        <w:t>Paraguay - ENSIMUP 2021</w:t>
      </w:r>
      <w:r w:rsidR="00F019B7">
        <w:rPr>
          <w:lang w:val="es-PY"/>
        </w:rPr>
        <w:t>”</w:t>
      </w:r>
      <w:r w:rsidRPr="00B64C1B">
        <w:rPr>
          <w:lang w:val="es-PY"/>
        </w:rPr>
        <w:t>, con una muestra de 4.000 hogares distribuidos en todo el país, lo cual garantizó la obtención de datos que sirvan para la implementación de políticas públicas que garanticen el bienestar de las mujeres, niñas y adolescentes de todo el país. A partir de esto, se elaboró un informe metodológico que describe el marco normativo, el diseño de la muestra, la etapa de recopilación de datos y los resultados preliminares de la encuesta. Posteriormente, se identificó la necesidad de contar con un documento que incorpore un mayor análisis de los datos cuantitativos obtenidos, así como su comparación con estudios internacionales similares. La encuesta relevó una prevalencia total de 78.5% de la violencia contra las mujeres a lo largo de su vida, y un 40,6% en los últimos 12 meses, este dato recoge el total de mujeres que han pasado por alguna de las formas de violencia: psicológica, económica, sexual y física</w:t>
      </w:r>
      <w:r w:rsidRPr="00B64C1B">
        <w:rPr>
          <w:vertAlign w:val="superscript"/>
          <w:lang w:val="es-PY"/>
        </w:rPr>
        <w:footnoteReference w:id="44"/>
      </w:r>
      <w:r w:rsidRPr="00B64C1B">
        <w:rPr>
          <w:lang w:val="es-PY"/>
        </w:rPr>
        <w:t>.</w:t>
      </w:r>
    </w:p>
    <w:p w14:paraId="5ABADC1B" w14:textId="65ABD9AB" w:rsidR="00583FBD" w:rsidRPr="00B64C1B" w:rsidRDefault="00583FBD" w:rsidP="00F019B7">
      <w:pPr>
        <w:pStyle w:val="SingleTxt"/>
        <w:numPr>
          <w:ilvl w:val="0"/>
          <w:numId w:val="44"/>
        </w:numPr>
        <w:ind w:left="1267"/>
        <w:jc w:val="lowKashida"/>
        <w:rPr>
          <w:lang w:val="es-PY"/>
        </w:rPr>
      </w:pPr>
      <w:r w:rsidRPr="00B64C1B">
        <w:rPr>
          <w:lang w:val="es-PY"/>
        </w:rPr>
        <w:t xml:space="preserve">El </w:t>
      </w:r>
      <w:proofErr w:type="spellStart"/>
      <w:r w:rsidRPr="00B64C1B">
        <w:rPr>
          <w:lang w:val="es-PY"/>
        </w:rPr>
        <w:t>MSPyBS</w:t>
      </w:r>
      <w:proofErr w:type="spellEnd"/>
      <w:r w:rsidRPr="00B64C1B">
        <w:rPr>
          <w:lang w:val="es-PY"/>
        </w:rPr>
        <w:t xml:space="preserve"> implementa el </w:t>
      </w:r>
      <w:r w:rsidR="00F019B7">
        <w:rPr>
          <w:lang w:val="es-PY"/>
        </w:rPr>
        <w:t>“</w:t>
      </w:r>
      <w:r w:rsidRPr="00B64C1B">
        <w:rPr>
          <w:lang w:val="es-PY"/>
        </w:rPr>
        <w:t>Plan nacional de prevención y atención a la violencia basada en Género 2020</w:t>
      </w:r>
      <w:r w:rsidR="00521F74">
        <w:rPr>
          <w:lang w:val="es-PY"/>
        </w:rPr>
        <w:t>-</w:t>
      </w:r>
      <w:r w:rsidRPr="00B64C1B">
        <w:rPr>
          <w:lang w:val="es-PY"/>
        </w:rPr>
        <w:t>2025</w:t>
      </w:r>
      <w:r w:rsidR="00F019B7">
        <w:rPr>
          <w:lang w:val="es-PY"/>
        </w:rPr>
        <w:t>”</w:t>
      </w:r>
      <w:r w:rsidRPr="00B64C1B">
        <w:rPr>
          <w:vertAlign w:val="superscript"/>
          <w:lang w:val="es-PY"/>
        </w:rPr>
        <w:footnoteReference w:id="45"/>
      </w:r>
      <w:r w:rsidRPr="00B64C1B">
        <w:rPr>
          <w:lang w:val="es-PY"/>
        </w:rPr>
        <w:t xml:space="preserve"> y la II edición del </w:t>
      </w:r>
      <w:r w:rsidR="00F019B7">
        <w:rPr>
          <w:lang w:val="es-PY"/>
        </w:rPr>
        <w:t>“</w:t>
      </w:r>
      <w:r w:rsidRPr="00B64C1B">
        <w:rPr>
          <w:lang w:val="es-PY"/>
        </w:rPr>
        <w:t>Manual de atención integral a víctimas de violencia intrafamiliar, sexual y de género en el Sistema de Salud</w:t>
      </w:r>
      <w:r w:rsidR="00F019B7">
        <w:rPr>
          <w:lang w:val="es-PY"/>
        </w:rPr>
        <w:t>”</w:t>
      </w:r>
      <w:r w:rsidRPr="00B64C1B">
        <w:rPr>
          <w:vertAlign w:val="superscript"/>
          <w:lang w:val="es-PY"/>
        </w:rPr>
        <w:footnoteReference w:id="46"/>
      </w:r>
      <w:r w:rsidRPr="00B64C1B">
        <w:rPr>
          <w:lang w:val="es-PY"/>
        </w:rPr>
        <w:t xml:space="preserve">, adoptado en 2021. Para ello, de manera permanente se realizan capacitaciones para profesionales de salud en prevención y atención a la violencia. </w:t>
      </w:r>
    </w:p>
    <w:p w14:paraId="4D9AD76B" w14:textId="4C2F37E7" w:rsidR="00583FBD" w:rsidRPr="00B64C1B" w:rsidRDefault="00583FBD" w:rsidP="00F019B7">
      <w:pPr>
        <w:pStyle w:val="SingleTxt"/>
        <w:numPr>
          <w:ilvl w:val="0"/>
          <w:numId w:val="44"/>
        </w:numPr>
        <w:ind w:left="1267"/>
        <w:rPr>
          <w:lang w:val="es-PY"/>
        </w:rPr>
      </w:pPr>
      <w:r w:rsidRPr="00B64C1B">
        <w:rPr>
          <w:lang w:val="es-PY"/>
        </w:rPr>
        <w:t>En materia legislativa, se aprobó la Ley Nº</w:t>
      </w:r>
      <w:r w:rsidRPr="00521F74">
        <w:rPr>
          <w:lang w:val="es-PY"/>
        </w:rPr>
        <w:t>6281/19</w:t>
      </w:r>
      <w:r w:rsidRPr="00B64C1B">
        <w:rPr>
          <w:lang w:val="es-PY"/>
        </w:rPr>
        <w:t xml:space="preserve">, </w:t>
      </w:r>
      <w:r w:rsidR="00F019B7">
        <w:rPr>
          <w:lang w:val="es-PY"/>
        </w:rPr>
        <w:t>“</w:t>
      </w:r>
      <w:r w:rsidRPr="00B64C1B">
        <w:rPr>
          <w:lang w:val="es-PY"/>
        </w:rPr>
        <w:t>Que establece la obligatoriedad de incluir mensajes sobre violencia contra la mujer en las boletas de servicios públicos de energía eléctrica y agua potable</w:t>
      </w:r>
      <w:r w:rsidR="00F019B7">
        <w:rPr>
          <w:lang w:val="es-PY"/>
        </w:rPr>
        <w:t>”</w:t>
      </w:r>
      <w:r w:rsidRPr="00B64C1B">
        <w:rPr>
          <w:vertAlign w:val="superscript"/>
          <w:lang w:val="es-PY"/>
        </w:rPr>
        <w:footnoteReference w:id="47"/>
      </w:r>
      <w:r w:rsidRPr="00B64C1B">
        <w:rPr>
          <w:lang w:val="es-PY"/>
        </w:rPr>
        <w:t>.</w:t>
      </w:r>
    </w:p>
    <w:p w14:paraId="4846F505" w14:textId="671A2D22" w:rsidR="00583FBD" w:rsidRPr="00B64C1B" w:rsidRDefault="00583FBD" w:rsidP="00F019B7">
      <w:pPr>
        <w:pStyle w:val="SingleTxt"/>
        <w:numPr>
          <w:ilvl w:val="0"/>
          <w:numId w:val="44"/>
        </w:numPr>
        <w:ind w:left="1267"/>
        <w:rPr>
          <w:lang w:val="es-PY"/>
        </w:rPr>
      </w:pPr>
      <w:r w:rsidRPr="00B64C1B">
        <w:rPr>
          <w:lang w:val="es-PY"/>
        </w:rPr>
        <w:t xml:space="preserve">Se implementó el </w:t>
      </w:r>
      <w:r w:rsidR="00F019B7">
        <w:rPr>
          <w:lang w:val="es-PY"/>
        </w:rPr>
        <w:t>“</w:t>
      </w:r>
      <w:r w:rsidRPr="00B64C1B">
        <w:rPr>
          <w:lang w:val="es-PY"/>
        </w:rPr>
        <w:t>Programa Socio educativo para hombres o masculinidades positivas</w:t>
      </w:r>
      <w:r w:rsidR="00F019B7">
        <w:rPr>
          <w:lang w:val="es-PY"/>
        </w:rPr>
        <w:t>”</w:t>
      </w:r>
      <w:r w:rsidRPr="00B64C1B">
        <w:rPr>
          <w:lang w:val="es-PY"/>
        </w:rPr>
        <w:t xml:space="preserve"> en cuyo marco se desarrolló, con facilitación de especialistas extranjeros, el curso de capacitación </w:t>
      </w:r>
      <w:r w:rsidR="00F019B7">
        <w:rPr>
          <w:lang w:val="es-PY"/>
        </w:rPr>
        <w:t>“</w:t>
      </w:r>
      <w:r w:rsidRPr="00B64C1B">
        <w:rPr>
          <w:lang w:val="es-PY"/>
        </w:rPr>
        <w:t>Hombres por la Igualdad</w:t>
      </w:r>
      <w:r w:rsidR="00F019B7">
        <w:rPr>
          <w:lang w:val="es-PY"/>
        </w:rPr>
        <w:t>”</w:t>
      </w:r>
      <w:r w:rsidRPr="00B64C1B">
        <w:rPr>
          <w:lang w:val="es-PY"/>
        </w:rPr>
        <w:t xml:space="preserve"> y el modelo de contención emocional </w:t>
      </w:r>
      <w:r w:rsidR="00F019B7">
        <w:rPr>
          <w:lang w:val="es-PY"/>
        </w:rPr>
        <w:t>“</w:t>
      </w:r>
      <w:r w:rsidRPr="00B64C1B">
        <w:rPr>
          <w:lang w:val="es-PY"/>
        </w:rPr>
        <w:t>Hombres en crecimiento: Grupo de reflexión para prevenir el maltrato familiar</w:t>
      </w:r>
      <w:r w:rsidR="00F019B7">
        <w:rPr>
          <w:lang w:val="es-PY"/>
        </w:rPr>
        <w:t>”</w:t>
      </w:r>
      <w:r w:rsidRPr="00B64C1B">
        <w:rPr>
          <w:lang w:val="es-PY"/>
        </w:rPr>
        <w:t xml:space="preserve"> en los cuales han participado funcionarios varones del MINMUJER y del </w:t>
      </w:r>
      <w:proofErr w:type="spellStart"/>
      <w:r w:rsidRPr="00B64C1B">
        <w:rPr>
          <w:lang w:val="es-PY"/>
        </w:rPr>
        <w:t>MSPyBS</w:t>
      </w:r>
      <w:proofErr w:type="spellEnd"/>
      <w:r w:rsidRPr="00B64C1B">
        <w:rPr>
          <w:lang w:val="es-PY"/>
        </w:rPr>
        <w:t xml:space="preserve"> y agentes de la PN. </w:t>
      </w:r>
    </w:p>
    <w:p w14:paraId="65328FCA" w14:textId="40BF24AC" w:rsidR="00583FBD" w:rsidRPr="00B64C1B" w:rsidRDefault="00583FBD" w:rsidP="00F019B7">
      <w:pPr>
        <w:pStyle w:val="SingleTxt"/>
        <w:numPr>
          <w:ilvl w:val="0"/>
          <w:numId w:val="44"/>
        </w:numPr>
        <w:ind w:left="1267"/>
        <w:rPr>
          <w:lang w:val="es-PY"/>
        </w:rPr>
      </w:pPr>
      <w:r w:rsidRPr="00B64C1B">
        <w:rPr>
          <w:lang w:val="es-PY"/>
        </w:rPr>
        <w:t>El</w:t>
      </w:r>
      <w:sdt>
        <w:sdtPr>
          <w:rPr>
            <w:lang w:val="es-PY"/>
          </w:rPr>
          <w:tag w:val="goog_rdk_3"/>
          <w:id w:val="1853990215"/>
        </w:sdtPr>
        <w:sdtContent/>
      </w:sdt>
      <w:r w:rsidRPr="00B64C1B">
        <w:rPr>
          <w:lang w:val="es-PY"/>
        </w:rPr>
        <w:t xml:space="preserve"> Ministerio de la Niñez y Adolescencia (MINNA) promueve la campaña #TodosSomosResponsables, para la prevención del abuso sexual y violencia hacia niñas, niños y adolescentes, además del proyecto </w:t>
      </w:r>
      <w:r w:rsidR="00F019B7">
        <w:rPr>
          <w:lang w:val="es-PY"/>
        </w:rPr>
        <w:t>“</w:t>
      </w:r>
      <w:r w:rsidRPr="00B64C1B">
        <w:rPr>
          <w:lang w:val="es-PY"/>
        </w:rPr>
        <w:t>Niños, niñas y adolescentes libres de violencia</w:t>
      </w:r>
      <w:r w:rsidR="00F019B7">
        <w:rPr>
          <w:lang w:val="es-PY"/>
        </w:rPr>
        <w:t>”</w:t>
      </w:r>
      <w:r w:rsidRPr="00B64C1B">
        <w:rPr>
          <w:lang w:val="es-PY"/>
        </w:rPr>
        <w:t xml:space="preserve"> que contribuyen a reducir la violencia en la infancia y adolescencia que se encuentra en condiciones de vulnerabilidad en los territorios de Alto Paraná, San Pedro, Central, Caaguazú, abarcando tres ciclos de vida: primera infancia, niñez y adolescencia. </w:t>
      </w:r>
    </w:p>
    <w:p w14:paraId="5FC32374" w14:textId="6BB84E67"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A través de la Resolución del Consejo Nacional de la Niñez y la Adolescencia (CNNA 04/2021) se aprobó la </w:t>
      </w:r>
      <w:r w:rsidR="00F019B7">
        <w:rPr>
          <w:lang w:val="es-PY"/>
        </w:rPr>
        <w:t>“</w:t>
      </w:r>
      <w:r w:rsidRPr="00B64C1B">
        <w:rPr>
          <w:lang w:val="es-PY"/>
        </w:rPr>
        <w:t>Ruta de Intervención Interinstitucional de Atención Integral del Abuso Sexual hacia niños, niñas y adolescentes</w:t>
      </w:r>
      <w:r w:rsidR="00F019B7">
        <w:rPr>
          <w:lang w:val="es-PY"/>
        </w:rPr>
        <w:t>”</w:t>
      </w:r>
      <w:r w:rsidRPr="00B64C1B">
        <w:rPr>
          <w:vertAlign w:val="superscript"/>
          <w:lang w:val="es-PY"/>
        </w:rPr>
        <w:footnoteReference w:id="48"/>
      </w:r>
      <w:r w:rsidRPr="00B64C1B">
        <w:rPr>
          <w:lang w:val="es-PY"/>
        </w:rPr>
        <w:t xml:space="preserve"> construida mediante un trabajo articulado entre organismos del Estado y de la Sociedad Civil. </w:t>
      </w:r>
    </w:p>
    <w:p w14:paraId="5C3408A2" w14:textId="7E98646F" w:rsidR="00583FBD" w:rsidRPr="00B64C1B" w:rsidRDefault="00583FBD" w:rsidP="00F019B7">
      <w:pPr>
        <w:pStyle w:val="SingleTxt"/>
        <w:numPr>
          <w:ilvl w:val="0"/>
          <w:numId w:val="44"/>
        </w:numPr>
        <w:ind w:left="1267"/>
        <w:rPr>
          <w:lang w:val="es-PY"/>
        </w:rPr>
      </w:pPr>
      <w:r w:rsidRPr="00B64C1B">
        <w:rPr>
          <w:lang w:val="es-PY"/>
        </w:rPr>
        <w:t xml:space="preserve">El MINMUJER ha promovido diversas campañas de concientización, como </w:t>
      </w:r>
      <w:r w:rsidR="00F019B7">
        <w:rPr>
          <w:lang w:val="es-PY"/>
        </w:rPr>
        <w:t>“</w:t>
      </w:r>
      <w:r w:rsidRPr="00B64C1B">
        <w:rPr>
          <w:lang w:val="es-PY"/>
        </w:rPr>
        <w:t>Lazo Naranja</w:t>
      </w:r>
      <w:r w:rsidR="00F019B7">
        <w:rPr>
          <w:lang w:val="es-PY"/>
        </w:rPr>
        <w:t>”</w:t>
      </w:r>
      <w:r w:rsidRPr="00B64C1B">
        <w:rPr>
          <w:lang w:val="es-PY"/>
        </w:rPr>
        <w:t xml:space="preserve">, </w:t>
      </w:r>
      <w:r w:rsidR="00F019B7">
        <w:rPr>
          <w:lang w:val="es-PY"/>
        </w:rPr>
        <w:t>“</w:t>
      </w:r>
      <w:proofErr w:type="spellStart"/>
      <w:r w:rsidRPr="00B64C1B">
        <w:rPr>
          <w:lang w:val="es-PY"/>
        </w:rPr>
        <w:t>Kuña</w:t>
      </w:r>
      <w:proofErr w:type="spellEnd"/>
      <w:r w:rsidRPr="00B64C1B">
        <w:rPr>
          <w:lang w:val="es-PY"/>
        </w:rPr>
        <w:t xml:space="preserve">, </w:t>
      </w:r>
      <w:proofErr w:type="spellStart"/>
      <w:r w:rsidRPr="00B64C1B">
        <w:rPr>
          <w:lang w:val="es-PY"/>
        </w:rPr>
        <w:t>ñañopytyvõ</w:t>
      </w:r>
      <w:proofErr w:type="spellEnd"/>
      <w:r w:rsidRPr="00B64C1B">
        <w:rPr>
          <w:lang w:val="es-PY"/>
        </w:rPr>
        <w:t xml:space="preserve"> </w:t>
      </w:r>
      <w:proofErr w:type="spellStart"/>
      <w:r w:rsidRPr="00B64C1B">
        <w:rPr>
          <w:lang w:val="es-PY"/>
        </w:rPr>
        <w:t>ñaguahẽ</w:t>
      </w:r>
      <w:proofErr w:type="spellEnd"/>
      <w:r w:rsidRPr="00B64C1B">
        <w:rPr>
          <w:lang w:val="es-PY"/>
        </w:rPr>
        <w:t xml:space="preserve"> </w:t>
      </w:r>
      <w:proofErr w:type="spellStart"/>
      <w:r w:rsidRPr="00B64C1B">
        <w:rPr>
          <w:lang w:val="es-PY"/>
        </w:rPr>
        <w:t>hag̃ua</w:t>
      </w:r>
      <w:proofErr w:type="spellEnd"/>
      <w:r w:rsidR="00F019B7">
        <w:rPr>
          <w:lang w:val="es-PY"/>
        </w:rPr>
        <w:t>”</w:t>
      </w:r>
      <w:r w:rsidRPr="00B64C1B">
        <w:rPr>
          <w:lang w:val="es-PY"/>
        </w:rPr>
        <w:t xml:space="preserve"> (</w:t>
      </w:r>
      <w:r w:rsidR="00F019B7">
        <w:rPr>
          <w:lang w:val="es-PY"/>
        </w:rPr>
        <w:t>“</w:t>
      </w:r>
      <w:r w:rsidRPr="00B64C1B">
        <w:rPr>
          <w:lang w:val="es-PY"/>
        </w:rPr>
        <w:t>Mujeres, ayudémonos para llegar</w:t>
      </w:r>
      <w:r w:rsidR="00F019B7">
        <w:rPr>
          <w:lang w:val="es-PY"/>
        </w:rPr>
        <w:t>”</w:t>
      </w:r>
      <w:r w:rsidRPr="00B64C1B">
        <w:rPr>
          <w:lang w:val="es-PY"/>
        </w:rPr>
        <w:t>), Noviazgo sin Violencia</w:t>
      </w:r>
      <w:r w:rsidR="00F019B7">
        <w:rPr>
          <w:lang w:val="es-PY"/>
        </w:rPr>
        <w:t>”</w:t>
      </w:r>
      <w:r w:rsidRPr="00B64C1B">
        <w:rPr>
          <w:lang w:val="es-PY"/>
        </w:rPr>
        <w:t xml:space="preserve">, </w:t>
      </w:r>
      <w:r w:rsidR="00F019B7">
        <w:rPr>
          <w:lang w:val="es-PY"/>
        </w:rPr>
        <w:t>“</w:t>
      </w:r>
      <w:r w:rsidRPr="00B64C1B">
        <w:rPr>
          <w:lang w:val="es-PY"/>
        </w:rPr>
        <w:t>Tapabocas 37</w:t>
      </w:r>
      <w:r w:rsidR="00F019B7">
        <w:rPr>
          <w:lang w:val="es-PY"/>
        </w:rPr>
        <w:t>”</w:t>
      </w:r>
      <w:r w:rsidRPr="00B64C1B">
        <w:rPr>
          <w:lang w:val="es-PY"/>
        </w:rPr>
        <w:t xml:space="preserve">, </w:t>
      </w:r>
      <w:r w:rsidR="00F019B7">
        <w:rPr>
          <w:lang w:val="es-PY"/>
        </w:rPr>
        <w:t>“</w:t>
      </w:r>
      <w:r w:rsidRPr="00B64C1B">
        <w:rPr>
          <w:lang w:val="es-PY"/>
        </w:rPr>
        <w:t>Hablemos a Tiempo</w:t>
      </w:r>
      <w:r w:rsidR="00F019B7">
        <w:rPr>
          <w:lang w:val="es-PY"/>
        </w:rPr>
        <w:t>”</w:t>
      </w:r>
      <w:r w:rsidRPr="00B64C1B">
        <w:rPr>
          <w:lang w:val="es-PY"/>
        </w:rPr>
        <w:t xml:space="preserve">, y </w:t>
      </w:r>
      <w:r w:rsidR="00F019B7">
        <w:rPr>
          <w:lang w:val="es-PY"/>
        </w:rPr>
        <w:t>“</w:t>
      </w:r>
      <w:r w:rsidRPr="00B64C1B">
        <w:rPr>
          <w:lang w:val="es-PY"/>
        </w:rPr>
        <w:t>Violencia Visible</w:t>
      </w:r>
      <w:r w:rsidR="00F019B7">
        <w:rPr>
          <w:lang w:val="es-PY"/>
        </w:rPr>
        <w:t>”</w:t>
      </w:r>
      <w:r w:rsidRPr="00B64C1B">
        <w:rPr>
          <w:lang w:val="es-PY"/>
        </w:rPr>
        <w:t xml:space="preserve"> para sensibilizar a la población sobre la gravedad de la violencia doméstica y orientar a las personas que desean realizar denuncias. La campaña </w:t>
      </w:r>
      <w:r w:rsidRPr="00B64C1B">
        <w:rPr>
          <w:lang w:val="es-PY"/>
        </w:rPr>
        <w:lastRenderedPageBreak/>
        <w:t xml:space="preserve">METETE </w:t>
      </w:r>
      <w:r w:rsidR="00F019B7">
        <w:rPr>
          <w:lang w:val="es-PY"/>
        </w:rPr>
        <w:t>“</w:t>
      </w:r>
      <w:r w:rsidRPr="00B64C1B">
        <w:rPr>
          <w:lang w:val="es-PY"/>
        </w:rPr>
        <w:t>Podemos evitar más feminicidios</w:t>
      </w:r>
      <w:r w:rsidR="00F019B7">
        <w:rPr>
          <w:lang w:val="es-PY"/>
        </w:rPr>
        <w:t>”</w:t>
      </w:r>
      <w:r w:rsidRPr="00B64C1B">
        <w:rPr>
          <w:lang w:val="es-PY"/>
        </w:rPr>
        <w:t xml:space="preserve"> se implementa desde 2019 con el propósito de llegar al entorno de las mujeres que son víctimas, usando el concepto de que es necesario involucrarse y denunciar si un/a conoce un caso de violencia.</w:t>
      </w:r>
    </w:p>
    <w:p w14:paraId="533C137B" w14:textId="3F9C4D2C"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El proyecto </w:t>
      </w:r>
      <w:r w:rsidR="00F019B7">
        <w:rPr>
          <w:lang w:val="es-PY"/>
        </w:rPr>
        <w:t>“</w:t>
      </w:r>
      <w:r w:rsidRPr="00B64C1B">
        <w:rPr>
          <w:lang w:val="es-PY"/>
        </w:rPr>
        <w:t>Promovida Conciencia Social e Institucional sobre la Violencia contra las mujeres basada en género en cinco municipios del departamento de Itapúa, Paraguay</w:t>
      </w:r>
      <w:r w:rsidR="00F019B7">
        <w:rPr>
          <w:lang w:val="es-PY"/>
        </w:rPr>
        <w:t>”</w:t>
      </w:r>
      <w:r w:rsidRPr="00B64C1B">
        <w:rPr>
          <w:lang w:val="es-PY"/>
        </w:rPr>
        <w:t xml:space="preserve"> implementado por la Fundación de Religiosos para la Salud (FRS) con apoyo de la Agencia Española de Cooperación Internacional (AECID), en alianza con el MINMUJER y el </w:t>
      </w:r>
      <w:proofErr w:type="spellStart"/>
      <w:r w:rsidRPr="00B64C1B">
        <w:rPr>
          <w:lang w:val="es-PY"/>
        </w:rPr>
        <w:t>MSPyBS</w:t>
      </w:r>
      <w:proofErr w:type="spellEnd"/>
      <w:r w:rsidRPr="00B64C1B">
        <w:rPr>
          <w:lang w:val="es-PY"/>
        </w:rPr>
        <w:t xml:space="preserve">, desarrolló jornadas de sensibilización de </w:t>
      </w:r>
      <w:r w:rsidR="00F019B7">
        <w:rPr>
          <w:lang w:val="es-PY"/>
        </w:rPr>
        <w:t>“</w:t>
      </w:r>
      <w:r w:rsidRPr="00B64C1B">
        <w:rPr>
          <w:lang w:val="es-PY"/>
        </w:rPr>
        <w:t>Noviazgo sin Violencia</w:t>
      </w:r>
      <w:r w:rsidR="00F019B7">
        <w:rPr>
          <w:lang w:val="es-PY"/>
        </w:rPr>
        <w:t>”</w:t>
      </w:r>
      <w:r w:rsidRPr="00B64C1B">
        <w:rPr>
          <w:lang w:val="es-PY"/>
        </w:rPr>
        <w:t xml:space="preserve"> colegios, así como capacitaciones a docentes, jueces y juezas de paz de Encarnación. Asimismo, capacitó a efectivos de la PN en el marco de la Ley </w:t>
      </w:r>
      <w:r w:rsidRPr="00521F74">
        <w:rPr>
          <w:lang w:val="es-PY"/>
        </w:rPr>
        <w:t>5777/16</w:t>
      </w:r>
      <w:r w:rsidRPr="00B64C1B">
        <w:rPr>
          <w:lang w:val="es-PY"/>
        </w:rPr>
        <w:t xml:space="preserve">, </w:t>
      </w:r>
      <w:r w:rsidR="00F019B7">
        <w:rPr>
          <w:lang w:val="es-PY"/>
        </w:rPr>
        <w:t>“</w:t>
      </w:r>
      <w:r w:rsidRPr="00B64C1B">
        <w:rPr>
          <w:lang w:val="es-PY"/>
        </w:rPr>
        <w:t>De Protección Integral a las Mujeres contra toda Forma de Violencia</w:t>
      </w:r>
      <w:r w:rsidR="00F019B7">
        <w:rPr>
          <w:lang w:val="es-PY"/>
        </w:rPr>
        <w:t>”</w:t>
      </w:r>
      <w:r w:rsidRPr="00B64C1B">
        <w:rPr>
          <w:lang w:val="es-PY"/>
        </w:rPr>
        <w:t xml:space="preserve"> en Encarnación, </w:t>
      </w:r>
      <w:proofErr w:type="spellStart"/>
      <w:r w:rsidRPr="00B64C1B">
        <w:rPr>
          <w:lang w:val="es-PY"/>
        </w:rPr>
        <w:t>Cambyreta</w:t>
      </w:r>
      <w:proofErr w:type="spellEnd"/>
      <w:r w:rsidRPr="00B64C1B">
        <w:rPr>
          <w:lang w:val="es-PY"/>
        </w:rPr>
        <w:t xml:space="preserve"> y Coronel Bogado. También se implementó la Campaña </w:t>
      </w:r>
      <w:r w:rsidR="00F019B7">
        <w:rPr>
          <w:lang w:val="es-PY"/>
        </w:rPr>
        <w:t>“</w:t>
      </w:r>
      <w:r w:rsidRPr="00B64C1B">
        <w:rPr>
          <w:lang w:val="es-PY"/>
        </w:rPr>
        <w:t>Hablemos a Tiempo</w:t>
      </w:r>
      <w:r w:rsidR="00F019B7">
        <w:rPr>
          <w:lang w:val="es-PY"/>
        </w:rPr>
        <w:t>”</w:t>
      </w:r>
      <w:r w:rsidRPr="00B64C1B">
        <w:rPr>
          <w:lang w:val="es-PY"/>
        </w:rPr>
        <w:t xml:space="preserve"> con el objetivo de instalar la problemática de la violencia en sus distintos ámbitos, así como dar difusión y visibilidad a las herramientas institucionales de apoyo y asistencia con las que cuentan las mujeres paraguayas. En el marco de la campaña, se realizó el </w:t>
      </w:r>
      <w:r w:rsidR="00F019B7">
        <w:rPr>
          <w:lang w:val="es-PY"/>
        </w:rPr>
        <w:t>“</w:t>
      </w:r>
      <w:r w:rsidRPr="00B64C1B">
        <w:rPr>
          <w:lang w:val="es-PY"/>
        </w:rPr>
        <w:t>Seminario sobre el abordaje de la violencia de género contra las mujeres en el siglo XXI</w:t>
      </w:r>
      <w:r w:rsidR="00F019B7">
        <w:rPr>
          <w:lang w:val="es-PY"/>
        </w:rPr>
        <w:t>”</w:t>
      </w:r>
      <w:r w:rsidRPr="00B64C1B">
        <w:rPr>
          <w:lang w:val="es-PY"/>
        </w:rPr>
        <w:t xml:space="preserve">, en el que se presentó la situación de la violencia hacia las mujeres en América Latina y el Caribe y los avances en políticas públicas. </w:t>
      </w:r>
    </w:p>
    <w:p w14:paraId="42C42D5A" w14:textId="5E62CB1A" w:rsidR="00583FBD" w:rsidRPr="00B64C1B" w:rsidRDefault="00583FBD" w:rsidP="00F019B7">
      <w:pPr>
        <w:pStyle w:val="SingleTxt"/>
        <w:numPr>
          <w:ilvl w:val="0"/>
          <w:numId w:val="44"/>
        </w:numPr>
        <w:tabs>
          <w:tab w:val="num" w:pos="2804"/>
        </w:tabs>
        <w:ind w:left="1267"/>
        <w:rPr>
          <w:lang w:val="es-PY"/>
        </w:rPr>
      </w:pPr>
      <w:r w:rsidRPr="00B64C1B">
        <w:rPr>
          <w:lang w:val="es-PY"/>
        </w:rPr>
        <w:t xml:space="preserve">De manera a articular acciones para garantizar el acceso a la justicia por parte </w:t>
      </w:r>
      <w:proofErr w:type="spellStart"/>
      <w:r w:rsidRPr="00B64C1B">
        <w:rPr>
          <w:lang w:val="es-PY"/>
        </w:rPr>
        <w:t>del</w:t>
      </w:r>
      <w:proofErr w:type="spellEnd"/>
      <w:r w:rsidRPr="00B64C1B">
        <w:rPr>
          <w:lang w:val="es-PY"/>
        </w:rPr>
        <w:t xml:space="preserve"> las personas trans, instituciones públicas y organizaciones de la sociedad civil promueven la Mesa Multisectorial sobre la situación de los Derechos Humanos de Personas Trans en el Paraguay, que mantuvo encuentros los años 2022</w:t>
      </w:r>
      <w:r w:rsidRPr="00B64C1B">
        <w:rPr>
          <w:vertAlign w:val="superscript"/>
          <w:lang w:val="es-PY"/>
        </w:rPr>
        <w:footnoteReference w:id="49"/>
      </w:r>
      <w:r w:rsidRPr="00B64C1B">
        <w:rPr>
          <w:lang w:val="es-PY"/>
        </w:rPr>
        <w:t xml:space="preserve"> y 2023</w:t>
      </w:r>
      <w:r w:rsidRPr="00B64C1B">
        <w:rPr>
          <w:vertAlign w:val="superscript"/>
          <w:lang w:val="es-PY"/>
        </w:rPr>
        <w:footnoteReference w:id="50"/>
      </w:r>
      <w:r w:rsidRPr="00B64C1B">
        <w:rPr>
          <w:lang w:val="es-PY"/>
        </w:rPr>
        <w:t xml:space="preserve">, con la participación de la Comisión de Derechos Humanos de la Honorable Cámara de Senadores (HCS), el MEC, el </w:t>
      </w:r>
      <w:proofErr w:type="spellStart"/>
      <w:r w:rsidRPr="00B64C1B">
        <w:rPr>
          <w:lang w:val="es-PY"/>
        </w:rPr>
        <w:t>MSPyBS</w:t>
      </w:r>
      <w:proofErr w:type="spellEnd"/>
      <w:r w:rsidRPr="00B64C1B">
        <w:rPr>
          <w:lang w:val="es-PY"/>
        </w:rPr>
        <w:t xml:space="preserve">, el MJ, el MP y la CSJ, así como la </w:t>
      </w:r>
      <w:proofErr w:type="spellStart"/>
      <w:r w:rsidRPr="00B64C1B">
        <w:rPr>
          <w:lang w:val="es-PY"/>
        </w:rPr>
        <w:t>organizacion</w:t>
      </w:r>
      <w:proofErr w:type="spellEnd"/>
      <w:r w:rsidRPr="00B64C1B">
        <w:rPr>
          <w:lang w:val="es-PY"/>
        </w:rPr>
        <w:t xml:space="preserve"> no gubernamental </w:t>
      </w:r>
      <w:proofErr w:type="spellStart"/>
      <w:r w:rsidRPr="00B64C1B">
        <w:rPr>
          <w:lang w:val="es-PY"/>
        </w:rPr>
        <w:t>Panambí</w:t>
      </w:r>
      <w:proofErr w:type="spellEnd"/>
      <w:r w:rsidRPr="00B64C1B">
        <w:rPr>
          <w:lang w:val="es-PY"/>
        </w:rPr>
        <w:t>, integrante de la Coordinadora de Derechos Humanos del Paraguay (CODEHUPY).</w:t>
      </w:r>
    </w:p>
    <w:p w14:paraId="7B0C9D19" w14:textId="2BB3A3D5" w:rsidR="00583FBD" w:rsidRPr="00B64C1B" w:rsidRDefault="00583FBD" w:rsidP="00F019B7">
      <w:pPr>
        <w:pStyle w:val="SingleTxt"/>
        <w:numPr>
          <w:ilvl w:val="0"/>
          <w:numId w:val="44"/>
        </w:numPr>
        <w:ind w:left="1267"/>
        <w:rPr>
          <w:lang w:val="es-PY"/>
        </w:rPr>
      </w:pPr>
      <w:r w:rsidRPr="00B64C1B">
        <w:rPr>
          <w:lang w:val="es-PY"/>
        </w:rPr>
        <w:t>En el ámbito del PJ, se ha avanzado en la construcción de fichas metodológicas de indicadores de violencia contra las mujeres</w:t>
      </w:r>
      <w:r w:rsidRPr="00B64C1B">
        <w:rPr>
          <w:vertAlign w:val="superscript"/>
          <w:lang w:val="es-PY"/>
        </w:rPr>
        <w:footnoteReference w:id="51"/>
      </w:r>
      <w:r w:rsidRPr="00B64C1B">
        <w:rPr>
          <w:lang w:val="es-PY"/>
        </w:rPr>
        <w:t>. Este proceso, que inició en 2022, fue fundamental para actualizar los registros de causas ingresadas en materia de violencia familiar y doméstica, así como para visibilizar las cifras de causas ingresadas y condenas por feminicidio y tentativa de feminicidio. Además, en noviembre de 2023, se firmó un Convenio de Cooperación Interinstitucional entre la CSJ y el INE, con el objetivo de consolidar un Sistema Nacional de Datos y Estadísticos e Información de Violencia contra las Mujeres.</w:t>
      </w:r>
    </w:p>
    <w:p w14:paraId="2DF3CC42" w14:textId="5BFA9B61" w:rsidR="00583FBD" w:rsidRPr="00B64C1B" w:rsidRDefault="00583FBD" w:rsidP="002743B0">
      <w:pPr>
        <w:pStyle w:val="SingleTxt"/>
        <w:numPr>
          <w:ilvl w:val="0"/>
          <w:numId w:val="44"/>
        </w:numPr>
        <w:tabs>
          <w:tab w:val="num" w:pos="2804"/>
        </w:tabs>
        <w:ind w:left="1267"/>
        <w:rPr>
          <w:lang w:val="es-PY"/>
        </w:rPr>
      </w:pPr>
      <w:r w:rsidRPr="00B64C1B">
        <w:rPr>
          <w:lang w:val="es-PY"/>
        </w:rPr>
        <w:t>El MINMUJER impulsa el Observatorio de Derecho de las Mujeres a una Vida Libre de Violencia, dedicado al monitoreo de situaciones y servicios de atención en casos de violencia contra las mujeres, incluyendo los casos de feminicidio a nivel nacional. Este observatorio recoge datos directamente de agentes fiscales y/o la policía nacional, lo que garantiza la fiabilidad de la información compilada. Asimismo, mediante la Resolución</w:t>
      </w:r>
      <w:r w:rsidR="00F019B7">
        <w:rPr>
          <w:lang w:val="es-PY"/>
        </w:rPr>
        <w:t xml:space="preserve"> </w:t>
      </w:r>
      <w:r w:rsidRPr="00B64C1B">
        <w:rPr>
          <w:lang w:val="es-PY"/>
        </w:rPr>
        <w:t xml:space="preserve">Nº297/2020, el MINMUJER aprobó la creación de la </w:t>
      </w:r>
      <w:r w:rsidR="00F019B7">
        <w:rPr>
          <w:lang w:val="es-PY"/>
        </w:rPr>
        <w:t>“</w:t>
      </w:r>
      <w:r w:rsidRPr="00B64C1B">
        <w:rPr>
          <w:lang w:val="es-PY"/>
        </w:rPr>
        <w:t>Red de Observatorios – Mujer</w:t>
      </w:r>
      <w:r w:rsidR="00F019B7">
        <w:rPr>
          <w:lang w:val="es-PY"/>
        </w:rPr>
        <w:t>”</w:t>
      </w:r>
      <w:r w:rsidRPr="00B64C1B">
        <w:rPr>
          <w:vertAlign w:val="superscript"/>
          <w:lang w:val="es-PY"/>
        </w:rPr>
        <w:footnoteReference w:id="52"/>
      </w:r>
      <w:r w:rsidRPr="00B64C1B">
        <w:rPr>
          <w:lang w:val="es-PY"/>
        </w:rPr>
        <w:t xml:space="preserve">, conformada por 63 instituciones públicas y privadas, de la academia y organizaciones de la sociedad civil, a fin de entrelazar registros sobre violencia contra mujeres en toda su diversidad, con datos de la víctima, </w:t>
      </w:r>
      <w:r w:rsidRPr="00B64C1B">
        <w:rPr>
          <w:lang w:val="es-PY"/>
        </w:rPr>
        <w:lastRenderedPageBreak/>
        <w:t>del agresor, nivel educativo, ocupación, nivel de ingreso, datos del caso, condición legal, datos sobre denuncias, entre otros.</w:t>
      </w:r>
    </w:p>
    <w:p w14:paraId="7CEFC355" w14:textId="7363DA15" w:rsidR="00583FBD" w:rsidRPr="00B64C1B" w:rsidRDefault="00583FBD" w:rsidP="002743B0">
      <w:pPr>
        <w:pStyle w:val="SingleTxt"/>
        <w:numPr>
          <w:ilvl w:val="0"/>
          <w:numId w:val="44"/>
        </w:numPr>
        <w:tabs>
          <w:tab w:val="num" w:pos="2804"/>
        </w:tabs>
        <w:ind w:left="1267"/>
        <w:rPr>
          <w:lang w:val="es-PY"/>
        </w:rPr>
      </w:pPr>
      <w:r w:rsidRPr="00B64C1B">
        <w:rPr>
          <w:lang w:val="es-PY"/>
        </w:rPr>
        <w:t>El MINMUJER, en coordinación con el INE, en el marco del Programa Paraguay por un Desarrollo Sostenible financiado por la Unión Europea (UE) y ejecutado por</w:t>
      </w:r>
      <w:r w:rsidR="007E06AB">
        <w:rPr>
          <w:lang w:val="es-PY"/>
        </w:rPr>
        <w:t xml:space="preserve"> </w:t>
      </w:r>
      <w:r w:rsidRPr="00B64C1B">
        <w:rPr>
          <w:lang w:val="es-PY"/>
        </w:rPr>
        <w:t xml:space="preserve">La Fundación Internacional para Iberoamérica de Administración y Políticas Públicas (FIIAPP), ha iniciado los trabajos para la construcción del Sistema Unificado y Estandarizado de Registro (RUVIG), con el objetivo de fortalecer la recolección y uso de registros administrativos sobre servicios prestados en casos de violencia de género, por mandato de la Ley Nº5.777 </w:t>
      </w:r>
      <w:r w:rsidR="00F019B7">
        <w:rPr>
          <w:lang w:val="es-PY"/>
        </w:rPr>
        <w:t>“</w:t>
      </w:r>
      <w:r w:rsidRPr="00B64C1B">
        <w:rPr>
          <w:lang w:val="es-PY"/>
        </w:rPr>
        <w:t>De Protección Integral a las Mujeres contra toda forma de violencia</w:t>
      </w:r>
      <w:r w:rsidR="00F019B7">
        <w:rPr>
          <w:lang w:val="es-PY"/>
        </w:rPr>
        <w:t>”</w:t>
      </w:r>
      <w:r w:rsidRPr="00B64C1B">
        <w:rPr>
          <w:lang w:val="es-PY"/>
        </w:rPr>
        <w:t>.</w:t>
      </w:r>
    </w:p>
    <w:p w14:paraId="15259F66" w14:textId="2EF8EFB6" w:rsidR="00583FBD" w:rsidRPr="00B64C1B" w:rsidRDefault="00583FBD" w:rsidP="002743B0">
      <w:pPr>
        <w:pStyle w:val="SingleTxt"/>
        <w:numPr>
          <w:ilvl w:val="0"/>
          <w:numId w:val="44"/>
        </w:numPr>
        <w:tabs>
          <w:tab w:val="num" w:pos="2804"/>
        </w:tabs>
        <w:ind w:left="1267"/>
        <w:rPr>
          <w:lang w:val="es-PY"/>
        </w:rPr>
      </w:pPr>
      <w:r w:rsidRPr="00B64C1B">
        <w:rPr>
          <w:lang w:val="es-PY"/>
        </w:rPr>
        <w:t>En marzo de 2019, se instauró el Observatorio Criminológico del MP</w:t>
      </w:r>
      <w:r w:rsidRPr="00B64C1B">
        <w:rPr>
          <w:vertAlign w:val="superscript"/>
          <w:lang w:val="es-PY"/>
        </w:rPr>
        <w:footnoteReference w:id="53"/>
      </w:r>
      <w:r w:rsidRPr="00B64C1B">
        <w:rPr>
          <w:lang w:val="es-PY"/>
        </w:rPr>
        <w:t>, cuyo eje central es la elaboración de informes relacionados a hechos punibles de impacto social, entre ellos, Violencia Familiar, Feminicidio, Hechos punibles contra menores y contra los Derechos Humanos. En 2023, por medio de la Resolución FGE N°5442, se pone en funcionamiento el Sistema Integrado de Gestión Electrónica de Casos – Módulo Cuaderno de Investigación Fiscal (SIGEC-CIF), diseñado como herramienta tecnológica para mejorar la eficacia y seguridad en la gestión y seguimiento de las causas penales.</w:t>
      </w:r>
    </w:p>
    <w:p w14:paraId="5F60C7EC" w14:textId="58B23A62" w:rsidR="00583FBD" w:rsidRPr="00B64C1B" w:rsidRDefault="00583FBD" w:rsidP="002743B0">
      <w:pPr>
        <w:pStyle w:val="SingleTxt"/>
        <w:numPr>
          <w:ilvl w:val="0"/>
          <w:numId w:val="44"/>
        </w:numPr>
        <w:tabs>
          <w:tab w:val="num" w:pos="2804"/>
        </w:tabs>
        <w:ind w:left="1267"/>
        <w:rPr>
          <w:lang w:val="es-PY"/>
        </w:rPr>
      </w:pPr>
      <w:r w:rsidRPr="00B64C1B">
        <w:rPr>
          <w:lang w:val="es-PY"/>
        </w:rPr>
        <w:t>El Observatorio de Género dependiente de la Secretaría de Género del PJ</w:t>
      </w:r>
      <w:r w:rsidRPr="00B64C1B">
        <w:rPr>
          <w:b/>
          <w:vertAlign w:val="superscript"/>
          <w:lang w:val="es-PY"/>
        </w:rPr>
        <w:footnoteReference w:id="54"/>
      </w:r>
      <w:r w:rsidRPr="00B64C1B">
        <w:rPr>
          <w:b/>
          <w:lang w:val="es-PY"/>
        </w:rPr>
        <w:t xml:space="preserve"> </w:t>
      </w:r>
      <w:r w:rsidRPr="00B64C1B">
        <w:rPr>
          <w:lang w:val="es-PY"/>
        </w:rPr>
        <w:t>trabaja en la elaboración de indicadores estadísticos, recopilando y actualizando datos sobre denuncias de casos de violencia doméstica en Juzgados de Paz, y en la Oficina de Atención a Víctimas; causas ingresadas y condenas sobre abuso sexual y pornografía infantil; y condenas por feminicidio.</w:t>
      </w:r>
      <w:r w:rsidR="007E06AB">
        <w:rPr>
          <w:lang w:val="es-PY"/>
        </w:rPr>
        <w:t xml:space="preserve"> </w:t>
      </w:r>
    </w:p>
    <w:p w14:paraId="1EE28799" w14:textId="6614EBE4" w:rsidR="00583FBD" w:rsidRDefault="00583FBD" w:rsidP="002743B0">
      <w:pPr>
        <w:pStyle w:val="SingleTxt"/>
        <w:numPr>
          <w:ilvl w:val="0"/>
          <w:numId w:val="44"/>
        </w:numPr>
        <w:tabs>
          <w:tab w:val="num" w:pos="2804"/>
        </w:tabs>
        <w:ind w:left="1267"/>
        <w:rPr>
          <w:lang w:val="es-PY"/>
        </w:rPr>
      </w:pPr>
      <w:r w:rsidRPr="00B64C1B">
        <w:rPr>
          <w:lang w:val="es-PY"/>
        </w:rPr>
        <w:t>El MDP cuenta con un protocolo de atención para personas pertenecientes al colectivo LGTBI que acudan a todos los servicios del Ministerio de la Defensa Pública</w:t>
      </w:r>
      <w:r w:rsidRPr="00B64C1B">
        <w:rPr>
          <w:vertAlign w:val="superscript"/>
          <w:lang w:val="es-PY"/>
        </w:rPr>
        <w:footnoteReference w:id="55"/>
      </w:r>
      <w:r>
        <w:rPr>
          <w:lang w:val="es-PY"/>
        </w:rPr>
        <w:t>.</w:t>
      </w:r>
    </w:p>
    <w:p w14:paraId="0C057227" w14:textId="77777777" w:rsidR="002743B0" w:rsidRPr="002743B0" w:rsidRDefault="002743B0" w:rsidP="002743B0">
      <w:pPr>
        <w:pStyle w:val="SingleTxt"/>
        <w:spacing w:after="0" w:line="120" w:lineRule="exact"/>
        <w:rPr>
          <w:sz w:val="10"/>
          <w:lang w:val="es-PY"/>
        </w:rPr>
      </w:pPr>
    </w:p>
    <w:p w14:paraId="772E4FF7" w14:textId="2420CE24" w:rsidR="00583FBD" w:rsidRDefault="002743B0" w:rsidP="00274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583FBD" w:rsidRPr="00F658B9">
        <w:t>Asistencias del MDP a la colectividad LGTBIQ+</w:t>
      </w:r>
      <w:r w:rsidR="00583FBD" w:rsidRPr="002743B0">
        <w:rPr>
          <w:b w:val="0"/>
          <w:bCs/>
          <w:vertAlign w:val="superscript"/>
        </w:rPr>
        <w:footnoteReference w:id="56"/>
      </w:r>
    </w:p>
    <w:p w14:paraId="6D5AF2DC" w14:textId="77777777" w:rsidR="002743B0" w:rsidRPr="002743B0" w:rsidRDefault="002743B0" w:rsidP="002743B0">
      <w:pPr>
        <w:pStyle w:val="SingleTxt"/>
        <w:spacing w:after="0" w:line="120" w:lineRule="exact"/>
        <w:rPr>
          <w:sz w:val="10"/>
        </w:rPr>
      </w:pPr>
    </w:p>
    <w:p w14:paraId="5BA12310" w14:textId="77777777" w:rsidR="002743B0" w:rsidRDefault="002743B0" w:rsidP="002743B0">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714"/>
        <w:gridCol w:w="3714"/>
      </w:tblGrid>
      <w:tr w:rsidR="002743B0" w:rsidRPr="002743B0" w14:paraId="2F090C7D" w14:textId="77777777" w:rsidTr="004F0E5C">
        <w:trPr>
          <w:tblHeader/>
        </w:trPr>
        <w:tc>
          <w:tcPr>
            <w:tcW w:w="3714" w:type="dxa"/>
            <w:tcBorders>
              <w:top w:val="single" w:sz="4" w:space="0" w:color="auto"/>
              <w:bottom w:val="single" w:sz="12" w:space="0" w:color="auto"/>
            </w:tcBorders>
            <w:shd w:val="clear" w:color="auto" w:fill="auto"/>
            <w:vAlign w:val="bottom"/>
          </w:tcPr>
          <w:p w14:paraId="3BCA563C" w14:textId="77777777" w:rsidR="002743B0" w:rsidRPr="00521F74" w:rsidRDefault="002743B0" w:rsidP="004F0E5C">
            <w:pPr>
              <w:tabs>
                <w:tab w:val="left" w:pos="288"/>
                <w:tab w:val="left" w:pos="576"/>
                <w:tab w:val="left" w:pos="864"/>
                <w:tab w:val="left" w:pos="1152"/>
              </w:tabs>
              <w:spacing w:before="80" w:after="80" w:line="160" w:lineRule="exact"/>
              <w:ind w:right="40"/>
              <w:rPr>
                <w:i/>
                <w:sz w:val="14"/>
                <w:szCs w:val="14"/>
              </w:rPr>
            </w:pPr>
            <w:r w:rsidRPr="00521F74">
              <w:rPr>
                <w:bCs/>
                <w:i/>
                <w:sz w:val="14"/>
                <w:szCs w:val="14"/>
                <w:lang w:val="es-PY"/>
              </w:rPr>
              <w:t>Año</w:t>
            </w:r>
          </w:p>
        </w:tc>
        <w:tc>
          <w:tcPr>
            <w:tcW w:w="3714" w:type="dxa"/>
            <w:tcBorders>
              <w:top w:val="single" w:sz="4" w:space="0" w:color="auto"/>
              <w:bottom w:val="single" w:sz="12" w:space="0" w:color="auto"/>
            </w:tcBorders>
            <w:shd w:val="clear" w:color="auto" w:fill="auto"/>
            <w:vAlign w:val="bottom"/>
          </w:tcPr>
          <w:p w14:paraId="5C5B20E0" w14:textId="77777777" w:rsidR="002743B0" w:rsidRPr="00521F74" w:rsidRDefault="002743B0" w:rsidP="004F0E5C">
            <w:pPr>
              <w:tabs>
                <w:tab w:val="left" w:pos="288"/>
                <w:tab w:val="left" w:pos="576"/>
                <w:tab w:val="left" w:pos="864"/>
                <w:tab w:val="left" w:pos="1152"/>
              </w:tabs>
              <w:spacing w:before="80" w:after="80" w:line="160" w:lineRule="exact"/>
              <w:ind w:right="40"/>
              <w:jc w:val="right"/>
              <w:rPr>
                <w:i/>
                <w:sz w:val="14"/>
                <w:szCs w:val="14"/>
              </w:rPr>
            </w:pPr>
            <w:r w:rsidRPr="00521F74">
              <w:rPr>
                <w:bCs/>
                <w:i/>
                <w:sz w:val="14"/>
                <w:szCs w:val="14"/>
                <w:lang w:val="es-PY"/>
              </w:rPr>
              <w:t>Cantidad</w:t>
            </w:r>
          </w:p>
        </w:tc>
      </w:tr>
      <w:tr w:rsidR="002743B0" w:rsidRPr="002743B0" w14:paraId="5C83BF1F" w14:textId="77777777" w:rsidTr="004F0E5C">
        <w:trPr>
          <w:trHeight w:hRule="exact" w:val="115"/>
          <w:tblHeader/>
        </w:trPr>
        <w:tc>
          <w:tcPr>
            <w:tcW w:w="3714" w:type="dxa"/>
            <w:tcBorders>
              <w:top w:val="single" w:sz="12" w:space="0" w:color="auto"/>
            </w:tcBorders>
            <w:shd w:val="clear" w:color="auto" w:fill="auto"/>
            <w:vAlign w:val="bottom"/>
          </w:tcPr>
          <w:p w14:paraId="0930EC75" w14:textId="77777777" w:rsidR="002743B0" w:rsidRPr="002743B0" w:rsidRDefault="002743B0" w:rsidP="004F0E5C">
            <w:pPr>
              <w:tabs>
                <w:tab w:val="left" w:pos="288"/>
                <w:tab w:val="left" w:pos="576"/>
                <w:tab w:val="left" w:pos="864"/>
                <w:tab w:val="left" w:pos="1152"/>
              </w:tabs>
              <w:spacing w:before="40" w:after="40" w:line="210" w:lineRule="exact"/>
              <w:ind w:right="40"/>
              <w:rPr>
                <w:sz w:val="17"/>
              </w:rPr>
            </w:pPr>
          </w:p>
        </w:tc>
        <w:tc>
          <w:tcPr>
            <w:tcW w:w="3714" w:type="dxa"/>
            <w:tcBorders>
              <w:top w:val="single" w:sz="12" w:space="0" w:color="auto"/>
            </w:tcBorders>
            <w:shd w:val="clear" w:color="auto" w:fill="auto"/>
            <w:vAlign w:val="bottom"/>
          </w:tcPr>
          <w:p w14:paraId="34EBFE33" w14:textId="77777777" w:rsidR="002743B0" w:rsidRPr="002743B0" w:rsidRDefault="002743B0" w:rsidP="004F0E5C">
            <w:pPr>
              <w:tabs>
                <w:tab w:val="left" w:pos="288"/>
                <w:tab w:val="left" w:pos="576"/>
                <w:tab w:val="left" w:pos="864"/>
                <w:tab w:val="left" w:pos="1152"/>
              </w:tabs>
              <w:spacing w:before="40" w:after="40" w:line="210" w:lineRule="exact"/>
              <w:ind w:right="40"/>
              <w:jc w:val="right"/>
              <w:rPr>
                <w:sz w:val="17"/>
              </w:rPr>
            </w:pPr>
          </w:p>
        </w:tc>
      </w:tr>
      <w:tr w:rsidR="002743B0" w:rsidRPr="002743B0" w14:paraId="70C5933D" w14:textId="77777777" w:rsidTr="004F0E5C">
        <w:tc>
          <w:tcPr>
            <w:tcW w:w="3714" w:type="dxa"/>
            <w:shd w:val="clear" w:color="auto" w:fill="auto"/>
          </w:tcPr>
          <w:p w14:paraId="4547E4E0" w14:textId="77777777"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2020</w:t>
            </w:r>
          </w:p>
        </w:tc>
        <w:tc>
          <w:tcPr>
            <w:tcW w:w="3714" w:type="dxa"/>
            <w:shd w:val="clear" w:color="auto" w:fill="auto"/>
            <w:vAlign w:val="bottom"/>
          </w:tcPr>
          <w:p w14:paraId="72242C54" w14:textId="3790262F"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F90B26">
              <w:rPr>
                <w:sz w:val="18"/>
                <w:lang w:val="es-PY"/>
              </w:rPr>
              <w:t>44</w:t>
            </w:r>
          </w:p>
        </w:tc>
      </w:tr>
      <w:tr w:rsidR="002743B0" w:rsidRPr="002743B0" w14:paraId="65F6BE43" w14:textId="77777777" w:rsidTr="004F0E5C">
        <w:tc>
          <w:tcPr>
            <w:tcW w:w="3714" w:type="dxa"/>
            <w:shd w:val="clear" w:color="auto" w:fill="auto"/>
          </w:tcPr>
          <w:p w14:paraId="66AE8DC2" w14:textId="77777777"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2021</w:t>
            </w:r>
          </w:p>
        </w:tc>
        <w:tc>
          <w:tcPr>
            <w:tcW w:w="3714" w:type="dxa"/>
            <w:shd w:val="clear" w:color="auto" w:fill="auto"/>
            <w:vAlign w:val="bottom"/>
          </w:tcPr>
          <w:p w14:paraId="51813C65" w14:textId="4D12DA72"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F90B26">
              <w:rPr>
                <w:sz w:val="18"/>
                <w:lang w:val="es-PY"/>
              </w:rPr>
              <w:t>50</w:t>
            </w:r>
          </w:p>
        </w:tc>
      </w:tr>
      <w:tr w:rsidR="002743B0" w:rsidRPr="002743B0" w14:paraId="04EA7A7B" w14:textId="77777777" w:rsidTr="004F0E5C">
        <w:tc>
          <w:tcPr>
            <w:tcW w:w="3714" w:type="dxa"/>
            <w:shd w:val="clear" w:color="auto" w:fill="auto"/>
          </w:tcPr>
          <w:p w14:paraId="45EE0CCC" w14:textId="77777777"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2022</w:t>
            </w:r>
          </w:p>
        </w:tc>
        <w:tc>
          <w:tcPr>
            <w:tcW w:w="3714" w:type="dxa"/>
            <w:shd w:val="clear" w:color="auto" w:fill="auto"/>
            <w:vAlign w:val="bottom"/>
          </w:tcPr>
          <w:p w14:paraId="586DBCA2" w14:textId="7A46B6C2"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F90B26">
              <w:rPr>
                <w:sz w:val="18"/>
                <w:lang w:val="es-PY"/>
              </w:rPr>
              <w:t>60</w:t>
            </w:r>
          </w:p>
        </w:tc>
      </w:tr>
      <w:tr w:rsidR="002743B0" w:rsidRPr="002743B0" w14:paraId="5468485E" w14:textId="77777777" w:rsidTr="004F0E5C">
        <w:tc>
          <w:tcPr>
            <w:tcW w:w="3714" w:type="dxa"/>
            <w:tcBorders>
              <w:bottom w:val="single" w:sz="12" w:space="0" w:color="auto"/>
            </w:tcBorders>
            <w:shd w:val="clear" w:color="auto" w:fill="auto"/>
          </w:tcPr>
          <w:p w14:paraId="32697C2E" w14:textId="77777777" w:rsidR="002743B0" w:rsidRPr="002743B0" w:rsidRDefault="002743B0" w:rsidP="002743B0">
            <w:pPr>
              <w:tabs>
                <w:tab w:val="left" w:pos="288"/>
                <w:tab w:val="left" w:pos="576"/>
                <w:tab w:val="left" w:pos="864"/>
                <w:tab w:val="left" w:pos="1152"/>
              </w:tabs>
              <w:spacing w:before="40" w:after="40" w:line="210" w:lineRule="exact"/>
              <w:ind w:right="40"/>
              <w:rPr>
                <w:sz w:val="17"/>
              </w:rPr>
            </w:pPr>
            <w:r w:rsidRPr="000E4DFE">
              <w:rPr>
                <w:sz w:val="18"/>
                <w:lang w:val="es-PY"/>
              </w:rPr>
              <w:t>2023</w:t>
            </w:r>
          </w:p>
        </w:tc>
        <w:tc>
          <w:tcPr>
            <w:tcW w:w="3714" w:type="dxa"/>
            <w:tcBorders>
              <w:bottom w:val="single" w:sz="12" w:space="0" w:color="auto"/>
            </w:tcBorders>
            <w:shd w:val="clear" w:color="auto" w:fill="auto"/>
            <w:vAlign w:val="bottom"/>
          </w:tcPr>
          <w:p w14:paraId="13CDACBB" w14:textId="36354972"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r w:rsidRPr="00F90B26">
              <w:rPr>
                <w:sz w:val="18"/>
                <w:lang w:val="es-PY"/>
              </w:rPr>
              <w:t>40</w:t>
            </w:r>
          </w:p>
        </w:tc>
      </w:tr>
    </w:tbl>
    <w:p w14:paraId="1F0A0425" w14:textId="77777777" w:rsidR="002743B0" w:rsidRPr="00521F74" w:rsidRDefault="002743B0" w:rsidP="00521F74">
      <w:pPr>
        <w:pStyle w:val="SingleTxt"/>
        <w:spacing w:after="0" w:line="120" w:lineRule="exact"/>
        <w:rPr>
          <w:sz w:val="10"/>
        </w:rPr>
      </w:pPr>
    </w:p>
    <w:p w14:paraId="1B40ED19" w14:textId="77777777" w:rsidR="00521F74" w:rsidRDefault="00521F74" w:rsidP="002743B0">
      <w:pPr>
        <w:pStyle w:val="SingleTxt"/>
        <w:spacing w:after="0" w:line="120" w:lineRule="exact"/>
        <w:rPr>
          <w:sz w:val="10"/>
        </w:rPr>
      </w:pPr>
    </w:p>
    <w:p w14:paraId="6A172207" w14:textId="77777777" w:rsidR="002743B0" w:rsidRDefault="002743B0" w:rsidP="002743B0">
      <w:pPr>
        <w:pStyle w:val="SingleTxt"/>
        <w:spacing w:after="0" w:line="120" w:lineRule="exact"/>
        <w:rPr>
          <w:sz w:val="10"/>
        </w:rPr>
      </w:pPr>
    </w:p>
    <w:p w14:paraId="5DFF6EDB" w14:textId="77777777" w:rsidR="00583FBD" w:rsidRPr="00B64C1B" w:rsidRDefault="00583FBD" w:rsidP="002743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Trata y explotación de la prostitución (art. 6)</w:t>
      </w:r>
      <w:r w:rsidRPr="00D849F6">
        <w:rPr>
          <w:b w:val="0"/>
          <w:bCs/>
          <w:sz w:val="20"/>
          <w:szCs w:val="20"/>
          <w:vertAlign w:val="superscript"/>
          <w:lang w:val="es-PY"/>
        </w:rPr>
        <w:footnoteReference w:id="57"/>
      </w:r>
    </w:p>
    <w:p w14:paraId="61BB7C41" w14:textId="77777777" w:rsidR="002743B0" w:rsidRPr="00521F74" w:rsidRDefault="002743B0" w:rsidP="00521F74">
      <w:pPr>
        <w:pStyle w:val="SingleTxt"/>
        <w:spacing w:after="0" w:line="120" w:lineRule="exact"/>
        <w:rPr>
          <w:sz w:val="10"/>
          <w:lang w:val="es-PY"/>
        </w:rPr>
      </w:pPr>
    </w:p>
    <w:p w14:paraId="0A454FC1" w14:textId="77777777" w:rsidR="00521F74" w:rsidRPr="00521F74" w:rsidRDefault="00521F74" w:rsidP="00521F74">
      <w:pPr>
        <w:pStyle w:val="SingleTxt"/>
        <w:spacing w:after="0" w:line="120" w:lineRule="exact"/>
        <w:rPr>
          <w:sz w:val="10"/>
          <w:lang w:val="es-PY"/>
        </w:rPr>
      </w:pPr>
    </w:p>
    <w:p w14:paraId="2B4CB6AE" w14:textId="0ACBF382" w:rsidR="00583FBD" w:rsidRPr="00B64C1B" w:rsidRDefault="00583FBD" w:rsidP="002743B0">
      <w:pPr>
        <w:pStyle w:val="SingleTxt"/>
        <w:numPr>
          <w:ilvl w:val="0"/>
          <w:numId w:val="44"/>
        </w:numPr>
        <w:ind w:left="1267"/>
        <w:rPr>
          <w:lang w:val="es-PY"/>
        </w:rPr>
      </w:pPr>
      <w:r w:rsidRPr="00B64C1B">
        <w:rPr>
          <w:lang w:val="es-PY"/>
        </w:rPr>
        <w:t>La Mesa Interinstitucional de Combate a la Trata de Personas en el Paraguay cuenta con un Plan Nacional 2020</w:t>
      </w:r>
      <w:r w:rsidR="00521F74">
        <w:rPr>
          <w:lang w:val="es-PY"/>
        </w:rPr>
        <w:t>-</w:t>
      </w:r>
      <w:r w:rsidRPr="00B64C1B">
        <w:rPr>
          <w:lang w:val="es-PY"/>
        </w:rPr>
        <w:t>2024</w:t>
      </w:r>
      <w:r w:rsidRPr="00B64C1B">
        <w:rPr>
          <w:vertAlign w:val="superscript"/>
          <w:lang w:val="es-PY"/>
        </w:rPr>
        <w:footnoteReference w:id="58"/>
      </w:r>
      <w:r w:rsidRPr="00B64C1B">
        <w:rPr>
          <w:lang w:val="es-PY"/>
        </w:rPr>
        <w:t>. Actualmente, se encuentra en estudio de la Mesa Interinstitucional el proyecto de instalación del Programa Nacional de Prevención, Combate y Atención a víctimas de la trata.</w:t>
      </w:r>
    </w:p>
    <w:p w14:paraId="3908F300" w14:textId="5D12FF50" w:rsidR="00583FBD" w:rsidRPr="00B64C1B" w:rsidRDefault="00583FBD" w:rsidP="002743B0">
      <w:pPr>
        <w:pStyle w:val="SingleTxt"/>
        <w:numPr>
          <w:ilvl w:val="0"/>
          <w:numId w:val="44"/>
        </w:numPr>
        <w:ind w:left="1267"/>
        <w:rPr>
          <w:lang w:val="es-PY"/>
        </w:rPr>
      </w:pPr>
      <w:r w:rsidRPr="00B64C1B">
        <w:rPr>
          <w:lang w:val="es-PY"/>
        </w:rPr>
        <w:lastRenderedPageBreak/>
        <w:t>El MINMUJER elaboró el Manual de Procedimiento Metodológico para la atención en el contexto institucional a personas afectadas por la trata de personas. El objetivo de este manual es que los servicios integrales sean fortalecidos y mejorados para la atención de las personas afectadas por la trata de personas en todos sus fines.</w:t>
      </w:r>
    </w:p>
    <w:p w14:paraId="275F0CE9" w14:textId="3CD97C60" w:rsidR="00583FBD" w:rsidRPr="00B64C1B" w:rsidRDefault="00583FBD" w:rsidP="002743B0">
      <w:pPr>
        <w:pStyle w:val="SingleTxt"/>
        <w:numPr>
          <w:ilvl w:val="0"/>
          <w:numId w:val="44"/>
        </w:numPr>
        <w:tabs>
          <w:tab w:val="num" w:pos="2804"/>
        </w:tabs>
        <w:ind w:left="1267"/>
        <w:rPr>
          <w:lang w:val="es-PY"/>
        </w:rPr>
      </w:pPr>
      <w:r w:rsidRPr="00B64C1B">
        <w:rPr>
          <w:lang w:val="es-PY"/>
        </w:rPr>
        <w:t>Además de abordar la atención a las víctimas de trata de personas, desde el MINMUJER en coordinación con la Comisión Nacional de Apátridas y Refugiados (CONARE) dependiente del MRE, se trabaja en la protección de personas migrantes, refugiadas y apátridas que se encuentran en territorio nacional.</w:t>
      </w:r>
    </w:p>
    <w:p w14:paraId="047F0C2F" w14:textId="7E854052" w:rsidR="00583FBD" w:rsidRPr="00B64C1B" w:rsidRDefault="00583FBD" w:rsidP="002743B0">
      <w:pPr>
        <w:pStyle w:val="SingleTxt"/>
        <w:numPr>
          <w:ilvl w:val="0"/>
          <w:numId w:val="44"/>
        </w:numPr>
        <w:tabs>
          <w:tab w:val="num" w:pos="2804"/>
        </w:tabs>
        <w:ind w:left="1267"/>
        <w:rPr>
          <w:lang w:val="es-PY"/>
        </w:rPr>
      </w:pPr>
      <w:r w:rsidRPr="00B64C1B">
        <w:rPr>
          <w:lang w:val="es-PY"/>
        </w:rPr>
        <w:t xml:space="preserve">La Unidad Especializada en la Lucha Contra la Trata de Personas y Explotación Sexual de Niños, Niñas y Adolescentes del MP se encuentra trabajando en un proyecto de </w:t>
      </w:r>
      <w:r w:rsidR="00F019B7">
        <w:rPr>
          <w:lang w:val="es-PY"/>
        </w:rPr>
        <w:t>“</w:t>
      </w:r>
      <w:r w:rsidRPr="00B64C1B">
        <w:rPr>
          <w:lang w:val="es-PY"/>
        </w:rPr>
        <w:t>Protocolo de actuación interinstitucional, para el abordaje de la situación con niñas, niños y adolescentes indígenas, víctimas de hechos punibles y de vulneración de derechos en general</w:t>
      </w:r>
      <w:r w:rsidR="00F019B7">
        <w:rPr>
          <w:lang w:val="es-PY"/>
        </w:rPr>
        <w:t>”</w:t>
      </w:r>
      <w:r w:rsidRPr="00B64C1B">
        <w:rPr>
          <w:lang w:val="es-PY"/>
        </w:rPr>
        <w:t xml:space="preserve">, elaborado en el marco del proyecto </w:t>
      </w:r>
      <w:r w:rsidR="00F019B7">
        <w:rPr>
          <w:lang w:val="es-PY"/>
        </w:rPr>
        <w:t>“</w:t>
      </w:r>
      <w:r w:rsidRPr="00B64C1B">
        <w:rPr>
          <w:lang w:val="es-PY"/>
        </w:rPr>
        <w:t>Mejora de la capacidad de respuesta institucional de la trata de personas y delitos conexos</w:t>
      </w:r>
      <w:r w:rsidR="00F019B7">
        <w:rPr>
          <w:lang w:val="es-PY"/>
        </w:rPr>
        <w:t>”</w:t>
      </w:r>
      <w:r w:rsidRPr="00B64C1B">
        <w:rPr>
          <w:lang w:val="es-PY"/>
        </w:rPr>
        <w:t>, ejecutado por el Fondo de Población de las Naciones Unidas (UNFPA) y financiado con el apoyo de la AECID, con la finalidad de contribuir al proceso de articulación interinstitucional para el abordaje y la respuesta ante la vulneración de derechos de niños, niñas y adolescentes indígenas. Además, se prevé la revisión y actualización del Manual para la Investigación Penal de la Trata de Personas y del Manual de Procedimientos Operativos.</w:t>
      </w:r>
    </w:p>
    <w:p w14:paraId="190309C5" w14:textId="590174A3" w:rsidR="00583FBD" w:rsidRPr="00B64C1B" w:rsidRDefault="00583FBD" w:rsidP="002743B0">
      <w:pPr>
        <w:pStyle w:val="SingleTxt"/>
        <w:numPr>
          <w:ilvl w:val="0"/>
          <w:numId w:val="44"/>
        </w:numPr>
        <w:tabs>
          <w:tab w:val="num" w:pos="2804"/>
        </w:tabs>
        <w:ind w:left="1267"/>
        <w:rPr>
          <w:lang w:val="es-PY"/>
        </w:rPr>
      </w:pPr>
      <w:r w:rsidRPr="00B64C1B">
        <w:rPr>
          <w:lang w:val="es-PY"/>
        </w:rPr>
        <w:t xml:space="preserve">La implementación del Proyecto </w:t>
      </w:r>
      <w:proofErr w:type="spellStart"/>
      <w:r w:rsidRPr="00B64C1B">
        <w:rPr>
          <w:lang w:val="es-PY"/>
        </w:rPr>
        <w:t>Eurofront</w:t>
      </w:r>
      <w:proofErr w:type="spellEnd"/>
      <w:r w:rsidRPr="00B64C1B">
        <w:rPr>
          <w:lang w:val="es-PY"/>
        </w:rPr>
        <w:t>, con el apoyo de la Organización Internacional para las Migraciones (OIM) tiene en Paraguay como punto focal a la Unidad Especializada del MP. En ese marco, se elaboró un Manual de capacitación sobre la trata en triple frontera</w:t>
      </w:r>
      <w:r w:rsidRPr="00B64C1B">
        <w:rPr>
          <w:vertAlign w:val="superscript"/>
          <w:lang w:val="es-PY"/>
        </w:rPr>
        <w:footnoteReference w:id="59"/>
      </w:r>
      <w:r w:rsidRPr="00B64C1B">
        <w:rPr>
          <w:lang w:val="es-PY"/>
        </w:rPr>
        <w:t xml:space="preserve"> con una perspectiva de derechos humanos, de género, interculturalidad e interseccionalidad, proceso que incluyó actividades de formación para funcionarios de frontera y la implementación de una ruta de intervención validada por las instituciones involucradas. Este proyecto también trabaja en la elaboración de un proyecto de ley sobre el tráfico ilícito de migrantes, con un enfoque de derechos humanos. </w:t>
      </w:r>
    </w:p>
    <w:p w14:paraId="249A81DE" w14:textId="3476EC2E" w:rsidR="00583FBD" w:rsidRPr="00B64C1B" w:rsidRDefault="00583FBD" w:rsidP="002743B0">
      <w:pPr>
        <w:pStyle w:val="SingleTxt"/>
        <w:numPr>
          <w:ilvl w:val="0"/>
          <w:numId w:val="44"/>
        </w:numPr>
        <w:ind w:left="1267"/>
        <w:rPr>
          <w:lang w:val="es-PY"/>
        </w:rPr>
      </w:pPr>
      <w:r w:rsidRPr="00B64C1B">
        <w:rPr>
          <w:lang w:val="es-PY"/>
        </w:rPr>
        <w:t>Se cuenta con equipos multidisciplinarios de atención a víctimas de trata. Cabe señalar que los recursos humanos asignados a las intervenciones coordinadas en situaciones de trata de personas cuentan con especializaciones en derechos de las mujeres, niñas, niños y adolescentes, derechos humanos, derechos laborales, salud, educación, atención a víctimas del delito y defensa pública.</w:t>
      </w:r>
    </w:p>
    <w:p w14:paraId="5674D712" w14:textId="514F7814" w:rsidR="00583FBD" w:rsidRDefault="00583FBD" w:rsidP="002743B0">
      <w:pPr>
        <w:pStyle w:val="SingleTxt"/>
        <w:numPr>
          <w:ilvl w:val="0"/>
          <w:numId w:val="44"/>
        </w:numPr>
        <w:ind w:left="1267"/>
        <w:rPr>
          <w:lang w:val="es-PY"/>
        </w:rPr>
      </w:pPr>
      <w:r w:rsidRPr="00B64C1B">
        <w:rPr>
          <w:lang w:val="es-PY"/>
        </w:rPr>
        <w:t xml:space="preserve">El MINNA implementa el Programa de Atención Integral a Víctimas de Trata y Explotación Sexual (PAIVTES), que articula estrategias institucionales para la prevención, protección y atención integral de niños, niñas y adolescentes, a fin de contribuir en la erradicación de la trata y explotación sexual. El programa cuenta con un Centro de Protección especializado para niñas y adolescentes víctimas de trata y explotación sexual, con atención integral. </w:t>
      </w:r>
    </w:p>
    <w:p w14:paraId="53D53830" w14:textId="77777777" w:rsidR="002743B0" w:rsidRPr="002743B0" w:rsidRDefault="002743B0" w:rsidP="002743B0">
      <w:pPr>
        <w:pStyle w:val="SingleTxt"/>
        <w:spacing w:after="0" w:line="120" w:lineRule="exact"/>
        <w:rPr>
          <w:sz w:val="10"/>
          <w:lang w:val="es-PY"/>
        </w:rPr>
      </w:pPr>
    </w:p>
    <w:p w14:paraId="71EA53A2" w14:textId="77777777" w:rsidR="002743B0" w:rsidRPr="002743B0" w:rsidRDefault="002743B0" w:rsidP="002743B0">
      <w:pPr>
        <w:pStyle w:val="SingleTxt"/>
        <w:spacing w:after="0" w:line="120" w:lineRule="exact"/>
        <w:rPr>
          <w:sz w:val="10"/>
          <w:lang w:val="es-PY"/>
        </w:rPr>
      </w:pPr>
    </w:p>
    <w:p w14:paraId="20D03ECF" w14:textId="77777777" w:rsidR="002743B0" w:rsidRDefault="002743B0">
      <w:pPr>
        <w:suppressAutoHyphens w:val="0"/>
        <w:spacing w:after="160" w:line="259" w:lineRule="auto"/>
        <w:rPr>
          <w:b/>
          <w:spacing w:val="2"/>
          <w:kern w:val="14"/>
        </w:rPr>
      </w:pPr>
      <w:r>
        <w:br w:type="page"/>
      </w:r>
    </w:p>
    <w:p w14:paraId="5B6BBAEF" w14:textId="473A40AE" w:rsidR="00583FBD" w:rsidRDefault="002743B0" w:rsidP="00274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583FBD" w:rsidRPr="00CC4932">
        <w:t>Niños, niñas y adolescentes atendidos por PAIVTES del MINNA</w:t>
      </w:r>
      <w:r w:rsidR="00583FBD" w:rsidRPr="002743B0">
        <w:rPr>
          <w:b w:val="0"/>
          <w:bCs/>
          <w:vertAlign w:val="superscript"/>
        </w:rPr>
        <w:footnoteReference w:id="60"/>
      </w:r>
    </w:p>
    <w:p w14:paraId="0D786F82" w14:textId="77777777" w:rsidR="002743B0" w:rsidRPr="002743B0" w:rsidRDefault="002743B0" w:rsidP="002743B0">
      <w:pPr>
        <w:pStyle w:val="SingleTxt"/>
        <w:spacing w:after="0" w:line="120" w:lineRule="exact"/>
        <w:rPr>
          <w:sz w:val="10"/>
        </w:rPr>
      </w:pPr>
    </w:p>
    <w:p w14:paraId="08727A50" w14:textId="77777777" w:rsidR="002743B0" w:rsidRPr="002743B0" w:rsidRDefault="002743B0" w:rsidP="002743B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0"/>
        <w:gridCol w:w="810"/>
        <w:gridCol w:w="810"/>
        <w:gridCol w:w="720"/>
        <w:gridCol w:w="180"/>
        <w:gridCol w:w="810"/>
        <w:gridCol w:w="900"/>
        <w:gridCol w:w="918"/>
      </w:tblGrid>
      <w:tr w:rsidR="00BA1559" w:rsidRPr="002743B0" w14:paraId="605E48D4" w14:textId="77777777" w:rsidTr="00D849F6">
        <w:trPr>
          <w:tblHeader/>
        </w:trPr>
        <w:tc>
          <w:tcPr>
            <w:tcW w:w="2340" w:type="dxa"/>
            <w:vMerge w:val="restart"/>
            <w:tcBorders>
              <w:top w:val="single" w:sz="4" w:space="0" w:color="auto"/>
            </w:tcBorders>
            <w:shd w:val="clear" w:color="auto" w:fill="auto"/>
            <w:vAlign w:val="bottom"/>
          </w:tcPr>
          <w:p w14:paraId="13EB8F03" w14:textId="796E66C6" w:rsidR="00BA1559" w:rsidRPr="002743B0" w:rsidRDefault="00BA1559" w:rsidP="002743B0">
            <w:pPr>
              <w:tabs>
                <w:tab w:val="left" w:pos="288"/>
                <w:tab w:val="left" w:pos="576"/>
                <w:tab w:val="left" w:pos="864"/>
                <w:tab w:val="left" w:pos="1152"/>
              </w:tabs>
              <w:spacing w:before="80" w:after="80" w:line="160" w:lineRule="exact"/>
              <w:ind w:right="40"/>
              <w:rPr>
                <w:i/>
                <w:sz w:val="14"/>
              </w:rPr>
            </w:pPr>
            <w:r>
              <w:rPr>
                <w:i/>
                <w:sz w:val="14"/>
              </w:rPr>
              <w:t>Casos</w:t>
            </w:r>
          </w:p>
        </w:tc>
        <w:tc>
          <w:tcPr>
            <w:tcW w:w="2340" w:type="dxa"/>
            <w:gridSpan w:val="3"/>
            <w:tcBorders>
              <w:top w:val="single" w:sz="4" w:space="0" w:color="auto"/>
              <w:bottom w:val="single" w:sz="4" w:space="0" w:color="auto"/>
            </w:tcBorders>
            <w:shd w:val="clear" w:color="auto" w:fill="auto"/>
            <w:vAlign w:val="bottom"/>
          </w:tcPr>
          <w:p w14:paraId="5C3864E6" w14:textId="77777777" w:rsidR="00BA1559" w:rsidRPr="002743B0" w:rsidRDefault="00BA1559" w:rsidP="00451CEA">
            <w:pPr>
              <w:tabs>
                <w:tab w:val="left" w:pos="288"/>
                <w:tab w:val="left" w:pos="576"/>
                <w:tab w:val="left" w:pos="864"/>
                <w:tab w:val="left" w:pos="1152"/>
              </w:tabs>
              <w:spacing w:before="80" w:after="80" w:line="160" w:lineRule="exact"/>
              <w:ind w:right="40"/>
              <w:jc w:val="center"/>
              <w:rPr>
                <w:i/>
                <w:sz w:val="14"/>
              </w:rPr>
            </w:pPr>
            <w:r>
              <w:rPr>
                <w:i/>
                <w:sz w:val="14"/>
              </w:rPr>
              <w:t>Sexo femenino</w:t>
            </w:r>
          </w:p>
        </w:tc>
        <w:tc>
          <w:tcPr>
            <w:tcW w:w="180" w:type="dxa"/>
            <w:tcBorders>
              <w:top w:val="single" w:sz="4" w:space="0" w:color="auto"/>
            </w:tcBorders>
            <w:shd w:val="clear" w:color="auto" w:fill="auto"/>
            <w:vAlign w:val="bottom"/>
          </w:tcPr>
          <w:p w14:paraId="1C31EE84" w14:textId="3506AD70" w:rsidR="00BA1559" w:rsidRPr="002743B0" w:rsidRDefault="00BA1559" w:rsidP="00D849F6">
            <w:pPr>
              <w:tabs>
                <w:tab w:val="left" w:pos="288"/>
                <w:tab w:val="left" w:pos="576"/>
                <w:tab w:val="left" w:pos="864"/>
                <w:tab w:val="left" w:pos="1152"/>
              </w:tabs>
              <w:spacing w:before="80" w:after="80" w:line="160" w:lineRule="exact"/>
              <w:ind w:right="40"/>
              <w:jc w:val="center"/>
              <w:rPr>
                <w:i/>
                <w:sz w:val="14"/>
              </w:rPr>
            </w:pPr>
          </w:p>
        </w:tc>
        <w:tc>
          <w:tcPr>
            <w:tcW w:w="2628" w:type="dxa"/>
            <w:gridSpan w:val="3"/>
            <w:tcBorders>
              <w:top w:val="single" w:sz="4" w:space="0" w:color="auto"/>
              <w:bottom w:val="single" w:sz="4" w:space="0" w:color="auto"/>
            </w:tcBorders>
            <w:shd w:val="clear" w:color="auto" w:fill="auto"/>
            <w:vAlign w:val="bottom"/>
          </w:tcPr>
          <w:p w14:paraId="7FB1BAF5" w14:textId="4876AB07" w:rsidR="00BA1559" w:rsidRPr="002743B0" w:rsidRDefault="00BA1559" w:rsidP="00D849F6">
            <w:pPr>
              <w:tabs>
                <w:tab w:val="left" w:pos="288"/>
                <w:tab w:val="left" w:pos="576"/>
                <w:tab w:val="left" w:pos="864"/>
                <w:tab w:val="left" w:pos="1152"/>
              </w:tabs>
              <w:spacing w:before="80" w:after="80" w:line="160" w:lineRule="exact"/>
              <w:ind w:right="40"/>
              <w:jc w:val="center"/>
              <w:rPr>
                <w:i/>
                <w:sz w:val="14"/>
              </w:rPr>
            </w:pPr>
            <w:r>
              <w:rPr>
                <w:i/>
                <w:sz w:val="14"/>
              </w:rPr>
              <w:t>Sexo masculino</w:t>
            </w:r>
          </w:p>
        </w:tc>
      </w:tr>
      <w:tr w:rsidR="00BA1559" w:rsidRPr="002743B0" w14:paraId="11D7639E" w14:textId="77777777" w:rsidTr="00D849F6">
        <w:trPr>
          <w:tblHeader/>
        </w:trPr>
        <w:tc>
          <w:tcPr>
            <w:tcW w:w="2340" w:type="dxa"/>
            <w:vMerge/>
            <w:tcBorders>
              <w:bottom w:val="single" w:sz="12" w:space="0" w:color="auto"/>
            </w:tcBorders>
            <w:shd w:val="clear" w:color="auto" w:fill="auto"/>
            <w:vAlign w:val="bottom"/>
          </w:tcPr>
          <w:p w14:paraId="1C1CE8BA" w14:textId="3925C7CA" w:rsidR="00BA1559" w:rsidRPr="002743B0" w:rsidRDefault="00BA1559" w:rsidP="002743B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bottom w:val="single" w:sz="12" w:space="0" w:color="auto"/>
            </w:tcBorders>
            <w:shd w:val="clear" w:color="auto" w:fill="auto"/>
            <w:vAlign w:val="bottom"/>
          </w:tcPr>
          <w:p w14:paraId="1C18D6C7" w14:textId="6975B228" w:rsidR="00BA1559" w:rsidRPr="002743B0" w:rsidRDefault="00BA1559" w:rsidP="002743B0">
            <w:pPr>
              <w:tabs>
                <w:tab w:val="left" w:pos="288"/>
                <w:tab w:val="left" w:pos="576"/>
                <w:tab w:val="left" w:pos="864"/>
                <w:tab w:val="left" w:pos="1152"/>
              </w:tabs>
              <w:spacing w:before="80" w:after="80" w:line="160" w:lineRule="exact"/>
              <w:ind w:right="40"/>
              <w:jc w:val="right"/>
              <w:rPr>
                <w:i/>
                <w:sz w:val="14"/>
              </w:rPr>
            </w:pPr>
            <w:r>
              <w:rPr>
                <w:i/>
                <w:sz w:val="14"/>
              </w:rPr>
              <w:t>2022</w:t>
            </w:r>
          </w:p>
        </w:tc>
        <w:tc>
          <w:tcPr>
            <w:tcW w:w="810" w:type="dxa"/>
            <w:tcBorders>
              <w:top w:val="single" w:sz="4" w:space="0" w:color="auto"/>
              <w:bottom w:val="single" w:sz="12" w:space="0" w:color="auto"/>
            </w:tcBorders>
            <w:shd w:val="clear" w:color="auto" w:fill="auto"/>
            <w:vAlign w:val="bottom"/>
          </w:tcPr>
          <w:p w14:paraId="7FF45466" w14:textId="66B46332" w:rsidR="00BA1559" w:rsidRPr="002743B0" w:rsidRDefault="00BA1559" w:rsidP="002743B0">
            <w:pPr>
              <w:tabs>
                <w:tab w:val="left" w:pos="288"/>
                <w:tab w:val="left" w:pos="576"/>
                <w:tab w:val="left" w:pos="864"/>
                <w:tab w:val="left" w:pos="1152"/>
              </w:tabs>
              <w:spacing w:before="80" w:after="80" w:line="160" w:lineRule="exact"/>
              <w:ind w:right="40"/>
              <w:jc w:val="right"/>
              <w:rPr>
                <w:i/>
                <w:sz w:val="14"/>
              </w:rPr>
            </w:pPr>
            <w:r>
              <w:rPr>
                <w:i/>
                <w:sz w:val="14"/>
              </w:rPr>
              <w:t>2023</w:t>
            </w:r>
          </w:p>
        </w:tc>
        <w:tc>
          <w:tcPr>
            <w:tcW w:w="900" w:type="dxa"/>
            <w:gridSpan w:val="2"/>
            <w:tcBorders>
              <w:bottom w:val="single" w:sz="12" w:space="0" w:color="auto"/>
            </w:tcBorders>
            <w:shd w:val="clear" w:color="auto" w:fill="auto"/>
            <w:vAlign w:val="bottom"/>
          </w:tcPr>
          <w:p w14:paraId="5B56D187" w14:textId="40F6EB37" w:rsidR="00BA1559" w:rsidRPr="002743B0" w:rsidRDefault="00BA1559" w:rsidP="002743B0">
            <w:pPr>
              <w:tabs>
                <w:tab w:val="left" w:pos="288"/>
                <w:tab w:val="left" w:pos="576"/>
                <w:tab w:val="left" w:pos="864"/>
                <w:tab w:val="left" w:pos="1152"/>
              </w:tabs>
              <w:spacing w:before="80" w:after="80" w:line="160" w:lineRule="exact"/>
              <w:ind w:right="40"/>
              <w:jc w:val="right"/>
              <w:rPr>
                <w:i/>
                <w:sz w:val="14"/>
              </w:rPr>
            </w:pPr>
            <w:r>
              <w:rPr>
                <w:i/>
                <w:sz w:val="14"/>
              </w:rPr>
              <w:t>Total sexo femenino</w:t>
            </w:r>
          </w:p>
        </w:tc>
        <w:tc>
          <w:tcPr>
            <w:tcW w:w="810" w:type="dxa"/>
            <w:tcBorders>
              <w:top w:val="single" w:sz="4" w:space="0" w:color="auto"/>
              <w:bottom w:val="single" w:sz="12" w:space="0" w:color="auto"/>
            </w:tcBorders>
            <w:shd w:val="clear" w:color="auto" w:fill="auto"/>
            <w:vAlign w:val="bottom"/>
          </w:tcPr>
          <w:p w14:paraId="2CB10747" w14:textId="05F79021" w:rsidR="00BA1559" w:rsidRPr="002743B0" w:rsidRDefault="00BA1559" w:rsidP="002743B0">
            <w:pPr>
              <w:tabs>
                <w:tab w:val="left" w:pos="288"/>
                <w:tab w:val="left" w:pos="576"/>
                <w:tab w:val="left" w:pos="864"/>
                <w:tab w:val="left" w:pos="1152"/>
              </w:tabs>
              <w:spacing w:before="80" w:after="80" w:line="160" w:lineRule="exact"/>
              <w:ind w:right="40"/>
              <w:jc w:val="right"/>
              <w:rPr>
                <w:i/>
                <w:sz w:val="14"/>
              </w:rPr>
            </w:pPr>
            <w:r>
              <w:rPr>
                <w:i/>
                <w:sz w:val="14"/>
              </w:rPr>
              <w:t>2022</w:t>
            </w:r>
          </w:p>
        </w:tc>
        <w:tc>
          <w:tcPr>
            <w:tcW w:w="900" w:type="dxa"/>
            <w:tcBorders>
              <w:top w:val="single" w:sz="4" w:space="0" w:color="auto"/>
              <w:bottom w:val="single" w:sz="12" w:space="0" w:color="auto"/>
            </w:tcBorders>
            <w:shd w:val="clear" w:color="auto" w:fill="auto"/>
            <w:vAlign w:val="bottom"/>
          </w:tcPr>
          <w:p w14:paraId="1E710377" w14:textId="3325D195" w:rsidR="00BA1559" w:rsidRPr="002743B0" w:rsidRDefault="00BA1559" w:rsidP="002743B0">
            <w:pPr>
              <w:tabs>
                <w:tab w:val="left" w:pos="288"/>
                <w:tab w:val="left" w:pos="576"/>
                <w:tab w:val="left" w:pos="864"/>
                <w:tab w:val="left" w:pos="1152"/>
              </w:tabs>
              <w:spacing w:before="80" w:after="80" w:line="160" w:lineRule="exact"/>
              <w:ind w:right="40"/>
              <w:jc w:val="right"/>
              <w:rPr>
                <w:i/>
                <w:sz w:val="14"/>
              </w:rPr>
            </w:pPr>
            <w:r>
              <w:rPr>
                <w:i/>
                <w:sz w:val="14"/>
              </w:rPr>
              <w:t>2023</w:t>
            </w:r>
          </w:p>
        </w:tc>
        <w:tc>
          <w:tcPr>
            <w:tcW w:w="918" w:type="dxa"/>
            <w:tcBorders>
              <w:bottom w:val="single" w:sz="12" w:space="0" w:color="auto"/>
            </w:tcBorders>
            <w:shd w:val="clear" w:color="auto" w:fill="auto"/>
            <w:vAlign w:val="bottom"/>
          </w:tcPr>
          <w:p w14:paraId="709EA972" w14:textId="32730E04" w:rsidR="00BA1559" w:rsidRPr="002743B0" w:rsidRDefault="00BA1559" w:rsidP="002743B0">
            <w:pPr>
              <w:tabs>
                <w:tab w:val="left" w:pos="288"/>
                <w:tab w:val="left" w:pos="576"/>
                <w:tab w:val="left" w:pos="864"/>
                <w:tab w:val="left" w:pos="1152"/>
              </w:tabs>
              <w:spacing w:before="80" w:after="80" w:line="160" w:lineRule="exact"/>
              <w:ind w:right="40"/>
              <w:jc w:val="right"/>
              <w:rPr>
                <w:i/>
                <w:sz w:val="14"/>
              </w:rPr>
            </w:pPr>
            <w:r>
              <w:rPr>
                <w:i/>
                <w:sz w:val="14"/>
              </w:rPr>
              <w:t>Total sexo masculino</w:t>
            </w:r>
          </w:p>
        </w:tc>
      </w:tr>
      <w:tr w:rsidR="00BA1559" w:rsidRPr="002743B0" w14:paraId="70739018" w14:textId="77777777" w:rsidTr="00D849F6">
        <w:trPr>
          <w:trHeight w:hRule="exact" w:val="115"/>
          <w:tblHeader/>
        </w:trPr>
        <w:tc>
          <w:tcPr>
            <w:tcW w:w="2340" w:type="dxa"/>
            <w:tcBorders>
              <w:top w:val="single" w:sz="12" w:space="0" w:color="auto"/>
            </w:tcBorders>
            <w:shd w:val="clear" w:color="auto" w:fill="auto"/>
            <w:vAlign w:val="bottom"/>
          </w:tcPr>
          <w:p w14:paraId="0E85DEFE" w14:textId="77777777" w:rsidR="002743B0" w:rsidRPr="002743B0" w:rsidRDefault="002743B0" w:rsidP="002743B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shd w:val="clear" w:color="auto" w:fill="auto"/>
            <w:vAlign w:val="bottom"/>
          </w:tcPr>
          <w:p w14:paraId="40C86BC6" w14:textId="7777777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vAlign w:val="bottom"/>
          </w:tcPr>
          <w:p w14:paraId="63DB6FEE" w14:textId="7777777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shd w:val="clear" w:color="auto" w:fill="auto"/>
            <w:vAlign w:val="bottom"/>
          </w:tcPr>
          <w:p w14:paraId="7461F7F7" w14:textId="7777777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vAlign w:val="bottom"/>
          </w:tcPr>
          <w:p w14:paraId="6D72BE42" w14:textId="7777777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shd w:val="clear" w:color="auto" w:fill="auto"/>
            <w:vAlign w:val="bottom"/>
          </w:tcPr>
          <w:p w14:paraId="65F9C9CF" w14:textId="7777777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shd w:val="clear" w:color="auto" w:fill="auto"/>
            <w:vAlign w:val="bottom"/>
          </w:tcPr>
          <w:p w14:paraId="3ABFF054" w14:textId="77777777" w:rsidR="002743B0" w:rsidRPr="002743B0" w:rsidRDefault="002743B0" w:rsidP="002743B0">
            <w:pPr>
              <w:tabs>
                <w:tab w:val="left" w:pos="288"/>
                <w:tab w:val="left" w:pos="576"/>
                <w:tab w:val="left" w:pos="864"/>
                <w:tab w:val="left" w:pos="1152"/>
              </w:tabs>
              <w:spacing w:before="40" w:after="40" w:line="210" w:lineRule="exact"/>
              <w:ind w:right="40"/>
              <w:jc w:val="right"/>
              <w:rPr>
                <w:sz w:val="17"/>
              </w:rPr>
            </w:pPr>
          </w:p>
        </w:tc>
      </w:tr>
      <w:tr w:rsidR="00BA1559" w:rsidRPr="002743B0" w14:paraId="4C1DA084" w14:textId="77777777" w:rsidTr="00D849F6">
        <w:tc>
          <w:tcPr>
            <w:tcW w:w="2340" w:type="dxa"/>
            <w:shd w:val="clear" w:color="auto" w:fill="auto"/>
          </w:tcPr>
          <w:p w14:paraId="3DD9ADBF" w14:textId="2A9D6429" w:rsidR="005A582B" w:rsidRPr="00D849F6" w:rsidRDefault="005A582B" w:rsidP="005A582B">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Trata</w:t>
            </w:r>
          </w:p>
        </w:tc>
        <w:tc>
          <w:tcPr>
            <w:tcW w:w="810" w:type="dxa"/>
            <w:shd w:val="clear" w:color="auto" w:fill="auto"/>
            <w:vAlign w:val="bottom"/>
          </w:tcPr>
          <w:p w14:paraId="62EB3CA5" w14:textId="4E5F223A"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5</w:t>
            </w:r>
          </w:p>
        </w:tc>
        <w:tc>
          <w:tcPr>
            <w:tcW w:w="810" w:type="dxa"/>
            <w:shd w:val="clear" w:color="auto" w:fill="auto"/>
            <w:vAlign w:val="bottom"/>
          </w:tcPr>
          <w:p w14:paraId="75827D73" w14:textId="32B0FB77"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7</w:t>
            </w:r>
          </w:p>
        </w:tc>
        <w:tc>
          <w:tcPr>
            <w:tcW w:w="900" w:type="dxa"/>
            <w:gridSpan w:val="2"/>
            <w:shd w:val="clear" w:color="auto" w:fill="auto"/>
            <w:vAlign w:val="bottom"/>
          </w:tcPr>
          <w:p w14:paraId="2A139A1E" w14:textId="4AABC964"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12</w:t>
            </w:r>
          </w:p>
        </w:tc>
        <w:tc>
          <w:tcPr>
            <w:tcW w:w="810" w:type="dxa"/>
            <w:shd w:val="clear" w:color="auto" w:fill="auto"/>
            <w:vAlign w:val="bottom"/>
          </w:tcPr>
          <w:p w14:paraId="4D0C35C2" w14:textId="3B59CDE8"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2</w:t>
            </w:r>
          </w:p>
        </w:tc>
        <w:tc>
          <w:tcPr>
            <w:tcW w:w="900" w:type="dxa"/>
            <w:shd w:val="clear" w:color="auto" w:fill="auto"/>
            <w:vAlign w:val="bottom"/>
          </w:tcPr>
          <w:p w14:paraId="68772A8B" w14:textId="7F3D092E"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4</w:t>
            </w:r>
          </w:p>
        </w:tc>
        <w:tc>
          <w:tcPr>
            <w:tcW w:w="918" w:type="dxa"/>
            <w:shd w:val="clear" w:color="auto" w:fill="auto"/>
            <w:vAlign w:val="bottom"/>
          </w:tcPr>
          <w:p w14:paraId="3EA7F2E2" w14:textId="639629FC"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6</w:t>
            </w:r>
          </w:p>
        </w:tc>
      </w:tr>
      <w:tr w:rsidR="00BA1559" w:rsidRPr="002743B0" w14:paraId="1C15EBE3" w14:textId="77777777" w:rsidTr="00D849F6">
        <w:tc>
          <w:tcPr>
            <w:tcW w:w="2340" w:type="dxa"/>
            <w:shd w:val="clear" w:color="auto" w:fill="auto"/>
          </w:tcPr>
          <w:p w14:paraId="27A3CEAE" w14:textId="73184A44" w:rsidR="005A582B" w:rsidRPr="00D849F6" w:rsidRDefault="005A582B" w:rsidP="005A582B">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Explotación Sexual de Niño, Niña o Adolescente</w:t>
            </w:r>
          </w:p>
        </w:tc>
        <w:tc>
          <w:tcPr>
            <w:tcW w:w="810" w:type="dxa"/>
            <w:shd w:val="clear" w:color="auto" w:fill="auto"/>
            <w:vAlign w:val="bottom"/>
          </w:tcPr>
          <w:p w14:paraId="523CC42C" w14:textId="12D5A78E"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27</w:t>
            </w:r>
          </w:p>
        </w:tc>
        <w:tc>
          <w:tcPr>
            <w:tcW w:w="810" w:type="dxa"/>
            <w:shd w:val="clear" w:color="auto" w:fill="auto"/>
            <w:vAlign w:val="bottom"/>
          </w:tcPr>
          <w:p w14:paraId="003EB975" w14:textId="2989A17E"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42</w:t>
            </w:r>
          </w:p>
        </w:tc>
        <w:tc>
          <w:tcPr>
            <w:tcW w:w="900" w:type="dxa"/>
            <w:gridSpan w:val="2"/>
            <w:shd w:val="clear" w:color="auto" w:fill="auto"/>
            <w:vAlign w:val="bottom"/>
          </w:tcPr>
          <w:p w14:paraId="015D7F72" w14:textId="20052D60"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69</w:t>
            </w:r>
          </w:p>
        </w:tc>
        <w:tc>
          <w:tcPr>
            <w:tcW w:w="810" w:type="dxa"/>
            <w:shd w:val="clear" w:color="auto" w:fill="auto"/>
            <w:vAlign w:val="bottom"/>
          </w:tcPr>
          <w:p w14:paraId="7AEEE5E5" w14:textId="01AA841C"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1</w:t>
            </w:r>
          </w:p>
        </w:tc>
        <w:tc>
          <w:tcPr>
            <w:tcW w:w="900" w:type="dxa"/>
            <w:shd w:val="clear" w:color="auto" w:fill="auto"/>
            <w:vAlign w:val="bottom"/>
          </w:tcPr>
          <w:p w14:paraId="39F67438" w14:textId="059ADD8C"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8</w:t>
            </w:r>
          </w:p>
        </w:tc>
        <w:tc>
          <w:tcPr>
            <w:tcW w:w="918" w:type="dxa"/>
            <w:shd w:val="clear" w:color="auto" w:fill="auto"/>
            <w:vAlign w:val="bottom"/>
          </w:tcPr>
          <w:p w14:paraId="3ED5687A" w14:textId="21320042" w:rsidR="005A582B" w:rsidRPr="00BA1559" w:rsidRDefault="005A582B" w:rsidP="005A582B">
            <w:pPr>
              <w:tabs>
                <w:tab w:val="left" w:pos="288"/>
                <w:tab w:val="left" w:pos="576"/>
                <w:tab w:val="left" w:pos="864"/>
                <w:tab w:val="left" w:pos="1152"/>
              </w:tabs>
              <w:spacing w:before="40" w:after="40" w:line="210" w:lineRule="exact"/>
              <w:ind w:right="43"/>
              <w:jc w:val="right"/>
              <w:rPr>
                <w:sz w:val="17"/>
                <w:szCs w:val="17"/>
              </w:rPr>
            </w:pPr>
            <w:r w:rsidRPr="00BA1559">
              <w:rPr>
                <w:sz w:val="17"/>
                <w:szCs w:val="17"/>
                <w:lang w:val="es-PY"/>
              </w:rPr>
              <w:t>9</w:t>
            </w:r>
          </w:p>
        </w:tc>
      </w:tr>
      <w:tr w:rsidR="00BA1559" w:rsidRPr="002743B0" w14:paraId="2BA01CEE" w14:textId="77777777" w:rsidTr="00D849F6">
        <w:tc>
          <w:tcPr>
            <w:tcW w:w="2340" w:type="dxa"/>
            <w:tcBorders>
              <w:bottom w:val="single" w:sz="4" w:space="0" w:color="auto"/>
            </w:tcBorders>
            <w:shd w:val="clear" w:color="auto" w:fill="auto"/>
          </w:tcPr>
          <w:p w14:paraId="10071598" w14:textId="05E5F696" w:rsidR="005A582B" w:rsidRPr="00D849F6" w:rsidRDefault="005A582B" w:rsidP="005A582B">
            <w:pPr>
              <w:tabs>
                <w:tab w:val="left" w:pos="288"/>
                <w:tab w:val="left" w:pos="576"/>
                <w:tab w:val="left" w:pos="864"/>
                <w:tab w:val="left" w:pos="1152"/>
              </w:tabs>
              <w:spacing w:before="40" w:after="81" w:line="210" w:lineRule="exact"/>
              <w:ind w:right="40"/>
              <w:rPr>
                <w:sz w:val="17"/>
                <w:szCs w:val="17"/>
              </w:rPr>
            </w:pPr>
            <w:r w:rsidRPr="00D849F6">
              <w:rPr>
                <w:sz w:val="17"/>
                <w:szCs w:val="17"/>
                <w:lang w:val="es-PY"/>
              </w:rPr>
              <w:t>Otras vulneraciones</w:t>
            </w:r>
          </w:p>
        </w:tc>
        <w:tc>
          <w:tcPr>
            <w:tcW w:w="810" w:type="dxa"/>
            <w:tcBorders>
              <w:bottom w:val="single" w:sz="4" w:space="0" w:color="auto"/>
            </w:tcBorders>
            <w:shd w:val="clear" w:color="auto" w:fill="auto"/>
            <w:vAlign w:val="bottom"/>
          </w:tcPr>
          <w:p w14:paraId="7AD42F8C" w14:textId="16409785" w:rsidR="005A582B" w:rsidRPr="00BA1559" w:rsidRDefault="005A582B" w:rsidP="005A582B">
            <w:pPr>
              <w:tabs>
                <w:tab w:val="left" w:pos="288"/>
                <w:tab w:val="left" w:pos="576"/>
                <w:tab w:val="left" w:pos="864"/>
                <w:tab w:val="left" w:pos="1152"/>
              </w:tabs>
              <w:spacing w:before="40" w:after="81" w:line="210" w:lineRule="exact"/>
              <w:ind w:right="43"/>
              <w:jc w:val="right"/>
              <w:rPr>
                <w:sz w:val="17"/>
                <w:szCs w:val="17"/>
              </w:rPr>
            </w:pPr>
            <w:r w:rsidRPr="00BA1559">
              <w:rPr>
                <w:sz w:val="17"/>
                <w:szCs w:val="17"/>
                <w:lang w:val="es-PY"/>
              </w:rPr>
              <w:t>4</w:t>
            </w:r>
          </w:p>
        </w:tc>
        <w:tc>
          <w:tcPr>
            <w:tcW w:w="810" w:type="dxa"/>
            <w:tcBorders>
              <w:bottom w:val="single" w:sz="4" w:space="0" w:color="auto"/>
            </w:tcBorders>
            <w:shd w:val="clear" w:color="auto" w:fill="auto"/>
            <w:vAlign w:val="bottom"/>
          </w:tcPr>
          <w:p w14:paraId="39310B11" w14:textId="470192B5" w:rsidR="005A582B" w:rsidRPr="00BA1559" w:rsidRDefault="005A582B" w:rsidP="005A582B">
            <w:pPr>
              <w:tabs>
                <w:tab w:val="left" w:pos="288"/>
                <w:tab w:val="left" w:pos="576"/>
                <w:tab w:val="left" w:pos="864"/>
                <w:tab w:val="left" w:pos="1152"/>
              </w:tabs>
              <w:spacing w:before="40" w:after="81" w:line="210" w:lineRule="exact"/>
              <w:ind w:right="43"/>
              <w:jc w:val="right"/>
              <w:rPr>
                <w:sz w:val="17"/>
                <w:szCs w:val="17"/>
              </w:rPr>
            </w:pPr>
            <w:r w:rsidRPr="00BA1559">
              <w:rPr>
                <w:sz w:val="17"/>
                <w:szCs w:val="17"/>
                <w:lang w:val="es-PY"/>
              </w:rPr>
              <w:t>1</w:t>
            </w:r>
          </w:p>
        </w:tc>
        <w:tc>
          <w:tcPr>
            <w:tcW w:w="900" w:type="dxa"/>
            <w:gridSpan w:val="2"/>
            <w:tcBorders>
              <w:bottom w:val="single" w:sz="4" w:space="0" w:color="auto"/>
            </w:tcBorders>
            <w:shd w:val="clear" w:color="auto" w:fill="auto"/>
            <w:vAlign w:val="bottom"/>
          </w:tcPr>
          <w:p w14:paraId="298252BC" w14:textId="22661398" w:rsidR="005A582B" w:rsidRPr="00BA1559" w:rsidRDefault="005A582B" w:rsidP="005A582B">
            <w:pPr>
              <w:tabs>
                <w:tab w:val="left" w:pos="288"/>
                <w:tab w:val="left" w:pos="576"/>
                <w:tab w:val="left" w:pos="864"/>
                <w:tab w:val="left" w:pos="1152"/>
              </w:tabs>
              <w:spacing w:before="40" w:after="81" w:line="210" w:lineRule="exact"/>
              <w:ind w:right="43"/>
              <w:jc w:val="right"/>
              <w:rPr>
                <w:sz w:val="17"/>
                <w:szCs w:val="17"/>
              </w:rPr>
            </w:pPr>
            <w:r w:rsidRPr="00BA1559">
              <w:rPr>
                <w:sz w:val="17"/>
                <w:szCs w:val="17"/>
                <w:lang w:val="es-PY"/>
              </w:rPr>
              <w:t>5</w:t>
            </w:r>
          </w:p>
        </w:tc>
        <w:tc>
          <w:tcPr>
            <w:tcW w:w="810" w:type="dxa"/>
            <w:tcBorders>
              <w:bottom w:val="single" w:sz="4" w:space="0" w:color="auto"/>
            </w:tcBorders>
            <w:shd w:val="clear" w:color="auto" w:fill="auto"/>
            <w:vAlign w:val="bottom"/>
          </w:tcPr>
          <w:p w14:paraId="07ACBBAF" w14:textId="77237B42" w:rsidR="005A582B" w:rsidRPr="00BA1559" w:rsidRDefault="005A582B" w:rsidP="005A582B">
            <w:pPr>
              <w:tabs>
                <w:tab w:val="left" w:pos="288"/>
                <w:tab w:val="left" w:pos="576"/>
                <w:tab w:val="left" w:pos="864"/>
                <w:tab w:val="left" w:pos="1152"/>
              </w:tabs>
              <w:spacing w:before="40" w:after="81" w:line="210" w:lineRule="exact"/>
              <w:ind w:right="43"/>
              <w:jc w:val="right"/>
              <w:rPr>
                <w:sz w:val="17"/>
                <w:szCs w:val="17"/>
              </w:rPr>
            </w:pPr>
            <w:r w:rsidRPr="00BA1559">
              <w:rPr>
                <w:sz w:val="17"/>
                <w:szCs w:val="17"/>
              </w:rPr>
              <w:t>–</w:t>
            </w:r>
          </w:p>
        </w:tc>
        <w:tc>
          <w:tcPr>
            <w:tcW w:w="900" w:type="dxa"/>
            <w:tcBorders>
              <w:bottom w:val="single" w:sz="4" w:space="0" w:color="auto"/>
            </w:tcBorders>
            <w:shd w:val="clear" w:color="auto" w:fill="auto"/>
            <w:vAlign w:val="bottom"/>
          </w:tcPr>
          <w:p w14:paraId="08A8E3B2" w14:textId="273C8ADD" w:rsidR="005A582B" w:rsidRPr="00BA1559" w:rsidRDefault="005A582B" w:rsidP="005A582B">
            <w:pPr>
              <w:tabs>
                <w:tab w:val="left" w:pos="288"/>
                <w:tab w:val="left" w:pos="576"/>
                <w:tab w:val="left" w:pos="864"/>
                <w:tab w:val="left" w:pos="1152"/>
              </w:tabs>
              <w:spacing w:before="40" w:after="81" w:line="210" w:lineRule="exact"/>
              <w:ind w:right="43"/>
              <w:jc w:val="right"/>
              <w:rPr>
                <w:sz w:val="17"/>
                <w:szCs w:val="17"/>
              </w:rPr>
            </w:pPr>
            <w:r w:rsidRPr="00BA1559">
              <w:rPr>
                <w:sz w:val="17"/>
                <w:szCs w:val="17"/>
              </w:rPr>
              <w:t>–</w:t>
            </w:r>
          </w:p>
        </w:tc>
        <w:tc>
          <w:tcPr>
            <w:tcW w:w="918" w:type="dxa"/>
            <w:tcBorders>
              <w:bottom w:val="single" w:sz="4" w:space="0" w:color="auto"/>
            </w:tcBorders>
            <w:shd w:val="clear" w:color="auto" w:fill="auto"/>
            <w:vAlign w:val="bottom"/>
          </w:tcPr>
          <w:p w14:paraId="5233E334" w14:textId="58A80BBD" w:rsidR="005A582B" w:rsidRPr="00BA1559" w:rsidRDefault="005A582B" w:rsidP="005A582B">
            <w:pPr>
              <w:tabs>
                <w:tab w:val="left" w:pos="288"/>
                <w:tab w:val="left" w:pos="576"/>
                <w:tab w:val="left" w:pos="864"/>
                <w:tab w:val="left" w:pos="1152"/>
              </w:tabs>
              <w:spacing w:before="40" w:after="81" w:line="210" w:lineRule="exact"/>
              <w:ind w:right="43"/>
              <w:jc w:val="right"/>
              <w:rPr>
                <w:sz w:val="17"/>
                <w:szCs w:val="17"/>
              </w:rPr>
            </w:pPr>
            <w:r w:rsidRPr="00BA1559">
              <w:rPr>
                <w:sz w:val="17"/>
                <w:szCs w:val="17"/>
              </w:rPr>
              <w:t>–</w:t>
            </w:r>
          </w:p>
        </w:tc>
      </w:tr>
      <w:tr w:rsidR="00BA1559" w:rsidRPr="005A582B" w14:paraId="20802D94" w14:textId="77777777" w:rsidTr="00D849F6">
        <w:tc>
          <w:tcPr>
            <w:tcW w:w="2340" w:type="dxa"/>
            <w:tcBorders>
              <w:top w:val="single" w:sz="4" w:space="0" w:color="auto"/>
              <w:bottom w:val="single" w:sz="12" w:space="0" w:color="auto"/>
            </w:tcBorders>
            <w:shd w:val="clear" w:color="auto" w:fill="auto"/>
          </w:tcPr>
          <w:p w14:paraId="3882A489" w14:textId="0B8BF4D4" w:rsidR="005A582B" w:rsidRPr="00D849F6" w:rsidRDefault="005A582B" w:rsidP="005A582B">
            <w:pPr>
              <w:tabs>
                <w:tab w:val="left" w:pos="288"/>
                <w:tab w:val="left" w:pos="576"/>
                <w:tab w:val="left" w:pos="864"/>
                <w:tab w:val="left" w:pos="1152"/>
              </w:tabs>
              <w:spacing w:before="81" w:after="81" w:line="210" w:lineRule="exact"/>
              <w:ind w:left="288" w:right="40" w:hanging="288"/>
              <w:rPr>
                <w:b/>
                <w:sz w:val="17"/>
                <w:szCs w:val="17"/>
              </w:rPr>
            </w:pPr>
            <w:r w:rsidRPr="00D849F6">
              <w:rPr>
                <w:b/>
                <w:sz w:val="17"/>
                <w:szCs w:val="17"/>
                <w:lang w:val="es-PY"/>
              </w:rPr>
              <w:tab/>
              <w:t>Total</w:t>
            </w:r>
          </w:p>
        </w:tc>
        <w:tc>
          <w:tcPr>
            <w:tcW w:w="810" w:type="dxa"/>
            <w:tcBorders>
              <w:top w:val="single" w:sz="4" w:space="0" w:color="auto"/>
              <w:bottom w:val="single" w:sz="12" w:space="0" w:color="auto"/>
            </w:tcBorders>
            <w:shd w:val="clear" w:color="auto" w:fill="auto"/>
            <w:vAlign w:val="bottom"/>
          </w:tcPr>
          <w:p w14:paraId="06EEFFF4" w14:textId="08D92B2D" w:rsidR="005A582B" w:rsidRPr="00BA1559" w:rsidRDefault="005A582B" w:rsidP="005A582B">
            <w:pPr>
              <w:tabs>
                <w:tab w:val="left" w:pos="288"/>
                <w:tab w:val="left" w:pos="576"/>
                <w:tab w:val="left" w:pos="864"/>
                <w:tab w:val="left" w:pos="1152"/>
              </w:tabs>
              <w:spacing w:before="81" w:after="81" w:line="210" w:lineRule="exact"/>
              <w:ind w:right="43"/>
              <w:jc w:val="right"/>
              <w:rPr>
                <w:b/>
                <w:sz w:val="17"/>
                <w:szCs w:val="17"/>
              </w:rPr>
            </w:pPr>
            <w:r w:rsidRPr="00BA1559">
              <w:rPr>
                <w:b/>
                <w:sz w:val="17"/>
                <w:szCs w:val="17"/>
                <w:lang w:val="es-PY"/>
              </w:rPr>
              <w:t>36</w:t>
            </w:r>
          </w:p>
        </w:tc>
        <w:tc>
          <w:tcPr>
            <w:tcW w:w="810" w:type="dxa"/>
            <w:tcBorders>
              <w:top w:val="single" w:sz="4" w:space="0" w:color="auto"/>
              <w:bottom w:val="single" w:sz="12" w:space="0" w:color="auto"/>
            </w:tcBorders>
            <w:shd w:val="clear" w:color="auto" w:fill="auto"/>
            <w:vAlign w:val="bottom"/>
          </w:tcPr>
          <w:p w14:paraId="19DDE180" w14:textId="0E5A20F0" w:rsidR="005A582B" w:rsidRPr="00BA1559" w:rsidRDefault="005A582B" w:rsidP="005A582B">
            <w:pPr>
              <w:tabs>
                <w:tab w:val="left" w:pos="288"/>
                <w:tab w:val="left" w:pos="576"/>
                <w:tab w:val="left" w:pos="864"/>
                <w:tab w:val="left" w:pos="1152"/>
              </w:tabs>
              <w:spacing w:before="81" w:after="81" w:line="210" w:lineRule="exact"/>
              <w:ind w:right="43"/>
              <w:jc w:val="right"/>
              <w:rPr>
                <w:b/>
                <w:sz w:val="17"/>
                <w:szCs w:val="17"/>
              </w:rPr>
            </w:pPr>
            <w:r w:rsidRPr="00BA1559">
              <w:rPr>
                <w:b/>
                <w:sz w:val="17"/>
                <w:szCs w:val="17"/>
                <w:lang w:val="es-PY"/>
              </w:rPr>
              <w:t>50</w:t>
            </w:r>
          </w:p>
        </w:tc>
        <w:tc>
          <w:tcPr>
            <w:tcW w:w="900" w:type="dxa"/>
            <w:gridSpan w:val="2"/>
            <w:tcBorders>
              <w:top w:val="single" w:sz="4" w:space="0" w:color="auto"/>
              <w:bottom w:val="single" w:sz="12" w:space="0" w:color="auto"/>
            </w:tcBorders>
            <w:shd w:val="clear" w:color="auto" w:fill="auto"/>
            <w:vAlign w:val="bottom"/>
          </w:tcPr>
          <w:p w14:paraId="7020A544" w14:textId="32AE5B84" w:rsidR="005A582B" w:rsidRPr="00BA1559" w:rsidRDefault="005A582B" w:rsidP="005A582B">
            <w:pPr>
              <w:tabs>
                <w:tab w:val="left" w:pos="288"/>
                <w:tab w:val="left" w:pos="576"/>
                <w:tab w:val="left" w:pos="864"/>
                <w:tab w:val="left" w:pos="1152"/>
              </w:tabs>
              <w:spacing w:before="81" w:after="81" w:line="210" w:lineRule="exact"/>
              <w:ind w:right="43"/>
              <w:jc w:val="right"/>
              <w:rPr>
                <w:b/>
                <w:sz w:val="17"/>
                <w:szCs w:val="17"/>
              </w:rPr>
            </w:pPr>
            <w:r w:rsidRPr="00BA1559">
              <w:rPr>
                <w:b/>
                <w:sz w:val="17"/>
                <w:szCs w:val="17"/>
                <w:lang w:val="es-PY"/>
              </w:rPr>
              <w:t>86</w:t>
            </w:r>
          </w:p>
        </w:tc>
        <w:tc>
          <w:tcPr>
            <w:tcW w:w="810" w:type="dxa"/>
            <w:tcBorders>
              <w:top w:val="single" w:sz="4" w:space="0" w:color="auto"/>
              <w:bottom w:val="single" w:sz="12" w:space="0" w:color="auto"/>
            </w:tcBorders>
            <w:shd w:val="clear" w:color="auto" w:fill="auto"/>
            <w:vAlign w:val="bottom"/>
          </w:tcPr>
          <w:p w14:paraId="2F7123A1" w14:textId="65F9945B" w:rsidR="005A582B" w:rsidRPr="00BA1559" w:rsidRDefault="005A582B" w:rsidP="005A582B">
            <w:pPr>
              <w:tabs>
                <w:tab w:val="left" w:pos="288"/>
                <w:tab w:val="left" w:pos="576"/>
                <w:tab w:val="left" w:pos="864"/>
                <w:tab w:val="left" w:pos="1152"/>
              </w:tabs>
              <w:spacing w:before="81" w:after="81" w:line="210" w:lineRule="exact"/>
              <w:ind w:right="43"/>
              <w:jc w:val="right"/>
              <w:rPr>
                <w:b/>
                <w:sz w:val="17"/>
                <w:szCs w:val="17"/>
              </w:rPr>
            </w:pPr>
            <w:r w:rsidRPr="00BA1559">
              <w:rPr>
                <w:b/>
                <w:sz w:val="17"/>
                <w:szCs w:val="17"/>
                <w:lang w:val="es-PY"/>
              </w:rPr>
              <w:t>3</w:t>
            </w:r>
          </w:p>
        </w:tc>
        <w:tc>
          <w:tcPr>
            <w:tcW w:w="900" w:type="dxa"/>
            <w:tcBorders>
              <w:top w:val="single" w:sz="4" w:space="0" w:color="auto"/>
              <w:bottom w:val="single" w:sz="12" w:space="0" w:color="auto"/>
            </w:tcBorders>
            <w:shd w:val="clear" w:color="auto" w:fill="auto"/>
            <w:vAlign w:val="bottom"/>
          </w:tcPr>
          <w:p w14:paraId="2270B021" w14:textId="32BD4E80" w:rsidR="005A582B" w:rsidRPr="00BA1559" w:rsidRDefault="005A582B" w:rsidP="005A582B">
            <w:pPr>
              <w:tabs>
                <w:tab w:val="left" w:pos="288"/>
                <w:tab w:val="left" w:pos="576"/>
                <w:tab w:val="left" w:pos="864"/>
                <w:tab w:val="left" w:pos="1152"/>
              </w:tabs>
              <w:spacing w:before="81" w:after="81" w:line="210" w:lineRule="exact"/>
              <w:ind w:right="43"/>
              <w:jc w:val="right"/>
              <w:rPr>
                <w:b/>
                <w:sz w:val="17"/>
                <w:szCs w:val="17"/>
              </w:rPr>
            </w:pPr>
            <w:r w:rsidRPr="00BA1559">
              <w:rPr>
                <w:b/>
                <w:sz w:val="17"/>
                <w:szCs w:val="17"/>
                <w:lang w:val="es-PY"/>
              </w:rPr>
              <w:t>12</w:t>
            </w:r>
          </w:p>
        </w:tc>
        <w:tc>
          <w:tcPr>
            <w:tcW w:w="918" w:type="dxa"/>
            <w:tcBorders>
              <w:top w:val="single" w:sz="4" w:space="0" w:color="auto"/>
              <w:bottom w:val="single" w:sz="12" w:space="0" w:color="auto"/>
            </w:tcBorders>
            <w:shd w:val="clear" w:color="auto" w:fill="auto"/>
            <w:vAlign w:val="bottom"/>
          </w:tcPr>
          <w:p w14:paraId="5821B741" w14:textId="237941CB" w:rsidR="005A582B" w:rsidRPr="00BA1559" w:rsidRDefault="005A582B" w:rsidP="005A582B">
            <w:pPr>
              <w:tabs>
                <w:tab w:val="left" w:pos="288"/>
                <w:tab w:val="left" w:pos="576"/>
                <w:tab w:val="left" w:pos="864"/>
                <w:tab w:val="left" w:pos="1152"/>
              </w:tabs>
              <w:spacing w:before="81" w:after="81" w:line="210" w:lineRule="exact"/>
              <w:ind w:right="43"/>
              <w:jc w:val="right"/>
              <w:rPr>
                <w:b/>
                <w:sz w:val="17"/>
                <w:szCs w:val="17"/>
              </w:rPr>
            </w:pPr>
            <w:r w:rsidRPr="00BA1559">
              <w:rPr>
                <w:b/>
                <w:sz w:val="17"/>
                <w:szCs w:val="17"/>
                <w:lang w:val="es-PY"/>
              </w:rPr>
              <w:t>15</w:t>
            </w:r>
          </w:p>
        </w:tc>
      </w:tr>
    </w:tbl>
    <w:p w14:paraId="5795C12B" w14:textId="77777777" w:rsidR="00583FBD" w:rsidRPr="005A582B" w:rsidRDefault="00583FBD" w:rsidP="005A582B">
      <w:pPr>
        <w:pStyle w:val="SingleTxt"/>
        <w:spacing w:after="0" w:line="120" w:lineRule="exact"/>
        <w:rPr>
          <w:sz w:val="10"/>
          <w:lang w:val="es-PY"/>
        </w:rPr>
      </w:pPr>
    </w:p>
    <w:p w14:paraId="762B44FD" w14:textId="77777777" w:rsidR="005A582B" w:rsidRPr="005A582B" w:rsidRDefault="005A582B" w:rsidP="005A582B">
      <w:pPr>
        <w:pStyle w:val="SingleTxt"/>
        <w:spacing w:after="0" w:line="120" w:lineRule="exact"/>
        <w:rPr>
          <w:sz w:val="10"/>
          <w:lang w:val="es-PY"/>
        </w:rPr>
      </w:pPr>
    </w:p>
    <w:p w14:paraId="27206CCF" w14:textId="133C0EDC" w:rsidR="00583FBD" w:rsidRPr="00B64C1B" w:rsidRDefault="00583FBD" w:rsidP="005A582B">
      <w:pPr>
        <w:pStyle w:val="SingleTxt"/>
        <w:numPr>
          <w:ilvl w:val="0"/>
          <w:numId w:val="44"/>
        </w:numPr>
        <w:ind w:left="1267"/>
        <w:rPr>
          <w:lang w:val="es-PY"/>
        </w:rPr>
      </w:pPr>
      <w:r w:rsidRPr="00B64C1B">
        <w:rPr>
          <w:lang w:val="es-PY"/>
        </w:rPr>
        <w:t>El MINMUJER dirige sus acciones principalmente hacia la prevención, denuncia y protección integral de las víctimas a través de campañas, capacitaciones y talleres de sensibilización, dirigidas al sector público y privado vinculados a la prevención o detección de posibles casos de Trata de Personas; articulación a través de la Mesa interinstitucional para la prevención y combate a la Trata para la creación y fortalecimiento de instancias a nivel departamental y distrital; y la</w:t>
      </w:r>
      <w:r w:rsidR="007E06AB">
        <w:rPr>
          <w:lang w:val="es-PY"/>
        </w:rPr>
        <w:t xml:space="preserve"> </w:t>
      </w:r>
      <w:r w:rsidRPr="00B64C1B">
        <w:rPr>
          <w:lang w:val="es-PY"/>
        </w:rPr>
        <w:t xml:space="preserve">atención integral y especializada a las mujeres afectadas por la trata mediante los Centros Regionales de Referencia, el albergue transitorio para las víctimas y el programa de reinserción social a víctimas. </w:t>
      </w:r>
    </w:p>
    <w:p w14:paraId="21FB010A" w14:textId="52EA7A06" w:rsidR="00583FBD" w:rsidRPr="00B64C1B" w:rsidRDefault="00583FBD" w:rsidP="005A582B">
      <w:pPr>
        <w:pStyle w:val="SingleTxt"/>
        <w:numPr>
          <w:ilvl w:val="0"/>
          <w:numId w:val="44"/>
        </w:numPr>
        <w:ind w:left="1267"/>
        <w:rPr>
          <w:lang w:val="es-PY"/>
        </w:rPr>
      </w:pPr>
      <w:r w:rsidRPr="00B64C1B">
        <w:rPr>
          <w:lang w:val="es-PY"/>
        </w:rPr>
        <w:t xml:space="preserve">Desde la </w:t>
      </w:r>
      <w:r w:rsidRPr="00B64C1B">
        <w:rPr>
          <w:bCs/>
          <w:lang w:val="es-PY"/>
        </w:rPr>
        <w:t>Unidad Especializada de Trata</w:t>
      </w:r>
      <w:r w:rsidRPr="00B64C1B">
        <w:rPr>
          <w:lang w:val="es-PY"/>
        </w:rPr>
        <w:t xml:space="preserve"> del MP se implementan mecanismos que posibilitan la pronta atención de situaciones de trata de personas, desde la realización de la denuncia, para lo cual trabaja coordinadamente con el MRE, MINMUJER, el MINNA y la PN. </w:t>
      </w:r>
      <w:r w:rsidRPr="00B64C1B">
        <w:rPr>
          <w:bCs/>
          <w:lang w:val="es-PY"/>
        </w:rPr>
        <w:t>Asimismo, se garantiza un abordaje especializado a través de un equipo técnico multidisciplinario integrado por profesionales psicólogos, trabajadores sociales y abogados, quienes intervienen con las víctimas desde una perspectiva de derechos humanos. Este equipo trabaja para minimizar la re victimización y para facilitar el acceso a la justicia articulando acciones con otras instituciones.</w:t>
      </w:r>
    </w:p>
    <w:p w14:paraId="3563AD2F" w14:textId="085827E7" w:rsidR="00583FBD" w:rsidRPr="00B64C1B" w:rsidRDefault="00583FBD" w:rsidP="005A582B">
      <w:pPr>
        <w:pStyle w:val="SingleTxt"/>
        <w:numPr>
          <w:ilvl w:val="0"/>
          <w:numId w:val="44"/>
        </w:numPr>
        <w:ind w:left="1267"/>
        <w:rPr>
          <w:lang w:val="es-PY"/>
        </w:rPr>
      </w:pPr>
      <w:r w:rsidRPr="00B64C1B">
        <w:rPr>
          <w:lang w:val="es-PY"/>
        </w:rPr>
        <w:t xml:space="preserve">A través de la </w:t>
      </w:r>
      <w:r w:rsidRPr="00B64C1B">
        <w:rPr>
          <w:bCs/>
          <w:lang w:val="es-PY"/>
        </w:rPr>
        <w:t xml:space="preserve">Dirección del Programa de Protección a Víctimas y Testigos, el MP </w:t>
      </w:r>
      <w:r w:rsidRPr="00B64C1B">
        <w:rPr>
          <w:lang w:val="es-PY"/>
        </w:rPr>
        <w:t xml:space="preserve">implementa medidas de asistencia y protección destinadas a testigos, víctimas-testigos, colaboradores eficaces y otras personas que se encuentren en riesgo o peligro por el hecho de cooperar con la justicia en el marco de un proceso judicial. La Dirección del Programa mantiene absoluta reserva sobre las causas en que toma intervención. Además, el MP cuenta con un </w:t>
      </w:r>
      <w:r w:rsidRPr="00B64C1B">
        <w:rPr>
          <w:bCs/>
          <w:lang w:val="es-PY"/>
        </w:rPr>
        <w:t>Centro de Atención a Víctimas (CAV),</w:t>
      </w:r>
      <w:r w:rsidRPr="00B64C1B">
        <w:rPr>
          <w:lang w:val="es-PY"/>
        </w:rPr>
        <w:t xml:space="preserve"> que experimentó mejoras con el fin de ofrecer privacidad, seguridad y espacio digno a quienes asiste. En ese marco, se inauguraron nuevas oficinas del CAV en las sedes del MP de Caaguazú y de Encarnación y se habilitaron nuevos espacios para la evaluación a víctimas en las sedes de Villarrica y de Quiindy. De esta manera, las víctimas son atendidas en la zona donde residen, y se evita su desplazamiento, cumpliendo así las recomendaciones de las </w:t>
      </w:r>
      <w:r w:rsidRPr="00B64C1B">
        <w:rPr>
          <w:iCs/>
          <w:lang w:val="es-PY"/>
        </w:rPr>
        <w:t>100 Reglas de Brasilia y las Guías de Santiago.</w:t>
      </w:r>
    </w:p>
    <w:p w14:paraId="4BF7A1AA" w14:textId="38FF75BA" w:rsidR="00583FBD" w:rsidRPr="00B64C1B" w:rsidRDefault="00583FBD" w:rsidP="005A582B">
      <w:pPr>
        <w:pStyle w:val="SingleTxt"/>
        <w:numPr>
          <w:ilvl w:val="0"/>
          <w:numId w:val="44"/>
        </w:numPr>
        <w:ind w:left="1267"/>
        <w:rPr>
          <w:lang w:val="es-PY"/>
        </w:rPr>
      </w:pPr>
      <w:r w:rsidRPr="00B64C1B">
        <w:rPr>
          <w:lang w:val="es-PY"/>
        </w:rPr>
        <w:t xml:space="preserve">El Ministerio de Desarrollo Social (MDS) por Resolución N°837/2021 </w:t>
      </w:r>
      <w:r w:rsidR="00F019B7">
        <w:rPr>
          <w:lang w:val="es-PY"/>
        </w:rPr>
        <w:t>“</w:t>
      </w:r>
      <w:r w:rsidRPr="00B64C1B">
        <w:rPr>
          <w:lang w:val="es-PY"/>
        </w:rPr>
        <w:t>Por la cual se aprueba el procedimiento de atención a solicitudes de inclusión preventiva de personas/familias, a los programas y proyectos del Ministerio de Desarrollo Social, provenientes de otras instituciones públicas</w:t>
      </w:r>
      <w:r w:rsidR="00F019B7">
        <w:rPr>
          <w:lang w:val="es-PY"/>
        </w:rPr>
        <w:t>”</w:t>
      </w:r>
      <w:r w:rsidRPr="00B64C1B">
        <w:rPr>
          <w:lang w:val="es-PY"/>
        </w:rPr>
        <w:t xml:space="preserve"> prioriza a víctimas de trata de personas. En ese mismo marco, se cuenta con un subsidio de repatriación que otorga la </w:t>
      </w:r>
      <w:r w:rsidRPr="00B64C1B">
        <w:rPr>
          <w:lang w:val="es-PY"/>
        </w:rPr>
        <w:lastRenderedPageBreak/>
        <w:t xml:space="preserve">Secretaría de Desarrollo para Repatriados y Refugiados Connacionales, que se otorga con prioridad a víctimas de trata de personas. </w:t>
      </w:r>
      <w:bookmarkStart w:id="3" w:name="_heading=h.smunnrlui5zi" w:colFirst="0" w:colLast="0"/>
      <w:bookmarkEnd w:id="3"/>
    </w:p>
    <w:p w14:paraId="7601DC6F" w14:textId="5EF37FD5" w:rsidR="00583FBD" w:rsidRDefault="00583FBD" w:rsidP="005A582B">
      <w:pPr>
        <w:pStyle w:val="SingleTxt"/>
        <w:numPr>
          <w:ilvl w:val="0"/>
          <w:numId w:val="44"/>
        </w:numPr>
        <w:ind w:left="1267"/>
        <w:rPr>
          <w:lang w:val="es-PY"/>
        </w:rPr>
      </w:pPr>
      <w:r w:rsidRPr="00B64C1B">
        <w:rPr>
          <w:lang w:val="es-PY"/>
        </w:rPr>
        <w:t>El Departamento de Estadística del MP sistematiza los datos sobre causas abiertas referidas a la trata de personas. Tal como se puede visualizar en el cuadro a continuación, los resultados exponen la especial vulnerabilidad de las mujeres frente a este hecho punible</w:t>
      </w:r>
      <w:r>
        <w:rPr>
          <w:lang w:val="es-PY"/>
        </w:rPr>
        <w:t>.</w:t>
      </w:r>
    </w:p>
    <w:p w14:paraId="34C1BB6A" w14:textId="77777777" w:rsidR="005A582B" w:rsidRPr="00D849F6" w:rsidRDefault="005A582B" w:rsidP="00D849F6">
      <w:pPr>
        <w:pStyle w:val="SingleTxt"/>
        <w:spacing w:after="0" w:line="120" w:lineRule="exact"/>
        <w:rPr>
          <w:sz w:val="10"/>
          <w:lang w:val="es-PY"/>
        </w:rPr>
      </w:pPr>
    </w:p>
    <w:tbl>
      <w:tblPr>
        <w:tblW w:w="0" w:type="auto"/>
        <w:tblInd w:w="1260" w:type="dxa"/>
        <w:tblCellMar>
          <w:left w:w="0" w:type="dxa"/>
          <w:right w:w="0" w:type="dxa"/>
        </w:tblCellMar>
        <w:tblLook w:val="0000" w:firstRow="0" w:lastRow="0" w:firstColumn="0" w:lastColumn="0" w:noHBand="0" w:noVBand="0"/>
      </w:tblPr>
      <w:tblGrid>
        <w:gridCol w:w="964"/>
        <w:gridCol w:w="836"/>
        <w:gridCol w:w="810"/>
        <w:gridCol w:w="952"/>
        <w:gridCol w:w="128"/>
        <w:gridCol w:w="697"/>
        <w:gridCol w:w="113"/>
        <w:gridCol w:w="712"/>
        <w:gridCol w:w="825"/>
        <w:gridCol w:w="825"/>
        <w:gridCol w:w="825"/>
      </w:tblGrid>
      <w:tr w:rsidR="008474A5" w:rsidRPr="00947E83" w14:paraId="71A4A93E" w14:textId="77777777" w:rsidTr="008474A5">
        <w:trPr>
          <w:tblHeader/>
        </w:trPr>
        <w:tc>
          <w:tcPr>
            <w:tcW w:w="3562" w:type="dxa"/>
            <w:gridSpan w:val="4"/>
            <w:tcBorders>
              <w:top w:val="single" w:sz="4" w:space="0" w:color="auto"/>
              <w:bottom w:val="single" w:sz="4" w:space="0" w:color="auto"/>
            </w:tcBorders>
            <w:shd w:val="clear" w:color="auto" w:fill="auto"/>
            <w:vAlign w:val="bottom"/>
          </w:tcPr>
          <w:p w14:paraId="2E76ED1B" w14:textId="74C743BB" w:rsidR="008474A5" w:rsidRPr="00947E83" w:rsidRDefault="008474A5" w:rsidP="00947E83">
            <w:pPr>
              <w:tabs>
                <w:tab w:val="left" w:pos="288"/>
                <w:tab w:val="left" w:pos="576"/>
                <w:tab w:val="left" w:pos="864"/>
                <w:tab w:val="left" w:pos="1152"/>
              </w:tabs>
              <w:spacing w:before="80" w:after="80" w:line="160" w:lineRule="exact"/>
              <w:ind w:right="43"/>
              <w:jc w:val="center"/>
              <w:rPr>
                <w:i/>
                <w:sz w:val="14"/>
                <w:szCs w:val="14"/>
                <w:lang w:val="es-PY"/>
              </w:rPr>
            </w:pPr>
            <w:r w:rsidRPr="00947E83">
              <w:rPr>
                <w:i/>
                <w:sz w:val="14"/>
                <w:szCs w:val="14"/>
              </w:rPr>
              <w:t>Trata de Personas</w:t>
            </w:r>
          </w:p>
        </w:tc>
        <w:tc>
          <w:tcPr>
            <w:tcW w:w="128" w:type="dxa"/>
            <w:tcBorders>
              <w:top w:val="single" w:sz="4" w:space="0" w:color="auto"/>
            </w:tcBorders>
            <w:shd w:val="clear" w:color="auto" w:fill="auto"/>
            <w:vAlign w:val="bottom"/>
          </w:tcPr>
          <w:p w14:paraId="493FCCCF" w14:textId="2CB8BA7E" w:rsidR="008474A5" w:rsidRPr="008474A5" w:rsidRDefault="008474A5" w:rsidP="008474A5">
            <w:pPr>
              <w:spacing w:before="80" w:after="80" w:line="200" w:lineRule="exact"/>
              <w:jc w:val="center"/>
              <w:rPr>
                <w:i/>
                <w:sz w:val="14"/>
                <w:szCs w:val="14"/>
              </w:rPr>
            </w:pPr>
          </w:p>
        </w:tc>
        <w:tc>
          <w:tcPr>
            <w:tcW w:w="3997" w:type="dxa"/>
            <w:gridSpan w:val="6"/>
            <w:tcBorders>
              <w:top w:val="single" w:sz="4" w:space="0" w:color="auto"/>
              <w:bottom w:val="single" w:sz="4" w:space="0" w:color="auto"/>
            </w:tcBorders>
            <w:shd w:val="clear" w:color="auto" w:fill="auto"/>
            <w:vAlign w:val="bottom"/>
          </w:tcPr>
          <w:p w14:paraId="0AC639D0" w14:textId="5C0F1689" w:rsidR="008474A5" w:rsidRPr="00947E83" w:rsidRDefault="008474A5" w:rsidP="008474A5">
            <w:pPr>
              <w:tabs>
                <w:tab w:val="left" w:pos="288"/>
                <w:tab w:val="left" w:pos="576"/>
                <w:tab w:val="left" w:pos="864"/>
                <w:tab w:val="left" w:pos="1152"/>
              </w:tabs>
              <w:spacing w:before="80" w:after="80" w:line="160" w:lineRule="exact"/>
              <w:ind w:right="40"/>
              <w:jc w:val="center"/>
              <w:rPr>
                <w:i/>
                <w:sz w:val="14"/>
                <w:lang w:val="es-PY"/>
              </w:rPr>
            </w:pPr>
            <w:r w:rsidRPr="008474A5">
              <w:rPr>
                <w:i/>
                <w:sz w:val="14"/>
                <w:szCs w:val="14"/>
              </w:rPr>
              <w:t>Proporción de mujeres y varones víctimas de</w:t>
            </w:r>
            <w:r w:rsidRPr="008474A5">
              <w:rPr>
                <w:i/>
                <w:sz w:val="14"/>
                <w:szCs w:val="14"/>
              </w:rPr>
              <w:br/>
              <w:t xml:space="preserve"> trata de personas (Total país</w:t>
            </w:r>
            <w:r w:rsidR="0021775A">
              <w:rPr>
                <w:i/>
                <w:sz w:val="14"/>
                <w:szCs w:val="14"/>
              </w:rPr>
              <w:t>)</w:t>
            </w:r>
          </w:p>
        </w:tc>
      </w:tr>
      <w:tr w:rsidR="00440238" w:rsidRPr="00947E83" w14:paraId="2BB9CB7A" w14:textId="77777777" w:rsidTr="00D849F6">
        <w:trPr>
          <w:tblHeader/>
        </w:trPr>
        <w:tc>
          <w:tcPr>
            <w:tcW w:w="964" w:type="dxa"/>
            <w:vMerge w:val="restart"/>
            <w:tcBorders>
              <w:top w:val="single" w:sz="4" w:space="0" w:color="auto"/>
            </w:tcBorders>
            <w:shd w:val="clear" w:color="auto" w:fill="auto"/>
            <w:vAlign w:val="bottom"/>
          </w:tcPr>
          <w:p w14:paraId="54FD90B4" w14:textId="20859541" w:rsidR="00440238" w:rsidRPr="00947E83" w:rsidRDefault="00440238" w:rsidP="00947E83">
            <w:pPr>
              <w:tabs>
                <w:tab w:val="left" w:pos="288"/>
                <w:tab w:val="left" w:pos="576"/>
                <w:tab w:val="left" w:pos="864"/>
                <w:tab w:val="left" w:pos="1152"/>
              </w:tabs>
              <w:spacing w:before="80" w:after="80" w:line="160" w:lineRule="exact"/>
              <w:ind w:right="40"/>
              <w:rPr>
                <w:bCs/>
                <w:i/>
                <w:iCs/>
                <w:sz w:val="14"/>
                <w:szCs w:val="14"/>
                <w:lang w:val="es-PY"/>
              </w:rPr>
            </w:pPr>
            <w:r w:rsidRPr="00947E83">
              <w:rPr>
                <w:bCs/>
                <w:i/>
                <w:iCs/>
                <w:sz w:val="14"/>
                <w:szCs w:val="14"/>
              </w:rPr>
              <w:t>Año</w:t>
            </w:r>
          </w:p>
        </w:tc>
        <w:tc>
          <w:tcPr>
            <w:tcW w:w="836" w:type="dxa"/>
            <w:vMerge w:val="restart"/>
            <w:tcBorders>
              <w:top w:val="single" w:sz="4" w:space="0" w:color="auto"/>
            </w:tcBorders>
            <w:shd w:val="clear" w:color="auto" w:fill="auto"/>
            <w:vAlign w:val="bottom"/>
          </w:tcPr>
          <w:p w14:paraId="1EA539DC" w14:textId="3FBB9E61" w:rsidR="00440238" w:rsidRPr="00947E83" w:rsidRDefault="00440238" w:rsidP="00947E83">
            <w:pPr>
              <w:tabs>
                <w:tab w:val="left" w:pos="288"/>
                <w:tab w:val="left" w:pos="576"/>
                <w:tab w:val="left" w:pos="864"/>
                <w:tab w:val="left" w:pos="1152"/>
              </w:tabs>
              <w:spacing w:before="80" w:after="80" w:line="160" w:lineRule="exact"/>
              <w:ind w:right="40"/>
              <w:jc w:val="right"/>
              <w:rPr>
                <w:bCs/>
                <w:i/>
                <w:iCs/>
                <w:sz w:val="14"/>
                <w:szCs w:val="14"/>
                <w:lang w:val="es-PY"/>
              </w:rPr>
            </w:pPr>
            <w:r w:rsidRPr="00947E83">
              <w:rPr>
                <w:bCs/>
                <w:i/>
                <w:iCs/>
                <w:sz w:val="14"/>
                <w:szCs w:val="14"/>
              </w:rPr>
              <w:t>Denuncias recibidas</w:t>
            </w:r>
          </w:p>
        </w:tc>
        <w:tc>
          <w:tcPr>
            <w:tcW w:w="810" w:type="dxa"/>
            <w:vMerge w:val="restart"/>
            <w:tcBorders>
              <w:top w:val="single" w:sz="4" w:space="0" w:color="auto"/>
            </w:tcBorders>
            <w:shd w:val="clear" w:color="auto" w:fill="auto"/>
            <w:vAlign w:val="bottom"/>
          </w:tcPr>
          <w:p w14:paraId="43A9790D" w14:textId="1BB7B8D2" w:rsidR="00440238" w:rsidRPr="00947E83" w:rsidRDefault="00440238" w:rsidP="00947E83">
            <w:pPr>
              <w:tabs>
                <w:tab w:val="left" w:pos="288"/>
                <w:tab w:val="left" w:pos="576"/>
                <w:tab w:val="left" w:pos="864"/>
                <w:tab w:val="left" w:pos="1152"/>
              </w:tabs>
              <w:spacing w:before="80" w:after="80" w:line="160" w:lineRule="exact"/>
              <w:ind w:right="40"/>
              <w:jc w:val="right"/>
              <w:rPr>
                <w:bCs/>
                <w:i/>
                <w:iCs/>
                <w:sz w:val="14"/>
                <w:szCs w:val="14"/>
                <w:lang w:val="es-PY"/>
              </w:rPr>
            </w:pPr>
            <w:r w:rsidRPr="00947E83">
              <w:rPr>
                <w:bCs/>
                <w:i/>
                <w:iCs/>
                <w:sz w:val="14"/>
                <w:szCs w:val="14"/>
              </w:rPr>
              <w:t>Ingreso al Poder Judicial</w:t>
            </w:r>
          </w:p>
        </w:tc>
        <w:tc>
          <w:tcPr>
            <w:tcW w:w="952" w:type="dxa"/>
            <w:vMerge w:val="restart"/>
            <w:tcBorders>
              <w:top w:val="single" w:sz="4" w:space="0" w:color="auto"/>
            </w:tcBorders>
            <w:shd w:val="clear" w:color="auto" w:fill="auto"/>
            <w:vAlign w:val="bottom"/>
          </w:tcPr>
          <w:p w14:paraId="5795B02D" w14:textId="723A1200" w:rsidR="00440238" w:rsidRPr="00947E83" w:rsidRDefault="00440238" w:rsidP="00947E83">
            <w:pPr>
              <w:tabs>
                <w:tab w:val="left" w:pos="288"/>
                <w:tab w:val="left" w:pos="576"/>
                <w:tab w:val="left" w:pos="864"/>
                <w:tab w:val="left" w:pos="1152"/>
              </w:tabs>
              <w:spacing w:before="80" w:after="80" w:line="160" w:lineRule="exact"/>
              <w:ind w:right="40"/>
              <w:jc w:val="right"/>
              <w:rPr>
                <w:bCs/>
                <w:i/>
                <w:iCs/>
                <w:sz w:val="14"/>
                <w:szCs w:val="14"/>
                <w:lang w:val="es-PY"/>
              </w:rPr>
            </w:pPr>
            <w:r w:rsidRPr="00947E83">
              <w:rPr>
                <w:bCs/>
                <w:i/>
                <w:iCs/>
                <w:sz w:val="14"/>
                <w:szCs w:val="14"/>
              </w:rPr>
              <w:t>Condenas privativas de libertad</w:t>
            </w:r>
          </w:p>
        </w:tc>
        <w:tc>
          <w:tcPr>
            <w:tcW w:w="825" w:type="dxa"/>
            <w:gridSpan w:val="2"/>
            <w:vMerge w:val="restart"/>
            <w:shd w:val="clear" w:color="auto" w:fill="auto"/>
            <w:vAlign w:val="bottom"/>
          </w:tcPr>
          <w:p w14:paraId="2494A0FD" w14:textId="5F3EEA1E"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r>
              <w:rPr>
                <w:i/>
                <w:sz w:val="14"/>
                <w:lang w:val="es-PY"/>
              </w:rPr>
              <w:t>Año</w:t>
            </w:r>
          </w:p>
        </w:tc>
        <w:tc>
          <w:tcPr>
            <w:tcW w:w="113" w:type="dxa"/>
            <w:tcBorders>
              <w:top w:val="single" w:sz="4" w:space="0" w:color="auto"/>
            </w:tcBorders>
            <w:shd w:val="clear" w:color="auto" w:fill="auto"/>
            <w:vAlign w:val="bottom"/>
          </w:tcPr>
          <w:p w14:paraId="17D0FF40" w14:textId="6C0A22AF"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p>
        </w:tc>
        <w:tc>
          <w:tcPr>
            <w:tcW w:w="2362" w:type="dxa"/>
            <w:gridSpan w:val="3"/>
            <w:tcBorders>
              <w:top w:val="single" w:sz="4" w:space="0" w:color="auto"/>
              <w:bottom w:val="single" w:sz="4" w:space="0" w:color="auto"/>
            </w:tcBorders>
            <w:shd w:val="clear" w:color="auto" w:fill="auto"/>
            <w:vAlign w:val="bottom"/>
          </w:tcPr>
          <w:p w14:paraId="5AB517A7" w14:textId="6C929A94" w:rsidR="00440238" w:rsidRPr="00947E83" w:rsidRDefault="00440238" w:rsidP="00440238">
            <w:pPr>
              <w:tabs>
                <w:tab w:val="left" w:pos="288"/>
                <w:tab w:val="left" w:pos="576"/>
                <w:tab w:val="left" w:pos="864"/>
                <w:tab w:val="left" w:pos="1152"/>
              </w:tabs>
              <w:spacing w:before="80" w:after="80" w:line="160" w:lineRule="exact"/>
              <w:ind w:right="40"/>
              <w:jc w:val="center"/>
              <w:rPr>
                <w:i/>
                <w:sz w:val="14"/>
                <w:lang w:val="es-PY"/>
              </w:rPr>
            </w:pPr>
            <w:r>
              <w:rPr>
                <w:i/>
                <w:sz w:val="14"/>
                <w:lang w:val="es-PY"/>
              </w:rPr>
              <w:t>Sexo</w:t>
            </w:r>
          </w:p>
        </w:tc>
        <w:tc>
          <w:tcPr>
            <w:tcW w:w="825" w:type="dxa"/>
            <w:tcBorders>
              <w:top w:val="single" w:sz="4" w:space="0" w:color="auto"/>
            </w:tcBorders>
            <w:shd w:val="clear" w:color="auto" w:fill="auto"/>
            <w:vAlign w:val="bottom"/>
          </w:tcPr>
          <w:p w14:paraId="70594505" w14:textId="77777777"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p>
        </w:tc>
      </w:tr>
      <w:tr w:rsidR="00440238" w:rsidRPr="00947E83" w14:paraId="0867C497" w14:textId="77777777" w:rsidTr="00D849F6">
        <w:trPr>
          <w:tblHeader/>
        </w:trPr>
        <w:tc>
          <w:tcPr>
            <w:tcW w:w="964" w:type="dxa"/>
            <w:vMerge/>
            <w:tcBorders>
              <w:bottom w:val="single" w:sz="12" w:space="0" w:color="auto"/>
            </w:tcBorders>
            <w:shd w:val="clear" w:color="auto" w:fill="auto"/>
            <w:vAlign w:val="bottom"/>
          </w:tcPr>
          <w:p w14:paraId="3693F508" w14:textId="77777777" w:rsidR="00440238" w:rsidRPr="00947E83" w:rsidRDefault="00440238" w:rsidP="00947E83">
            <w:pPr>
              <w:tabs>
                <w:tab w:val="left" w:pos="288"/>
                <w:tab w:val="left" w:pos="576"/>
                <w:tab w:val="left" w:pos="864"/>
                <w:tab w:val="left" w:pos="1152"/>
              </w:tabs>
              <w:spacing w:before="80" w:after="80" w:line="160" w:lineRule="exact"/>
              <w:ind w:right="40"/>
              <w:rPr>
                <w:bCs/>
                <w:i/>
                <w:iCs/>
                <w:sz w:val="14"/>
                <w:szCs w:val="14"/>
              </w:rPr>
            </w:pPr>
          </w:p>
        </w:tc>
        <w:tc>
          <w:tcPr>
            <w:tcW w:w="836" w:type="dxa"/>
            <w:vMerge/>
            <w:tcBorders>
              <w:bottom w:val="single" w:sz="12" w:space="0" w:color="auto"/>
            </w:tcBorders>
            <w:shd w:val="clear" w:color="auto" w:fill="auto"/>
            <w:vAlign w:val="bottom"/>
          </w:tcPr>
          <w:p w14:paraId="652BFEAF" w14:textId="77777777" w:rsidR="00440238" w:rsidRPr="00947E83" w:rsidRDefault="00440238" w:rsidP="00947E83">
            <w:pPr>
              <w:tabs>
                <w:tab w:val="left" w:pos="288"/>
                <w:tab w:val="left" w:pos="576"/>
                <w:tab w:val="left" w:pos="864"/>
                <w:tab w:val="left" w:pos="1152"/>
              </w:tabs>
              <w:spacing w:before="80" w:after="80" w:line="160" w:lineRule="exact"/>
              <w:ind w:right="40"/>
              <w:jc w:val="right"/>
              <w:rPr>
                <w:bCs/>
                <w:i/>
                <w:iCs/>
                <w:sz w:val="14"/>
                <w:szCs w:val="14"/>
              </w:rPr>
            </w:pPr>
          </w:p>
        </w:tc>
        <w:tc>
          <w:tcPr>
            <w:tcW w:w="810" w:type="dxa"/>
            <w:vMerge/>
            <w:tcBorders>
              <w:bottom w:val="single" w:sz="12" w:space="0" w:color="auto"/>
            </w:tcBorders>
            <w:shd w:val="clear" w:color="auto" w:fill="auto"/>
            <w:vAlign w:val="bottom"/>
          </w:tcPr>
          <w:p w14:paraId="63D6640D" w14:textId="77777777" w:rsidR="00440238" w:rsidRPr="00947E83" w:rsidRDefault="00440238" w:rsidP="00947E83">
            <w:pPr>
              <w:tabs>
                <w:tab w:val="left" w:pos="288"/>
                <w:tab w:val="left" w:pos="576"/>
                <w:tab w:val="left" w:pos="864"/>
                <w:tab w:val="left" w:pos="1152"/>
              </w:tabs>
              <w:spacing w:before="80" w:after="80" w:line="160" w:lineRule="exact"/>
              <w:ind w:right="40"/>
              <w:jc w:val="right"/>
              <w:rPr>
                <w:bCs/>
                <w:i/>
                <w:iCs/>
                <w:sz w:val="14"/>
                <w:szCs w:val="14"/>
              </w:rPr>
            </w:pPr>
          </w:p>
        </w:tc>
        <w:tc>
          <w:tcPr>
            <w:tcW w:w="952" w:type="dxa"/>
            <w:vMerge/>
            <w:tcBorders>
              <w:bottom w:val="single" w:sz="12" w:space="0" w:color="auto"/>
            </w:tcBorders>
            <w:shd w:val="clear" w:color="auto" w:fill="auto"/>
            <w:vAlign w:val="bottom"/>
          </w:tcPr>
          <w:p w14:paraId="32C936D1" w14:textId="77777777" w:rsidR="00440238" w:rsidRPr="00947E83" w:rsidRDefault="00440238" w:rsidP="00947E83">
            <w:pPr>
              <w:tabs>
                <w:tab w:val="left" w:pos="288"/>
                <w:tab w:val="left" w:pos="576"/>
                <w:tab w:val="left" w:pos="864"/>
                <w:tab w:val="left" w:pos="1152"/>
              </w:tabs>
              <w:spacing w:before="80" w:after="80" w:line="160" w:lineRule="exact"/>
              <w:ind w:right="40"/>
              <w:jc w:val="right"/>
              <w:rPr>
                <w:bCs/>
                <w:i/>
                <w:iCs/>
                <w:sz w:val="14"/>
                <w:szCs w:val="14"/>
              </w:rPr>
            </w:pPr>
          </w:p>
        </w:tc>
        <w:tc>
          <w:tcPr>
            <w:tcW w:w="825" w:type="dxa"/>
            <w:gridSpan w:val="2"/>
            <w:vMerge/>
            <w:tcBorders>
              <w:bottom w:val="single" w:sz="12" w:space="0" w:color="auto"/>
            </w:tcBorders>
            <w:shd w:val="clear" w:color="auto" w:fill="auto"/>
            <w:vAlign w:val="bottom"/>
          </w:tcPr>
          <w:p w14:paraId="6C48BF92" w14:textId="77777777"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p>
        </w:tc>
        <w:tc>
          <w:tcPr>
            <w:tcW w:w="825" w:type="dxa"/>
            <w:gridSpan w:val="2"/>
            <w:tcBorders>
              <w:bottom w:val="single" w:sz="12" w:space="0" w:color="auto"/>
            </w:tcBorders>
            <w:shd w:val="clear" w:color="auto" w:fill="auto"/>
            <w:vAlign w:val="bottom"/>
          </w:tcPr>
          <w:p w14:paraId="3DEA4777" w14:textId="4F410465"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r>
              <w:rPr>
                <w:i/>
                <w:sz w:val="14"/>
                <w:lang w:val="es-PY"/>
              </w:rPr>
              <w:t>F</w:t>
            </w:r>
          </w:p>
        </w:tc>
        <w:tc>
          <w:tcPr>
            <w:tcW w:w="825" w:type="dxa"/>
            <w:tcBorders>
              <w:bottom w:val="single" w:sz="12" w:space="0" w:color="auto"/>
            </w:tcBorders>
            <w:shd w:val="clear" w:color="auto" w:fill="auto"/>
            <w:vAlign w:val="bottom"/>
          </w:tcPr>
          <w:p w14:paraId="5FC46AC8" w14:textId="0C526E70"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r>
              <w:rPr>
                <w:i/>
                <w:sz w:val="14"/>
                <w:lang w:val="es-PY"/>
              </w:rPr>
              <w:t>M</w:t>
            </w:r>
          </w:p>
        </w:tc>
        <w:tc>
          <w:tcPr>
            <w:tcW w:w="825" w:type="dxa"/>
            <w:tcBorders>
              <w:bottom w:val="single" w:sz="12" w:space="0" w:color="auto"/>
            </w:tcBorders>
            <w:shd w:val="clear" w:color="auto" w:fill="auto"/>
            <w:vAlign w:val="bottom"/>
          </w:tcPr>
          <w:p w14:paraId="0D417099" w14:textId="6A66CE72"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r>
              <w:rPr>
                <w:i/>
                <w:sz w:val="14"/>
                <w:lang w:val="es-PY"/>
              </w:rPr>
              <w:t>Sin dato</w:t>
            </w:r>
          </w:p>
        </w:tc>
        <w:tc>
          <w:tcPr>
            <w:tcW w:w="825" w:type="dxa"/>
            <w:tcBorders>
              <w:bottom w:val="single" w:sz="12" w:space="0" w:color="auto"/>
            </w:tcBorders>
            <w:shd w:val="clear" w:color="auto" w:fill="auto"/>
            <w:vAlign w:val="bottom"/>
          </w:tcPr>
          <w:p w14:paraId="22894D50" w14:textId="22F32EC0" w:rsidR="00440238" w:rsidRPr="00947E83" w:rsidRDefault="00440238" w:rsidP="00947E83">
            <w:pPr>
              <w:tabs>
                <w:tab w:val="left" w:pos="288"/>
                <w:tab w:val="left" w:pos="576"/>
                <w:tab w:val="left" w:pos="864"/>
                <w:tab w:val="left" w:pos="1152"/>
              </w:tabs>
              <w:spacing w:before="80" w:after="80" w:line="160" w:lineRule="exact"/>
              <w:ind w:right="40"/>
              <w:jc w:val="right"/>
              <w:rPr>
                <w:i/>
                <w:sz w:val="14"/>
                <w:lang w:val="es-PY"/>
              </w:rPr>
            </w:pPr>
            <w:r>
              <w:rPr>
                <w:i/>
                <w:sz w:val="14"/>
                <w:lang w:val="es-PY"/>
              </w:rPr>
              <w:t>Total</w:t>
            </w:r>
          </w:p>
        </w:tc>
      </w:tr>
      <w:tr w:rsidR="00947E83" w:rsidRPr="00947E83" w14:paraId="19F05210" w14:textId="77777777" w:rsidTr="00D849F6">
        <w:trPr>
          <w:trHeight w:hRule="exact" w:val="115"/>
          <w:tblHeader/>
        </w:trPr>
        <w:tc>
          <w:tcPr>
            <w:tcW w:w="964" w:type="dxa"/>
            <w:tcBorders>
              <w:top w:val="single" w:sz="12" w:space="0" w:color="auto"/>
            </w:tcBorders>
            <w:shd w:val="clear" w:color="auto" w:fill="auto"/>
            <w:vAlign w:val="bottom"/>
          </w:tcPr>
          <w:p w14:paraId="7D320EBC" w14:textId="77777777" w:rsidR="00947E83" w:rsidRPr="00947E83" w:rsidRDefault="00947E83" w:rsidP="00947E83">
            <w:pPr>
              <w:tabs>
                <w:tab w:val="left" w:pos="288"/>
                <w:tab w:val="left" w:pos="576"/>
                <w:tab w:val="left" w:pos="864"/>
                <w:tab w:val="left" w:pos="1152"/>
              </w:tabs>
              <w:spacing w:before="40" w:after="40" w:line="210" w:lineRule="exact"/>
              <w:ind w:right="40"/>
              <w:rPr>
                <w:sz w:val="17"/>
                <w:lang w:val="es-PY"/>
              </w:rPr>
            </w:pPr>
          </w:p>
        </w:tc>
        <w:tc>
          <w:tcPr>
            <w:tcW w:w="836" w:type="dxa"/>
            <w:tcBorders>
              <w:top w:val="single" w:sz="12" w:space="0" w:color="auto"/>
            </w:tcBorders>
            <w:shd w:val="clear" w:color="auto" w:fill="auto"/>
            <w:vAlign w:val="bottom"/>
          </w:tcPr>
          <w:p w14:paraId="046C4ECB"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c>
          <w:tcPr>
            <w:tcW w:w="810" w:type="dxa"/>
            <w:tcBorders>
              <w:top w:val="single" w:sz="12" w:space="0" w:color="auto"/>
            </w:tcBorders>
            <w:shd w:val="clear" w:color="auto" w:fill="auto"/>
            <w:vAlign w:val="bottom"/>
          </w:tcPr>
          <w:p w14:paraId="4A176509"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c>
          <w:tcPr>
            <w:tcW w:w="952" w:type="dxa"/>
            <w:tcBorders>
              <w:top w:val="single" w:sz="12" w:space="0" w:color="auto"/>
            </w:tcBorders>
            <w:shd w:val="clear" w:color="auto" w:fill="auto"/>
            <w:vAlign w:val="bottom"/>
          </w:tcPr>
          <w:p w14:paraId="7E8BF94F"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c>
          <w:tcPr>
            <w:tcW w:w="825" w:type="dxa"/>
            <w:gridSpan w:val="2"/>
            <w:tcBorders>
              <w:top w:val="single" w:sz="12" w:space="0" w:color="auto"/>
            </w:tcBorders>
            <w:shd w:val="clear" w:color="auto" w:fill="auto"/>
            <w:vAlign w:val="bottom"/>
          </w:tcPr>
          <w:p w14:paraId="5AE8533E"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c>
          <w:tcPr>
            <w:tcW w:w="825" w:type="dxa"/>
            <w:gridSpan w:val="2"/>
            <w:tcBorders>
              <w:top w:val="single" w:sz="12" w:space="0" w:color="auto"/>
            </w:tcBorders>
            <w:shd w:val="clear" w:color="auto" w:fill="auto"/>
            <w:vAlign w:val="bottom"/>
          </w:tcPr>
          <w:p w14:paraId="1DCE61FE"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c>
          <w:tcPr>
            <w:tcW w:w="825" w:type="dxa"/>
            <w:tcBorders>
              <w:top w:val="single" w:sz="12" w:space="0" w:color="auto"/>
            </w:tcBorders>
            <w:shd w:val="clear" w:color="auto" w:fill="auto"/>
            <w:vAlign w:val="bottom"/>
          </w:tcPr>
          <w:p w14:paraId="11921967"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c>
          <w:tcPr>
            <w:tcW w:w="825" w:type="dxa"/>
            <w:tcBorders>
              <w:top w:val="single" w:sz="12" w:space="0" w:color="auto"/>
            </w:tcBorders>
            <w:shd w:val="clear" w:color="auto" w:fill="auto"/>
            <w:vAlign w:val="bottom"/>
          </w:tcPr>
          <w:p w14:paraId="2CE54CE0"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c>
          <w:tcPr>
            <w:tcW w:w="825" w:type="dxa"/>
            <w:tcBorders>
              <w:top w:val="single" w:sz="12" w:space="0" w:color="auto"/>
            </w:tcBorders>
            <w:shd w:val="clear" w:color="auto" w:fill="auto"/>
            <w:vAlign w:val="bottom"/>
          </w:tcPr>
          <w:p w14:paraId="73C2F9A6" w14:textId="77777777" w:rsidR="00947E83" w:rsidRPr="00947E83" w:rsidRDefault="00947E83" w:rsidP="00947E83">
            <w:pPr>
              <w:tabs>
                <w:tab w:val="left" w:pos="288"/>
                <w:tab w:val="left" w:pos="576"/>
                <w:tab w:val="left" w:pos="864"/>
                <w:tab w:val="left" w:pos="1152"/>
              </w:tabs>
              <w:spacing w:before="40" w:after="40" w:line="210" w:lineRule="exact"/>
              <w:ind w:right="40"/>
              <w:jc w:val="right"/>
              <w:rPr>
                <w:sz w:val="17"/>
                <w:lang w:val="es-PY"/>
              </w:rPr>
            </w:pPr>
          </w:p>
        </w:tc>
      </w:tr>
      <w:tr w:rsidR="005951C5" w:rsidRPr="00947E83" w14:paraId="2A3DD6E9" w14:textId="77777777" w:rsidTr="00D849F6">
        <w:tc>
          <w:tcPr>
            <w:tcW w:w="964" w:type="dxa"/>
            <w:shd w:val="clear" w:color="auto" w:fill="auto"/>
          </w:tcPr>
          <w:p w14:paraId="11BFC823" w14:textId="2556144C" w:rsidR="005951C5" w:rsidRPr="00947E83" w:rsidRDefault="005951C5" w:rsidP="001C368D">
            <w:pPr>
              <w:tabs>
                <w:tab w:val="left" w:pos="288"/>
                <w:tab w:val="left" w:pos="576"/>
                <w:tab w:val="left" w:pos="864"/>
                <w:tab w:val="left" w:pos="1152"/>
              </w:tabs>
              <w:spacing w:before="40" w:after="40" w:line="210" w:lineRule="exact"/>
              <w:ind w:right="40"/>
              <w:rPr>
                <w:sz w:val="17"/>
                <w:szCs w:val="17"/>
                <w:lang w:val="es-PY"/>
              </w:rPr>
            </w:pPr>
            <w:r w:rsidRPr="00947E83">
              <w:rPr>
                <w:sz w:val="17"/>
                <w:szCs w:val="17"/>
              </w:rPr>
              <w:t>2017</w:t>
            </w:r>
          </w:p>
        </w:tc>
        <w:tc>
          <w:tcPr>
            <w:tcW w:w="836" w:type="dxa"/>
            <w:shd w:val="clear" w:color="auto" w:fill="auto"/>
            <w:vAlign w:val="bottom"/>
          </w:tcPr>
          <w:p w14:paraId="056D9EC4" w14:textId="72556E44" w:rsidR="005951C5" w:rsidRPr="00947E83" w:rsidRDefault="005951C5"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110</w:t>
            </w:r>
          </w:p>
        </w:tc>
        <w:tc>
          <w:tcPr>
            <w:tcW w:w="810" w:type="dxa"/>
            <w:shd w:val="clear" w:color="auto" w:fill="auto"/>
            <w:vAlign w:val="bottom"/>
          </w:tcPr>
          <w:p w14:paraId="59707395" w14:textId="52740B8E" w:rsidR="005951C5" w:rsidRPr="00947E83" w:rsidRDefault="005951C5"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33</w:t>
            </w:r>
          </w:p>
        </w:tc>
        <w:tc>
          <w:tcPr>
            <w:tcW w:w="952" w:type="dxa"/>
            <w:shd w:val="clear" w:color="auto" w:fill="auto"/>
            <w:vAlign w:val="bottom"/>
          </w:tcPr>
          <w:p w14:paraId="4A0F05AD" w14:textId="48EC334F" w:rsidR="005951C5" w:rsidRPr="00947E83" w:rsidRDefault="005951C5"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4</w:t>
            </w:r>
          </w:p>
        </w:tc>
        <w:tc>
          <w:tcPr>
            <w:tcW w:w="825" w:type="dxa"/>
            <w:gridSpan w:val="2"/>
            <w:shd w:val="clear" w:color="auto" w:fill="auto"/>
            <w:vAlign w:val="bottom"/>
          </w:tcPr>
          <w:p w14:paraId="3D59A2ED" w14:textId="0180C522" w:rsidR="005951C5" w:rsidRPr="005951C5" w:rsidRDefault="005951C5" w:rsidP="001C368D">
            <w:pPr>
              <w:tabs>
                <w:tab w:val="left" w:pos="288"/>
                <w:tab w:val="left" w:pos="576"/>
                <w:tab w:val="left" w:pos="864"/>
                <w:tab w:val="left" w:pos="1152"/>
              </w:tabs>
              <w:spacing w:before="40" w:after="40" w:line="210" w:lineRule="exact"/>
              <w:ind w:right="40"/>
              <w:jc w:val="right"/>
              <w:rPr>
                <w:sz w:val="17"/>
                <w:szCs w:val="17"/>
                <w:lang w:val="es-PY"/>
              </w:rPr>
            </w:pPr>
          </w:p>
        </w:tc>
        <w:tc>
          <w:tcPr>
            <w:tcW w:w="825" w:type="dxa"/>
            <w:gridSpan w:val="2"/>
            <w:shd w:val="clear" w:color="auto" w:fill="auto"/>
            <w:vAlign w:val="bottom"/>
          </w:tcPr>
          <w:p w14:paraId="32CC3936" w14:textId="7B2CD1FD" w:rsidR="005951C5" w:rsidRPr="005951C5" w:rsidRDefault="005951C5" w:rsidP="001C368D">
            <w:pPr>
              <w:tabs>
                <w:tab w:val="left" w:pos="288"/>
                <w:tab w:val="left" w:pos="576"/>
                <w:tab w:val="left" w:pos="864"/>
                <w:tab w:val="left" w:pos="1152"/>
              </w:tabs>
              <w:spacing w:before="40" w:after="40" w:line="210" w:lineRule="exact"/>
              <w:ind w:right="40"/>
              <w:jc w:val="right"/>
              <w:rPr>
                <w:sz w:val="17"/>
                <w:szCs w:val="17"/>
                <w:lang w:val="es-PY"/>
              </w:rPr>
            </w:pPr>
          </w:p>
        </w:tc>
        <w:tc>
          <w:tcPr>
            <w:tcW w:w="825" w:type="dxa"/>
            <w:shd w:val="clear" w:color="auto" w:fill="auto"/>
            <w:vAlign w:val="bottom"/>
          </w:tcPr>
          <w:p w14:paraId="5FBBA1A9" w14:textId="58A2DE09" w:rsidR="005951C5" w:rsidRPr="005951C5" w:rsidRDefault="005951C5" w:rsidP="001C368D">
            <w:pPr>
              <w:tabs>
                <w:tab w:val="left" w:pos="288"/>
                <w:tab w:val="left" w:pos="576"/>
                <w:tab w:val="left" w:pos="864"/>
                <w:tab w:val="left" w:pos="1152"/>
              </w:tabs>
              <w:spacing w:before="40" w:after="40" w:line="210" w:lineRule="exact"/>
              <w:ind w:right="40"/>
              <w:jc w:val="right"/>
              <w:rPr>
                <w:sz w:val="17"/>
                <w:szCs w:val="17"/>
                <w:lang w:val="es-PY"/>
              </w:rPr>
            </w:pPr>
          </w:p>
        </w:tc>
        <w:tc>
          <w:tcPr>
            <w:tcW w:w="825" w:type="dxa"/>
            <w:shd w:val="clear" w:color="auto" w:fill="auto"/>
            <w:vAlign w:val="bottom"/>
          </w:tcPr>
          <w:p w14:paraId="3C35B074" w14:textId="446E5AEC" w:rsidR="005951C5" w:rsidRPr="005951C5" w:rsidRDefault="005951C5" w:rsidP="001C368D">
            <w:pPr>
              <w:tabs>
                <w:tab w:val="left" w:pos="288"/>
                <w:tab w:val="left" w:pos="576"/>
                <w:tab w:val="left" w:pos="864"/>
                <w:tab w:val="left" w:pos="1152"/>
              </w:tabs>
              <w:spacing w:before="40" w:after="40" w:line="210" w:lineRule="exact"/>
              <w:ind w:right="40"/>
              <w:jc w:val="right"/>
              <w:rPr>
                <w:sz w:val="17"/>
                <w:szCs w:val="17"/>
                <w:lang w:val="es-PY"/>
              </w:rPr>
            </w:pPr>
          </w:p>
        </w:tc>
        <w:tc>
          <w:tcPr>
            <w:tcW w:w="825" w:type="dxa"/>
            <w:shd w:val="clear" w:color="auto" w:fill="auto"/>
            <w:vAlign w:val="bottom"/>
          </w:tcPr>
          <w:p w14:paraId="72BF26BB" w14:textId="5AD55017" w:rsidR="005951C5" w:rsidRPr="005951C5" w:rsidRDefault="005951C5" w:rsidP="001C368D">
            <w:pPr>
              <w:tabs>
                <w:tab w:val="left" w:pos="288"/>
                <w:tab w:val="left" w:pos="576"/>
                <w:tab w:val="left" w:pos="864"/>
                <w:tab w:val="left" w:pos="1152"/>
              </w:tabs>
              <w:spacing w:before="40" w:after="40" w:line="210" w:lineRule="exact"/>
              <w:ind w:right="40"/>
              <w:jc w:val="right"/>
              <w:rPr>
                <w:sz w:val="17"/>
                <w:szCs w:val="17"/>
                <w:lang w:val="es-PY"/>
              </w:rPr>
            </w:pPr>
          </w:p>
        </w:tc>
      </w:tr>
      <w:tr w:rsidR="002120BC" w:rsidRPr="00947E83" w14:paraId="72D9AD2E" w14:textId="77777777" w:rsidTr="00D849F6">
        <w:tc>
          <w:tcPr>
            <w:tcW w:w="964" w:type="dxa"/>
            <w:shd w:val="clear" w:color="auto" w:fill="auto"/>
          </w:tcPr>
          <w:p w14:paraId="216A6F9B" w14:textId="287926AE" w:rsidR="002120BC" w:rsidRPr="00947E83" w:rsidRDefault="002120BC" w:rsidP="001C368D">
            <w:pPr>
              <w:tabs>
                <w:tab w:val="left" w:pos="288"/>
                <w:tab w:val="left" w:pos="576"/>
                <w:tab w:val="left" w:pos="864"/>
                <w:tab w:val="left" w:pos="1152"/>
              </w:tabs>
              <w:spacing w:before="40" w:after="40" w:line="210" w:lineRule="exact"/>
              <w:ind w:right="40"/>
              <w:rPr>
                <w:sz w:val="17"/>
                <w:szCs w:val="17"/>
                <w:lang w:val="es-PY"/>
              </w:rPr>
            </w:pPr>
            <w:r w:rsidRPr="00947E83">
              <w:rPr>
                <w:sz w:val="17"/>
                <w:szCs w:val="17"/>
              </w:rPr>
              <w:t>2018</w:t>
            </w:r>
          </w:p>
        </w:tc>
        <w:tc>
          <w:tcPr>
            <w:tcW w:w="836" w:type="dxa"/>
            <w:shd w:val="clear" w:color="auto" w:fill="auto"/>
            <w:vAlign w:val="bottom"/>
          </w:tcPr>
          <w:p w14:paraId="0B484150" w14:textId="4ACDB7E7"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103</w:t>
            </w:r>
          </w:p>
        </w:tc>
        <w:tc>
          <w:tcPr>
            <w:tcW w:w="810" w:type="dxa"/>
            <w:shd w:val="clear" w:color="auto" w:fill="auto"/>
            <w:vAlign w:val="bottom"/>
          </w:tcPr>
          <w:p w14:paraId="6DFE4FC9" w14:textId="5114F8D3"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19</w:t>
            </w:r>
          </w:p>
        </w:tc>
        <w:tc>
          <w:tcPr>
            <w:tcW w:w="952" w:type="dxa"/>
            <w:shd w:val="clear" w:color="auto" w:fill="auto"/>
            <w:vAlign w:val="bottom"/>
          </w:tcPr>
          <w:p w14:paraId="5047B4ED" w14:textId="2C9AA3AD"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3</w:t>
            </w:r>
          </w:p>
        </w:tc>
        <w:tc>
          <w:tcPr>
            <w:tcW w:w="825" w:type="dxa"/>
            <w:gridSpan w:val="2"/>
            <w:shd w:val="clear" w:color="auto" w:fill="auto"/>
            <w:vAlign w:val="bottom"/>
          </w:tcPr>
          <w:p w14:paraId="69F4B8F1" w14:textId="02CA1620"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2018</w:t>
            </w:r>
          </w:p>
        </w:tc>
        <w:tc>
          <w:tcPr>
            <w:tcW w:w="825" w:type="dxa"/>
            <w:gridSpan w:val="2"/>
            <w:shd w:val="clear" w:color="auto" w:fill="auto"/>
            <w:vAlign w:val="bottom"/>
          </w:tcPr>
          <w:p w14:paraId="6C67F560" w14:textId="1DBF7FCD"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68,7</w:t>
            </w:r>
            <w:r>
              <w:rPr>
                <w:sz w:val="17"/>
                <w:szCs w:val="17"/>
              </w:rPr>
              <w:t> </w:t>
            </w:r>
            <w:r w:rsidRPr="005951C5">
              <w:rPr>
                <w:sz w:val="17"/>
                <w:szCs w:val="17"/>
              </w:rPr>
              <w:t>%</w:t>
            </w:r>
          </w:p>
        </w:tc>
        <w:tc>
          <w:tcPr>
            <w:tcW w:w="825" w:type="dxa"/>
            <w:shd w:val="clear" w:color="auto" w:fill="auto"/>
            <w:vAlign w:val="bottom"/>
          </w:tcPr>
          <w:p w14:paraId="6B3D5F6E" w14:textId="56969B76"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26,0</w:t>
            </w:r>
            <w:r>
              <w:rPr>
                <w:sz w:val="17"/>
                <w:szCs w:val="17"/>
              </w:rPr>
              <w:t> </w:t>
            </w:r>
            <w:r w:rsidRPr="005951C5">
              <w:rPr>
                <w:sz w:val="17"/>
                <w:szCs w:val="17"/>
              </w:rPr>
              <w:t>%</w:t>
            </w:r>
          </w:p>
        </w:tc>
        <w:tc>
          <w:tcPr>
            <w:tcW w:w="825" w:type="dxa"/>
            <w:shd w:val="clear" w:color="auto" w:fill="auto"/>
            <w:vAlign w:val="bottom"/>
          </w:tcPr>
          <w:p w14:paraId="2C82ED08" w14:textId="6AD6F35A"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5,3</w:t>
            </w:r>
            <w:r>
              <w:rPr>
                <w:sz w:val="17"/>
                <w:szCs w:val="17"/>
              </w:rPr>
              <w:t> </w:t>
            </w:r>
            <w:r w:rsidRPr="005951C5">
              <w:rPr>
                <w:sz w:val="17"/>
                <w:szCs w:val="17"/>
              </w:rPr>
              <w:t>%</w:t>
            </w:r>
          </w:p>
        </w:tc>
        <w:tc>
          <w:tcPr>
            <w:tcW w:w="825" w:type="dxa"/>
            <w:shd w:val="clear" w:color="auto" w:fill="auto"/>
            <w:vAlign w:val="bottom"/>
          </w:tcPr>
          <w:p w14:paraId="35CC1F4D" w14:textId="5342BCB4"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100,0</w:t>
            </w:r>
            <w:r>
              <w:rPr>
                <w:sz w:val="17"/>
                <w:szCs w:val="17"/>
              </w:rPr>
              <w:t> </w:t>
            </w:r>
            <w:r w:rsidRPr="005951C5">
              <w:rPr>
                <w:sz w:val="17"/>
                <w:szCs w:val="17"/>
              </w:rPr>
              <w:t>%</w:t>
            </w:r>
          </w:p>
        </w:tc>
      </w:tr>
      <w:tr w:rsidR="002120BC" w:rsidRPr="00947E83" w14:paraId="318FDC60" w14:textId="77777777" w:rsidTr="00D849F6">
        <w:tc>
          <w:tcPr>
            <w:tcW w:w="964" w:type="dxa"/>
            <w:shd w:val="clear" w:color="auto" w:fill="auto"/>
          </w:tcPr>
          <w:p w14:paraId="23D5A03E" w14:textId="4385E257" w:rsidR="002120BC" w:rsidRPr="00947E83" w:rsidRDefault="002120BC" w:rsidP="001C368D">
            <w:pPr>
              <w:tabs>
                <w:tab w:val="left" w:pos="288"/>
                <w:tab w:val="left" w:pos="576"/>
                <w:tab w:val="left" w:pos="864"/>
                <w:tab w:val="left" w:pos="1152"/>
              </w:tabs>
              <w:spacing w:before="40" w:after="40" w:line="210" w:lineRule="exact"/>
              <w:ind w:right="40"/>
              <w:rPr>
                <w:sz w:val="17"/>
                <w:szCs w:val="17"/>
                <w:lang w:val="es-PY"/>
              </w:rPr>
            </w:pPr>
            <w:r w:rsidRPr="00947E83">
              <w:rPr>
                <w:sz w:val="17"/>
                <w:szCs w:val="17"/>
              </w:rPr>
              <w:t>2019</w:t>
            </w:r>
          </w:p>
        </w:tc>
        <w:tc>
          <w:tcPr>
            <w:tcW w:w="836" w:type="dxa"/>
            <w:shd w:val="clear" w:color="auto" w:fill="auto"/>
            <w:vAlign w:val="bottom"/>
          </w:tcPr>
          <w:p w14:paraId="55713EF7" w14:textId="0248E9D1"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134</w:t>
            </w:r>
          </w:p>
        </w:tc>
        <w:tc>
          <w:tcPr>
            <w:tcW w:w="810" w:type="dxa"/>
            <w:shd w:val="clear" w:color="auto" w:fill="auto"/>
            <w:vAlign w:val="bottom"/>
          </w:tcPr>
          <w:p w14:paraId="74897EC4" w14:textId="423EB1F8"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19</w:t>
            </w:r>
          </w:p>
        </w:tc>
        <w:tc>
          <w:tcPr>
            <w:tcW w:w="952" w:type="dxa"/>
            <w:shd w:val="clear" w:color="auto" w:fill="auto"/>
            <w:vAlign w:val="bottom"/>
          </w:tcPr>
          <w:p w14:paraId="59D11AC4" w14:textId="7A3E5607"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3</w:t>
            </w:r>
          </w:p>
        </w:tc>
        <w:tc>
          <w:tcPr>
            <w:tcW w:w="825" w:type="dxa"/>
            <w:gridSpan w:val="2"/>
            <w:shd w:val="clear" w:color="auto" w:fill="auto"/>
            <w:vAlign w:val="bottom"/>
          </w:tcPr>
          <w:p w14:paraId="45FCAAE4" w14:textId="424E2CB8"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2019</w:t>
            </w:r>
          </w:p>
        </w:tc>
        <w:tc>
          <w:tcPr>
            <w:tcW w:w="825" w:type="dxa"/>
            <w:gridSpan w:val="2"/>
            <w:shd w:val="clear" w:color="auto" w:fill="auto"/>
            <w:vAlign w:val="bottom"/>
          </w:tcPr>
          <w:p w14:paraId="0934D6EE" w14:textId="4C1654D4"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81,6</w:t>
            </w:r>
            <w:r>
              <w:rPr>
                <w:sz w:val="17"/>
                <w:szCs w:val="17"/>
              </w:rPr>
              <w:t> </w:t>
            </w:r>
            <w:r w:rsidRPr="005951C5">
              <w:rPr>
                <w:sz w:val="17"/>
                <w:szCs w:val="17"/>
              </w:rPr>
              <w:t>%</w:t>
            </w:r>
          </w:p>
        </w:tc>
        <w:tc>
          <w:tcPr>
            <w:tcW w:w="825" w:type="dxa"/>
            <w:shd w:val="clear" w:color="auto" w:fill="auto"/>
            <w:vAlign w:val="bottom"/>
          </w:tcPr>
          <w:p w14:paraId="4B2623BB" w14:textId="0FC11585"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16,2</w:t>
            </w:r>
            <w:r>
              <w:rPr>
                <w:sz w:val="17"/>
                <w:szCs w:val="17"/>
              </w:rPr>
              <w:t> </w:t>
            </w:r>
            <w:r w:rsidRPr="005951C5">
              <w:rPr>
                <w:sz w:val="17"/>
                <w:szCs w:val="17"/>
              </w:rPr>
              <w:t>%</w:t>
            </w:r>
          </w:p>
        </w:tc>
        <w:tc>
          <w:tcPr>
            <w:tcW w:w="825" w:type="dxa"/>
            <w:shd w:val="clear" w:color="auto" w:fill="auto"/>
            <w:vAlign w:val="bottom"/>
          </w:tcPr>
          <w:p w14:paraId="11358A6A" w14:textId="7D63543F"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2,2</w:t>
            </w:r>
            <w:r>
              <w:rPr>
                <w:sz w:val="17"/>
                <w:szCs w:val="17"/>
              </w:rPr>
              <w:t> </w:t>
            </w:r>
            <w:r w:rsidRPr="005951C5">
              <w:rPr>
                <w:sz w:val="17"/>
                <w:szCs w:val="17"/>
              </w:rPr>
              <w:t>%</w:t>
            </w:r>
          </w:p>
        </w:tc>
        <w:tc>
          <w:tcPr>
            <w:tcW w:w="825" w:type="dxa"/>
            <w:shd w:val="clear" w:color="auto" w:fill="auto"/>
            <w:vAlign w:val="bottom"/>
          </w:tcPr>
          <w:p w14:paraId="4E0BB0F1" w14:textId="66A3F948"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100,0</w:t>
            </w:r>
            <w:r>
              <w:rPr>
                <w:sz w:val="17"/>
                <w:szCs w:val="17"/>
              </w:rPr>
              <w:t> </w:t>
            </w:r>
            <w:r w:rsidRPr="005951C5">
              <w:rPr>
                <w:sz w:val="17"/>
                <w:szCs w:val="17"/>
              </w:rPr>
              <w:t>%</w:t>
            </w:r>
          </w:p>
        </w:tc>
      </w:tr>
      <w:tr w:rsidR="002120BC" w:rsidRPr="00947E83" w14:paraId="3C561C8A" w14:textId="77777777" w:rsidTr="0021775A">
        <w:tc>
          <w:tcPr>
            <w:tcW w:w="964" w:type="dxa"/>
            <w:shd w:val="clear" w:color="auto" w:fill="auto"/>
          </w:tcPr>
          <w:p w14:paraId="77062C02" w14:textId="447740B4" w:rsidR="002120BC" w:rsidRPr="00947E83" w:rsidRDefault="002120BC" w:rsidP="001C368D">
            <w:pPr>
              <w:tabs>
                <w:tab w:val="left" w:pos="288"/>
                <w:tab w:val="left" w:pos="576"/>
                <w:tab w:val="left" w:pos="864"/>
                <w:tab w:val="left" w:pos="1152"/>
              </w:tabs>
              <w:spacing w:before="40" w:after="40" w:line="210" w:lineRule="exact"/>
              <w:ind w:right="40"/>
              <w:rPr>
                <w:sz w:val="17"/>
                <w:szCs w:val="17"/>
                <w:lang w:val="es-PY"/>
              </w:rPr>
            </w:pPr>
            <w:r w:rsidRPr="00947E83">
              <w:rPr>
                <w:sz w:val="17"/>
                <w:szCs w:val="17"/>
              </w:rPr>
              <w:t>2020</w:t>
            </w:r>
          </w:p>
        </w:tc>
        <w:tc>
          <w:tcPr>
            <w:tcW w:w="836" w:type="dxa"/>
            <w:shd w:val="clear" w:color="auto" w:fill="auto"/>
          </w:tcPr>
          <w:p w14:paraId="42D34076" w14:textId="2DFA2477"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114</w:t>
            </w:r>
          </w:p>
        </w:tc>
        <w:tc>
          <w:tcPr>
            <w:tcW w:w="810" w:type="dxa"/>
            <w:shd w:val="clear" w:color="auto" w:fill="auto"/>
          </w:tcPr>
          <w:p w14:paraId="3D5CD2E6" w14:textId="7055B25C"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21</w:t>
            </w:r>
          </w:p>
        </w:tc>
        <w:tc>
          <w:tcPr>
            <w:tcW w:w="952" w:type="dxa"/>
            <w:shd w:val="clear" w:color="auto" w:fill="auto"/>
          </w:tcPr>
          <w:p w14:paraId="2D1387D7" w14:textId="22A8580D" w:rsidR="002120BC" w:rsidRPr="00947E83"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947E83">
              <w:rPr>
                <w:sz w:val="17"/>
                <w:szCs w:val="17"/>
              </w:rPr>
              <w:t>1</w:t>
            </w:r>
          </w:p>
        </w:tc>
        <w:tc>
          <w:tcPr>
            <w:tcW w:w="825" w:type="dxa"/>
            <w:gridSpan w:val="2"/>
            <w:shd w:val="clear" w:color="auto" w:fill="auto"/>
            <w:vAlign w:val="bottom"/>
          </w:tcPr>
          <w:p w14:paraId="614F051E" w14:textId="3B9F3DDC"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2020</w:t>
            </w:r>
          </w:p>
        </w:tc>
        <w:tc>
          <w:tcPr>
            <w:tcW w:w="825" w:type="dxa"/>
            <w:gridSpan w:val="2"/>
            <w:shd w:val="clear" w:color="auto" w:fill="auto"/>
            <w:vAlign w:val="bottom"/>
          </w:tcPr>
          <w:p w14:paraId="2F842AB6" w14:textId="671500AE"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71,7</w:t>
            </w:r>
            <w:r>
              <w:rPr>
                <w:sz w:val="17"/>
                <w:szCs w:val="17"/>
              </w:rPr>
              <w:t> </w:t>
            </w:r>
            <w:r w:rsidRPr="005951C5">
              <w:rPr>
                <w:sz w:val="17"/>
                <w:szCs w:val="17"/>
              </w:rPr>
              <w:t>%</w:t>
            </w:r>
          </w:p>
        </w:tc>
        <w:tc>
          <w:tcPr>
            <w:tcW w:w="825" w:type="dxa"/>
            <w:shd w:val="clear" w:color="auto" w:fill="auto"/>
            <w:vAlign w:val="bottom"/>
          </w:tcPr>
          <w:p w14:paraId="7C6767A6" w14:textId="2BC7F24C"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27,7</w:t>
            </w:r>
            <w:r>
              <w:rPr>
                <w:sz w:val="17"/>
                <w:szCs w:val="17"/>
              </w:rPr>
              <w:t> </w:t>
            </w:r>
            <w:r w:rsidRPr="005951C5">
              <w:rPr>
                <w:sz w:val="17"/>
                <w:szCs w:val="17"/>
              </w:rPr>
              <w:t>%</w:t>
            </w:r>
          </w:p>
        </w:tc>
        <w:tc>
          <w:tcPr>
            <w:tcW w:w="825" w:type="dxa"/>
            <w:shd w:val="clear" w:color="auto" w:fill="auto"/>
            <w:vAlign w:val="bottom"/>
          </w:tcPr>
          <w:p w14:paraId="26003BD9" w14:textId="30A71458" w:rsidR="002120BC" w:rsidRPr="005951C5" w:rsidRDefault="002120BC" w:rsidP="001C368D">
            <w:pPr>
              <w:tabs>
                <w:tab w:val="left" w:pos="288"/>
                <w:tab w:val="left" w:pos="576"/>
                <w:tab w:val="left" w:pos="864"/>
                <w:tab w:val="left" w:pos="1152"/>
              </w:tabs>
              <w:spacing w:before="40" w:after="40" w:line="210" w:lineRule="exact"/>
              <w:ind w:right="40"/>
              <w:jc w:val="right"/>
              <w:rPr>
                <w:sz w:val="17"/>
                <w:szCs w:val="17"/>
                <w:lang w:val="es-PY"/>
              </w:rPr>
            </w:pPr>
            <w:r w:rsidRPr="005951C5">
              <w:rPr>
                <w:sz w:val="17"/>
                <w:szCs w:val="17"/>
              </w:rPr>
              <w:t>0,6</w:t>
            </w:r>
            <w:r>
              <w:rPr>
                <w:sz w:val="17"/>
                <w:szCs w:val="17"/>
              </w:rPr>
              <w:t> </w:t>
            </w:r>
            <w:r w:rsidRPr="005951C5">
              <w:rPr>
                <w:sz w:val="17"/>
                <w:szCs w:val="17"/>
              </w:rPr>
              <w:t>%</w:t>
            </w:r>
          </w:p>
        </w:tc>
        <w:tc>
          <w:tcPr>
            <w:tcW w:w="825" w:type="dxa"/>
            <w:shd w:val="clear" w:color="auto" w:fill="auto"/>
            <w:vAlign w:val="bottom"/>
          </w:tcPr>
          <w:p w14:paraId="7204C713" w14:textId="14C4396E" w:rsidR="002120BC" w:rsidRPr="00D849F6" w:rsidRDefault="002120BC" w:rsidP="001C368D">
            <w:pPr>
              <w:spacing w:before="40" w:after="40" w:line="210" w:lineRule="exact"/>
              <w:jc w:val="right"/>
              <w:rPr>
                <w:sz w:val="17"/>
                <w:szCs w:val="17"/>
                <w:lang w:val="es-PY"/>
              </w:rPr>
            </w:pPr>
            <w:r w:rsidRPr="005951C5">
              <w:rPr>
                <w:sz w:val="17"/>
                <w:szCs w:val="17"/>
              </w:rPr>
              <w:t>100,0</w:t>
            </w:r>
            <w:r>
              <w:rPr>
                <w:sz w:val="17"/>
                <w:szCs w:val="17"/>
              </w:rPr>
              <w:t> </w:t>
            </w:r>
            <w:r w:rsidRPr="005951C5">
              <w:rPr>
                <w:sz w:val="17"/>
                <w:szCs w:val="17"/>
              </w:rPr>
              <w:t>%</w:t>
            </w:r>
          </w:p>
        </w:tc>
      </w:tr>
      <w:tr w:rsidR="002120BC" w:rsidRPr="00947E83" w14:paraId="6DBB363D" w14:textId="77777777" w:rsidTr="00B27D24">
        <w:tc>
          <w:tcPr>
            <w:tcW w:w="964" w:type="dxa"/>
            <w:tcBorders>
              <w:bottom w:val="single" w:sz="4" w:space="0" w:color="auto"/>
            </w:tcBorders>
            <w:shd w:val="clear" w:color="auto" w:fill="auto"/>
            <w:vAlign w:val="bottom"/>
          </w:tcPr>
          <w:p w14:paraId="4E919EB1" w14:textId="61226778" w:rsidR="002120BC" w:rsidRPr="00947E83" w:rsidRDefault="002120BC" w:rsidP="00B27D24">
            <w:pPr>
              <w:spacing w:before="40" w:after="81" w:line="210" w:lineRule="exact"/>
              <w:rPr>
                <w:sz w:val="17"/>
                <w:szCs w:val="17"/>
                <w:lang w:val="es-PY"/>
              </w:rPr>
            </w:pPr>
            <w:r w:rsidRPr="00947E83">
              <w:rPr>
                <w:sz w:val="17"/>
                <w:szCs w:val="17"/>
              </w:rPr>
              <w:t>2021</w:t>
            </w:r>
            <w:r w:rsidR="00B27D24">
              <w:rPr>
                <w:sz w:val="17"/>
                <w:szCs w:val="17"/>
              </w:rPr>
              <w:br/>
            </w:r>
            <w:r w:rsidRPr="00947E83">
              <w:rPr>
                <w:sz w:val="17"/>
                <w:szCs w:val="17"/>
              </w:rPr>
              <w:t>(1°Semestre)</w:t>
            </w:r>
          </w:p>
        </w:tc>
        <w:tc>
          <w:tcPr>
            <w:tcW w:w="836" w:type="dxa"/>
            <w:tcBorders>
              <w:bottom w:val="single" w:sz="4" w:space="0" w:color="auto"/>
            </w:tcBorders>
            <w:shd w:val="clear" w:color="auto" w:fill="auto"/>
            <w:vAlign w:val="bottom"/>
          </w:tcPr>
          <w:p w14:paraId="4381CDDC" w14:textId="1B3F9D00" w:rsidR="002120BC" w:rsidRPr="00947E83" w:rsidRDefault="002120BC" w:rsidP="00B27D24">
            <w:pPr>
              <w:tabs>
                <w:tab w:val="left" w:pos="288"/>
                <w:tab w:val="left" w:pos="576"/>
                <w:tab w:val="left" w:pos="864"/>
                <w:tab w:val="left" w:pos="1152"/>
              </w:tabs>
              <w:spacing w:before="40" w:after="81" w:line="210" w:lineRule="exact"/>
              <w:ind w:right="40"/>
              <w:jc w:val="right"/>
              <w:rPr>
                <w:sz w:val="17"/>
                <w:szCs w:val="17"/>
                <w:lang w:val="es-PY"/>
              </w:rPr>
            </w:pPr>
            <w:r w:rsidRPr="00947E83">
              <w:rPr>
                <w:sz w:val="17"/>
                <w:szCs w:val="17"/>
              </w:rPr>
              <w:t>39</w:t>
            </w:r>
          </w:p>
        </w:tc>
        <w:tc>
          <w:tcPr>
            <w:tcW w:w="810" w:type="dxa"/>
            <w:tcBorders>
              <w:bottom w:val="single" w:sz="4" w:space="0" w:color="auto"/>
            </w:tcBorders>
            <w:shd w:val="clear" w:color="auto" w:fill="auto"/>
            <w:vAlign w:val="bottom"/>
          </w:tcPr>
          <w:p w14:paraId="65C3376D" w14:textId="7276CCBC" w:rsidR="002120BC" w:rsidRPr="00947E83" w:rsidRDefault="002120BC" w:rsidP="00B27D24">
            <w:pPr>
              <w:tabs>
                <w:tab w:val="left" w:pos="288"/>
                <w:tab w:val="left" w:pos="576"/>
                <w:tab w:val="left" w:pos="864"/>
                <w:tab w:val="left" w:pos="1152"/>
              </w:tabs>
              <w:spacing w:before="40" w:after="81" w:line="210" w:lineRule="exact"/>
              <w:ind w:right="40"/>
              <w:jc w:val="right"/>
              <w:rPr>
                <w:sz w:val="17"/>
                <w:szCs w:val="17"/>
                <w:lang w:val="es-PY"/>
              </w:rPr>
            </w:pPr>
            <w:r w:rsidRPr="00947E83">
              <w:rPr>
                <w:sz w:val="17"/>
                <w:szCs w:val="17"/>
              </w:rPr>
              <w:t>7</w:t>
            </w:r>
          </w:p>
        </w:tc>
        <w:tc>
          <w:tcPr>
            <w:tcW w:w="952" w:type="dxa"/>
            <w:tcBorders>
              <w:bottom w:val="single" w:sz="4" w:space="0" w:color="auto"/>
            </w:tcBorders>
            <w:shd w:val="clear" w:color="auto" w:fill="auto"/>
            <w:vAlign w:val="bottom"/>
          </w:tcPr>
          <w:p w14:paraId="0D324DE2" w14:textId="529929ED" w:rsidR="002120BC" w:rsidRPr="00947E83" w:rsidRDefault="002120BC" w:rsidP="00B27D24">
            <w:pPr>
              <w:tabs>
                <w:tab w:val="left" w:pos="288"/>
                <w:tab w:val="left" w:pos="576"/>
                <w:tab w:val="left" w:pos="864"/>
                <w:tab w:val="left" w:pos="1152"/>
              </w:tabs>
              <w:spacing w:before="40" w:after="81" w:line="210" w:lineRule="exact"/>
              <w:ind w:right="40"/>
              <w:jc w:val="right"/>
              <w:rPr>
                <w:sz w:val="17"/>
                <w:szCs w:val="17"/>
                <w:lang w:val="es-PY"/>
              </w:rPr>
            </w:pPr>
            <w:r w:rsidRPr="00947E83">
              <w:rPr>
                <w:sz w:val="17"/>
                <w:szCs w:val="17"/>
              </w:rPr>
              <w:t>0</w:t>
            </w:r>
          </w:p>
        </w:tc>
        <w:tc>
          <w:tcPr>
            <w:tcW w:w="825" w:type="dxa"/>
            <w:gridSpan w:val="2"/>
            <w:tcBorders>
              <w:bottom w:val="single" w:sz="4" w:space="0" w:color="auto"/>
            </w:tcBorders>
            <w:shd w:val="clear" w:color="auto" w:fill="auto"/>
            <w:vAlign w:val="bottom"/>
          </w:tcPr>
          <w:p w14:paraId="5DE27F30" w14:textId="309569A7" w:rsidR="002120BC" w:rsidRPr="00947E83" w:rsidRDefault="002120BC" w:rsidP="00B27D24">
            <w:pPr>
              <w:spacing w:before="40" w:after="40" w:line="210" w:lineRule="exact"/>
              <w:jc w:val="right"/>
              <w:rPr>
                <w:sz w:val="17"/>
                <w:lang w:val="es-PY"/>
              </w:rPr>
            </w:pPr>
            <w:r w:rsidRPr="005951C5">
              <w:rPr>
                <w:sz w:val="17"/>
                <w:szCs w:val="17"/>
              </w:rPr>
              <w:t>2021</w:t>
            </w:r>
            <w:r w:rsidR="00B27D24">
              <w:rPr>
                <w:sz w:val="17"/>
                <w:szCs w:val="17"/>
              </w:rPr>
              <w:br/>
            </w:r>
            <w:r w:rsidRPr="005951C5">
              <w:rPr>
                <w:sz w:val="17"/>
                <w:szCs w:val="17"/>
              </w:rPr>
              <w:t>Enero-Julio</w:t>
            </w:r>
          </w:p>
        </w:tc>
        <w:tc>
          <w:tcPr>
            <w:tcW w:w="825" w:type="dxa"/>
            <w:gridSpan w:val="2"/>
            <w:tcBorders>
              <w:bottom w:val="single" w:sz="4" w:space="0" w:color="auto"/>
            </w:tcBorders>
            <w:shd w:val="clear" w:color="auto" w:fill="auto"/>
            <w:vAlign w:val="bottom"/>
          </w:tcPr>
          <w:p w14:paraId="55363518" w14:textId="4F86BEDD" w:rsidR="002120BC" w:rsidRPr="00947E83" w:rsidRDefault="002120BC" w:rsidP="00B27D24">
            <w:pPr>
              <w:tabs>
                <w:tab w:val="left" w:pos="288"/>
                <w:tab w:val="left" w:pos="576"/>
                <w:tab w:val="left" w:pos="864"/>
                <w:tab w:val="left" w:pos="1152"/>
              </w:tabs>
              <w:spacing w:before="40" w:after="81" w:line="210" w:lineRule="exact"/>
              <w:ind w:right="40"/>
              <w:jc w:val="right"/>
              <w:rPr>
                <w:sz w:val="17"/>
                <w:lang w:val="es-PY"/>
              </w:rPr>
            </w:pPr>
            <w:r w:rsidRPr="005951C5">
              <w:rPr>
                <w:sz w:val="17"/>
                <w:szCs w:val="17"/>
              </w:rPr>
              <w:t>89,3</w:t>
            </w:r>
            <w:r>
              <w:rPr>
                <w:sz w:val="17"/>
                <w:szCs w:val="17"/>
              </w:rPr>
              <w:t> </w:t>
            </w:r>
            <w:r w:rsidRPr="005951C5">
              <w:rPr>
                <w:sz w:val="17"/>
                <w:szCs w:val="17"/>
              </w:rPr>
              <w:t>%</w:t>
            </w:r>
          </w:p>
        </w:tc>
        <w:tc>
          <w:tcPr>
            <w:tcW w:w="825" w:type="dxa"/>
            <w:tcBorders>
              <w:bottom w:val="single" w:sz="4" w:space="0" w:color="auto"/>
            </w:tcBorders>
            <w:shd w:val="clear" w:color="auto" w:fill="auto"/>
            <w:vAlign w:val="bottom"/>
          </w:tcPr>
          <w:p w14:paraId="1B9FBFB3" w14:textId="7F54FCEC" w:rsidR="002120BC" w:rsidRPr="00947E83" w:rsidRDefault="002120BC" w:rsidP="00B27D24">
            <w:pPr>
              <w:tabs>
                <w:tab w:val="left" w:pos="288"/>
                <w:tab w:val="left" w:pos="576"/>
                <w:tab w:val="left" w:pos="864"/>
                <w:tab w:val="left" w:pos="1152"/>
              </w:tabs>
              <w:spacing w:before="40" w:after="81" w:line="210" w:lineRule="exact"/>
              <w:ind w:right="40"/>
              <w:jc w:val="right"/>
              <w:rPr>
                <w:sz w:val="17"/>
                <w:lang w:val="es-PY"/>
              </w:rPr>
            </w:pPr>
            <w:r w:rsidRPr="005951C5">
              <w:rPr>
                <w:sz w:val="17"/>
                <w:szCs w:val="17"/>
              </w:rPr>
              <w:t>10,7</w:t>
            </w:r>
            <w:r>
              <w:rPr>
                <w:sz w:val="17"/>
                <w:szCs w:val="17"/>
              </w:rPr>
              <w:t> </w:t>
            </w:r>
            <w:r w:rsidRPr="005951C5">
              <w:rPr>
                <w:sz w:val="17"/>
                <w:szCs w:val="17"/>
              </w:rPr>
              <w:t>%</w:t>
            </w:r>
          </w:p>
        </w:tc>
        <w:tc>
          <w:tcPr>
            <w:tcW w:w="825" w:type="dxa"/>
            <w:tcBorders>
              <w:bottom w:val="single" w:sz="4" w:space="0" w:color="auto"/>
            </w:tcBorders>
            <w:shd w:val="clear" w:color="auto" w:fill="auto"/>
            <w:vAlign w:val="bottom"/>
          </w:tcPr>
          <w:p w14:paraId="5A89F1AB" w14:textId="7A77E55D" w:rsidR="002120BC" w:rsidRPr="00947E83" w:rsidRDefault="002120BC" w:rsidP="00B27D24">
            <w:pPr>
              <w:tabs>
                <w:tab w:val="left" w:pos="288"/>
                <w:tab w:val="left" w:pos="576"/>
                <w:tab w:val="left" w:pos="864"/>
                <w:tab w:val="left" w:pos="1152"/>
              </w:tabs>
              <w:spacing w:before="40" w:after="81" w:line="210" w:lineRule="exact"/>
              <w:ind w:right="40"/>
              <w:jc w:val="right"/>
              <w:rPr>
                <w:sz w:val="17"/>
                <w:lang w:val="es-PY"/>
              </w:rPr>
            </w:pPr>
            <w:r w:rsidRPr="005951C5">
              <w:rPr>
                <w:sz w:val="17"/>
                <w:szCs w:val="17"/>
              </w:rPr>
              <w:t>0,0</w:t>
            </w:r>
            <w:r>
              <w:rPr>
                <w:sz w:val="17"/>
                <w:szCs w:val="17"/>
              </w:rPr>
              <w:t> </w:t>
            </w:r>
            <w:r w:rsidRPr="005951C5">
              <w:rPr>
                <w:sz w:val="17"/>
                <w:szCs w:val="17"/>
              </w:rPr>
              <w:t>%</w:t>
            </w:r>
          </w:p>
        </w:tc>
        <w:tc>
          <w:tcPr>
            <w:tcW w:w="825" w:type="dxa"/>
            <w:tcBorders>
              <w:bottom w:val="single" w:sz="4" w:space="0" w:color="auto"/>
            </w:tcBorders>
            <w:shd w:val="clear" w:color="auto" w:fill="auto"/>
            <w:vAlign w:val="bottom"/>
          </w:tcPr>
          <w:p w14:paraId="79091D6F" w14:textId="64A715E5" w:rsidR="002120BC" w:rsidRPr="00947E83" w:rsidRDefault="002120BC" w:rsidP="00B27D24">
            <w:pPr>
              <w:tabs>
                <w:tab w:val="left" w:pos="288"/>
                <w:tab w:val="left" w:pos="576"/>
                <w:tab w:val="left" w:pos="864"/>
                <w:tab w:val="left" w:pos="1152"/>
              </w:tabs>
              <w:spacing w:before="40" w:after="81" w:line="210" w:lineRule="exact"/>
              <w:ind w:right="40"/>
              <w:jc w:val="right"/>
              <w:rPr>
                <w:sz w:val="17"/>
                <w:lang w:val="es-PY"/>
              </w:rPr>
            </w:pPr>
            <w:r w:rsidRPr="00D849F6">
              <w:rPr>
                <w:sz w:val="17"/>
                <w:szCs w:val="17"/>
              </w:rPr>
              <w:t>100,0 %</w:t>
            </w:r>
          </w:p>
        </w:tc>
      </w:tr>
      <w:tr w:rsidR="002120BC" w:rsidRPr="00947E83" w14:paraId="0431549F" w14:textId="77777777" w:rsidTr="00D849F6">
        <w:tc>
          <w:tcPr>
            <w:tcW w:w="964" w:type="dxa"/>
            <w:tcBorders>
              <w:top w:val="single" w:sz="4" w:space="0" w:color="auto"/>
              <w:bottom w:val="single" w:sz="12" w:space="0" w:color="auto"/>
            </w:tcBorders>
            <w:shd w:val="clear" w:color="auto" w:fill="auto"/>
            <w:vAlign w:val="bottom"/>
          </w:tcPr>
          <w:p w14:paraId="421CB95F" w14:textId="0400AB8E" w:rsidR="002120BC" w:rsidRPr="00947E83" w:rsidRDefault="002120BC" w:rsidP="001C368D">
            <w:pPr>
              <w:tabs>
                <w:tab w:val="left" w:pos="288"/>
                <w:tab w:val="left" w:pos="576"/>
                <w:tab w:val="left" w:pos="864"/>
                <w:tab w:val="left" w:pos="1152"/>
              </w:tabs>
              <w:spacing w:before="81" w:after="81" w:line="210" w:lineRule="exact"/>
              <w:ind w:right="43"/>
              <w:rPr>
                <w:b/>
                <w:sz w:val="17"/>
                <w:lang w:val="es-PY"/>
              </w:rPr>
            </w:pPr>
            <w:r w:rsidRPr="00947E83">
              <w:rPr>
                <w:b/>
                <w:sz w:val="17"/>
                <w:lang w:val="es-PY"/>
              </w:rPr>
              <w:tab/>
            </w:r>
            <w:r>
              <w:rPr>
                <w:b/>
                <w:sz w:val="17"/>
                <w:lang w:val="es-PY"/>
              </w:rPr>
              <w:t>Total</w:t>
            </w:r>
          </w:p>
        </w:tc>
        <w:tc>
          <w:tcPr>
            <w:tcW w:w="836" w:type="dxa"/>
            <w:tcBorders>
              <w:top w:val="single" w:sz="4" w:space="0" w:color="auto"/>
              <w:bottom w:val="single" w:sz="12" w:space="0" w:color="auto"/>
            </w:tcBorders>
            <w:shd w:val="clear" w:color="auto" w:fill="auto"/>
          </w:tcPr>
          <w:p w14:paraId="63004B0D" w14:textId="26922E1E" w:rsidR="002120BC" w:rsidRPr="00947E83" w:rsidRDefault="002120BC" w:rsidP="001C368D">
            <w:pPr>
              <w:tabs>
                <w:tab w:val="left" w:pos="288"/>
                <w:tab w:val="left" w:pos="576"/>
                <w:tab w:val="left" w:pos="864"/>
                <w:tab w:val="left" w:pos="1152"/>
              </w:tabs>
              <w:spacing w:before="81" w:after="81" w:line="210" w:lineRule="exact"/>
              <w:ind w:right="43"/>
              <w:jc w:val="right"/>
              <w:rPr>
                <w:b/>
                <w:sz w:val="17"/>
                <w:szCs w:val="17"/>
                <w:lang w:val="es-PY"/>
              </w:rPr>
            </w:pPr>
            <w:r w:rsidRPr="00947E83">
              <w:rPr>
                <w:b/>
                <w:sz w:val="17"/>
                <w:szCs w:val="17"/>
              </w:rPr>
              <w:t>500</w:t>
            </w:r>
          </w:p>
        </w:tc>
        <w:tc>
          <w:tcPr>
            <w:tcW w:w="810" w:type="dxa"/>
            <w:tcBorders>
              <w:top w:val="single" w:sz="4" w:space="0" w:color="auto"/>
              <w:bottom w:val="single" w:sz="12" w:space="0" w:color="auto"/>
            </w:tcBorders>
            <w:shd w:val="clear" w:color="auto" w:fill="auto"/>
          </w:tcPr>
          <w:p w14:paraId="1D4C0DE3" w14:textId="5100060C" w:rsidR="002120BC" w:rsidRPr="00947E83" w:rsidRDefault="002120BC" w:rsidP="001C368D">
            <w:pPr>
              <w:tabs>
                <w:tab w:val="left" w:pos="288"/>
                <w:tab w:val="left" w:pos="576"/>
                <w:tab w:val="left" w:pos="864"/>
                <w:tab w:val="left" w:pos="1152"/>
              </w:tabs>
              <w:spacing w:before="81" w:after="81" w:line="210" w:lineRule="exact"/>
              <w:ind w:right="43"/>
              <w:jc w:val="right"/>
              <w:rPr>
                <w:b/>
                <w:sz w:val="17"/>
                <w:szCs w:val="17"/>
                <w:lang w:val="es-PY"/>
              </w:rPr>
            </w:pPr>
            <w:r w:rsidRPr="00947E83">
              <w:rPr>
                <w:b/>
                <w:sz w:val="17"/>
                <w:szCs w:val="17"/>
              </w:rPr>
              <w:t>99</w:t>
            </w:r>
          </w:p>
        </w:tc>
        <w:tc>
          <w:tcPr>
            <w:tcW w:w="952" w:type="dxa"/>
            <w:tcBorders>
              <w:top w:val="single" w:sz="4" w:space="0" w:color="auto"/>
              <w:bottom w:val="single" w:sz="12" w:space="0" w:color="auto"/>
            </w:tcBorders>
            <w:shd w:val="clear" w:color="auto" w:fill="auto"/>
          </w:tcPr>
          <w:p w14:paraId="09BD80FB" w14:textId="08F4C956" w:rsidR="002120BC" w:rsidRPr="00947E83" w:rsidRDefault="002120BC" w:rsidP="001C368D">
            <w:pPr>
              <w:tabs>
                <w:tab w:val="left" w:pos="288"/>
                <w:tab w:val="left" w:pos="576"/>
                <w:tab w:val="left" w:pos="864"/>
                <w:tab w:val="left" w:pos="1152"/>
              </w:tabs>
              <w:spacing w:before="81" w:after="81" w:line="210" w:lineRule="exact"/>
              <w:ind w:right="43"/>
              <w:jc w:val="right"/>
              <w:rPr>
                <w:b/>
                <w:sz w:val="17"/>
                <w:szCs w:val="17"/>
                <w:lang w:val="es-PY"/>
              </w:rPr>
            </w:pPr>
            <w:r w:rsidRPr="00947E83">
              <w:rPr>
                <w:b/>
                <w:sz w:val="17"/>
                <w:szCs w:val="17"/>
              </w:rPr>
              <w:t>11</w:t>
            </w:r>
          </w:p>
        </w:tc>
        <w:tc>
          <w:tcPr>
            <w:tcW w:w="825" w:type="dxa"/>
            <w:gridSpan w:val="2"/>
            <w:tcBorders>
              <w:top w:val="single" w:sz="4" w:space="0" w:color="auto"/>
              <w:bottom w:val="single" w:sz="12" w:space="0" w:color="auto"/>
            </w:tcBorders>
            <w:shd w:val="clear" w:color="auto" w:fill="auto"/>
            <w:vAlign w:val="bottom"/>
          </w:tcPr>
          <w:p w14:paraId="4609C38C" w14:textId="77777777" w:rsidR="002120BC" w:rsidRPr="00947E83" w:rsidRDefault="002120BC" w:rsidP="001C368D">
            <w:pPr>
              <w:tabs>
                <w:tab w:val="left" w:pos="288"/>
                <w:tab w:val="left" w:pos="576"/>
                <w:tab w:val="left" w:pos="864"/>
                <w:tab w:val="left" w:pos="1152"/>
              </w:tabs>
              <w:spacing w:before="81" w:after="81" w:line="210" w:lineRule="exact"/>
              <w:ind w:right="43"/>
              <w:jc w:val="right"/>
              <w:rPr>
                <w:b/>
                <w:sz w:val="17"/>
                <w:lang w:val="es-PY"/>
              </w:rPr>
            </w:pPr>
          </w:p>
        </w:tc>
        <w:tc>
          <w:tcPr>
            <w:tcW w:w="825" w:type="dxa"/>
            <w:gridSpan w:val="2"/>
            <w:tcBorders>
              <w:top w:val="single" w:sz="4" w:space="0" w:color="auto"/>
              <w:bottom w:val="single" w:sz="12" w:space="0" w:color="auto"/>
            </w:tcBorders>
            <w:shd w:val="clear" w:color="auto" w:fill="auto"/>
            <w:vAlign w:val="bottom"/>
          </w:tcPr>
          <w:p w14:paraId="7F9FABB2" w14:textId="77777777" w:rsidR="002120BC" w:rsidRPr="00947E83" w:rsidRDefault="002120BC" w:rsidP="001C368D">
            <w:pPr>
              <w:tabs>
                <w:tab w:val="left" w:pos="288"/>
                <w:tab w:val="left" w:pos="576"/>
                <w:tab w:val="left" w:pos="864"/>
                <w:tab w:val="left" w:pos="1152"/>
              </w:tabs>
              <w:spacing w:before="81" w:after="81" w:line="210" w:lineRule="exact"/>
              <w:ind w:right="43"/>
              <w:jc w:val="right"/>
              <w:rPr>
                <w:b/>
                <w:sz w:val="17"/>
                <w:lang w:val="es-PY"/>
              </w:rPr>
            </w:pPr>
          </w:p>
        </w:tc>
        <w:tc>
          <w:tcPr>
            <w:tcW w:w="825" w:type="dxa"/>
            <w:tcBorders>
              <w:top w:val="single" w:sz="4" w:space="0" w:color="auto"/>
              <w:bottom w:val="single" w:sz="12" w:space="0" w:color="auto"/>
            </w:tcBorders>
            <w:shd w:val="clear" w:color="auto" w:fill="auto"/>
            <w:vAlign w:val="bottom"/>
          </w:tcPr>
          <w:p w14:paraId="2B8AC3B3" w14:textId="77777777" w:rsidR="002120BC" w:rsidRPr="00947E83" w:rsidRDefault="002120BC" w:rsidP="001C368D">
            <w:pPr>
              <w:tabs>
                <w:tab w:val="left" w:pos="288"/>
                <w:tab w:val="left" w:pos="576"/>
                <w:tab w:val="left" w:pos="864"/>
                <w:tab w:val="left" w:pos="1152"/>
              </w:tabs>
              <w:spacing w:before="81" w:after="81" w:line="210" w:lineRule="exact"/>
              <w:ind w:right="43"/>
              <w:jc w:val="right"/>
              <w:rPr>
                <w:b/>
                <w:sz w:val="17"/>
                <w:lang w:val="es-PY"/>
              </w:rPr>
            </w:pPr>
          </w:p>
        </w:tc>
        <w:tc>
          <w:tcPr>
            <w:tcW w:w="825" w:type="dxa"/>
            <w:tcBorders>
              <w:top w:val="single" w:sz="4" w:space="0" w:color="auto"/>
              <w:bottom w:val="single" w:sz="12" w:space="0" w:color="auto"/>
            </w:tcBorders>
            <w:shd w:val="clear" w:color="auto" w:fill="auto"/>
            <w:vAlign w:val="bottom"/>
          </w:tcPr>
          <w:p w14:paraId="05828392" w14:textId="77777777" w:rsidR="002120BC" w:rsidRPr="00947E83" w:rsidRDefault="002120BC" w:rsidP="001C368D">
            <w:pPr>
              <w:tabs>
                <w:tab w:val="left" w:pos="288"/>
                <w:tab w:val="left" w:pos="576"/>
                <w:tab w:val="left" w:pos="864"/>
                <w:tab w:val="left" w:pos="1152"/>
              </w:tabs>
              <w:spacing w:before="81" w:after="81" w:line="210" w:lineRule="exact"/>
              <w:ind w:right="43"/>
              <w:jc w:val="right"/>
              <w:rPr>
                <w:b/>
                <w:sz w:val="17"/>
                <w:lang w:val="es-PY"/>
              </w:rPr>
            </w:pPr>
          </w:p>
        </w:tc>
        <w:tc>
          <w:tcPr>
            <w:tcW w:w="825" w:type="dxa"/>
            <w:tcBorders>
              <w:top w:val="single" w:sz="4" w:space="0" w:color="auto"/>
              <w:bottom w:val="single" w:sz="12" w:space="0" w:color="auto"/>
            </w:tcBorders>
            <w:shd w:val="clear" w:color="auto" w:fill="auto"/>
            <w:vAlign w:val="bottom"/>
          </w:tcPr>
          <w:p w14:paraId="7AFE2DD6" w14:textId="77777777" w:rsidR="002120BC" w:rsidRPr="00947E83" w:rsidRDefault="002120BC" w:rsidP="001C368D">
            <w:pPr>
              <w:tabs>
                <w:tab w:val="left" w:pos="288"/>
                <w:tab w:val="left" w:pos="576"/>
                <w:tab w:val="left" w:pos="864"/>
                <w:tab w:val="left" w:pos="1152"/>
              </w:tabs>
              <w:spacing w:before="81" w:after="81" w:line="210" w:lineRule="exact"/>
              <w:ind w:right="43"/>
              <w:jc w:val="right"/>
              <w:rPr>
                <w:b/>
                <w:sz w:val="17"/>
                <w:lang w:val="es-PY"/>
              </w:rPr>
            </w:pPr>
          </w:p>
        </w:tc>
      </w:tr>
    </w:tbl>
    <w:p w14:paraId="3783C258" w14:textId="77777777" w:rsidR="00947E83" w:rsidRPr="005951C5" w:rsidRDefault="00947E83" w:rsidP="005951C5">
      <w:pPr>
        <w:pStyle w:val="SingleTxt"/>
        <w:spacing w:after="0" w:line="120" w:lineRule="exact"/>
        <w:rPr>
          <w:sz w:val="10"/>
          <w:lang w:val="es-PY"/>
        </w:rPr>
      </w:pPr>
    </w:p>
    <w:p w14:paraId="08DC6159" w14:textId="77777777" w:rsidR="005951C5" w:rsidRPr="00946E90" w:rsidRDefault="005951C5" w:rsidP="005951C5">
      <w:pPr>
        <w:pStyle w:val="FootnoteText"/>
        <w:tabs>
          <w:tab w:val="clear" w:pos="418"/>
          <w:tab w:val="right" w:pos="1476"/>
          <w:tab w:val="left" w:pos="1548"/>
          <w:tab w:val="right" w:pos="1836"/>
          <w:tab w:val="left" w:pos="1908"/>
        </w:tabs>
        <w:ind w:left="1548" w:right="1267" w:hanging="288"/>
      </w:pPr>
      <w:r w:rsidRPr="005951C5">
        <w:rPr>
          <w:i/>
          <w:iCs/>
        </w:rPr>
        <w:t>Fuente</w:t>
      </w:r>
      <w:r w:rsidRPr="00946E90">
        <w:t>: Ministerio Público. Dirección de Tecnologías de la Información y Comunicación.</w:t>
      </w:r>
    </w:p>
    <w:p w14:paraId="098F3667" w14:textId="77777777" w:rsidR="005951C5" w:rsidRPr="00946E90" w:rsidRDefault="005951C5" w:rsidP="005951C5">
      <w:pPr>
        <w:pStyle w:val="FootnoteText"/>
        <w:tabs>
          <w:tab w:val="clear" w:pos="418"/>
          <w:tab w:val="right" w:pos="1476"/>
          <w:tab w:val="left" w:pos="1548"/>
          <w:tab w:val="right" w:pos="1836"/>
          <w:tab w:val="left" w:pos="1908"/>
        </w:tabs>
        <w:ind w:left="1548" w:right="1267" w:hanging="288"/>
      </w:pPr>
      <w:r w:rsidRPr="00D849F6">
        <w:rPr>
          <w:i/>
          <w:iCs/>
        </w:rPr>
        <w:t>Procesamiento</w:t>
      </w:r>
      <w:r w:rsidRPr="00946E90">
        <w:t>: Dirección de Planificación. Departamento de Estadística.</w:t>
      </w:r>
    </w:p>
    <w:p w14:paraId="793F3E2E" w14:textId="23F52D15" w:rsidR="005951C5" w:rsidRDefault="005951C5" w:rsidP="005951C5">
      <w:pPr>
        <w:pStyle w:val="FootnoteText"/>
        <w:tabs>
          <w:tab w:val="clear" w:pos="418"/>
          <w:tab w:val="right" w:pos="1476"/>
          <w:tab w:val="left" w:pos="1548"/>
          <w:tab w:val="right" w:pos="1836"/>
          <w:tab w:val="left" w:pos="1908"/>
        </w:tabs>
        <w:ind w:left="1548" w:right="1267" w:hanging="288"/>
        <w:rPr>
          <w:lang w:val="es-PY"/>
        </w:rPr>
      </w:pPr>
      <w:r w:rsidRPr="005951C5">
        <w:rPr>
          <w:i/>
          <w:iCs/>
        </w:rPr>
        <w:t>Obs</w:t>
      </w:r>
      <w:r>
        <w:rPr>
          <w:i/>
          <w:iCs/>
        </w:rPr>
        <w:t>ervaciones</w:t>
      </w:r>
      <w:r w:rsidRPr="00946E90">
        <w:t>: los datos corresponden al momento de la denuncia, pudiendo variar la tipificación del hecho en el transcurso de la investigación</w:t>
      </w:r>
      <w:r w:rsidRPr="00BC5B52">
        <w:t>.</w:t>
      </w:r>
    </w:p>
    <w:p w14:paraId="3479E823" w14:textId="77777777" w:rsidR="00521F74" w:rsidRPr="005951C5" w:rsidRDefault="00521F74" w:rsidP="005951C5">
      <w:pPr>
        <w:pStyle w:val="SingleTxt"/>
        <w:spacing w:after="0" w:line="120" w:lineRule="exact"/>
        <w:rPr>
          <w:sz w:val="10"/>
          <w:lang w:val="es-PY"/>
        </w:rPr>
      </w:pPr>
    </w:p>
    <w:p w14:paraId="1BB8A495" w14:textId="77777777" w:rsidR="005951C5" w:rsidRPr="005951C5" w:rsidRDefault="005951C5" w:rsidP="005951C5">
      <w:pPr>
        <w:pStyle w:val="SingleTxt"/>
        <w:spacing w:after="0" w:line="120" w:lineRule="exact"/>
        <w:rPr>
          <w:sz w:val="10"/>
          <w:lang w:val="es-PY"/>
        </w:rPr>
      </w:pPr>
    </w:p>
    <w:p w14:paraId="1D2201E5" w14:textId="77777777" w:rsidR="005951C5" w:rsidRPr="005951C5" w:rsidRDefault="005951C5" w:rsidP="005951C5">
      <w:pPr>
        <w:pStyle w:val="SingleTxt"/>
        <w:spacing w:after="0" w:line="120" w:lineRule="exact"/>
        <w:rPr>
          <w:sz w:val="10"/>
          <w:lang w:val="es-PY"/>
        </w:rPr>
      </w:pPr>
    </w:p>
    <w:p w14:paraId="3A3CF18E" w14:textId="0212B6FD" w:rsidR="00583FBD" w:rsidRPr="00B64C1B" w:rsidRDefault="00583FBD" w:rsidP="005A582B">
      <w:pPr>
        <w:pStyle w:val="SingleTxt"/>
        <w:numPr>
          <w:ilvl w:val="0"/>
          <w:numId w:val="44"/>
        </w:numPr>
        <w:ind w:left="1267"/>
        <w:rPr>
          <w:lang w:val="es-PY"/>
        </w:rPr>
      </w:pPr>
      <w:r w:rsidRPr="00B64C1B">
        <w:rPr>
          <w:lang w:val="es-PY"/>
        </w:rPr>
        <w:t>En el periodo 2021-2023, la Unidad Especializada de Trata del MP ingresaron 169 denuncias y se realizaron 67 allanamientos, logrando la protección de 27 víctimas en operativos nacionales y 11 en operativos internacionales, con 24 personas condenadas y 42 imputadas. La Dirección de Trata del MP asistió a un total de 245</w:t>
      </w:r>
      <w:r w:rsidR="00D75B09">
        <w:rPr>
          <w:lang w:val="es-PY"/>
        </w:rPr>
        <w:t> </w:t>
      </w:r>
      <w:r w:rsidRPr="00B64C1B">
        <w:rPr>
          <w:lang w:val="es-PY"/>
        </w:rPr>
        <w:t>víctimas: 206 mujeres (de las cuales 26 eran niñas o adolescentes) y 39 varones (de los cuales 9 eran niños o adolescentes).</w:t>
      </w:r>
    </w:p>
    <w:p w14:paraId="4F0BB505" w14:textId="7469665F" w:rsidR="00583FBD" w:rsidRPr="00B64C1B" w:rsidRDefault="00583FBD" w:rsidP="005A582B">
      <w:pPr>
        <w:pStyle w:val="SingleTxt"/>
        <w:numPr>
          <w:ilvl w:val="0"/>
          <w:numId w:val="44"/>
        </w:numPr>
        <w:ind w:left="1267"/>
        <w:rPr>
          <w:lang w:val="es-PY"/>
        </w:rPr>
      </w:pPr>
      <w:r w:rsidRPr="00B64C1B">
        <w:rPr>
          <w:lang w:val="es-PY"/>
        </w:rPr>
        <w:t xml:space="preserve">En el marco de la Ley </w:t>
      </w:r>
      <w:r w:rsidRPr="005951C5">
        <w:rPr>
          <w:lang w:val="es-PY"/>
        </w:rPr>
        <w:t>3940/09</w:t>
      </w:r>
      <w:r w:rsidRPr="00B64C1B">
        <w:rPr>
          <w:lang w:val="es-PY"/>
        </w:rPr>
        <w:t xml:space="preserve">, </w:t>
      </w:r>
      <w:r w:rsidR="00F019B7">
        <w:rPr>
          <w:lang w:val="es-PY"/>
        </w:rPr>
        <w:t>“</w:t>
      </w:r>
      <w:r w:rsidRPr="00B64C1B">
        <w:rPr>
          <w:lang w:val="es-PY"/>
        </w:rPr>
        <w:t>Que establece derechos, obligaciones y medidas preventivas con relación a los efectos producidos por el Virus de Inmunodeficiencia Humana (VIH) y el Síndrome de Inmunodeficiencia Adquirida (SIDA)</w:t>
      </w:r>
      <w:r w:rsidR="00F019B7">
        <w:rPr>
          <w:lang w:val="es-PY"/>
        </w:rPr>
        <w:t>”</w:t>
      </w:r>
      <w:r w:rsidRPr="00B64C1B">
        <w:rPr>
          <w:vertAlign w:val="superscript"/>
          <w:lang w:val="es-PY"/>
        </w:rPr>
        <w:footnoteReference w:id="61"/>
      </w:r>
      <w:r w:rsidRPr="00B64C1B">
        <w:rPr>
          <w:lang w:val="es-PY"/>
        </w:rPr>
        <w:t xml:space="preserve">, y las medidas adoptadas para castigar el trato discriminatorio y el estigma contra las mujeres y niñas que viven con VIH/SIDA, incluidas las mujeres que ejercen el trabajo sexual, se están llevando a cabo diversas intervenciones para proporcionar apoyo y servicios a las trabajadoras sexuales. El Departamento de Educación del PRONASIDA, en colaboración con la ONG Unidas en la Esperanza, está implementando intervenciones en el marco de la estrategia de prevención combinada. Estas intervenciones incluyen la provisión de información sobre VIH, infecciones de transmisión sexual y reducción de daños, así como la realización de pruebas de VIH, sífilis, hepatitis B y C, así como la entrega de preservativos con el objeto de vincular a aquellas personas que necesiten los servicios de salud. Además, se está trabajando en la sensibilización en derechos humanos y la Ley </w:t>
      </w:r>
      <w:r w:rsidRPr="005951C5">
        <w:rPr>
          <w:lang w:val="es-PY"/>
        </w:rPr>
        <w:t>3940/09</w:t>
      </w:r>
      <w:r w:rsidRPr="00B64C1B">
        <w:rPr>
          <w:lang w:val="es-PY"/>
        </w:rPr>
        <w:t xml:space="preserve">, </w:t>
      </w:r>
      <w:r w:rsidR="00F019B7">
        <w:rPr>
          <w:lang w:val="es-PY"/>
        </w:rPr>
        <w:t>“</w:t>
      </w:r>
      <w:r w:rsidRPr="00B64C1B">
        <w:rPr>
          <w:lang w:val="es-PY"/>
        </w:rPr>
        <w:t xml:space="preserve">Que establece derechos, obligaciones y medidas preventivas con relación a los efectos producidos por el VIH y el SIDA, con el objetivo de eliminar el estigma y la discriminación en los servicios </w:t>
      </w:r>
      <w:r w:rsidRPr="00B64C1B">
        <w:rPr>
          <w:lang w:val="es-PY"/>
        </w:rPr>
        <w:lastRenderedPageBreak/>
        <w:t xml:space="preserve">de salud hacia las trabajadoras sexuales. En esta línea, se ha establecido una estrategia de abordaje en campo, en la que las mujeres trabajadoras sexuales denominadas educadoras pares son las encargadas de difundir información y proporcionar apoyo a sus compañeras. Esta estrategia pretende reforzar la prevención, el acceso a los servicios de salud y la eliminación del estigma y la discriminación. </w:t>
      </w:r>
    </w:p>
    <w:p w14:paraId="0F2C51E4" w14:textId="0D28E875" w:rsidR="00583FBD" w:rsidRPr="00B64C1B" w:rsidRDefault="00583FBD" w:rsidP="005A582B">
      <w:pPr>
        <w:pStyle w:val="SingleTxt"/>
        <w:numPr>
          <w:ilvl w:val="0"/>
          <w:numId w:val="44"/>
        </w:numPr>
        <w:ind w:left="1267"/>
        <w:rPr>
          <w:lang w:val="es-PY"/>
        </w:rPr>
      </w:pPr>
      <w:r w:rsidRPr="00B64C1B">
        <w:rPr>
          <w:lang w:val="es-PY"/>
        </w:rPr>
        <w:t>El Mecanismo Coordinación País Paraguay (MCP Paraguay)</w:t>
      </w:r>
      <w:r w:rsidRPr="00B64C1B">
        <w:rPr>
          <w:vertAlign w:val="superscript"/>
          <w:lang w:val="es-PY"/>
        </w:rPr>
        <w:footnoteReference w:id="62"/>
      </w:r>
      <w:r w:rsidRPr="00B64C1B">
        <w:rPr>
          <w:lang w:val="es-PY"/>
        </w:rPr>
        <w:t xml:space="preserve"> es una instancia de asociación integrada por el Gobierno, la sociedad civil, el sector privado y organismos internacionales de cooperación que actúan en el campo del VIH/sida, la Tuberculosis y la Malaria. Fue constituida en Paraguay en julio de 2002. El MCP tiene la responsabilidad de desarrollar y presentar al Fondo Mundial de Lucha contra el Sida, la Tuberculosis y la Malaria (FM) las propuestas para el otorgamiento de subvenciones en el país en base de las necesidades prioritarias y consensuadas. Luego de la aprobación de la subvención, es responsable del monitoreo estratégico de los proyectos, tanto en los aspectos programáticos como financieros. Esta instancia multisectorial está integrada tanto por el sector gubernamental como por el no gubernamental, incluyéndose a la sociedad civil. Entre estas organizaciones tienen representación, como población clave, las mujeres trabajadoras sexuales (MTS)</w:t>
      </w:r>
      <w:r w:rsidRPr="00B64C1B">
        <w:rPr>
          <w:vertAlign w:val="superscript"/>
          <w:lang w:val="es-PY"/>
        </w:rPr>
        <w:footnoteReference w:id="63"/>
      </w:r>
      <w:r w:rsidRPr="00B64C1B">
        <w:rPr>
          <w:lang w:val="es-PY"/>
        </w:rPr>
        <w:t>. Entre algunos de los proyectos ejecutados en el marco de las subvenciones del Fondo Mundial se pueden señalar los siguientes: Expansión y Sostenibilidad de la respuesta al VIH; Hacia la Sostenibilidad de la Respuesta Nacional al VIH y Disminuyendo brechas para reducir la incidencia del VIH y la mortalidad relacionada al Sida</w:t>
      </w:r>
      <w:r w:rsidRPr="00B64C1B">
        <w:rPr>
          <w:vertAlign w:val="superscript"/>
          <w:lang w:val="es-PY"/>
        </w:rPr>
        <w:footnoteReference w:id="64"/>
      </w:r>
      <w:r w:rsidRPr="00B64C1B">
        <w:rPr>
          <w:lang w:val="es-PY"/>
        </w:rPr>
        <w:t xml:space="preserve">. </w:t>
      </w:r>
    </w:p>
    <w:p w14:paraId="324E5FD6" w14:textId="19E487C4" w:rsidR="00583FBD" w:rsidRPr="00B64C1B" w:rsidRDefault="00583FBD" w:rsidP="005A582B">
      <w:pPr>
        <w:pStyle w:val="SingleTxt"/>
        <w:numPr>
          <w:ilvl w:val="0"/>
          <w:numId w:val="44"/>
        </w:numPr>
        <w:ind w:left="1267"/>
        <w:rPr>
          <w:lang w:val="es-PY"/>
        </w:rPr>
      </w:pPr>
      <w:r w:rsidRPr="00B64C1B">
        <w:rPr>
          <w:lang w:val="es-PY"/>
        </w:rPr>
        <w:t xml:space="preserve">Asimismo, se ha capacitado a MTS como facilitadoras judiciales, para que apoyen a sus compañeras que están en conflicto con la ley o la PN, de manera a asegurar su acceso a la justicia. </w:t>
      </w:r>
    </w:p>
    <w:p w14:paraId="7D17AF2C" w14:textId="77777777" w:rsidR="005A582B" w:rsidRPr="005A582B" w:rsidRDefault="005A582B" w:rsidP="005A582B">
      <w:pPr>
        <w:pStyle w:val="SingleTxt"/>
        <w:spacing w:after="0" w:line="120" w:lineRule="exact"/>
        <w:rPr>
          <w:sz w:val="10"/>
        </w:rPr>
      </w:pPr>
    </w:p>
    <w:p w14:paraId="1EE99E0C" w14:textId="77777777" w:rsidR="005A582B" w:rsidRPr="005A582B" w:rsidRDefault="005A582B" w:rsidP="005A582B">
      <w:pPr>
        <w:pStyle w:val="SingleTxt"/>
        <w:spacing w:after="0" w:line="120" w:lineRule="exact"/>
        <w:rPr>
          <w:sz w:val="10"/>
          <w:lang w:val="es-PY"/>
        </w:rPr>
      </w:pPr>
    </w:p>
    <w:p w14:paraId="03BF5D94" w14:textId="10A82D96" w:rsidR="00583FBD" w:rsidRPr="00B64C1B" w:rsidRDefault="00583FBD" w:rsidP="005A58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t>IV.</w:t>
      </w:r>
      <w:r>
        <w:rPr>
          <w:lang w:val="es-PY"/>
        </w:rPr>
        <w:tab/>
      </w:r>
      <w:r w:rsidRPr="00B64C1B">
        <w:rPr>
          <w:lang w:val="es-PY"/>
        </w:rPr>
        <w:t>Parte II (artículos 7 al 9)</w:t>
      </w:r>
    </w:p>
    <w:p w14:paraId="3E8DF0FC" w14:textId="77777777" w:rsidR="005A582B" w:rsidRPr="005A582B" w:rsidRDefault="005A582B" w:rsidP="005A582B">
      <w:pPr>
        <w:pStyle w:val="SingleTxt"/>
        <w:spacing w:after="0" w:line="120" w:lineRule="exact"/>
        <w:rPr>
          <w:sz w:val="10"/>
          <w:lang w:val="es-PY"/>
        </w:rPr>
      </w:pPr>
    </w:p>
    <w:p w14:paraId="7845B6EF" w14:textId="77777777" w:rsidR="005A582B" w:rsidRPr="005A582B" w:rsidRDefault="005A582B" w:rsidP="005A582B">
      <w:pPr>
        <w:pStyle w:val="SingleTxt"/>
        <w:spacing w:after="0" w:line="120" w:lineRule="exact"/>
        <w:rPr>
          <w:sz w:val="10"/>
          <w:lang w:val="es-PY"/>
        </w:rPr>
      </w:pPr>
    </w:p>
    <w:p w14:paraId="5F759928" w14:textId="6662D301" w:rsidR="00583FBD" w:rsidRPr="00B64C1B" w:rsidRDefault="00583FBD" w:rsidP="005A58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Participación en la vida política y pública (art. 7)</w:t>
      </w:r>
      <w:r w:rsidRPr="00D849F6">
        <w:rPr>
          <w:b w:val="0"/>
          <w:bCs/>
          <w:sz w:val="20"/>
          <w:szCs w:val="20"/>
          <w:vertAlign w:val="superscript"/>
          <w:lang w:val="es-PY"/>
        </w:rPr>
        <w:footnoteReference w:id="65"/>
      </w:r>
    </w:p>
    <w:p w14:paraId="544A6C1D" w14:textId="77777777" w:rsidR="005A582B" w:rsidRPr="005A582B" w:rsidRDefault="005A582B" w:rsidP="00D849F6">
      <w:pPr>
        <w:pStyle w:val="SingleTxtG"/>
        <w:spacing w:after="0" w:line="120" w:lineRule="exact"/>
        <w:ind w:left="1267"/>
        <w:rPr>
          <w:bCs/>
          <w:sz w:val="10"/>
          <w:lang w:val="es-PY"/>
        </w:rPr>
      </w:pPr>
    </w:p>
    <w:p w14:paraId="3555437E" w14:textId="77777777" w:rsidR="005A582B" w:rsidRPr="005A582B" w:rsidRDefault="005A582B" w:rsidP="00D849F6">
      <w:pPr>
        <w:pStyle w:val="SingleTxtG"/>
        <w:spacing w:after="0" w:line="120" w:lineRule="exact"/>
        <w:ind w:left="1267"/>
        <w:rPr>
          <w:bCs/>
          <w:sz w:val="10"/>
          <w:lang w:val="es-PY"/>
        </w:rPr>
      </w:pPr>
    </w:p>
    <w:p w14:paraId="3D817BAF" w14:textId="4304F57B" w:rsidR="00583FBD" w:rsidRPr="00B64C1B" w:rsidRDefault="00583FBD" w:rsidP="005A582B">
      <w:pPr>
        <w:pStyle w:val="SingleTxt"/>
        <w:numPr>
          <w:ilvl w:val="0"/>
          <w:numId w:val="44"/>
        </w:numPr>
        <w:ind w:left="1267"/>
        <w:rPr>
          <w:lang w:val="es-PY"/>
        </w:rPr>
      </w:pPr>
      <w:r w:rsidRPr="00B64C1B">
        <w:rPr>
          <w:lang w:val="es-PY"/>
        </w:rPr>
        <w:t xml:space="preserve">El proyecto de ley de </w:t>
      </w:r>
      <w:r w:rsidR="00F019B7">
        <w:rPr>
          <w:lang w:val="es-PY"/>
        </w:rPr>
        <w:t>“</w:t>
      </w:r>
      <w:r w:rsidRPr="00B64C1B">
        <w:rPr>
          <w:lang w:val="es-PY"/>
        </w:rPr>
        <w:t>Paridad Democrática</w:t>
      </w:r>
      <w:r w:rsidR="00F019B7">
        <w:rPr>
          <w:lang w:val="es-PY"/>
        </w:rPr>
        <w:t>”</w:t>
      </w:r>
      <w:r w:rsidRPr="00B64C1B">
        <w:rPr>
          <w:lang w:val="es-PY"/>
        </w:rPr>
        <w:t xml:space="preserve"> fue presentado a la Cámara de Senadores el en 2016, habiendo sido girado para su estudio y dictamen a las Comisiones Asesoras Permanentes de: Asuntos Constitucionales, Defensa Nacional y Fuerza Pública; Legislación, Codificación, Justicia y Trabajo; y Equidad y Género. En el trámite legislativo, la Cámara de Diputados introdujo modificaciones que desdibujaban la esencia de la propuesta, por cuanto en segunda vuelta, la Cámara de Senadores rechazó las modificaciones introducidas. Finalmente, el Poder Ejecutivo objetó totalmente el texto sancionado, veto que fue aceptado por la Cámara de Diputados, quedando archivado el proyecto de ley</w:t>
      </w:r>
      <w:r w:rsidRPr="00B64C1B">
        <w:rPr>
          <w:vertAlign w:val="superscript"/>
          <w:lang w:val="es-PY"/>
        </w:rPr>
        <w:footnoteReference w:id="66"/>
      </w:r>
      <w:r w:rsidRPr="00B64C1B">
        <w:rPr>
          <w:lang w:val="es-PY"/>
        </w:rPr>
        <w:t xml:space="preserve">. </w:t>
      </w:r>
    </w:p>
    <w:p w14:paraId="2B72AE7C" w14:textId="3EFAB3FD" w:rsidR="00583FBD" w:rsidRPr="00B64C1B" w:rsidRDefault="00583FBD" w:rsidP="005A582B">
      <w:pPr>
        <w:pStyle w:val="SingleTxt"/>
        <w:numPr>
          <w:ilvl w:val="0"/>
          <w:numId w:val="44"/>
        </w:numPr>
        <w:ind w:left="1267"/>
        <w:rPr>
          <w:lang w:val="es-PY"/>
        </w:rPr>
      </w:pPr>
      <w:r w:rsidRPr="00B64C1B">
        <w:rPr>
          <w:lang w:val="es-PY"/>
        </w:rPr>
        <w:t>El IV Plan Nacional de Igualdad (</w:t>
      </w:r>
      <w:proofErr w:type="spellStart"/>
      <w:r w:rsidRPr="00B64C1B">
        <w:rPr>
          <w:lang w:val="es-PY"/>
        </w:rPr>
        <w:t>PlaNI</w:t>
      </w:r>
      <w:proofErr w:type="spellEnd"/>
      <w:r w:rsidRPr="00B64C1B">
        <w:rPr>
          <w:lang w:val="es-PY"/>
        </w:rPr>
        <w:t>) consagra el Empoderamiento para la toma de decisiones como uno de sus ejes-derecho. A fin de promover la participación política, el Tribunal Superior de Justicia Electoral (TSJE) estableció, en 2017, la Unidad de Participación Política</w:t>
      </w:r>
      <w:r w:rsidRPr="00B64C1B">
        <w:rPr>
          <w:vertAlign w:val="superscript"/>
          <w:lang w:val="es-PY"/>
        </w:rPr>
        <w:footnoteReference w:id="67"/>
      </w:r>
      <w:r w:rsidRPr="00B64C1B">
        <w:rPr>
          <w:b/>
          <w:lang w:val="es-PY"/>
        </w:rPr>
        <w:t xml:space="preserve"> </w:t>
      </w:r>
      <w:r w:rsidRPr="00B64C1B">
        <w:rPr>
          <w:lang w:val="es-PY"/>
        </w:rPr>
        <w:t>y la</w:t>
      </w:r>
      <w:r w:rsidRPr="00B64C1B">
        <w:rPr>
          <w:b/>
          <w:lang w:val="es-PY"/>
        </w:rPr>
        <w:t xml:space="preserve"> </w:t>
      </w:r>
      <w:r w:rsidRPr="00B64C1B">
        <w:rPr>
          <w:lang w:val="es-PY"/>
        </w:rPr>
        <w:t>Unidad de Políticas de Género</w:t>
      </w:r>
      <w:r w:rsidRPr="00B64C1B">
        <w:rPr>
          <w:vertAlign w:val="superscript"/>
          <w:lang w:val="es-PY"/>
        </w:rPr>
        <w:footnoteReference w:id="68"/>
      </w:r>
      <w:r w:rsidRPr="00B64C1B">
        <w:rPr>
          <w:lang w:val="es-PY"/>
        </w:rPr>
        <w:t xml:space="preserve"> (actualmente Dirección de Políticas de Género), que desarrollan programas de promoción, sensibilización y motivación, en tres ejes principales: Empoderamiento político de las mujeres, Visibilidad de las mujeres y Producción de datos estadísticos. Entre las </w:t>
      </w:r>
      <w:r w:rsidRPr="00B64C1B">
        <w:rPr>
          <w:lang w:val="es-PY"/>
        </w:rPr>
        <w:lastRenderedPageBreak/>
        <w:t xml:space="preserve">capacitaciones realizadas, se destacan los conversatorios </w:t>
      </w:r>
      <w:r w:rsidR="00F019B7">
        <w:rPr>
          <w:lang w:val="es-PY"/>
        </w:rPr>
        <w:t>“</w:t>
      </w:r>
      <w:r w:rsidRPr="00B64C1B">
        <w:rPr>
          <w:lang w:val="es-PY"/>
        </w:rPr>
        <w:t>Conversaciones políticas entre mujeres líderes</w:t>
      </w:r>
      <w:r w:rsidR="00F019B7">
        <w:rPr>
          <w:lang w:val="es-PY"/>
        </w:rPr>
        <w:t>”</w:t>
      </w:r>
      <w:r w:rsidRPr="00B64C1B">
        <w:rPr>
          <w:lang w:val="es-PY"/>
        </w:rPr>
        <w:t xml:space="preserve"> y </w:t>
      </w:r>
      <w:r w:rsidR="00F019B7">
        <w:rPr>
          <w:lang w:val="es-PY"/>
        </w:rPr>
        <w:t>“</w:t>
      </w:r>
      <w:r w:rsidRPr="00B64C1B">
        <w:rPr>
          <w:lang w:val="es-PY"/>
        </w:rPr>
        <w:t>Mujeres en Política y Uso de la Tecnología</w:t>
      </w:r>
      <w:r w:rsidR="00F019B7">
        <w:rPr>
          <w:lang w:val="es-PY"/>
        </w:rPr>
        <w:t>”</w:t>
      </w:r>
      <w:r w:rsidRPr="00B64C1B">
        <w:rPr>
          <w:lang w:val="es-PY"/>
        </w:rPr>
        <w:t>, que han reunido a destacadas figuras políticas y expertas en diferentes temas relacionados con la participación de las mujeres en la vida política. En el año 2022, fueron capacitadas 150 mujeres precandidatas sobre temas relacionados a la contienda electoral, así como sobre el conocimiento de los derechos y obligaciones en virtud al rol asumido. En 2023 se capacitó a candidatas, con el objetivo de desarrollar herramientas fundamentales con miras a las Elecciones Nacionales y Departamentales del presente año. En total, 240 mujeres fueron candidatas a cargos electivos en las elecciones del 30 de abril de 2023.</w:t>
      </w:r>
    </w:p>
    <w:p w14:paraId="699C9094" w14:textId="32EA5B13" w:rsidR="00583FBD" w:rsidRPr="00B64C1B" w:rsidRDefault="00583FBD" w:rsidP="005A582B">
      <w:pPr>
        <w:pStyle w:val="SingleTxt"/>
        <w:numPr>
          <w:ilvl w:val="0"/>
          <w:numId w:val="44"/>
        </w:numPr>
        <w:ind w:left="1267"/>
        <w:rPr>
          <w:lang w:val="es-PY"/>
        </w:rPr>
      </w:pPr>
      <w:r w:rsidRPr="00B64C1B">
        <w:rPr>
          <w:lang w:val="es-PY"/>
        </w:rPr>
        <w:t xml:space="preserve">Se desarrollaron seminarios, talleres y charlas, tales como Taller </w:t>
      </w:r>
      <w:r w:rsidR="00F019B7">
        <w:rPr>
          <w:lang w:val="es-PY"/>
        </w:rPr>
        <w:t>“</w:t>
      </w:r>
      <w:r w:rsidRPr="00B64C1B">
        <w:rPr>
          <w:lang w:val="es-PY"/>
        </w:rPr>
        <w:t>Estereotipos Culturales y Liderazgo con Perspectiva de Género</w:t>
      </w:r>
      <w:r w:rsidR="00F019B7">
        <w:rPr>
          <w:lang w:val="es-PY"/>
        </w:rPr>
        <w:t>”</w:t>
      </w:r>
      <w:r w:rsidRPr="00B64C1B">
        <w:rPr>
          <w:lang w:val="es-PY"/>
        </w:rPr>
        <w:t xml:space="preserve">; Seminario taller </w:t>
      </w:r>
      <w:r w:rsidR="00F019B7">
        <w:rPr>
          <w:lang w:val="es-PY"/>
        </w:rPr>
        <w:t>“</w:t>
      </w:r>
      <w:r w:rsidRPr="00B64C1B">
        <w:rPr>
          <w:lang w:val="es-PY"/>
        </w:rPr>
        <w:t>Liderazgo político con perspectiva de género</w:t>
      </w:r>
      <w:r w:rsidR="00F019B7">
        <w:rPr>
          <w:lang w:val="es-PY"/>
        </w:rPr>
        <w:t>”</w:t>
      </w:r>
      <w:r w:rsidRPr="00B64C1B">
        <w:rPr>
          <w:lang w:val="es-PY"/>
        </w:rPr>
        <w:t xml:space="preserve">; Taller de Formación </w:t>
      </w:r>
      <w:r w:rsidR="00F019B7">
        <w:rPr>
          <w:lang w:val="es-PY"/>
        </w:rPr>
        <w:t>“</w:t>
      </w:r>
      <w:r w:rsidRPr="00B64C1B">
        <w:rPr>
          <w:lang w:val="es-PY"/>
        </w:rPr>
        <w:t>Género y Elecciones</w:t>
      </w:r>
      <w:r w:rsidR="00F019B7">
        <w:rPr>
          <w:lang w:val="es-PY"/>
        </w:rPr>
        <w:t>”</w:t>
      </w:r>
      <w:r w:rsidRPr="00B64C1B">
        <w:rPr>
          <w:lang w:val="es-PY"/>
        </w:rPr>
        <w:t xml:space="preserve">, </w:t>
      </w:r>
      <w:r w:rsidR="00F019B7">
        <w:rPr>
          <w:lang w:val="es-PY"/>
        </w:rPr>
        <w:t>“</w:t>
      </w:r>
      <w:r w:rsidRPr="00B64C1B">
        <w:rPr>
          <w:lang w:val="es-PY"/>
        </w:rPr>
        <w:t>Liderazgo de las mujeres de social a lo político</w:t>
      </w:r>
      <w:r w:rsidR="00F019B7">
        <w:rPr>
          <w:lang w:val="es-PY"/>
        </w:rPr>
        <w:t>”</w:t>
      </w:r>
      <w:r w:rsidRPr="00B64C1B">
        <w:rPr>
          <w:lang w:val="es-PY"/>
        </w:rPr>
        <w:t xml:space="preserve"> conjuntamente con el MJ, en el marco del Programa Casas de Justicia; Seminario sobre Violencia Política de Género (dirigido a Fiscales, Magistrados y funcionarios Electorales); y Charla </w:t>
      </w:r>
      <w:r w:rsidR="00F019B7">
        <w:rPr>
          <w:lang w:val="es-PY"/>
        </w:rPr>
        <w:t>“</w:t>
      </w:r>
      <w:r w:rsidRPr="00B64C1B">
        <w:rPr>
          <w:lang w:val="es-PY"/>
        </w:rPr>
        <w:t>Ronda de Tereré</w:t>
      </w:r>
      <w:r w:rsidR="00F019B7">
        <w:rPr>
          <w:lang w:val="es-PY"/>
        </w:rPr>
        <w:t>”</w:t>
      </w:r>
      <w:r w:rsidRPr="00B64C1B">
        <w:rPr>
          <w:lang w:val="es-PY"/>
        </w:rPr>
        <w:t xml:space="preserve"> como espacio de reflexión acerca de la importancia de la participación política de las mujeres. </w:t>
      </w:r>
    </w:p>
    <w:p w14:paraId="6EEA39A7" w14:textId="77777777" w:rsidR="005A582B" w:rsidRPr="005A582B" w:rsidRDefault="005A582B" w:rsidP="005A582B">
      <w:pPr>
        <w:pStyle w:val="SingleTxt"/>
        <w:spacing w:after="0" w:line="120" w:lineRule="exact"/>
        <w:rPr>
          <w:sz w:val="10"/>
          <w:lang w:val="es-PY"/>
        </w:rPr>
      </w:pPr>
    </w:p>
    <w:p w14:paraId="2368A802" w14:textId="77777777" w:rsidR="005A582B" w:rsidRPr="005A582B" w:rsidRDefault="005A582B" w:rsidP="005A582B">
      <w:pPr>
        <w:pStyle w:val="SingleTxt"/>
        <w:spacing w:after="0" w:line="120" w:lineRule="exact"/>
        <w:rPr>
          <w:sz w:val="10"/>
          <w:lang w:val="es-PY"/>
        </w:rPr>
      </w:pPr>
    </w:p>
    <w:p w14:paraId="36636D2F" w14:textId="2AB2AB76" w:rsidR="00583FBD" w:rsidRPr="00B64C1B" w:rsidRDefault="00583FBD" w:rsidP="005A58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Defensoras de los derechos humanos (art. 7)</w:t>
      </w:r>
      <w:r w:rsidRPr="005A582B">
        <w:rPr>
          <w:b w:val="0"/>
          <w:bCs/>
          <w:sz w:val="20"/>
          <w:szCs w:val="20"/>
          <w:vertAlign w:val="superscript"/>
          <w:lang w:val="es-PY"/>
        </w:rPr>
        <w:footnoteReference w:id="69"/>
      </w:r>
    </w:p>
    <w:p w14:paraId="27CC7FE8" w14:textId="77777777" w:rsidR="005A582B" w:rsidRPr="005A582B" w:rsidRDefault="005A582B" w:rsidP="00D849F6">
      <w:pPr>
        <w:pStyle w:val="SingleTxtG"/>
        <w:spacing w:after="0" w:line="120" w:lineRule="exact"/>
        <w:ind w:left="1267"/>
        <w:rPr>
          <w:bCs/>
          <w:sz w:val="10"/>
          <w:lang w:val="es-PY"/>
        </w:rPr>
      </w:pPr>
    </w:p>
    <w:p w14:paraId="063E9E49" w14:textId="77777777" w:rsidR="005A582B" w:rsidRPr="005A582B" w:rsidRDefault="005A582B" w:rsidP="00D849F6">
      <w:pPr>
        <w:pStyle w:val="SingleTxtG"/>
        <w:spacing w:after="0" w:line="120" w:lineRule="exact"/>
        <w:ind w:left="1267"/>
        <w:rPr>
          <w:bCs/>
          <w:sz w:val="10"/>
          <w:lang w:val="es-PY"/>
        </w:rPr>
      </w:pPr>
    </w:p>
    <w:p w14:paraId="1F6081BD" w14:textId="1BDE9C61" w:rsidR="00583FBD" w:rsidRPr="00B64C1B" w:rsidRDefault="00583FBD" w:rsidP="005A582B">
      <w:pPr>
        <w:pStyle w:val="SingleTxt"/>
        <w:numPr>
          <w:ilvl w:val="0"/>
          <w:numId w:val="44"/>
        </w:numPr>
        <w:ind w:left="1267"/>
        <w:rPr>
          <w:lang w:val="es-PY"/>
        </w:rPr>
      </w:pPr>
      <w:r w:rsidRPr="00B64C1B">
        <w:rPr>
          <w:lang w:val="es-PY"/>
        </w:rPr>
        <w:t>En 2021, por medio de resolución, el MP designó a los agentes fiscales que conforman la Unidad Especializada de DD. HH</w:t>
      </w:r>
      <w:r w:rsidRPr="00B64C1B">
        <w:rPr>
          <w:vertAlign w:val="superscript"/>
          <w:lang w:val="es-PY"/>
        </w:rPr>
        <w:footnoteReference w:id="70"/>
      </w:r>
      <w:r w:rsidRPr="00B64C1B">
        <w:rPr>
          <w:lang w:val="es-PY"/>
        </w:rPr>
        <w:t>, a intervenir en la investigación de los hechos punibles contra periodistas y la Fiscalía Adjunta estableció directrices en investigaciones de causas penales por supuestos hechos punibles contra periodistas y trabajadores de medios de comunicación en el ejercicio de su labor</w:t>
      </w:r>
      <w:r w:rsidRPr="00D849F6">
        <w:rPr>
          <w:vertAlign w:val="superscript"/>
          <w:lang w:val="es-PY"/>
        </w:rPr>
        <w:footnoteReference w:id="71"/>
      </w:r>
      <w:r w:rsidRPr="00B64C1B">
        <w:rPr>
          <w:lang w:val="es-PY"/>
        </w:rPr>
        <w:t xml:space="preserve">. El CEMP promueve la capacitación de fiscales en investigación de crímenes contra trabajadores de prensa, dentro del Proyecto </w:t>
      </w:r>
      <w:r w:rsidR="00F019B7">
        <w:rPr>
          <w:lang w:val="es-PY"/>
        </w:rPr>
        <w:t>“</w:t>
      </w:r>
      <w:r w:rsidRPr="00B64C1B">
        <w:rPr>
          <w:lang w:val="es-PY"/>
        </w:rPr>
        <w:t>Promoviendo la protección y seguridad de periodistas desde el Ministerio Público</w:t>
      </w:r>
      <w:r w:rsidR="00F019B7">
        <w:rPr>
          <w:lang w:val="es-PY"/>
        </w:rPr>
        <w:t>”</w:t>
      </w:r>
      <w:r w:rsidRPr="00B64C1B">
        <w:rPr>
          <w:lang w:val="es-PY"/>
        </w:rPr>
        <w:t xml:space="preserve">. </w:t>
      </w:r>
    </w:p>
    <w:p w14:paraId="545DE515" w14:textId="06B4798C" w:rsidR="00583FBD" w:rsidRPr="00B64C1B" w:rsidRDefault="00583FBD" w:rsidP="005A582B">
      <w:pPr>
        <w:pStyle w:val="SingleTxt"/>
        <w:numPr>
          <w:ilvl w:val="0"/>
          <w:numId w:val="44"/>
        </w:numPr>
        <w:ind w:left="1267"/>
        <w:rPr>
          <w:lang w:val="es-PY"/>
        </w:rPr>
      </w:pPr>
      <w:r w:rsidRPr="00B64C1B">
        <w:rPr>
          <w:lang w:val="es-PY"/>
        </w:rPr>
        <w:t>La instalación de la Mesa Multisectorial para Seguridad de Periodistas, integrada por los Poderes del Estado, el MP y gremios de periodistas</w:t>
      </w:r>
      <w:r w:rsidRPr="00B64C1B">
        <w:rPr>
          <w:vertAlign w:val="superscript"/>
          <w:lang w:val="es-PY"/>
        </w:rPr>
        <w:footnoteReference w:id="72"/>
      </w:r>
      <w:r w:rsidRPr="00B64C1B">
        <w:rPr>
          <w:lang w:val="es-PY"/>
        </w:rPr>
        <w:t>, articula y diseña planes y protocolos, a través de la Carta-intención firmada entre el Paraguay y la UNESCO</w:t>
      </w:r>
      <w:r w:rsidRPr="00B64C1B">
        <w:rPr>
          <w:vertAlign w:val="superscript"/>
          <w:lang w:val="es-PY"/>
        </w:rPr>
        <w:footnoteReference w:id="73"/>
      </w:r>
      <w:r w:rsidRPr="00B64C1B">
        <w:rPr>
          <w:lang w:val="es-PY"/>
        </w:rPr>
        <w:t>, en 2016, como parte del Plan de Acción de las Naciones Unidas sobre Seguridad de Periodistas y la Cuestión de la Impunidad. En esa línea, fue elaborado un Manual para Periodistas en situación de riesgo y/o amenaza</w:t>
      </w:r>
      <w:r w:rsidRPr="00B64C1B">
        <w:rPr>
          <w:vertAlign w:val="superscript"/>
          <w:lang w:val="es-PY"/>
        </w:rPr>
        <w:footnoteReference w:id="74"/>
      </w:r>
      <w:r w:rsidRPr="00B64C1B">
        <w:rPr>
          <w:lang w:val="es-PY"/>
        </w:rPr>
        <w:t xml:space="preserve">. </w:t>
      </w:r>
    </w:p>
    <w:p w14:paraId="312A4407" w14:textId="44919C4A" w:rsidR="00583FBD" w:rsidRPr="00B64C1B" w:rsidRDefault="00583FBD" w:rsidP="005A582B">
      <w:pPr>
        <w:pStyle w:val="SingleTxt"/>
        <w:numPr>
          <w:ilvl w:val="0"/>
          <w:numId w:val="44"/>
        </w:numPr>
        <w:ind w:left="1267"/>
        <w:rPr>
          <w:lang w:val="es-PY"/>
        </w:rPr>
      </w:pPr>
      <w:r w:rsidRPr="00B64C1B">
        <w:rPr>
          <w:lang w:val="es-PY"/>
        </w:rPr>
        <w:t>Por Resolución 538/17, el MI aprobó un Protocolo de Seguridad para periodistas en situación de alto riesgo</w:t>
      </w:r>
      <w:r w:rsidRPr="00B64C1B">
        <w:rPr>
          <w:vertAlign w:val="superscript"/>
          <w:lang w:val="es-PY"/>
        </w:rPr>
        <w:footnoteReference w:id="75"/>
      </w:r>
      <w:r w:rsidRPr="00B64C1B">
        <w:rPr>
          <w:lang w:val="es-PY"/>
        </w:rPr>
        <w:t xml:space="preserve">. </w:t>
      </w:r>
    </w:p>
    <w:p w14:paraId="3D807B83" w14:textId="691E04B7" w:rsidR="00583FBD" w:rsidRPr="00B64C1B" w:rsidRDefault="00583FBD" w:rsidP="005A582B">
      <w:pPr>
        <w:pStyle w:val="SingleTxt"/>
        <w:numPr>
          <w:ilvl w:val="0"/>
          <w:numId w:val="44"/>
        </w:numPr>
        <w:ind w:left="1267"/>
        <w:rPr>
          <w:lang w:val="es-PY"/>
        </w:rPr>
      </w:pPr>
      <w:r w:rsidRPr="00B64C1B">
        <w:rPr>
          <w:lang w:val="es-PY"/>
        </w:rPr>
        <w:t xml:space="preserve">El MINMUJER y el INDI trabajan de forma coordinada en materia de abordaje a la violencia contra las mujeres indígenas. En este contexto, se encuentra en fase de </w:t>
      </w:r>
      <w:r w:rsidRPr="00B64C1B">
        <w:rPr>
          <w:lang w:val="es-PY"/>
        </w:rPr>
        <w:lastRenderedPageBreak/>
        <w:t xml:space="preserve">desarrollo el </w:t>
      </w:r>
      <w:r w:rsidR="00F019B7">
        <w:rPr>
          <w:lang w:val="es-PY"/>
        </w:rPr>
        <w:t>“</w:t>
      </w:r>
      <w:r w:rsidRPr="00B64C1B">
        <w:rPr>
          <w:lang w:val="es-PY"/>
        </w:rPr>
        <w:t>Informe de diagnóstico sobre la violencia de género contra las mujeres indígenas en Paraguay</w:t>
      </w:r>
      <w:r w:rsidR="00F019B7">
        <w:rPr>
          <w:lang w:val="es-PY"/>
        </w:rPr>
        <w:t>”</w:t>
      </w:r>
      <w:r w:rsidRPr="00B64C1B">
        <w:rPr>
          <w:lang w:val="es-PY"/>
        </w:rPr>
        <w:t xml:space="preserve">, así como en el documento </w:t>
      </w:r>
      <w:r w:rsidR="00F019B7">
        <w:rPr>
          <w:lang w:val="es-PY"/>
        </w:rPr>
        <w:t>“</w:t>
      </w:r>
      <w:r w:rsidRPr="00B64C1B">
        <w:rPr>
          <w:lang w:val="es-PY"/>
        </w:rPr>
        <w:t>Abordaje de la violencia contra las mujeres indígenas</w:t>
      </w:r>
      <w:r w:rsidR="00F019B7">
        <w:rPr>
          <w:lang w:val="es-PY"/>
        </w:rPr>
        <w:t>”</w:t>
      </w:r>
      <w:r w:rsidRPr="00B64C1B">
        <w:rPr>
          <w:lang w:val="es-PY"/>
        </w:rPr>
        <w:t xml:space="preserve"> que compila todos los acuerdos con las instituciones públicas que participan de la ruta de atención a mujeres víctimas de violencia; y en un Manual de Capacitación para el funcionariado público sobre violencia contra mujeres indígenas. </w:t>
      </w:r>
    </w:p>
    <w:p w14:paraId="050F288F" w14:textId="14370FF1" w:rsidR="00583FBD" w:rsidRPr="00B64C1B" w:rsidRDefault="00583FBD" w:rsidP="005A582B">
      <w:pPr>
        <w:pStyle w:val="SingleTxt"/>
        <w:numPr>
          <w:ilvl w:val="0"/>
          <w:numId w:val="44"/>
        </w:numPr>
        <w:ind w:left="1267"/>
        <w:rPr>
          <w:lang w:val="es-PY"/>
        </w:rPr>
      </w:pPr>
      <w:r w:rsidRPr="00B64C1B">
        <w:rPr>
          <w:lang w:val="es-PY"/>
        </w:rPr>
        <w:t>El Poder Legislativo ha iniciado el estudio de dos proyectos de ley que abordan la protección a periodistas, comunicadores y defensores de los derechos humanos</w:t>
      </w:r>
      <w:r w:rsidRPr="00B64C1B">
        <w:rPr>
          <w:vertAlign w:val="superscript"/>
          <w:lang w:val="es-PY"/>
        </w:rPr>
        <w:footnoteReference w:id="76"/>
      </w:r>
      <w:r w:rsidRPr="00B64C1B">
        <w:rPr>
          <w:lang w:val="es-PY"/>
        </w:rPr>
        <w:t>. Ambos proyectos se encuentran en su primer trámite constitucional.</w:t>
      </w:r>
    </w:p>
    <w:p w14:paraId="741A2FD0" w14:textId="77777777" w:rsidR="005A582B" w:rsidRPr="005A582B" w:rsidRDefault="005A582B" w:rsidP="005A582B">
      <w:pPr>
        <w:pStyle w:val="SingleTxt"/>
        <w:spacing w:after="0" w:line="120" w:lineRule="exact"/>
        <w:rPr>
          <w:sz w:val="10"/>
        </w:rPr>
      </w:pPr>
    </w:p>
    <w:p w14:paraId="137B5DC0" w14:textId="77777777" w:rsidR="005A582B" w:rsidRPr="005A582B" w:rsidRDefault="005A582B" w:rsidP="005A582B">
      <w:pPr>
        <w:pStyle w:val="SingleTxt"/>
        <w:spacing w:after="0" w:line="120" w:lineRule="exact"/>
        <w:rPr>
          <w:sz w:val="10"/>
          <w:lang w:val="es-PY"/>
        </w:rPr>
      </w:pPr>
    </w:p>
    <w:p w14:paraId="3193B2DE" w14:textId="2BA9284A" w:rsidR="00583FBD" w:rsidRPr="00B64C1B" w:rsidRDefault="00583FBD" w:rsidP="005A58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Registro de nacimientos</w:t>
      </w:r>
    </w:p>
    <w:p w14:paraId="0DB4663F" w14:textId="77777777" w:rsidR="005A582B" w:rsidRPr="005A582B" w:rsidRDefault="005A582B" w:rsidP="00D849F6">
      <w:pPr>
        <w:pStyle w:val="SingleTxtG"/>
        <w:spacing w:after="0" w:line="120" w:lineRule="exact"/>
        <w:ind w:left="1267"/>
        <w:rPr>
          <w:bCs/>
          <w:sz w:val="10"/>
          <w:lang w:val="es-PY"/>
        </w:rPr>
      </w:pPr>
    </w:p>
    <w:p w14:paraId="4AA8E657" w14:textId="77777777" w:rsidR="005A582B" w:rsidRPr="005A582B" w:rsidRDefault="005A582B" w:rsidP="00D849F6">
      <w:pPr>
        <w:pStyle w:val="SingleTxtG"/>
        <w:spacing w:after="0" w:line="120" w:lineRule="exact"/>
        <w:ind w:left="1267"/>
        <w:rPr>
          <w:bCs/>
          <w:sz w:val="10"/>
          <w:lang w:val="es-PY"/>
        </w:rPr>
      </w:pPr>
    </w:p>
    <w:p w14:paraId="0A41BBFA" w14:textId="595563C7" w:rsidR="00583FBD" w:rsidRPr="005951C5" w:rsidRDefault="00583FBD" w:rsidP="005A582B">
      <w:pPr>
        <w:pStyle w:val="SingleTxt"/>
        <w:numPr>
          <w:ilvl w:val="0"/>
          <w:numId w:val="44"/>
        </w:numPr>
        <w:ind w:left="1267"/>
        <w:rPr>
          <w:bCs/>
          <w:lang w:val="es-PY"/>
        </w:rPr>
      </w:pPr>
      <w:r w:rsidRPr="00B64C1B">
        <w:rPr>
          <w:lang w:val="es-PY"/>
        </w:rPr>
        <w:t>La Dirección General del Registro Civil (DGRC) realiza campañas continuas de inscripción a nivel nacional, con un enfoque particular en comunidades indígenas y zonas rurales. Además, ha establecido convenios interinstitucionales, como con el MINMUJER, para brindar asistencia documental a mujeres en situaciones vulnerables y garantizar su acceso al registro de nacimientos, y acompaña diferentes programas de gobierno, brindando servicios documentales y registrales.</w:t>
      </w:r>
    </w:p>
    <w:p w14:paraId="5E63B12C" w14:textId="77777777" w:rsidR="005A582B" w:rsidRPr="005A582B" w:rsidRDefault="005A582B" w:rsidP="005A582B">
      <w:pPr>
        <w:pStyle w:val="SingleTxt"/>
        <w:spacing w:after="0" w:line="120" w:lineRule="exact"/>
        <w:rPr>
          <w:sz w:val="10"/>
          <w:lang w:val="es-PY"/>
        </w:rPr>
      </w:pPr>
    </w:p>
    <w:p w14:paraId="1A59E64A" w14:textId="77777777" w:rsidR="005A582B" w:rsidRPr="005A582B" w:rsidRDefault="005A582B" w:rsidP="005A582B">
      <w:pPr>
        <w:pStyle w:val="SingleTxt"/>
        <w:spacing w:after="0" w:line="120" w:lineRule="exact"/>
        <w:rPr>
          <w:sz w:val="10"/>
          <w:lang w:val="es-PY"/>
        </w:rPr>
      </w:pPr>
    </w:p>
    <w:p w14:paraId="16D52AAF" w14:textId="3190C81E" w:rsidR="00583FBD" w:rsidRPr="00B64C1B" w:rsidRDefault="00583FBD" w:rsidP="005A58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t>V.</w:t>
      </w:r>
      <w:r>
        <w:rPr>
          <w:lang w:val="es-PY"/>
        </w:rPr>
        <w:tab/>
      </w:r>
      <w:r w:rsidRPr="00B64C1B">
        <w:rPr>
          <w:lang w:val="es-PY"/>
        </w:rPr>
        <w:t>Parte III (artículos 10 al 14)</w:t>
      </w:r>
    </w:p>
    <w:p w14:paraId="24FFCE69" w14:textId="77777777" w:rsidR="005A582B" w:rsidRPr="005A582B" w:rsidRDefault="005A582B" w:rsidP="005A582B">
      <w:pPr>
        <w:pStyle w:val="SingleTxt"/>
        <w:spacing w:after="0" w:line="120" w:lineRule="exact"/>
        <w:rPr>
          <w:sz w:val="10"/>
          <w:lang w:val="es-PY"/>
        </w:rPr>
      </w:pPr>
    </w:p>
    <w:p w14:paraId="47F2CA26" w14:textId="77777777" w:rsidR="005A582B" w:rsidRPr="005A582B" w:rsidRDefault="005A582B" w:rsidP="005A582B">
      <w:pPr>
        <w:pStyle w:val="SingleTxt"/>
        <w:spacing w:after="0" w:line="120" w:lineRule="exact"/>
        <w:rPr>
          <w:sz w:val="10"/>
          <w:lang w:val="es-PY"/>
        </w:rPr>
      </w:pPr>
    </w:p>
    <w:p w14:paraId="0AD32C48" w14:textId="049E4CBE" w:rsidR="00583FBD" w:rsidRPr="00B64C1B" w:rsidRDefault="00583FBD" w:rsidP="005A58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Educación (art. 10)</w:t>
      </w:r>
      <w:r w:rsidRPr="005A582B">
        <w:rPr>
          <w:b w:val="0"/>
          <w:bCs/>
          <w:sz w:val="20"/>
          <w:szCs w:val="20"/>
          <w:vertAlign w:val="superscript"/>
          <w:lang w:val="es-PY"/>
        </w:rPr>
        <w:footnoteReference w:id="77"/>
      </w:r>
    </w:p>
    <w:p w14:paraId="14B7CBDC" w14:textId="77777777" w:rsidR="005A582B" w:rsidRPr="005A582B" w:rsidRDefault="005A582B" w:rsidP="005A582B">
      <w:pPr>
        <w:pStyle w:val="SingleTxtG"/>
        <w:spacing w:after="0" w:line="120" w:lineRule="exact"/>
        <w:rPr>
          <w:bCs/>
          <w:sz w:val="10"/>
          <w:lang w:val="es-PY"/>
        </w:rPr>
      </w:pPr>
    </w:p>
    <w:p w14:paraId="2F59192A" w14:textId="77777777" w:rsidR="005A582B" w:rsidRPr="005A582B" w:rsidRDefault="005A582B" w:rsidP="005A582B">
      <w:pPr>
        <w:pStyle w:val="SingleTxtG"/>
        <w:spacing w:after="0" w:line="120" w:lineRule="exact"/>
        <w:rPr>
          <w:bCs/>
          <w:sz w:val="10"/>
          <w:lang w:val="es-PY"/>
        </w:rPr>
      </w:pPr>
    </w:p>
    <w:p w14:paraId="62567C2E" w14:textId="7C054F48" w:rsidR="00583FBD" w:rsidRPr="00B64C1B" w:rsidRDefault="00583FBD" w:rsidP="005A582B">
      <w:pPr>
        <w:pStyle w:val="SingleTxt"/>
        <w:numPr>
          <w:ilvl w:val="0"/>
          <w:numId w:val="44"/>
        </w:numPr>
        <w:ind w:left="1267"/>
        <w:rPr>
          <w:lang w:val="es-PY"/>
        </w:rPr>
      </w:pPr>
      <w:r w:rsidRPr="00B64C1B">
        <w:rPr>
          <w:lang w:val="es-PY"/>
        </w:rPr>
        <w:t xml:space="preserve">El MEC ha invertido recursos económicos para mejorar la infraestructura escolar, en especial en zonas rurales. Con recursos del Fondo Nacional de Inversión Pública y Desarrollo (FONACIDE) administrados por Municipalidades y Gobernaciones se ejecutaron proyectos arquitectónicos y de mobiliario en establecimientos educativos de todos los distritos del país. </w:t>
      </w:r>
    </w:p>
    <w:p w14:paraId="2AE6C921" w14:textId="2FEEC2EA" w:rsidR="00583FBD" w:rsidRPr="00B64C1B" w:rsidRDefault="00583FBD" w:rsidP="005A582B">
      <w:pPr>
        <w:pStyle w:val="SingleTxt"/>
        <w:numPr>
          <w:ilvl w:val="0"/>
          <w:numId w:val="44"/>
        </w:numPr>
        <w:ind w:left="1267"/>
        <w:rPr>
          <w:lang w:val="es-PY"/>
        </w:rPr>
      </w:pPr>
      <w:r w:rsidRPr="00B64C1B">
        <w:rPr>
          <w:lang w:val="es-PY"/>
        </w:rPr>
        <w:t xml:space="preserve">En el marco del Proyecto </w:t>
      </w:r>
      <w:r w:rsidR="00F019B7">
        <w:rPr>
          <w:lang w:val="es-PY"/>
        </w:rPr>
        <w:t>“</w:t>
      </w:r>
      <w:r w:rsidRPr="00B64C1B">
        <w:rPr>
          <w:lang w:val="es-PY"/>
        </w:rPr>
        <w:t>Mejora de la Accesibilidad a la Educación</w:t>
      </w:r>
      <w:r w:rsidR="00F019B7">
        <w:rPr>
          <w:lang w:val="es-PY"/>
        </w:rPr>
        <w:t>”</w:t>
      </w:r>
      <w:r w:rsidRPr="00B64C1B">
        <w:rPr>
          <w:lang w:val="es-PY"/>
        </w:rPr>
        <w:t xml:space="preserve">, en 2021 se estableció el Centro de Apoyo a la Educación Multimedia en Paraguay (MEC Digital), a través de la alianza estratégica con el Ministerio de Educación y Ciencias (MEC), el Ministerio de Tecnologías de la Información y la Comunicación (MITIC) y la Agencia Coreana de Cooperación (KOIKA), con una duración de 5 años, el cual se encarga de difundir contenidos multimedia de calidad en el canal educativo y una plataforma en línea para la modalidad de Educación Media Abierta. Además, se encuentra en desarrollo el Proyecto </w:t>
      </w:r>
      <w:r w:rsidR="00F019B7">
        <w:rPr>
          <w:lang w:val="es-PY"/>
        </w:rPr>
        <w:t>“</w:t>
      </w:r>
      <w:r w:rsidRPr="00B64C1B">
        <w:rPr>
          <w:lang w:val="es-PY"/>
        </w:rPr>
        <w:t>Fortalecimiento y Modernización de Laboratorios de Bachilleratos Técnicos Industriales – LAB-BT</w:t>
      </w:r>
      <w:r w:rsidR="00F019B7">
        <w:rPr>
          <w:lang w:val="es-PY"/>
        </w:rPr>
        <w:t>”</w:t>
      </w:r>
      <w:r w:rsidRPr="00B64C1B">
        <w:rPr>
          <w:lang w:val="es-PY"/>
        </w:rPr>
        <w:t>, para el fortalecimiento de 17 laboratorios de Bachillerato Técnico Industrial en 12 instituciones educativas.</w:t>
      </w:r>
    </w:p>
    <w:p w14:paraId="193EA9CD" w14:textId="77777777" w:rsidR="00C36F89" w:rsidRDefault="00C36F89">
      <w:pPr>
        <w:suppressAutoHyphens w:val="0"/>
        <w:spacing w:after="160" w:line="259" w:lineRule="auto"/>
        <w:rPr>
          <w:b/>
          <w:spacing w:val="2"/>
          <w:kern w:val="14"/>
        </w:rPr>
      </w:pPr>
      <w:r>
        <w:br w:type="page"/>
      </w:r>
    </w:p>
    <w:p w14:paraId="72BEB759" w14:textId="09158291" w:rsidR="00583FBD" w:rsidRDefault="005A582B" w:rsidP="005A5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583FBD" w:rsidRPr="00B61C96">
        <w:t>Inversión en infraestructura en instituciones educativas del país</w:t>
      </w:r>
      <w:r w:rsidR="00583FBD" w:rsidRPr="005A582B">
        <w:rPr>
          <w:b w:val="0"/>
          <w:bCs/>
          <w:vertAlign w:val="superscript"/>
        </w:rPr>
        <w:footnoteReference w:id="78"/>
      </w:r>
    </w:p>
    <w:p w14:paraId="471B8205" w14:textId="77777777" w:rsidR="005A582B" w:rsidRPr="005A582B" w:rsidRDefault="005A582B" w:rsidP="005A582B">
      <w:pPr>
        <w:pStyle w:val="SingleTxt"/>
        <w:spacing w:after="0" w:line="120" w:lineRule="exact"/>
        <w:rPr>
          <w:sz w:val="10"/>
        </w:rPr>
      </w:pPr>
    </w:p>
    <w:p w14:paraId="552694FA" w14:textId="77777777" w:rsidR="005A582B" w:rsidRPr="005A582B" w:rsidRDefault="005A582B" w:rsidP="005A582B">
      <w:pPr>
        <w:pStyle w:val="SingleTxt"/>
        <w:spacing w:after="0" w:line="120" w:lineRule="exact"/>
        <w:rPr>
          <w:sz w:val="10"/>
        </w:rPr>
      </w:pPr>
    </w:p>
    <w:tbl>
      <w:tblPr>
        <w:tblStyle w:val="6"/>
        <w:tblW w:w="7244" w:type="dxa"/>
        <w:tblInd w:w="1260" w:type="dxa"/>
        <w:tblLayout w:type="fixed"/>
        <w:tblCellMar>
          <w:top w:w="0" w:type="dxa"/>
          <w:left w:w="0" w:type="dxa"/>
          <w:bottom w:w="0" w:type="dxa"/>
          <w:right w:w="0" w:type="dxa"/>
        </w:tblCellMar>
        <w:tblLook w:val="0600" w:firstRow="0" w:lastRow="0" w:firstColumn="0" w:lastColumn="0" w:noHBand="1" w:noVBand="1"/>
      </w:tblPr>
      <w:tblGrid>
        <w:gridCol w:w="1260"/>
        <w:gridCol w:w="2125"/>
        <w:gridCol w:w="1948"/>
        <w:gridCol w:w="1911"/>
      </w:tblGrid>
      <w:tr w:rsidR="00583FBD" w:rsidRPr="007447FF" w14:paraId="5C3EBD7C" w14:textId="77777777" w:rsidTr="00E67B58">
        <w:trPr>
          <w:tblHeader/>
        </w:trPr>
        <w:tc>
          <w:tcPr>
            <w:tcW w:w="1260" w:type="dxa"/>
            <w:tcBorders>
              <w:top w:val="single" w:sz="4" w:space="0" w:color="auto"/>
              <w:bottom w:val="single" w:sz="12" w:space="0" w:color="auto"/>
            </w:tcBorders>
            <w:shd w:val="clear" w:color="auto" w:fill="auto"/>
            <w:tcMar>
              <w:top w:w="0" w:type="dxa"/>
              <w:left w:w="80" w:type="dxa"/>
              <w:bottom w:w="0" w:type="dxa"/>
              <w:right w:w="80" w:type="dxa"/>
            </w:tcMar>
            <w:vAlign w:val="bottom"/>
          </w:tcPr>
          <w:p w14:paraId="198CD2A9" w14:textId="77777777" w:rsidR="00583FBD" w:rsidRPr="005951C5" w:rsidRDefault="00583FBD" w:rsidP="00E67B58">
            <w:pPr>
              <w:spacing w:before="80" w:after="80" w:line="160" w:lineRule="exact"/>
              <w:ind w:left="-40"/>
              <w:rPr>
                <w:i/>
                <w:sz w:val="14"/>
                <w:szCs w:val="14"/>
              </w:rPr>
            </w:pPr>
            <w:r w:rsidRPr="005951C5">
              <w:rPr>
                <w:i/>
                <w:sz w:val="14"/>
                <w:szCs w:val="14"/>
              </w:rPr>
              <w:t>Año</w:t>
            </w:r>
          </w:p>
        </w:tc>
        <w:tc>
          <w:tcPr>
            <w:tcW w:w="2125" w:type="dxa"/>
            <w:tcBorders>
              <w:top w:val="single" w:sz="4" w:space="0" w:color="auto"/>
              <w:bottom w:val="single" w:sz="12" w:space="0" w:color="auto"/>
            </w:tcBorders>
            <w:shd w:val="clear" w:color="auto" w:fill="auto"/>
            <w:tcMar>
              <w:top w:w="0" w:type="dxa"/>
              <w:left w:w="80" w:type="dxa"/>
              <w:bottom w:w="0" w:type="dxa"/>
              <w:right w:w="80" w:type="dxa"/>
            </w:tcMar>
            <w:vAlign w:val="bottom"/>
          </w:tcPr>
          <w:p w14:paraId="4A7A64A7" w14:textId="77777777" w:rsidR="00583FBD" w:rsidRPr="005951C5" w:rsidRDefault="00583FBD" w:rsidP="00E67B58">
            <w:pPr>
              <w:spacing w:before="80" w:after="80" w:line="160" w:lineRule="exact"/>
              <w:jc w:val="right"/>
              <w:rPr>
                <w:i/>
                <w:sz w:val="14"/>
                <w:szCs w:val="14"/>
              </w:rPr>
            </w:pPr>
            <w:r w:rsidRPr="005951C5">
              <w:rPr>
                <w:i/>
                <w:sz w:val="14"/>
                <w:szCs w:val="14"/>
              </w:rPr>
              <w:t>Inversión G.</w:t>
            </w:r>
          </w:p>
        </w:tc>
        <w:tc>
          <w:tcPr>
            <w:tcW w:w="1948" w:type="dxa"/>
            <w:tcBorders>
              <w:top w:val="single" w:sz="4" w:space="0" w:color="auto"/>
              <w:bottom w:val="single" w:sz="12" w:space="0" w:color="auto"/>
            </w:tcBorders>
            <w:shd w:val="clear" w:color="auto" w:fill="auto"/>
            <w:tcMar>
              <w:top w:w="0" w:type="dxa"/>
              <w:left w:w="80" w:type="dxa"/>
              <w:bottom w:w="0" w:type="dxa"/>
              <w:right w:w="80" w:type="dxa"/>
            </w:tcMar>
            <w:vAlign w:val="bottom"/>
          </w:tcPr>
          <w:p w14:paraId="54742A8A" w14:textId="77777777" w:rsidR="00583FBD" w:rsidRPr="005951C5" w:rsidRDefault="00583FBD" w:rsidP="00E67B58">
            <w:pPr>
              <w:spacing w:before="80" w:after="80" w:line="160" w:lineRule="exact"/>
              <w:jc w:val="right"/>
              <w:rPr>
                <w:i/>
                <w:sz w:val="14"/>
                <w:szCs w:val="14"/>
              </w:rPr>
            </w:pPr>
            <w:r w:rsidRPr="005951C5">
              <w:rPr>
                <w:i/>
                <w:sz w:val="14"/>
                <w:szCs w:val="14"/>
              </w:rPr>
              <w:t>Dólares americanos</w:t>
            </w:r>
          </w:p>
        </w:tc>
        <w:tc>
          <w:tcPr>
            <w:tcW w:w="1911" w:type="dxa"/>
            <w:tcBorders>
              <w:top w:val="single" w:sz="4" w:space="0" w:color="auto"/>
              <w:bottom w:val="single" w:sz="12" w:space="0" w:color="auto"/>
            </w:tcBorders>
            <w:shd w:val="clear" w:color="auto" w:fill="auto"/>
            <w:tcMar>
              <w:top w:w="0" w:type="dxa"/>
              <w:left w:w="80" w:type="dxa"/>
              <w:bottom w:w="0" w:type="dxa"/>
              <w:right w:w="80" w:type="dxa"/>
            </w:tcMar>
            <w:vAlign w:val="bottom"/>
          </w:tcPr>
          <w:p w14:paraId="0790E21A" w14:textId="18EAFF8E" w:rsidR="00583FBD" w:rsidRPr="005951C5" w:rsidRDefault="00E67B58" w:rsidP="00E67B58">
            <w:pPr>
              <w:spacing w:before="80" w:after="80" w:line="160" w:lineRule="exact"/>
              <w:jc w:val="right"/>
              <w:rPr>
                <w:i/>
                <w:sz w:val="14"/>
                <w:szCs w:val="14"/>
              </w:rPr>
            </w:pPr>
            <w:r>
              <w:rPr>
                <w:i/>
                <w:sz w:val="14"/>
                <w:szCs w:val="14"/>
              </w:rPr>
              <w:t xml:space="preserve">Porcentaje </w:t>
            </w:r>
            <w:r w:rsidR="00583FBD" w:rsidRPr="005951C5">
              <w:rPr>
                <w:i/>
                <w:sz w:val="14"/>
                <w:szCs w:val="14"/>
              </w:rPr>
              <w:t>de inversión</w:t>
            </w:r>
            <w:r>
              <w:rPr>
                <w:i/>
                <w:sz w:val="14"/>
                <w:szCs w:val="14"/>
              </w:rPr>
              <w:br/>
            </w:r>
            <w:r w:rsidR="00583FBD" w:rsidRPr="005951C5">
              <w:rPr>
                <w:i/>
                <w:sz w:val="14"/>
                <w:szCs w:val="14"/>
              </w:rPr>
              <w:t>en zona rural</w:t>
            </w:r>
          </w:p>
        </w:tc>
      </w:tr>
      <w:tr w:rsidR="00583FBD" w:rsidRPr="007447FF" w14:paraId="1414973B" w14:textId="77777777" w:rsidTr="00E67B58">
        <w:tc>
          <w:tcPr>
            <w:tcW w:w="1260" w:type="dxa"/>
            <w:tcBorders>
              <w:top w:val="single" w:sz="12" w:space="0" w:color="auto"/>
            </w:tcBorders>
            <w:shd w:val="clear" w:color="auto" w:fill="auto"/>
            <w:tcMar>
              <w:top w:w="0" w:type="dxa"/>
              <w:left w:w="80" w:type="dxa"/>
              <w:bottom w:w="0" w:type="dxa"/>
              <w:right w:w="80" w:type="dxa"/>
            </w:tcMar>
          </w:tcPr>
          <w:p w14:paraId="6DF8272B" w14:textId="77777777" w:rsidR="00583FBD" w:rsidRPr="00D849F6" w:rsidRDefault="00583FBD" w:rsidP="004F0E5C">
            <w:pPr>
              <w:spacing w:before="40" w:after="40" w:line="220" w:lineRule="exact"/>
              <w:rPr>
                <w:bCs/>
                <w:sz w:val="17"/>
                <w:szCs w:val="17"/>
              </w:rPr>
            </w:pPr>
            <w:r w:rsidRPr="00D849F6">
              <w:rPr>
                <w:bCs/>
                <w:sz w:val="17"/>
                <w:szCs w:val="17"/>
              </w:rPr>
              <w:t>2017</w:t>
            </w:r>
          </w:p>
        </w:tc>
        <w:tc>
          <w:tcPr>
            <w:tcW w:w="2125" w:type="dxa"/>
            <w:tcBorders>
              <w:top w:val="single" w:sz="12" w:space="0" w:color="auto"/>
            </w:tcBorders>
            <w:shd w:val="clear" w:color="auto" w:fill="auto"/>
            <w:tcMar>
              <w:top w:w="0" w:type="dxa"/>
              <w:left w:w="80" w:type="dxa"/>
              <w:bottom w:w="0" w:type="dxa"/>
              <w:right w:w="80" w:type="dxa"/>
            </w:tcMar>
            <w:vAlign w:val="bottom"/>
          </w:tcPr>
          <w:p w14:paraId="640396C1" w14:textId="5584FC1C" w:rsidR="00583FBD" w:rsidRPr="00C36F89" w:rsidRDefault="00583FBD" w:rsidP="004F0E5C">
            <w:pPr>
              <w:spacing w:before="40" w:after="40" w:line="220" w:lineRule="exact"/>
              <w:jc w:val="right"/>
              <w:rPr>
                <w:bCs/>
                <w:sz w:val="17"/>
                <w:szCs w:val="17"/>
              </w:rPr>
            </w:pPr>
            <w:r w:rsidRPr="00C36F89">
              <w:rPr>
                <w:bCs/>
                <w:sz w:val="17"/>
                <w:szCs w:val="17"/>
              </w:rPr>
              <w:t>1</w:t>
            </w:r>
            <w:r w:rsidR="005951C5" w:rsidRPr="00C36F89">
              <w:rPr>
                <w:bCs/>
                <w:sz w:val="17"/>
                <w:szCs w:val="17"/>
              </w:rPr>
              <w:t xml:space="preserve"> </w:t>
            </w:r>
            <w:r w:rsidRPr="00C36F89">
              <w:rPr>
                <w:bCs/>
                <w:sz w:val="17"/>
                <w:szCs w:val="17"/>
              </w:rPr>
              <w:t>997</w:t>
            </w:r>
            <w:r w:rsidR="005951C5" w:rsidRPr="00C36F89">
              <w:rPr>
                <w:bCs/>
                <w:sz w:val="17"/>
                <w:szCs w:val="17"/>
              </w:rPr>
              <w:t xml:space="preserve"> </w:t>
            </w:r>
            <w:r w:rsidRPr="00C36F89">
              <w:rPr>
                <w:bCs/>
                <w:sz w:val="17"/>
                <w:szCs w:val="17"/>
              </w:rPr>
              <w:t>693</w:t>
            </w:r>
            <w:r w:rsidR="005951C5" w:rsidRPr="00C36F89">
              <w:rPr>
                <w:bCs/>
                <w:sz w:val="17"/>
                <w:szCs w:val="17"/>
              </w:rPr>
              <w:t xml:space="preserve"> </w:t>
            </w:r>
            <w:r w:rsidRPr="00C36F89">
              <w:rPr>
                <w:bCs/>
                <w:sz w:val="17"/>
                <w:szCs w:val="17"/>
              </w:rPr>
              <w:t>570</w:t>
            </w:r>
          </w:p>
        </w:tc>
        <w:tc>
          <w:tcPr>
            <w:tcW w:w="1948" w:type="dxa"/>
            <w:tcBorders>
              <w:top w:val="single" w:sz="12" w:space="0" w:color="auto"/>
            </w:tcBorders>
            <w:shd w:val="clear" w:color="auto" w:fill="auto"/>
            <w:tcMar>
              <w:top w:w="0" w:type="dxa"/>
              <w:left w:w="80" w:type="dxa"/>
              <w:bottom w:w="0" w:type="dxa"/>
              <w:right w:w="80" w:type="dxa"/>
            </w:tcMar>
            <w:vAlign w:val="bottom"/>
          </w:tcPr>
          <w:p w14:paraId="78BB46F2" w14:textId="50DE0CDB" w:rsidR="00583FBD" w:rsidRPr="00C36F89" w:rsidRDefault="00583FBD" w:rsidP="004F0E5C">
            <w:pPr>
              <w:spacing w:before="40" w:after="40" w:line="220" w:lineRule="exact"/>
              <w:jc w:val="right"/>
              <w:rPr>
                <w:bCs/>
                <w:sz w:val="17"/>
                <w:szCs w:val="17"/>
              </w:rPr>
            </w:pPr>
            <w:r w:rsidRPr="00C36F89">
              <w:rPr>
                <w:bCs/>
                <w:sz w:val="17"/>
                <w:szCs w:val="17"/>
              </w:rPr>
              <w:t>273</w:t>
            </w:r>
            <w:r w:rsidR="005951C5" w:rsidRPr="00C36F89">
              <w:rPr>
                <w:bCs/>
                <w:sz w:val="17"/>
                <w:szCs w:val="17"/>
              </w:rPr>
              <w:t xml:space="preserve"> </w:t>
            </w:r>
            <w:r w:rsidRPr="00C36F89">
              <w:rPr>
                <w:bCs/>
                <w:sz w:val="17"/>
                <w:szCs w:val="17"/>
              </w:rPr>
              <w:t>657</w:t>
            </w:r>
          </w:p>
        </w:tc>
        <w:tc>
          <w:tcPr>
            <w:tcW w:w="1911" w:type="dxa"/>
            <w:tcBorders>
              <w:top w:val="single" w:sz="12" w:space="0" w:color="auto"/>
            </w:tcBorders>
            <w:shd w:val="clear" w:color="auto" w:fill="auto"/>
            <w:tcMar>
              <w:top w:w="0" w:type="dxa"/>
              <w:left w:w="80" w:type="dxa"/>
              <w:bottom w:w="0" w:type="dxa"/>
              <w:right w:w="80" w:type="dxa"/>
            </w:tcMar>
            <w:vAlign w:val="bottom"/>
          </w:tcPr>
          <w:p w14:paraId="439DB424" w14:textId="4457A2FC" w:rsidR="00583FBD" w:rsidRPr="00C36F89" w:rsidRDefault="00583FBD" w:rsidP="004F0E5C">
            <w:pPr>
              <w:spacing w:before="40" w:after="40" w:line="220" w:lineRule="exact"/>
              <w:jc w:val="right"/>
              <w:rPr>
                <w:bCs/>
                <w:sz w:val="17"/>
                <w:szCs w:val="17"/>
              </w:rPr>
            </w:pPr>
            <w:r w:rsidRPr="00C36F89">
              <w:rPr>
                <w:bCs/>
                <w:sz w:val="17"/>
                <w:szCs w:val="17"/>
              </w:rPr>
              <w:t>0</w:t>
            </w:r>
            <w:r w:rsidR="005951C5" w:rsidRPr="00C36F89">
              <w:rPr>
                <w:bCs/>
                <w:sz w:val="17"/>
                <w:szCs w:val="17"/>
              </w:rPr>
              <w:t> </w:t>
            </w:r>
            <w:r w:rsidRPr="00C36F89">
              <w:rPr>
                <w:bCs/>
                <w:sz w:val="17"/>
                <w:szCs w:val="17"/>
              </w:rPr>
              <w:t>%</w:t>
            </w:r>
          </w:p>
        </w:tc>
      </w:tr>
      <w:tr w:rsidR="00583FBD" w:rsidRPr="007447FF" w14:paraId="52CB010C" w14:textId="77777777" w:rsidTr="00E67B58">
        <w:tc>
          <w:tcPr>
            <w:tcW w:w="1260" w:type="dxa"/>
            <w:shd w:val="clear" w:color="auto" w:fill="auto"/>
            <w:tcMar>
              <w:top w:w="0" w:type="dxa"/>
              <w:left w:w="80" w:type="dxa"/>
              <w:bottom w:w="0" w:type="dxa"/>
              <w:right w:w="80" w:type="dxa"/>
            </w:tcMar>
          </w:tcPr>
          <w:p w14:paraId="74FA7737" w14:textId="77777777" w:rsidR="00583FBD" w:rsidRPr="00D849F6" w:rsidRDefault="00583FBD" w:rsidP="004F0E5C">
            <w:pPr>
              <w:spacing w:before="40" w:after="40" w:line="220" w:lineRule="exact"/>
              <w:rPr>
                <w:bCs/>
                <w:sz w:val="17"/>
                <w:szCs w:val="17"/>
              </w:rPr>
            </w:pPr>
            <w:r w:rsidRPr="00D849F6">
              <w:rPr>
                <w:bCs/>
                <w:sz w:val="17"/>
                <w:szCs w:val="17"/>
              </w:rPr>
              <w:t>2018</w:t>
            </w:r>
          </w:p>
        </w:tc>
        <w:tc>
          <w:tcPr>
            <w:tcW w:w="2125" w:type="dxa"/>
            <w:shd w:val="clear" w:color="auto" w:fill="auto"/>
            <w:tcMar>
              <w:top w:w="0" w:type="dxa"/>
              <w:left w:w="80" w:type="dxa"/>
              <w:bottom w:w="0" w:type="dxa"/>
              <w:right w:w="80" w:type="dxa"/>
            </w:tcMar>
            <w:vAlign w:val="bottom"/>
          </w:tcPr>
          <w:p w14:paraId="47BC6F71" w14:textId="7EA1F878" w:rsidR="00583FBD" w:rsidRPr="00C36F89" w:rsidRDefault="00583FBD" w:rsidP="004F0E5C">
            <w:pPr>
              <w:spacing w:before="40" w:after="40" w:line="220" w:lineRule="exact"/>
              <w:jc w:val="right"/>
              <w:rPr>
                <w:bCs/>
                <w:sz w:val="17"/>
                <w:szCs w:val="17"/>
              </w:rPr>
            </w:pPr>
            <w:r w:rsidRPr="00C36F89">
              <w:rPr>
                <w:bCs/>
                <w:sz w:val="17"/>
                <w:szCs w:val="17"/>
              </w:rPr>
              <w:t>15</w:t>
            </w:r>
            <w:r w:rsidR="005951C5" w:rsidRPr="00C36F89">
              <w:rPr>
                <w:bCs/>
                <w:sz w:val="17"/>
                <w:szCs w:val="17"/>
              </w:rPr>
              <w:t xml:space="preserve"> </w:t>
            </w:r>
            <w:r w:rsidRPr="00C36F89">
              <w:rPr>
                <w:bCs/>
                <w:sz w:val="17"/>
                <w:szCs w:val="17"/>
              </w:rPr>
              <w:t>099</w:t>
            </w:r>
            <w:r w:rsidR="005951C5" w:rsidRPr="00C36F89">
              <w:rPr>
                <w:bCs/>
                <w:sz w:val="17"/>
                <w:szCs w:val="17"/>
              </w:rPr>
              <w:t xml:space="preserve"> </w:t>
            </w:r>
            <w:r w:rsidRPr="00C36F89">
              <w:rPr>
                <w:bCs/>
                <w:sz w:val="17"/>
                <w:szCs w:val="17"/>
              </w:rPr>
              <w:t>373</w:t>
            </w:r>
            <w:r w:rsidR="005951C5" w:rsidRPr="00C36F89">
              <w:rPr>
                <w:bCs/>
                <w:sz w:val="17"/>
                <w:szCs w:val="17"/>
              </w:rPr>
              <w:t xml:space="preserve"> </w:t>
            </w:r>
            <w:r w:rsidRPr="00C36F89">
              <w:rPr>
                <w:bCs/>
                <w:sz w:val="17"/>
                <w:szCs w:val="17"/>
              </w:rPr>
              <w:t>745</w:t>
            </w:r>
          </w:p>
        </w:tc>
        <w:tc>
          <w:tcPr>
            <w:tcW w:w="1948" w:type="dxa"/>
            <w:shd w:val="clear" w:color="auto" w:fill="auto"/>
            <w:tcMar>
              <w:top w:w="0" w:type="dxa"/>
              <w:left w:w="80" w:type="dxa"/>
              <w:bottom w:w="0" w:type="dxa"/>
              <w:right w:w="80" w:type="dxa"/>
            </w:tcMar>
            <w:vAlign w:val="bottom"/>
          </w:tcPr>
          <w:p w14:paraId="230C22A3" w14:textId="777C2B19" w:rsidR="00583FBD" w:rsidRPr="00C36F89" w:rsidRDefault="00583FBD" w:rsidP="004F0E5C">
            <w:pPr>
              <w:spacing w:before="40" w:after="40" w:line="220" w:lineRule="exact"/>
              <w:jc w:val="right"/>
              <w:rPr>
                <w:bCs/>
                <w:sz w:val="17"/>
                <w:szCs w:val="17"/>
              </w:rPr>
            </w:pPr>
            <w:r w:rsidRPr="00C36F89">
              <w:rPr>
                <w:bCs/>
                <w:sz w:val="17"/>
                <w:szCs w:val="17"/>
              </w:rPr>
              <w:t>2</w:t>
            </w:r>
            <w:r w:rsidR="005951C5" w:rsidRPr="00C36F89">
              <w:rPr>
                <w:bCs/>
                <w:sz w:val="17"/>
                <w:szCs w:val="17"/>
              </w:rPr>
              <w:t xml:space="preserve"> </w:t>
            </w:r>
            <w:r w:rsidRPr="00C36F89">
              <w:rPr>
                <w:bCs/>
                <w:sz w:val="17"/>
                <w:szCs w:val="17"/>
              </w:rPr>
              <w:t>068</w:t>
            </w:r>
            <w:r w:rsidR="005951C5" w:rsidRPr="00C36F89">
              <w:rPr>
                <w:bCs/>
                <w:sz w:val="17"/>
                <w:szCs w:val="17"/>
              </w:rPr>
              <w:t xml:space="preserve"> </w:t>
            </w:r>
            <w:r w:rsidRPr="00C36F89">
              <w:rPr>
                <w:bCs/>
                <w:sz w:val="17"/>
                <w:szCs w:val="17"/>
              </w:rPr>
              <w:t>407</w:t>
            </w:r>
          </w:p>
        </w:tc>
        <w:tc>
          <w:tcPr>
            <w:tcW w:w="1911" w:type="dxa"/>
            <w:shd w:val="clear" w:color="auto" w:fill="auto"/>
            <w:tcMar>
              <w:top w:w="0" w:type="dxa"/>
              <w:left w:w="80" w:type="dxa"/>
              <w:bottom w:w="0" w:type="dxa"/>
              <w:right w:w="80" w:type="dxa"/>
            </w:tcMar>
            <w:vAlign w:val="bottom"/>
          </w:tcPr>
          <w:p w14:paraId="23997FDD" w14:textId="71147283" w:rsidR="00583FBD" w:rsidRPr="00C36F89" w:rsidRDefault="00583FBD" w:rsidP="004F0E5C">
            <w:pPr>
              <w:spacing w:before="40" w:after="40" w:line="220" w:lineRule="exact"/>
              <w:jc w:val="right"/>
              <w:rPr>
                <w:bCs/>
                <w:sz w:val="17"/>
                <w:szCs w:val="17"/>
              </w:rPr>
            </w:pPr>
            <w:r w:rsidRPr="00C36F89">
              <w:rPr>
                <w:bCs/>
                <w:sz w:val="17"/>
                <w:szCs w:val="17"/>
              </w:rPr>
              <w:t>32</w:t>
            </w:r>
            <w:r w:rsidR="005951C5" w:rsidRPr="00C36F89">
              <w:rPr>
                <w:bCs/>
                <w:sz w:val="17"/>
                <w:szCs w:val="17"/>
              </w:rPr>
              <w:t> </w:t>
            </w:r>
            <w:r w:rsidRPr="00C36F89">
              <w:rPr>
                <w:bCs/>
                <w:sz w:val="17"/>
                <w:szCs w:val="17"/>
              </w:rPr>
              <w:t>%</w:t>
            </w:r>
          </w:p>
        </w:tc>
      </w:tr>
      <w:tr w:rsidR="00583FBD" w:rsidRPr="007447FF" w14:paraId="500C9E30" w14:textId="77777777" w:rsidTr="00E67B58">
        <w:tc>
          <w:tcPr>
            <w:tcW w:w="1260" w:type="dxa"/>
            <w:shd w:val="clear" w:color="auto" w:fill="auto"/>
            <w:tcMar>
              <w:top w:w="0" w:type="dxa"/>
              <w:left w:w="80" w:type="dxa"/>
              <w:bottom w:w="0" w:type="dxa"/>
              <w:right w:w="80" w:type="dxa"/>
            </w:tcMar>
          </w:tcPr>
          <w:p w14:paraId="50F4194D" w14:textId="77777777" w:rsidR="00583FBD" w:rsidRPr="00D849F6" w:rsidRDefault="00583FBD" w:rsidP="004F0E5C">
            <w:pPr>
              <w:spacing w:before="40" w:after="40" w:line="220" w:lineRule="exact"/>
              <w:rPr>
                <w:bCs/>
                <w:sz w:val="17"/>
                <w:szCs w:val="17"/>
              </w:rPr>
            </w:pPr>
            <w:r w:rsidRPr="00D849F6">
              <w:rPr>
                <w:bCs/>
                <w:sz w:val="17"/>
                <w:szCs w:val="17"/>
              </w:rPr>
              <w:t>2019</w:t>
            </w:r>
          </w:p>
        </w:tc>
        <w:tc>
          <w:tcPr>
            <w:tcW w:w="2125" w:type="dxa"/>
            <w:shd w:val="clear" w:color="auto" w:fill="auto"/>
            <w:tcMar>
              <w:top w:w="0" w:type="dxa"/>
              <w:left w:w="80" w:type="dxa"/>
              <w:bottom w:w="0" w:type="dxa"/>
              <w:right w:w="80" w:type="dxa"/>
            </w:tcMar>
            <w:vAlign w:val="bottom"/>
          </w:tcPr>
          <w:p w14:paraId="3F7B870C" w14:textId="45AD122F" w:rsidR="00583FBD" w:rsidRPr="00C36F89" w:rsidRDefault="00583FBD" w:rsidP="004F0E5C">
            <w:pPr>
              <w:spacing w:before="40" w:after="40" w:line="220" w:lineRule="exact"/>
              <w:jc w:val="right"/>
              <w:rPr>
                <w:bCs/>
                <w:sz w:val="17"/>
                <w:szCs w:val="17"/>
              </w:rPr>
            </w:pPr>
            <w:r w:rsidRPr="00C36F89">
              <w:rPr>
                <w:bCs/>
                <w:sz w:val="17"/>
                <w:szCs w:val="17"/>
              </w:rPr>
              <w:t>36</w:t>
            </w:r>
            <w:r w:rsidR="005951C5" w:rsidRPr="00C36F89">
              <w:rPr>
                <w:bCs/>
                <w:sz w:val="17"/>
                <w:szCs w:val="17"/>
              </w:rPr>
              <w:t xml:space="preserve"> </w:t>
            </w:r>
            <w:r w:rsidRPr="00C36F89">
              <w:rPr>
                <w:bCs/>
                <w:sz w:val="17"/>
                <w:szCs w:val="17"/>
              </w:rPr>
              <w:t>776</w:t>
            </w:r>
            <w:r w:rsidR="005951C5" w:rsidRPr="00C36F89">
              <w:rPr>
                <w:bCs/>
                <w:sz w:val="17"/>
                <w:szCs w:val="17"/>
              </w:rPr>
              <w:t xml:space="preserve"> </w:t>
            </w:r>
            <w:r w:rsidRPr="00C36F89">
              <w:rPr>
                <w:bCs/>
                <w:sz w:val="17"/>
                <w:szCs w:val="17"/>
              </w:rPr>
              <w:t>261</w:t>
            </w:r>
            <w:r w:rsidR="005951C5" w:rsidRPr="00C36F89">
              <w:rPr>
                <w:bCs/>
                <w:sz w:val="17"/>
                <w:szCs w:val="17"/>
              </w:rPr>
              <w:t xml:space="preserve"> </w:t>
            </w:r>
            <w:r w:rsidRPr="00C36F89">
              <w:rPr>
                <w:bCs/>
                <w:sz w:val="17"/>
                <w:szCs w:val="17"/>
              </w:rPr>
              <w:t>161</w:t>
            </w:r>
          </w:p>
        </w:tc>
        <w:tc>
          <w:tcPr>
            <w:tcW w:w="1948" w:type="dxa"/>
            <w:shd w:val="clear" w:color="auto" w:fill="auto"/>
            <w:tcMar>
              <w:top w:w="0" w:type="dxa"/>
              <w:left w:w="80" w:type="dxa"/>
              <w:bottom w:w="0" w:type="dxa"/>
              <w:right w:w="80" w:type="dxa"/>
            </w:tcMar>
            <w:vAlign w:val="bottom"/>
          </w:tcPr>
          <w:p w14:paraId="00F8BCAB" w14:textId="3D9055B6" w:rsidR="00583FBD" w:rsidRPr="00C36F89" w:rsidRDefault="00583FBD" w:rsidP="004F0E5C">
            <w:pPr>
              <w:spacing w:before="40" w:after="40" w:line="220" w:lineRule="exact"/>
              <w:jc w:val="right"/>
              <w:rPr>
                <w:bCs/>
                <w:sz w:val="17"/>
                <w:szCs w:val="17"/>
              </w:rPr>
            </w:pPr>
            <w:r w:rsidRPr="00C36F89">
              <w:rPr>
                <w:bCs/>
                <w:sz w:val="17"/>
                <w:szCs w:val="17"/>
              </w:rPr>
              <w:t>5</w:t>
            </w:r>
            <w:r w:rsidR="005951C5" w:rsidRPr="00C36F89">
              <w:rPr>
                <w:bCs/>
                <w:sz w:val="17"/>
                <w:szCs w:val="17"/>
              </w:rPr>
              <w:t xml:space="preserve"> </w:t>
            </w:r>
            <w:r w:rsidRPr="00C36F89">
              <w:rPr>
                <w:bCs/>
                <w:sz w:val="17"/>
                <w:szCs w:val="17"/>
              </w:rPr>
              <w:t>037</w:t>
            </w:r>
            <w:r w:rsidR="005951C5" w:rsidRPr="00C36F89">
              <w:rPr>
                <w:bCs/>
                <w:sz w:val="17"/>
                <w:szCs w:val="17"/>
              </w:rPr>
              <w:t xml:space="preserve"> </w:t>
            </w:r>
            <w:r w:rsidRPr="00C36F89">
              <w:rPr>
                <w:bCs/>
                <w:sz w:val="17"/>
                <w:szCs w:val="17"/>
              </w:rPr>
              <w:t>844</w:t>
            </w:r>
          </w:p>
        </w:tc>
        <w:tc>
          <w:tcPr>
            <w:tcW w:w="1911" w:type="dxa"/>
            <w:shd w:val="clear" w:color="auto" w:fill="auto"/>
            <w:tcMar>
              <w:top w:w="0" w:type="dxa"/>
              <w:left w:w="80" w:type="dxa"/>
              <w:bottom w:w="0" w:type="dxa"/>
              <w:right w:w="80" w:type="dxa"/>
            </w:tcMar>
            <w:vAlign w:val="bottom"/>
          </w:tcPr>
          <w:p w14:paraId="616A8F69" w14:textId="387A0B0B" w:rsidR="00583FBD" w:rsidRPr="00C36F89" w:rsidRDefault="00583FBD" w:rsidP="004F0E5C">
            <w:pPr>
              <w:spacing w:before="40" w:after="40" w:line="220" w:lineRule="exact"/>
              <w:jc w:val="right"/>
              <w:rPr>
                <w:bCs/>
                <w:sz w:val="17"/>
                <w:szCs w:val="17"/>
              </w:rPr>
            </w:pPr>
            <w:r w:rsidRPr="00C36F89">
              <w:rPr>
                <w:bCs/>
                <w:sz w:val="17"/>
                <w:szCs w:val="17"/>
              </w:rPr>
              <w:t xml:space="preserve"> 91</w:t>
            </w:r>
            <w:r w:rsidR="005951C5" w:rsidRPr="00C36F89">
              <w:rPr>
                <w:bCs/>
                <w:sz w:val="17"/>
                <w:szCs w:val="17"/>
              </w:rPr>
              <w:t> </w:t>
            </w:r>
            <w:r w:rsidRPr="00C36F89">
              <w:rPr>
                <w:bCs/>
                <w:sz w:val="17"/>
                <w:szCs w:val="17"/>
              </w:rPr>
              <w:t>%</w:t>
            </w:r>
          </w:p>
        </w:tc>
      </w:tr>
      <w:tr w:rsidR="00583FBD" w:rsidRPr="007447FF" w14:paraId="4404845B" w14:textId="77777777" w:rsidTr="00E67B58">
        <w:tc>
          <w:tcPr>
            <w:tcW w:w="1260" w:type="dxa"/>
            <w:shd w:val="clear" w:color="auto" w:fill="auto"/>
            <w:tcMar>
              <w:top w:w="0" w:type="dxa"/>
              <w:left w:w="80" w:type="dxa"/>
              <w:bottom w:w="0" w:type="dxa"/>
              <w:right w:w="80" w:type="dxa"/>
            </w:tcMar>
          </w:tcPr>
          <w:p w14:paraId="0F1D8416" w14:textId="77777777" w:rsidR="00583FBD" w:rsidRPr="00D849F6" w:rsidRDefault="00583FBD" w:rsidP="004F0E5C">
            <w:pPr>
              <w:spacing w:before="40" w:after="40" w:line="220" w:lineRule="exact"/>
              <w:rPr>
                <w:bCs/>
                <w:sz w:val="17"/>
                <w:szCs w:val="17"/>
              </w:rPr>
            </w:pPr>
            <w:r w:rsidRPr="00D849F6">
              <w:rPr>
                <w:bCs/>
                <w:sz w:val="17"/>
                <w:szCs w:val="17"/>
              </w:rPr>
              <w:t>2020</w:t>
            </w:r>
          </w:p>
        </w:tc>
        <w:tc>
          <w:tcPr>
            <w:tcW w:w="2125" w:type="dxa"/>
            <w:shd w:val="clear" w:color="auto" w:fill="auto"/>
            <w:tcMar>
              <w:top w:w="0" w:type="dxa"/>
              <w:left w:w="80" w:type="dxa"/>
              <w:bottom w:w="0" w:type="dxa"/>
              <w:right w:w="80" w:type="dxa"/>
            </w:tcMar>
            <w:vAlign w:val="bottom"/>
          </w:tcPr>
          <w:p w14:paraId="7A610200" w14:textId="682C874F" w:rsidR="00583FBD" w:rsidRPr="00C36F89" w:rsidRDefault="00583FBD" w:rsidP="004F0E5C">
            <w:pPr>
              <w:spacing w:before="40" w:after="40" w:line="220" w:lineRule="exact"/>
              <w:jc w:val="right"/>
              <w:rPr>
                <w:bCs/>
                <w:sz w:val="17"/>
                <w:szCs w:val="17"/>
              </w:rPr>
            </w:pPr>
            <w:r w:rsidRPr="00C36F89">
              <w:rPr>
                <w:bCs/>
                <w:sz w:val="17"/>
                <w:szCs w:val="17"/>
              </w:rPr>
              <w:t>3</w:t>
            </w:r>
            <w:r w:rsidR="005951C5" w:rsidRPr="00C36F89">
              <w:rPr>
                <w:bCs/>
                <w:sz w:val="17"/>
                <w:szCs w:val="17"/>
              </w:rPr>
              <w:t xml:space="preserve"> </w:t>
            </w:r>
            <w:r w:rsidRPr="00C36F89">
              <w:rPr>
                <w:bCs/>
                <w:sz w:val="17"/>
                <w:szCs w:val="17"/>
              </w:rPr>
              <w:t>765</w:t>
            </w:r>
            <w:r w:rsidR="005951C5" w:rsidRPr="00C36F89">
              <w:rPr>
                <w:bCs/>
                <w:sz w:val="17"/>
                <w:szCs w:val="17"/>
              </w:rPr>
              <w:t xml:space="preserve"> </w:t>
            </w:r>
            <w:r w:rsidRPr="00C36F89">
              <w:rPr>
                <w:bCs/>
                <w:sz w:val="17"/>
                <w:szCs w:val="17"/>
              </w:rPr>
              <w:t>000</w:t>
            </w:r>
            <w:r w:rsidR="005951C5" w:rsidRPr="00C36F89">
              <w:rPr>
                <w:bCs/>
                <w:sz w:val="17"/>
                <w:szCs w:val="17"/>
              </w:rPr>
              <w:t xml:space="preserve"> </w:t>
            </w:r>
            <w:r w:rsidRPr="00C36F89">
              <w:rPr>
                <w:bCs/>
                <w:sz w:val="17"/>
                <w:szCs w:val="17"/>
              </w:rPr>
              <w:t>000</w:t>
            </w:r>
          </w:p>
        </w:tc>
        <w:tc>
          <w:tcPr>
            <w:tcW w:w="1948" w:type="dxa"/>
            <w:shd w:val="clear" w:color="auto" w:fill="auto"/>
            <w:tcMar>
              <w:top w:w="0" w:type="dxa"/>
              <w:left w:w="80" w:type="dxa"/>
              <w:bottom w:w="0" w:type="dxa"/>
              <w:right w:w="80" w:type="dxa"/>
            </w:tcMar>
            <w:vAlign w:val="bottom"/>
          </w:tcPr>
          <w:p w14:paraId="7696BB2C" w14:textId="03AECE38" w:rsidR="00583FBD" w:rsidRPr="00C36F89" w:rsidRDefault="00583FBD" w:rsidP="004F0E5C">
            <w:pPr>
              <w:spacing w:before="40" w:after="40" w:line="220" w:lineRule="exact"/>
              <w:jc w:val="right"/>
              <w:rPr>
                <w:bCs/>
                <w:sz w:val="17"/>
                <w:szCs w:val="17"/>
              </w:rPr>
            </w:pPr>
            <w:r w:rsidRPr="00C36F89">
              <w:rPr>
                <w:bCs/>
                <w:sz w:val="17"/>
                <w:szCs w:val="17"/>
              </w:rPr>
              <w:t>515</w:t>
            </w:r>
            <w:r w:rsidR="005951C5" w:rsidRPr="00C36F89">
              <w:rPr>
                <w:bCs/>
                <w:sz w:val="17"/>
                <w:szCs w:val="17"/>
              </w:rPr>
              <w:t xml:space="preserve"> </w:t>
            </w:r>
            <w:r w:rsidRPr="00C36F89">
              <w:rPr>
                <w:bCs/>
                <w:sz w:val="17"/>
                <w:szCs w:val="17"/>
              </w:rPr>
              <w:t>753</w:t>
            </w:r>
          </w:p>
        </w:tc>
        <w:tc>
          <w:tcPr>
            <w:tcW w:w="1911" w:type="dxa"/>
            <w:shd w:val="clear" w:color="auto" w:fill="auto"/>
            <w:tcMar>
              <w:top w:w="0" w:type="dxa"/>
              <w:left w:w="80" w:type="dxa"/>
              <w:bottom w:w="0" w:type="dxa"/>
              <w:right w:w="80" w:type="dxa"/>
            </w:tcMar>
            <w:vAlign w:val="bottom"/>
          </w:tcPr>
          <w:p w14:paraId="0F978CE2" w14:textId="3D067DC9" w:rsidR="00583FBD" w:rsidRPr="00C36F89" w:rsidRDefault="00583FBD" w:rsidP="004F0E5C">
            <w:pPr>
              <w:spacing w:before="40" w:after="40" w:line="220" w:lineRule="exact"/>
              <w:jc w:val="right"/>
              <w:rPr>
                <w:bCs/>
                <w:sz w:val="17"/>
                <w:szCs w:val="17"/>
              </w:rPr>
            </w:pPr>
            <w:r w:rsidRPr="00C36F89">
              <w:rPr>
                <w:bCs/>
                <w:sz w:val="17"/>
                <w:szCs w:val="17"/>
              </w:rPr>
              <w:t>100</w:t>
            </w:r>
            <w:r w:rsidR="005951C5" w:rsidRPr="00C36F89">
              <w:rPr>
                <w:bCs/>
                <w:sz w:val="17"/>
                <w:szCs w:val="17"/>
              </w:rPr>
              <w:t> </w:t>
            </w:r>
            <w:r w:rsidRPr="00C36F89">
              <w:rPr>
                <w:bCs/>
                <w:sz w:val="17"/>
                <w:szCs w:val="17"/>
              </w:rPr>
              <w:t>%</w:t>
            </w:r>
          </w:p>
        </w:tc>
      </w:tr>
      <w:tr w:rsidR="00583FBD" w:rsidRPr="007447FF" w14:paraId="0C3BF479" w14:textId="77777777" w:rsidTr="00E67B58">
        <w:tc>
          <w:tcPr>
            <w:tcW w:w="1260" w:type="dxa"/>
            <w:shd w:val="clear" w:color="auto" w:fill="auto"/>
            <w:tcMar>
              <w:top w:w="0" w:type="dxa"/>
              <w:left w:w="80" w:type="dxa"/>
              <w:bottom w:w="0" w:type="dxa"/>
              <w:right w:w="80" w:type="dxa"/>
            </w:tcMar>
          </w:tcPr>
          <w:p w14:paraId="7C56711E" w14:textId="77777777" w:rsidR="00583FBD" w:rsidRPr="00D849F6" w:rsidRDefault="00583FBD" w:rsidP="004F0E5C">
            <w:pPr>
              <w:spacing w:before="40" w:after="40" w:line="220" w:lineRule="exact"/>
              <w:rPr>
                <w:bCs/>
                <w:sz w:val="17"/>
                <w:szCs w:val="17"/>
              </w:rPr>
            </w:pPr>
            <w:r w:rsidRPr="00D849F6">
              <w:rPr>
                <w:bCs/>
                <w:sz w:val="17"/>
                <w:szCs w:val="17"/>
              </w:rPr>
              <w:t>2021</w:t>
            </w:r>
          </w:p>
        </w:tc>
        <w:tc>
          <w:tcPr>
            <w:tcW w:w="2125" w:type="dxa"/>
            <w:shd w:val="clear" w:color="auto" w:fill="auto"/>
            <w:tcMar>
              <w:top w:w="0" w:type="dxa"/>
              <w:left w:w="80" w:type="dxa"/>
              <w:bottom w:w="0" w:type="dxa"/>
              <w:right w:w="80" w:type="dxa"/>
            </w:tcMar>
            <w:vAlign w:val="bottom"/>
          </w:tcPr>
          <w:p w14:paraId="1B3E98D7" w14:textId="78C85E58" w:rsidR="00583FBD" w:rsidRPr="00C36F89" w:rsidRDefault="00583FBD" w:rsidP="004F0E5C">
            <w:pPr>
              <w:spacing w:before="40" w:after="40" w:line="220" w:lineRule="exact"/>
              <w:jc w:val="right"/>
              <w:rPr>
                <w:bCs/>
                <w:sz w:val="17"/>
                <w:szCs w:val="17"/>
              </w:rPr>
            </w:pPr>
            <w:r w:rsidRPr="00C36F89">
              <w:rPr>
                <w:bCs/>
                <w:sz w:val="17"/>
                <w:szCs w:val="17"/>
              </w:rPr>
              <w:t>14</w:t>
            </w:r>
            <w:r w:rsidR="005951C5" w:rsidRPr="00C36F89">
              <w:rPr>
                <w:bCs/>
                <w:sz w:val="17"/>
                <w:szCs w:val="17"/>
              </w:rPr>
              <w:t xml:space="preserve"> </w:t>
            </w:r>
            <w:r w:rsidRPr="00C36F89">
              <w:rPr>
                <w:bCs/>
                <w:sz w:val="17"/>
                <w:szCs w:val="17"/>
              </w:rPr>
              <w:t>365</w:t>
            </w:r>
            <w:r w:rsidR="005951C5" w:rsidRPr="00C36F89">
              <w:rPr>
                <w:bCs/>
                <w:sz w:val="17"/>
                <w:szCs w:val="17"/>
              </w:rPr>
              <w:t xml:space="preserve"> </w:t>
            </w:r>
            <w:r w:rsidRPr="00C36F89">
              <w:rPr>
                <w:bCs/>
                <w:sz w:val="17"/>
                <w:szCs w:val="17"/>
              </w:rPr>
              <w:t>284</w:t>
            </w:r>
            <w:r w:rsidR="005951C5" w:rsidRPr="00C36F89">
              <w:rPr>
                <w:bCs/>
                <w:sz w:val="17"/>
                <w:szCs w:val="17"/>
              </w:rPr>
              <w:t xml:space="preserve"> </w:t>
            </w:r>
            <w:r w:rsidRPr="00C36F89">
              <w:rPr>
                <w:bCs/>
                <w:sz w:val="17"/>
                <w:szCs w:val="17"/>
              </w:rPr>
              <w:t>622</w:t>
            </w:r>
          </w:p>
        </w:tc>
        <w:tc>
          <w:tcPr>
            <w:tcW w:w="1948" w:type="dxa"/>
            <w:shd w:val="clear" w:color="auto" w:fill="auto"/>
            <w:tcMar>
              <w:top w:w="0" w:type="dxa"/>
              <w:left w:w="80" w:type="dxa"/>
              <w:bottom w:w="0" w:type="dxa"/>
              <w:right w:w="80" w:type="dxa"/>
            </w:tcMar>
            <w:vAlign w:val="bottom"/>
          </w:tcPr>
          <w:p w14:paraId="4B7A3D35" w14:textId="2FB394AF" w:rsidR="00583FBD" w:rsidRPr="00C36F89" w:rsidRDefault="00583FBD" w:rsidP="004F0E5C">
            <w:pPr>
              <w:spacing w:before="40" w:after="40" w:line="220" w:lineRule="exact"/>
              <w:jc w:val="right"/>
              <w:rPr>
                <w:bCs/>
                <w:sz w:val="17"/>
                <w:szCs w:val="17"/>
              </w:rPr>
            </w:pPr>
            <w:r w:rsidRPr="00C36F89">
              <w:rPr>
                <w:bCs/>
                <w:sz w:val="17"/>
                <w:szCs w:val="17"/>
              </w:rPr>
              <w:t>1</w:t>
            </w:r>
            <w:r w:rsidR="005951C5" w:rsidRPr="00C36F89">
              <w:rPr>
                <w:bCs/>
                <w:sz w:val="17"/>
                <w:szCs w:val="17"/>
              </w:rPr>
              <w:t xml:space="preserve"> </w:t>
            </w:r>
            <w:r w:rsidRPr="00C36F89">
              <w:rPr>
                <w:bCs/>
                <w:sz w:val="17"/>
                <w:szCs w:val="17"/>
              </w:rPr>
              <w:t>967</w:t>
            </w:r>
            <w:r w:rsidR="005951C5" w:rsidRPr="00C36F89">
              <w:rPr>
                <w:bCs/>
                <w:sz w:val="17"/>
                <w:szCs w:val="17"/>
              </w:rPr>
              <w:t xml:space="preserve"> </w:t>
            </w:r>
            <w:r w:rsidRPr="00C36F89">
              <w:rPr>
                <w:bCs/>
                <w:sz w:val="17"/>
                <w:szCs w:val="17"/>
              </w:rPr>
              <w:t>847</w:t>
            </w:r>
          </w:p>
        </w:tc>
        <w:tc>
          <w:tcPr>
            <w:tcW w:w="1911" w:type="dxa"/>
            <w:shd w:val="clear" w:color="auto" w:fill="auto"/>
            <w:tcMar>
              <w:top w:w="0" w:type="dxa"/>
              <w:left w:w="80" w:type="dxa"/>
              <w:bottom w:w="0" w:type="dxa"/>
              <w:right w:w="80" w:type="dxa"/>
            </w:tcMar>
            <w:vAlign w:val="bottom"/>
          </w:tcPr>
          <w:p w14:paraId="2B8AF093" w14:textId="3D146B3A" w:rsidR="00583FBD" w:rsidRPr="00C36F89" w:rsidRDefault="00583FBD" w:rsidP="004F0E5C">
            <w:pPr>
              <w:spacing w:before="40" w:after="40" w:line="220" w:lineRule="exact"/>
              <w:jc w:val="right"/>
              <w:rPr>
                <w:bCs/>
                <w:sz w:val="17"/>
                <w:szCs w:val="17"/>
              </w:rPr>
            </w:pPr>
            <w:r w:rsidRPr="00C36F89">
              <w:rPr>
                <w:bCs/>
                <w:sz w:val="17"/>
                <w:szCs w:val="17"/>
              </w:rPr>
              <w:t>50</w:t>
            </w:r>
            <w:r w:rsidR="005951C5" w:rsidRPr="00C36F89">
              <w:rPr>
                <w:bCs/>
                <w:sz w:val="17"/>
                <w:szCs w:val="17"/>
              </w:rPr>
              <w:t> </w:t>
            </w:r>
            <w:r w:rsidRPr="00C36F89">
              <w:rPr>
                <w:bCs/>
                <w:sz w:val="17"/>
                <w:szCs w:val="17"/>
              </w:rPr>
              <w:t>%</w:t>
            </w:r>
          </w:p>
        </w:tc>
      </w:tr>
      <w:tr w:rsidR="00583FBD" w:rsidRPr="007447FF" w14:paraId="18AA6118" w14:textId="77777777" w:rsidTr="00E67B58">
        <w:tc>
          <w:tcPr>
            <w:tcW w:w="1260" w:type="dxa"/>
            <w:shd w:val="clear" w:color="auto" w:fill="auto"/>
            <w:tcMar>
              <w:top w:w="0" w:type="dxa"/>
              <w:left w:w="80" w:type="dxa"/>
              <w:bottom w:w="0" w:type="dxa"/>
              <w:right w:w="80" w:type="dxa"/>
            </w:tcMar>
          </w:tcPr>
          <w:p w14:paraId="731E7ADB" w14:textId="77777777" w:rsidR="00583FBD" w:rsidRPr="00D849F6" w:rsidRDefault="00583FBD" w:rsidP="004F0E5C">
            <w:pPr>
              <w:spacing w:before="40" w:after="40" w:line="220" w:lineRule="exact"/>
              <w:rPr>
                <w:bCs/>
                <w:sz w:val="17"/>
                <w:szCs w:val="17"/>
              </w:rPr>
            </w:pPr>
            <w:r w:rsidRPr="00D849F6">
              <w:rPr>
                <w:bCs/>
                <w:sz w:val="17"/>
                <w:szCs w:val="17"/>
              </w:rPr>
              <w:t>2022</w:t>
            </w:r>
          </w:p>
        </w:tc>
        <w:tc>
          <w:tcPr>
            <w:tcW w:w="2125" w:type="dxa"/>
            <w:shd w:val="clear" w:color="auto" w:fill="auto"/>
            <w:tcMar>
              <w:top w:w="0" w:type="dxa"/>
              <w:left w:w="80" w:type="dxa"/>
              <w:bottom w:w="0" w:type="dxa"/>
              <w:right w:w="80" w:type="dxa"/>
            </w:tcMar>
            <w:vAlign w:val="bottom"/>
          </w:tcPr>
          <w:p w14:paraId="735C0689" w14:textId="06FEAF55" w:rsidR="00583FBD" w:rsidRPr="00C36F89" w:rsidRDefault="00583FBD" w:rsidP="004F0E5C">
            <w:pPr>
              <w:spacing w:before="40" w:after="40" w:line="220" w:lineRule="exact"/>
              <w:jc w:val="right"/>
              <w:rPr>
                <w:bCs/>
                <w:sz w:val="17"/>
                <w:szCs w:val="17"/>
              </w:rPr>
            </w:pPr>
            <w:r w:rsidRPr="00C36F89">
              <w:rPr>
                <w:bCs/>
                <w:sz w:val="17"/>
                <w:szCs w:val="17"/>
              </w:rPr>
              <w:t>15</w:t>
            </w:r>
            <w:r w:rsidR="005951C5" w:rsidRPr="00C36F89">
              <w:rPr>
                <w:bCs/>
                <w:sz w:val="17"/>
                <w:szCs w:val="17"/>
              </w:rPr>
              <w:t xml:space="preserve"> </w:t>
            </w:r>
            <w:r w:rsidRPr="00C36F89">
              <w:rPr>
                <w:bCs/>
                <w:sz w:val="17"/>
                <w:szCs w:val="17"/>
              </w:rPr>
              <w:t>402</w:t>
            </w:r>
            <w:r w:rsidR="005951C5" w:rsidRPr="00C36F89">
              <w:rPr>
                <w:bCs/>
                <w:sz w:val="17"/>
                <w:szCs w:val="17"/>
              </w:rPr>
              <w:t xml:space="preserve"> </w:t>
            </w:r>
            <w:r w:rsidRPr="00C36F89">
              <w:rPr>
                <w:bCs/>
                <w:sz w:val="17"/>
                <w:szCs w:val="17"/>
              </w:rPr>
              <w:t>344</w:t>
            </w:r>
            <w:r w:rsidR="005951C5" w:rsidRPr="00C36F89">
              <w:rPr>
                <w:bCs/>
                <w:sz w:val="17"/>
                <w:szCs w:val="17"/>
              </w:rPr>
              <w:t xml:space="preserve"> </w:t>
            </w:r>
            <w:r w:rsidRPr="00C36F89">
              <w:rPr>
                <w:bCs/>
                <w:sz w:val="17"/>
                <w:szCs w:val="17"/>
              </w:rPr>
              <w:t>466</w:t>
            </w:r>
          </w:p>
        </w:tc>
        <w:tc>
          <w:tcPr>
            <w:tcW w:w="1948" w:type="dxa"/>
            <w:shd w:val="clear" w:color="auto" w:fill="auto"/>
            <w:tcMar>
              <w:top w:w="0" w:type="dxa"/>
              <w:left w:w="80" w:type="dxa"/>
              <w:bottom w:w="0" w:type="dxa"/>
              <w:right w:w="80" w:type="dxa"/>
            </w:tcMar>
            <w:vAlign w:val="bottom"/>
          </w:tcPr>
          <w:p w14:paraId="2C73B406" w14:textId="550A3F1B" w:rsidR="00583FBD" w:rsidRPr="00C36F89" w:rsidRDefault="00583FBD" w:rsidP="004F0E5C">
            <w:pPr>
              <w:spacing w:before="40" w:after="40" w:line="220" w:lineRule="exact"/>
              <w:jc w:val="right"/>
              <w:rPr>
                <w:bCs/>
                <w:sz w:val="17"/>
                <w:szCs w:val="17"/>
              </w:rPr>
            </w:pPr>
            <w:r w:rsidRPr="00C36F89">
              <w:rPr>
                <w:bCs/>
                <w:sz w:val="17"/>
                <w:szCs w:val="17"/>
              </w:rPr>
              <w:t>2</w:t>
            </w:r>
            <w:r w:rsidR="005951C5" w:rsidRPr="00C36F89">
              <w:rPr>
                <w:bCs/>
                <w:sz w:val="17"/>
                <w:szCs w:val="17"/>
              </w:rPr>
              <w:t xml:space="preserve"> </w:t>
            </w:r>
            <w:r w:rsidRPr="00C36F89">
              <w:rPr>
                <w:bCs/>
                <w:sz w:val="17"/>
                <w:szCs w:val="17"/>
              </w:rPr>
              <w:t>109</w:t>
            </w:r>
            <w:r w:rsidR="005951C5" w:rsidRPr="00C36F89">
              <w:rPr>
                <w:bCs/>
                <w:sz w:val="17"/>
                <w:szCs w:val="17"/>
              </w:rPr>
              <w:t xml:space="preserve"> </w:t>
            </w:r>
            <w:r w:rsidRPr="00C36F89">
              <w:rPr>
                <w:bCs/>
                <w:sz w:val="17"/>
                <w:szCs w:val="17"/>
              </w:rPr>
              <w:t>910</w:t>
            </w:r>
          </w:p>
        </w:tc>
        <w:tc>
          <w:tcPr>
            <w:tcW w:w="1911" w:type="dxa"/>
            <w:shd w:val="clear" w:color="auto" w:fill="auto"/>
            <w:tcMar>
              <w:top w:w="0" w:type="dxa"/>
              <w:left w:w="80" w:type="dxa"/>
              <w:bottom w:w="0" w:type="dxa"/>
              <w:right w:w="80" w:type="dxa"/>
            </w:tcMar>
            <w:vAlign w:val="bottom"/>
          </w:tcPr>
          <w:p w14:paraId="6DCE2690" w14:textId="5362566D" w:rsidR="00583FBD" w:rsidRPr="00C36F89" w:rsidRDefault="00583FBD" w:rsidP="004F0E5C">
            <w:pPr>
              <w:spacing w:before="40" w:after="40" w:line="220" w:lineRule="exact"/>
              <w:jc w:val="right"/>
              <w:rPr>
                <w:bCs/>
                <w:sz w:val="17"/>
                <w:szCs w:val="17"/>
              </w:rPr>
            </w:pPr>
            <w:r w:rsidRPr="00C36F89">
              <w:rPr>
                <w:bCs/>
                <w:sz w:val="17"/>
                <w:szCs w:val="17"/>
              </w:rPr>
              <w:t>45</w:t>
            </w:r>
            <w:r w:rsidR="005951C5" w:rsidRPr="00C36F89">
              <w:rPr>
                <w:bCs/>
                <w:sz w:val="17"/>
                <w:szCs w:val="17"/>
              </w:rPr>
              <w:t> </w:t>
            </w:r>
            <w:r w:rsidRPr="00C36F89">
              <w:rPr>
                <w:bCs/>
                <w:sz w:val="17"/>
                <w:szCs w:val="17"/>
              </w:rPr>
              <w:t>%</w:t>
            </w:r>
          </w:p>
        </w:tc>
      </w:tr>
      <w:tr w:rsidR="00583FBD" w:rsidRPr="007447FF" w14:paraId="6D9321FC" w14:textId="77777777" w:rsidTr="00E67B58">
        <w:tc>
          <w:tcPr>
            <w:tcW w:w="1260" w:type="dxa"/>
            <w:tcBorders>
              <w:bottom w:val="single" w:sz="4" w:space="0" w:color="auto"/>
            </w:tcBorders>
            <w:shd w:val="clear" w:color="auto" w:fill="auto"/>
            <w:tcMar>
              <w:top w:w="0" w:type="dxa"/>
              <w:left w:w="80" w:type="dxa"/>
              <w:bottom w:w="0" w:type="dxa"/>
              <w:right w:w="80" w:type="dxa"/>
            </w:tcMar>
          </w:tcPr>
          <w:p w14:paraId="5B5B9615" w14:textId="77777777" w:rsidR="00583FBD" w:rsidRPr="00D849F6" w:rsidRDefault="00583FBD" w:rsidP="00E67B58">
            <w:pPr>
              <w:spacing w:before="40" w:after="81" w:line="220" w:lineRule="exact"/>
              <w:rPr>
                <w:bCs/>
                <w:sz w:val="17"/>
                <w:szCs w:val="17"/>
              </w:rPr>
            </w:pPr>
            <w:r w:rsidRPr="00D849F6">
              <w:rPr>
                <w:bCs/>
                <w:sz w:val="17"/>
                <w:szCs w:val="17"/>
              </w:rPr>
              <w:t>2023</w:t>
            </w:r>
          </w:p>
        </w:tc>
        <w:tc>
          <w:tcPr>
            <w:tcW w:w="2125" w:type="dxa"/>
            <w:tcBorders>
              <w:bottom w:val="single" w:sz="4" w:space="0" w:color="auto"/>
            </w:tcBorders>
            <w:shd w:val="clear" w:color="auto" w:fill="auto"/>
            <w:tcMar>
              <w:top w:w="0" w:type="dxa"/>
              <w:left w:w="80" w:type="dxa"/>
              <w:bottom w:w="0" w:type="dxa"/>
              <w:right w:w="80" w:type="dxa"/>
            </w:tcMar>
            <w:vAlign w:val="bottom"/>
          </w:tcPr>
          <w:p w14:paraId="63997E97" w14:textId="77777777" w:rsidR="00583FBD" w:rsidRPr="00C36F89" w:rsidRDefault="00583FBD" w:rsidP="00E67B58">
            <w:pPr>
              <w:spacing w:before="40" w:after="81" w:line="220" w:lineRule="exact"/>
              <w:jc w:val="right"/>
              <w:rPr>
                <w:bCs/>
                <w:sz w:val="17"/>
                <w:szCs w:val="17"/>
              </w:rPr>
            </w:pPr>
            <w:r w:rsidRPr="00C36F89">
              <w:rPr>
                <w:bCs/>
                <w:sz w:val="17"/>
                <w:szCs w:val="17"/>
              </w:rPr>
              <w:t>0</w:t>
            </w:r>
          </w:p>
        </w:tc>
        <w:tc>
          <w:tcPr>
            <w:tcW w:w="1948" w:type="dxa"/>
            <w:tcBorders>
              <w:bottom w:val="single" w:sz="4" w:space="0" w:color="auto"/>
            </w:tcBorders>
            <w:shd w:val="clear" w:color="auto" w:fill="auto"/>
            <w:tcMar>
              <w:top w:w="0" w:type="dxa"/>
              <w:left w:w="80" w:type="dxa"/>
              <w:bottom w:w="0" w:type="dxa"/>
              <w:right w:w="80" w:type="dxa"/>
            </w:tcMar>
            <w:vAlign w:val="bottom"/>
          </w:tcPr>
          <w:p w14:paraId="129A5454" w14:textId="77777777" w:rsidR="00583FBD" w:rsidRPr="00C36F89" w:rsidRDefault="00583FBD" w:rsidP="00E67B58">
            <w:pPr>
              <w:spacing w:before="40" w:after="81" w:line="220" w:lineRule="exact"/>
              <w:jc w:val="right"/>
              <w:rPr>
                <w:bCs/>
                <w:sz w:val="17"/>
                <w:szCs w:val="17"/>
              </w:rPr>
            </w:pPr>
            <w:r w:rsidRPr="00C36F89">
              <w:rPr>
                <w:bCs/>
                <w:sz w:val="17"/>
                <w:szCs w:val="17"/>
              </w:rPr>
              <w:t>0</w:t>
            </w:r>
          </w:p>
        </w:tc>
        <w:tc>
          <w:tcPr>
            <w:tcW w:w="1911" w:type="dxa"/>
            <w:tcBorders>
              <w:bottom w:val="single" w:sz="4" w:space="0" w:color="auto"/>
            </w:tcBorders>
            <w:shd w:val="clear" w:color="auto" w:fill="auto"/>
            <w:tcMar>
              <w:top w:w="0" w:type="dxa"/>
              <w:left w:w="80" w:type="dxa"/>
              <w:bottom w:w="0" w:type="dxa"/>
              <w:right w:w="80" w:type="dxa"/>
            </w:tcMar>
            <w:vAlign w:val="bottom"/>
          </w:tcPr>
          <w:p w14:paraId="45A1DC74" w14:textId="7E9A82F0" w:rsidR="00583FBD" w:rsidRPr="00C36F89" w:rsidRDefault="00583FBD" w:rsidP="00E67B58">
            <w:pPr>
              <w:spacing w:before="40" w:after="81" w:line="220" w:lineRule="exact"/>
              <w:jc w:val="right"/>
              <w:rPr>
                <w:bCs/>
                <w:sz w:val="17"/>
                <w:szCs w:val="17"/>
              </w:rPr>
            </w:pPr>
            <w:r w:rsidRPr="00C36F89">
              <w:rPr>
                <w:bCs/>
                <w:sz w:val="17"/>
                <w:szCs w:val="17"/>
              </w:rPr>
              <w:t>0</w:t>
            </w:r>
            <w:r w:rsidR="005951C5" w:rsidRPr="00C36F89">
              <w:rPr>
                <w:bCs/>
                <w:sz w:val="17"/>
                <w:szCs w:val="17"/>
              </w:rPr>
              <w:t> </w:t>
            </w:r>
            <w:r w:rsidRPr="00C36F89">
              <w:rPr>
                <w:bCs/>
                <w:sz w:val="17"/>
                <w:szCs w:val="17"/>
              </w:rPr>
              <w:t>%</w:t>
            </w:r>
          </w:p>
        </w:tc>
      </w:tr>
      <w:tr w:rsidR="00583FBD" w:rsidRPr="00E67B58" w14:paraId="2E320444" w14:textId="77777777" w:rsidTr="00E67B58">
        <w:tc>
          <w:tcPr>
            <w:tcW w:w="1260" w:type="dxa"/>
            <w:tcBorders>
              <w:top w:val="single" w:sz="4" w:space="0" w:color="auto"/>
              <w:bottom w:val="single" w:sz="12" w:space="0" w:color="auto"/>
            </w:tcBorders>
            <w:shd w:val="clear" w:color="auto" w:fill="auto"/>
            <w:tcMar>
              <w:top w:w="0" w:type="dxa"/>
              <w:left w:w="80" w:type="dxa"/>
              <w:bottom w:w="0" w:type="dxa"/>
              <w:right w:w="80" w:type="dxa"/>
            </w:tcMar>
          </w:tcPr>
          <w:p w14:paraId="408BA434" w14:textId="77315A9E" w:rsidR="00583FBD" w:rsidRPr="00C36F89" w:rsidRDefault="00E67B58" w:rsidP="00E67B58">
            <w:pPr>
              <w:spacing w:before="81" w:after="81" w:line="220" w:lineRule="exact"/>
              <w:rPr>
                <w:b/>
                <w:sz w:val="17"/>
                <w:szCs w:val="17"/>
              </w:rPr>
            </w:pPr>
            <w:r w:rsidRPr="00C36F89">
              <w:rPr>
                <w:b/>
                <w:sz w:val="17"/>
                <w:szCs w:val="17"/>
              </w:rPr>
              <w:tab/>
            </w:r>
            <w:r w:rsidR="00583FBD" w:rsidRPr="00C36F89">
              <w:rPr>
                <w:b/>
                <w:sz w:val="17"/>
                <w:szCs w:val="17"/>
              </w:rPr>
              <w:t>Total</w:t>
            </w:r>
          </w:p>
        </w:tc>
        <w:tc>
          <w:tcPr>
            <w:tcW w:w="2125" w:type="dxa"/>
            <w:tcBorders>
              <w:top w:val="single" w:sz="4" w:space="0" w:color="auto"/>
              <w:bottom w:val="single" w:sz="12" w:space="0" w:color="auto"/>
            </w:tcBorders>
            <w:shd w:val="clear" w:color="auto" w:fill="auto"/>
            <w:tcMar>
              <w:top w:w="0" w:type="dxa"/>
              <w:left w:w="80" w:type="dxa"/>
              <w:bottom w:w="0" w:type="dxa"/>
              <w:right w:w="80" w:type="dxa"/>
            </w:tcMar>
            <w:vAlign w:val="bottom"/>
          </w:tcPr>
          <w:p w14:paraId="482728D8" w14:textId="41A93BC0" w:rsidR="00583FBD" w:rsidRPr="00C36F89" w:rsidRDefault="00583FBD" w:rsidP="00E67B58">
            <w:pPr>
              <w:spacing w:before="81" w:after="81" w:line="220" w:lineRule="exact"/>
              <w:jc w:val="right"/>
              <w:rPr>
                <w:b/>
                <w:sz w:val="17"/>
                <w:szCs w:val="17"/>
              </w:rPr>
            </w:pPr>
            <w:r w:rsidRPr="00C36F89">
              <w:rPr>
                <w:b/>
                <w:sz w:val="17"/>
                <w:szCs w:val="17"/>
              </w:rPr>
              <w:t>62</w:t>
            </w:r>
            <w:r w:rsidR="005951C5" w:rsidRPr="00C36F89">
              <w:rPr>
                <w:b/>
                <w:sz w:val="17"/>
                <w:szCs w:val="17"/>
              </w:rPr>
              <w:t xml:space="preserve"> </w:t>
            </w:r>
            <w:r w:rsidRPr="00C36F89">
              <w:rPr>
                <w:b/>
                <w:sz w:val="17"/>
                <w:szCs w:val="17"/>
              </w:rPr>
              <w:t>889</w:t>
            </w:r>
            <w:r w:rsidR="005951C5" w:rsidRPr="00C36F89">
              <w:rPr>
                <w:b/>
                <w:sz w:val="17"/>
                <w:szCs w:val="17"/>
              </w:rPr>
              <w:t xml:space="preserve"> </w:t>
            </w:r>
            <w:r w:rsidRPr="00C36F89">
              <w:rPr>
                <w:b/>
                <w:sz w:val="17"/>
                <w:szCs w:val="17"/>
              </w:rPr>
              <w:t>843</w:t>
            </w:r>
            <w:r w:rsidR="005951C5" w:rsidRPr="00C36F89">
              <w:rPr>
                <w:b/>
                <w:sz w:val="17"/>
                <w:szCs w:val="17"/>
              </w:rPr>
              <w:t xml:space="preserve"> </w:t>
            </w:r>
            <w:r w:rsidRPr="00C36F89">
              <w:rPr>
                <w:b/>
                <w:sz w:val="17"/>
                <w:szCs w:val="17"/>
              </w:rPr>
              <w:t>286</w:t>
            </w:r>
          </w:p>
        </w:tc>
        <w:tc>
          <w:tcPr>
            <w:tcW w:w="1948" w:type="dxa"/>
            <w:tcBorders>
              <w:top w:val="single" w:sz="4" w:space="0" w:color="auto"/>
              <w:bottom w:val="single" w:sz="12" w:space="0" w:color="auto"/>
            </w:tcBorders>
            <w:shd w:val="clear" w:color="auto" w:fill="auto"/>
            <w:tcMar>
              <w:top w:w="0" w:type="dxa"/>
              <w:left w:w="80" w:type="dxa"/>
              <w:bottom w:w="0" w:type="dxa"/>
              <w:right w:w="80" w:type="dxa"/>
            </w:tcMar>
            <w:vAlign w:val="bottom"/>
          </w:tcPr>
          <w:p w14:paraId="2156CB06" w14:textId="67F1DA7C" w:rsidR="00583FBD" w:rsidRPr="00C36F89" w:rsidRDefault="00583FBD" w:rsidP="00E67B58">
            <w:pPr>
              <w:spacing w:before="81" w:after="81" w:line="220" w:lineRule="exact"/>
              <w:jc w:val="right"/>
              <w:rPr>
                <w:b/>
                <w:sz w:val="17"/>
                <w:szCs w:val="17"/>
              </w:rPr>
            </w:pPr>
            <w:r w:rsidRPr="00C36F89">
              <w:rPr>
                <w:b/>
                <w:sz w:val="17"/>
                <w:szCs w:val="17"/>
              </w:rPr>
              <w:t>11</w:t>
            </w:r>
            <w:r w:rsidR="005951C5" w:rsidRPr="00C36F89">
              <w:rPr>
                <w:b/>
                <w:sz w:val="17"/>
                <w:szCs w:val="17"/>
              </w:rPr>
              <w:t xml:space="preserve"> </w:t>
            </w:r>
            <w:r w:rsidRPr="00C36F89">
              <w:rPr>
                <w:b/>
                <w:sz w:val="17"/>
                <w:szCs w:val="17"/>
              </w:rPr>
              <w:t>973</w:t>
            </w:r>
            <w:r w:rsidR="005951C5" w:rsidRPr="00C36F89">
              <w:rPr>
                <w:b/>
                <w:sz w:val="17"/>
                <w:szCs w:val="17"/>
              </w:rPr>
              <w:t xml:space="preserve"> </w:t>
            </w:r>
            <w:r w:rsidRPr="00C36F89">
              <w:rPr>
                <w:b/>
                <w:sz w:val="17"/>
                <w:szCs w:val="17"/>
              </w:rPr>
              <w:t>419</w:t>
            </w:r>
          </w:p>
        </w:tc>
        <w:tc>
          <w:tcPr>
            <w:tcW w:w="1911" w:type="dxa"/>
            <w:tcBorders>
              <w:top w:val="single" w:sz="4" w:space="0" w:color="auto"/>
              <w:bottom w:val="single" w:sz="12" w:space="0" w:color="auto"/>
            </w:tcBorders>
            <w:shd w:val="clear" w:color="auto" w:fill="auto"/>
            <w:tcMar>
              <w:top w:w="0" w:type="dxa"/>
              <w:left w:w="80" w:type="dxa"/>
              <w:bottom w:w="0" w:type="dxa"/>
              <w:right w:w="80" w:type="dxa"/>
            </w:tcMar>
            <w:vAlign w:val="bottom"/>
          </w:tcPr>
          <w:p w14:paraId="19B775E1" w14:textId="2302A9B4" w:rsidR="00583FBD" w:rsidRPr="00C36F89" w:rsidRDefault="00583FBD" w:rsidP="00E67B58">
            <w:pPr>
              <w:spacing w:before="81" w:after="81" w:line="220" w:lineRule="exact"/>
              <w:jc w:val="right"/>
              <w:rPr>
                <w:b/>
                <w:sz w:val="17"/>
                <w:szCs w:val="17"/>
              </w:rPr>
            </w:pPr>
          </w:p>
        </w:tc>
      </w:tr>
    </w:tbl>
    <w:p w14:paraId="4FDA8223" w14:textId="77777777" w:rsidR="00583FBD" w:rsidRPr="005A582B" w:rsidRDefault="00583FBD" w:rsidP="00D849F6">
      <w:pPr>
        <w:pStyle w:val="SingleTxtG"/>
        <w:spacing w:after="0" w:line="120" w:lineRule="exact"/>
        <w:ind w:left="1267"/>
        <w:rPr>
          <w:sz w:val="10"/>
          <w:lang w:val="es-PY"/>
        </w:rPr>
      </w:pPr>
    </w:p>
    <w:p w14:paraId="639A067E" w14:textId="77777777" w:rsidR="005A582B" w:rsidRPr="005A582B" w:rsidRDefault="005A582B" w:rsidP="00D849F6">
      <w:pPr>
        <w:pStyle w:val="SingleTxtG"/>
        <w:spacing w:after="0" w:line="120" w:lineRule="exact"/>
        <w:ind w:left="1267"/>
        <w:rPr>
          <w:sz w:val="10"/>
          <w:lang w:val="es-PY"/>
        </w:rPr>
      </w:pPr>
    </w:p>
    <w:p w14:paraId="0CBF65F7" w14:textId="7619443B" w:rsidR="00583FBD" w:rsidRPr="00B64C1B" w:rsidRDefault="00583FBD" w:rsidP="005A582B">
      <w:pPr>
        <w:pStyle w:val="SingleTxt"/>
        <w:numPr>
          <w:ilvl w:val="0"/>
          <w:numId w:val="44"/>
        </w:numPr>
        <w:ind w:left="1267"/>
        <w:rPr>
          <w:lang w:val="es-PY"/>
        </w:rPr>
      </w:pPr>
      <w:r w:rsidRPr="00B64C1B">
        <w:rPr>
          <w:lang w:val="es-PY"/>
        </w:rPr>
        <w:t xml:space="preserve">Desde el 2022 el MEC implementa el </w:t>
      </w:r>
      <w:r w:rsidR="00F019B7">
        <w:rPr>
          <w:lang w:val="es-PY"/>
        </w:rPr>
        <w:t>“</w:t>
      </w:r>
      <w:r w:rsidRPr="00B64C1B">
        <w:rPr>
          <w:lang w:val="es-PY"/>
        </w:rPr>
        <w:t xml:space="preserve">Proyecto de Educación de calidad para niños y niñas fuera de la escuela con el apoyo de la Fundación </w:t>
      </w:r>
      <w:proofErr w:type="spellStart"/>
      <w:r w:rsidRPr="00B64C1B">
        <w:rPr>
          <w:lang w:val="es-PY"/>
        </w:rPr>
        <w:t>Education</w:t>
      </w:r>
      <w:proofErr w:type="spellEnd"/>
      <w:r w:rsidRPr="00B64C1B">
        <w:rPr>
          <w:lang w:val="es-PY"/>
        </w:rPr>
        <w:t xml:space="preserve"> </w:t>
      </w:r>
      <w:proofErr w:type="spellStart"/>
      <w:r w:rsidRPr="00B64C1B">
        <w:rPr>
          <w:lang w:val="es-PY"/>
        </w:rPr>
        <w:t>Above</w:t>
      </w:r>
      <w:proofErr w:type="spellEnd"/>
      <w:r w:rsidRPr="00B64C1B">
        <w:rPr>
          <w:lang w:val="es-PY"/>
        </w:rPr>
        <w:t xml:space="preserve"> II (EAA) de Qatar y UNICEF, con el objetivo aumentar las ofertas de servicios educativos flexibles para la disminución de la deserción escolar, aumentar la permanencia y culminación escolar en los tres ciclos de la educación escolar básica. Cuenta con un plazo de ejecución de 3 años y serán beneficiados 30.000 niños y niñas de una franja etaria de 6 a 14 años que se encuentran fuera del sistema escolar. Su implementación contempla cubrir los departamentos geográficos de Central, Alto Paraná, Itapúa, San Pedro, Caaguazú y Concepción. </w:t>
      </w:r>
    </w:p>
    <w:p w14:paraId="25B761C4" w14:textId="3D9A3401" w:rsidR="00583FBD" w:rsidRPr="00B64C1B" w:rsidRDefault="00583FBD" w:rsidP="005A582B">
      <w:pPr>
        <w:pStyle w:val="SingleTxt"/>
        <w:numPr>
          <w:ilvl w:val="0"/>
          <w:numId w:val="44"/>
        </w:numPr>
        <w:ind w:left="1267"/>
        <w:rPr>
          <w:lang w:val="es-PY"/>
        </w:rPr>
      </w:pPr>
      <w:r w:rsidRPr="00B64C1B">
        <w:rPr>
          <w:lang w:val="es-PY"/>
        </w:rPr>
        <w:t>El Programa de Becas Tercer Ciclo y Educación Media es un servicio educativo que implementa el MEC dentro de sus programas compensatorios. Consiste en un apoyo económico en concepto de beca, dirigido a estudiantes en situación socioeconómica vulnerable para ofrecer alternativas que contribuyan al acceso, a la permanencia y culminación oportuna con calidad en el Tercer Ciclo de la Educación Escolar Básica y la Educación Media del Sistema Educativo Nacional. A su vez, la Dirección de Becas ha beneficiado en igualdad de condiciones a estudiantes de tercer ciclo de la Educación Escolar Básica y Educación Media.</w:t>
      </w:r>
    </w:p>
    <w:p w14:paraId="072E560D" w14:textId="2DAD8415" w:rsidR="00583FBD" w:rsidRPr="00B64C1B" w:rsidRDefault="00583FBD" w:rsidP="005A582B">
      <w:pPr>
        <w:pStyle w:val="SingleTxt"/>
        <w:numPr>
          <w:ilvl w:val="0"/>
          <w:numId w:val="44"/>
        </w:numPr>
        <w:ind w:left="1267"/>
        <w:rPr>
          <w:lang w:val="es-PY"/>
        </w:rPr>
      </w:pPr>
      <w:r w:rsidRPr="00B64C1B">
        <w:rPr>
          <w:lang w:val="es-PY"/>
        </w:rPr>
        <w:t>Durante el periodo 2017</w:t>
      </w:r>
      <w:r w:rsidR="00BF6CA7">
        <w:rPr>
          <w:lang w:val="es-PY"/>
        </w:rPr>
        <w:t>-</w:t>
      </w:r>
      <w:r w:rsidRPr="00B64C1B">
        <w:rPr>
          <w:lang w:val="es-PY"/>
        </w:rPr>
        <w:t xml:space="preserve">2021 el MEC ejecutó programas, campañas y planes en matemáticas con la Organización Multidisciplinaria de Apoyo a Profesores y Alumnos (OMAPA), mediante la realización anual de la Olimpiada Nacional de Matemática, Olimpiada </w:t>
      </w:r>
      <w:proofErr w:type="spellStart"/>
      <w:r w:rsidRPr="00B64C1B">
        <w:rPr>
          <w:lang w:val="es-PY"/>
        </w:rPr>
        <w:t>Kanguro</w:t>
      </w:r>
      <w:proofErr w:type="spellEnd"/>
      <w:r w:rsidRPr="00B64C1B">
        <w:rPr>
          <w:lang w:val="es-PY"/>
        </w:rPr>
        <w:t xml:space="preserve"> y Olimpiada de Informática </w:t>
      </w:r>
      <w:proofErr w:type="spellStart"/>
      <w:r w:rsidRPr="00B64C1B">
        <w:rPr>
          <w:lang w:val="es-PY"/>
        </w:rPr>
        <w:t>Aguarandu</w:t>
      </w:r>
      <w:proofErr w:type="spellEnd"/>
      <w:r w:rsidRPr="00B64C1B">
        <w:rPr>
          <w:lang w:val="es-PY"/>
        </w:rPr>
        <w:t xml:space="preserve">; y en tecnología y ciencia se implementa el Premio Nacional Juvenil de Ciencias </w:t>
      </w:r>
      <w:r w:rsidR="00F019B7">
        <w:rPr>
          <w:lang w:val="es-PY"/>
        </w:rPr>
        <w:t>“</w:t>
      </w:r>
      <w:r w:rsidRPr="00B64C1B">
        <w:rPr>
          <w:lang w:val="es-PY"/>
        </w:rPr>
        <w:t>Pierre et Marie Curie</w:t>
      </w:r>
      <w:r w:rsidR="00F019B7">
        <w:rPr>
          <w:lang w:val="es-PY"/>
        </w:rPr>
        <w:t>”</w:t>
      </w:r>
      <w:r w:rsidRPr="00B64C1B">
        <w:rPr>
          <w:lang w:val="es-PY"/>
        </w:rPr>
        <w:t>.</w:t>
      </w:r>
    </w:p>
    <w:p w14:paraId="17A7ECE5" w14:textId="3999872B" w:rsidR="00583FBD" w:rsidRPr="00B64C1B" w:rsidRDefault="00583FBD" w:rsidP="00BF6CA7">
      <w:pPr>
        <w:pStyle w:val="SingleTxt"/>
        <w:numPr>
          <w:ilvl w:val="0"/>
          <w:numId w:val="44"/>
        </w:numPr>
        <w:ind w:left="1267"/>
        <w:rPr>
          <w:lang w:val="es-PY"/>
        </w:rPr>
      </w:pPr>
      <w:r w:rsidRPr="00B64C1B">
        <w:rPr>
          <w:lang w:val="es-PY"/>
        </w:rPr>
        <w:t xml:space="preserve">En el año 2018, el MEC con apoyo de la sociedad civil ejecutó el Proyecto JAHASA – </w:t>
      </w:r>
      <w:r w:rsidR="00F019B7">
        <w:rPr>
          <w:lang w:val="es-PY"/>
        </w:rPr>
        <w:t>“</w:t>
      </w:r>
      <w:r w:rsidRPr="00B64C1B">
        <w:rPr>
          <w:lang w:val="es-PY"/>
        </w:rPr>
        <w:t>Inclusión Financiera de Mujeres Jóvenes Rurales</w:t>
      </w:r>
      <w:r w:rsidR="00F019B7">
        <w:rPr>
          <w:lang w:val="es-PY"/>
        </w:rPr>
        <w:t>”</w:t>
      </w:r>
      <w:r w:rsidRPr="00B64C1B">
        <w:rPr>
          <w:lang w:val="es-PY"/>
        </w:rPr>
        <w:t xml:space="preserve"> como una manera de facilitar el acceso y uso de servicios financieros y de tecnologías. </w:t>
      </w:r>
    </w:p>
    <w:p w14:paraId="2037BB33" w14:textId="6FBF81CF" w:rsidR="00583FBD" w:rsidRPr="00B64C1B" w:rsidRDefault="00583FBD" w:rsidP="00BF6CA7">
      <w:pPr>
        <w:pStyle w:val="SingleTxt"/>
        <w:numPr>
          <w:ilvl w:val="0"/>
          <w:numId w:val="44"/>
        </w:numPr>
        <w:ind w:left="1267"/>
        <w:rPr>
          <w:lang w:val="es-PY"/>
        </w:rPr>
      </w:pPr>
      <w:r w:rsidRPr="00B64C1B">
        <w:rPr>
          <w:lang w:val="es-PY"/>
        </w:rPr>
        <w:t xml:space="preserve">Para dar cumplimiento a la Ley N.º 4084, </w:t>
      </w:r>
      <w:r w:rsidR="00F019B7">
        <w:rPr>
          <w:lang w:val="es-PY"/>
        </w:rPr>
        <w:t>“</w:t>
      </w:r>
      <w:r w:rsidRPr="00B64C1B">
        <w:rPr>
          <w:lang w:val="es-PY"/>
        </w:rPr>
        <w:t>De protección a las estudiantes en estado de gravidez y maternidad</w:t>
      </w:r>
      <w:r w:rsidR="00F019B7">
        <w:rPr>
          <w:lang w:val="es-PY"/>
        </w:rPr>
        <w:t>”</w:t>
      </w:r>
      <w:r w:rsidRPr="00B64C1B">
        <w:rPr>
          <w:vertAlign w:val="superscript"/>
          <w:lang w:val="es-PY"/>
        </w:rPr>
        <w:footnoteReference w:id="79"/>
      </w:r>
      <w:r w:rsidRPr="00B64C1B">
        <w:rPr>
          <w:lang w:val="es-PY"/>
        </w:rPr>
        <w:t xml:space="preserve"> se dispusieron medidas como la implementación de la Guía de actuación en el ámbito educativo ante la detección de acoso o abuso sexual en la niñez y adolescencia – Versión 2/2023 aprobada mediante la Resolución 288/2023</w:t>
      </w:r>
      <w:r w:rsidRPr="00B64C1B">
        <w:rPr>
          <w:vertAlign w:val="superscript"/>
          <w:lang w:val="es-PY"/>
        </w:rPr>
        <w:footnoteReference w:id="80"/>
      </w:r>
      <w:r w:rsidRPr="00B64C1B">
        <w:rPr>
          <w:lang w:val="es-PY"/>
        </w:rPr>
        <w:t xml:space="preserve">. Esta guía posee lineamientos a ser aplicados en las instituciones educativas de todos los niveles y modalidades que se rigen por el MEC. Contiene </w:t>
      </w:r>
      <w:r w:rsidRPr="00B64C1B">
        <w:rPr>
          <w:lang w:val="es-PY"/>
        </w:rPr>
        <w:lastRenderedPageBreak/>
        <w:t xml:space="preserve">indicadores para identificar casos de acoso o abuso sexual en niños, niñas y adolescentes, así como la ruta de atención, estableciendo el abordaje hacia las estudiantes embarazadas a través de la prohibición de la </w:t>
      </w:r>
      <w:proofErr w:type="spellStart"/>
      <w:r w:rsidRPr="00B64C1B">
        <w:rPr>
          <w:lang w:val="es-PY"/>
        </w:rPr>
        <w:t>desmatriculación</w:t>
      </w:r>
      <w:proofErr w:type="spellEnd"/>
      <w:r w:rsidRPr="00B64C1B">
        <w:rPr>
          <w:lang w:val="es-PY"/>
        </w:rPr>
        <w:t xml:space="preserve"> de la estudiante, así como varios aspectos relacionados con el combate del abandono escolar.</w:t>
      </w:r>
    </w:p>
    <w:p w14:paraId="15155B3D" w14:textId="200541A0" w:rsidR="00583FBD" w:rsidRPr="00B64C1B" w:rsidRDefault="00583FBD" w:rsidP="00BF6CA7">
      <w:pPr>
        <w:pStyle w:val="SingleTxt"/>
        <w:numPr>
          <w:ilvl w:val="0"/>
          <w:numId w:val="44"/>
        </w:numPr>
        <w:ind w:left="1267"/>
        <w:rPr>
          <w:lang w:val="es-PY"/>
        </w:rPr>
      </w:pPr>
      <w:r w:rsidRPr="00B64C1B">
        <w:rPr>
          <w:lang w:val="es-PY"/>
        </w:rPr>
        <w:t>El Programa de Atención Integral a la Niñez y la Familia (PAINF) del MEC ofrece servicios de cuidado a los hijos e hijas de estudiantes, de cuatro meses a ocho años, en catorce Centros de Recursos de Educación Permanente (CREP) de todo el país.</w:t>
      </w:r>
    </w:p>
    <w:p w14:paraId="6EC2F649" w14:textId="77777777" w:rsidR="00BF6CA7" w:rsidRPr="00BF6CA7" w:rsidRDefault="00BF6CA7" w:rsidP="00BF6CA7">
      <w:pPr>
        <w:pStyle w:val="SingleTxt"/>
        <w:spacing w:after="0" w:line="120" w:lineRule="exact"/>
        <w:rPr>
          <w:sz w:val="10"/>
          <w:lang w:val="es-PY"/>
        </w:rPr>
      </w:pPr>
    </w:p>
    <w:p w14:paraId="222BC7BE" w14:textId="77777777" w:rsidR="00BF6CA7" w:rsidRPr="00BF6CA7" w:rsidRDefault="00BF6CA7" w:rsidP="00BF6CA7">
      <w:pPr>
        <w:pStyle w:val="SingleTxt"/>
        <w:spacing w:after="0" w:line="120" w:lineRule="exact"/>
        <w:rPr>
          <w:sz w:val="10"/>
          <w:lang w:val="es-PY"/>
        </w:rPr>
      </w:pPr>
    </w:p>
    <w:p w14:paraId="6F59E01D" w14:textId="127BC4DF" w:rsidR="00583FBD" w:rsidRPr="00B64C1B" w:rsidRDefault="00583FBD" w:rsidP="00BF6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Empleo (art. 11)</w:t>
      </w:r>
      <w:r w:rsidRPr="00E67B58">
        <w:rPr>
          <w:b w:val="0"/>
          <w:bCs/>
          <w:sz w:val="20"/>
          <w:szCs w:val="20"/>
          <w:vertAlign w:val="superscript"/>
          <w:lang w:val="es-PY"/>
        </w:rPr>
        <w:footnoteReference w:id="81"/>
      </w:r>
    </w:p>
    <w:p w14:paraId="05D0C3CB" w14:textId="77777777" w:rsidR="00BF6CA7" w:rsidRPr="00E67B58" w:rsidRDefault="00BF6CA7" w:rsidP="00E67B58">
      <w:pPr>
        <w:pStyle w:val="SingleTxt"/>
        <w:spacing w:after="0" w:line="120" w:lineRule="exact"/>
        <w:rPr>
          <w:sz w:val="10"/>
          <w:lang w:val="es-PY"/>
        </w:rPr>
      </w:pPr>
    </w:p>
    <w:p w14:paraId="13F1CD26" w14:textId="77777777" w:rsidR="00E67B58" w:rsidRPr="00E67B58" w:rsidRDefault="00E67B58" w:rsidP="00E67B58">
      <w:pPr>
        <w:pStyle w:val="SingleTxt"/>
        <w:spacing w:after="0" w:line="120" w:lineRule="exact"/>
        <w:rPr>
          <w:sz w:val="10"/>
          <w:lang w:val="es-PY"/>
        </w:rPr>
      </w:pPr>
    </w:p>
    <w:p w14:paraId="65F7B823" w14:textId="3CB1F7CA" w:rsidR="00583FBD" w:rsidRPr="00B64C1B" w:rsidRDefault="00583FBD" w:rsidP="00BF6CA7">
      <w:pPr>
        <w:pStyle w:val="SingleTxt"/>
        <w:numPr>
          <w:ilvl w:val="0"/>
          <w:numId w:val="44"/>
        </w:numPr>
        <w:ind w:left="1267"/>
        <w:rPr>
          <w:lang w:val="es-PY"/>
        </w:rPr>
      </w:pPr>
      <w:r w:rsidRPr="00B64C1B">
        <w:rPr>
          <w:lang w:val="es-PY"/>
        </w:rPr>
        <w:t xml:space="preserve">En el ámbito nacional, la igualdad salarial se encuentra garantizada en nuestra Constitución Nacional, en el artículo 92. Asimismo, a nivel legislativo se está avanzando en el tratamiento del proyecto de Ley </w:t>
      </w:r>
      <w:r w:rsidR="00F019B7">
        <w:rPr>
          <w:lang w:val="es-PY"/>
        </w:rPr>
        <w:t>“</w:t>
      </w:r>
      <w:r w:rsidRPr="00B64C1B">
        <w:rPr>
          <w:lang w:val="es-PY"/>
        </w:rPr>
        <w:t>Que establece la igualdad salarial entre hombres y mujeres en el sector público y privado</w:t>
      </w:r>
      <w:r w:rsidR="00F019B7">
        <w:rPr>
          <w:lang w:val="es-PY"/>
        </w:rPr>
        <w:t>”</w:t>
      </w:r>
      <w:r w:rsidRPr="00B64C1B">
        <w:rPr>
          <w:lang w:val="es-PY"/>
        </w:rPr>
        <w:t>.</w:t>
      </w:r>
    </w:p>
    <w:p w14:paraId="6B5FFD70" w14:textId="7177D033" w:rsidR="00583FBD" w:rsidRPr="00B64C1B" w:rsidRDefault="00583FBD" w:rsidP="00BF6CA7">
      <w:pPr>
        <w:pStyle w:val="SingleTxt"/>
        <w:numPr>
          <w:ilvl w:val="0"/>
          <w:numId w:val="44"/>
        </w:numPr>
        <w:ind w:left="1267"/>
        <w:rPr>
          <w:lang w:val="es-PY"/>
        </w:rPr>
      </w:pPr>
      <w:r w:rsidRPr="00B64C1B">
        <w:rPr>
          <w:lang w:val="es-PY"/>
        </w:rPr>
        <w:t xml:space="preserve">El MTESS se encuentra elaborando protocolos específicos de fiscalización que abordan diversas temáticas relacionadas con la igualdad de género en el ámbito laboral. Entre estos protocolos, se incluye uno general de inspección con perspectiva de género, que permitirá recabar indicadores precisos sobre distintos tipos de discriminación, incluida la desigualdad salarial. </w:t>
      </w:r>
    </w:p>
    <w:p w14:paraId="5C8AB303" w14:textId="7D59E6BA" w:rsidR="00583FBD" w:rsidRPr="00B64C1B" w:rsidRDefault="00583FBD" w:rsidP="00BF6CA7">
      <w:pPr>
        <w:pStyle w:val="SingleTxt"/>
        <w:numPr>
          <w:ilvl w:val="0"/>
          <w:numId w:val="44"/>
        </w:numPr>
        <w:ind w:left="1267"/>
        <w:rPr>
          <w:lang w:val="es-PY"/>
        </w:rPr>
      </w:pPr>
      <w:r w:rsidRPr="00B64C1B">
        <w:rPr>
          <w:lang w:val="es-PY"/>
        </w:rPr>
        <w:t xml:space="preserve">El MTESS trabaja en acciones que promueven la equiparación de derechos y condiciones laborales dignas para el trabajo doméstico. La aprobación de la Ley </w:t>
      </w:r>
      <w:r w:rsidRPr="00E67B58">
        <w:rPr>
          <w:lang w:val="es-PY"/>
        </w:rPr>
        <w:t>6338/19</w:t>
      </w:r>
      <w:r w:rsidRPr="00B64C1B">
        <w:rPr>
          <w:lang w:val="es-PY"/>
        </w:rPr>
        <w:t xml:space="preserve">, </w:t>
      </w:r>
      <w:r w:rsidR="00F019B7">
        <w:rPr>
          <w:lang w:val="es-PY"/>
        </w:rPr>
        <w:t>“</w:t>
      </w:r>
      <w:r w:rsidRPr="00B64C1B">
        <w:rPr>
          <w:lang w:val="es-PY"/>
        </w:rPr>
        <w:t xml:space="preserve">Que modifica el artículo 10 de la Ley </w:t>
      </w:r>
      <w:r w:rsidRPr="00E67B58">
        <w:rPr>
          <w:lang w:val="es-PY"/>
        </w:rPr>
        <w:t>5407/15</w:t>
      </w:r>
      <w:r w:rsidR="00F019B7">
        <w:rPr>
          <w:lang w:val="es-PY"/>
        </w:rPr>
        <w:t>”</w:t>
      </w:r>
      <w:r w:rsidRPr="00B64C1B">
        <w:rPr>
          <w:vertAlign w:val="superscript"/>
          <w:lang w:val="es-PY"/>
        </w:rPr>
        <w:footnoteReference w:id="82"/>
      </w:r>
      <w:r w:rsidRPr="00B64C1B">
        <w:rPr>
          <w:lang w:val="es-PY"/>
        </w:rPr>
        <w:t>, ha equiparado el salario doméstico al mínimo legal vigente para este sector. El</w:t>
      </w:r>
      <w:r w:rsidRPr="00B64C1B">
        <w:rPr>
          <w:b/>
          <w:lang w:val="es-PY"/>
        </w:rPr>
        <w:t xml:space="preserve"> </w:t>
      </w:r>
      <w:r w:rsidRPr="00B64C1B">
        <w:rPr>
          <w:lang w:val="es-PY"/>
        </w:rPr>
        <w:t xml:space="preserve">Servicio de Atención de Asuntos Laborales (SAAL) del MTESS recibe denuncias sobre incumplimiento de la normativa laboral y ofrece asesoramiento legal gratuito. </w:t>
      </w:r>
    </w:p>
    <w:p w14:paraId="500267B6" w14:textId="4CE618BC" w:rsidR="00583FBD" w:rsidRPr="00B64C1B" w:rsidRDefault="00583FBD" w:rsidP="00BF6CA7">
      <w:pPr>
        <w:pStyle w:val="SingleTxt"/>
        <w:numPr>
          <w:ilvl w:val="0"/>
          <w:numId w:val="44"/>
        </w:numPr>
        <w:ind w:left="1267"/>
        <w:rPr>
          <w:lang w:val="es-PY"/>
        </w:rPr>
      </w:pPr>
      <w:r w:rsidRPr="00B64C1B">
        <w:rPr>
          <w:lang w:val="es-PY"/>
        </w:rPr>
        <w:t>En el sector público, el Viceministerio de Capital Humano y Gestión Organizacional (VCHGO) del Ministerio de Economía y Finanzas (MEF) impulsa políticas de gestión y desarrollo de personas con procesos meritocráticos para el ingreso a la función pública. Además, se encuentra Ley N°</w:t>
      </w:r>
      <w:r w:rsidRPr="00E67B58">
        <w:rPr>
          <w:lang w:val="es-PY"/>
        </w:rPr>
        <w:t>2479/2004</w:t>
      </w:r>
      <w:r w:rsidRPr="00B64C1B">
        <w:rPr>
          <w:vertAlign w:val="superscript"/>
          <w:lang w:val="es-PY"/>
        </w:rPr>
        <w:footnoteReference w:id="83"/>
      </w:r>
      <w:r w:rsidRPr="00B64C1B">
        <w:rPr>
          <w:lang w:val="es-PY"/>
        </w:rPr>
        <w:t xml:space="preserve"> que </w:t>
      </w:r>
      <w:r w:rsidR="00F019B7">
        <w:rPr>
          <w:lang w:val="es-PY"/>
        </w:rPr>
        <w:t>“</w:t>
      </w:r>
      <w:r w:rsidRPr="00B64C1B">
        <w:rPr>
          <w:lang w:val="es-PY"/>
        </w:rPr>
        <w:t>Establece la obligatoriedad de la incorporación de Personas con Discapacidad (</w:t>
      </w:r>
      <w:proofErr w:type="spellStart"/>
      <w:r w:rsidRPr="00B64C1B">
        <w:rPr>
          <w:lang w:val="es-PY"/>
        </w:rPr>
        <w:t>PcD</w:t>
      </w:r>
      <w:proofErr w:type="spellEnd"/>
      <w:r w:rsidRPr="00B64C1B">
        <w:rPr>
          <w:lang w:val="es-PY"/>
        </w:rPr>
        <w:t>) en las Instituciones Públicas, modificada por Ley N°</w:t>
      </w:r>
      <w:r w:rsidRPr="00E67B58">
        <w:rPr>
          <w:lang w:val="es-PY"/>
        </w:rPr>
        <w:t>3585/2008</w:t>
      </w:r>
      <w:r w:rsidRPr="00B64C1B">
        <w:rPr>
          <w:lang w:val="es-PY"/>
        </w:rPr>
        <w:t>, reglamentadas por Decreto N°</w:t>
      </w:r>
      <w:r w:rsidRPr="00E67B58">
        <w:rPr>
          <w:lang w:val="es-PY"/>
        </w:rPr>
        <w:t>6369/2011</w:t>
      </w:r>
      <w:r w:rsidRPr="00B64C1B">
        <w:rPr>
          <w:lang w:val="es-PY"/>
        </w:rPr>
        <w:t xml:space="preserve">; Decreto </w:t>
      </w:r>
      <w:r w:rsidRPr="00E67B58">
        <w:rPr>
          <w:lang w:val="es-PY"/>
        </w:rPr>
        <w:t>3379/2020</w:t>
      </w:r>
      <w:r w:rsidRPr="00B64C1B">
        <w:rPr>
          <w:lang w:val="es-PY"/>
        </w:rPr>
        <w:t>, reglamenta la Ley Nº</w:t>
      </w:r>
      <w:r w:rsidRPr="00E67B58">
        <w:rPr>
          <w:lang w:val="es-PY"/>
        </w:rPr>
        <w:t>4962/2013</w:t>
      </w:r>
      <w:r w:rsidRPr="00B64C1B">
        <w:rPr>
          <w:lang w:val="es-PY"/>
        </w:rPr>
        <w:t xml:space="preserve">, de </w:t>
      </w:r>
      <w:r w:rsidR="00F019B7">
        <w:rPr>
          <w:lang w:val="es-PY"/>
        </w:rPr>
        <w:t>“</w:t>
      </w:r>
      <w:r w:rsidRPr="00B64C1B">
        <w:rPr>
          <w:lang w:val="es-PY"/>
        </w:rPr>
        <w:t>Beneficios para los Empleadores, a los efectos de Incentivar la Incorporación de Personas con Discapacidad en el Sector Privado</w:t>
      </w:r>
      <w:r w:rsidR="00F019B7">
        <w:rPr>
          <w:lang w:val="es-PY"/>
        </w:rPr>
        <w:t>”</w:t>
      </w:r>
      <w:r w:rsidRPr="00B64C1B">
        <w:rPr>
          <w:lang w:val="es-PY"/>
        </w:rPr>
        <w:t xml:space="preserve">. A partir de esta adecuación normativa, se ha observado mejoras en la incorporación de </w:t>
      </w:r>
      <w:proofErr w:type="spellStart"/>
      <w:r w:rsidRPr="00B64C1B">
        <w:rPr>
          <w:lang w:val="es-PY"/>
        </w:rPr>
        <w:t>PcD</w:t>
      </w:r>
      <w:proofErr w:type="spellEnd"/>
      <w:r w:rsidRPr="00B64C1B">
        <w:rPr>
          <w:lang w:val="es-PY"/>
        </w:rPr>
        <w:t xml:space="preserve"> en la función pública.</w:t>
      </w:r>
    </w:p>
    <w:p w14:paraId="075180FF" w14:textId="0E4526FA" w:rsidR="00583FBD" w:rsidRDefault="00BF6CA7" w:rsidP="00BF6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583FBD" w:rsidRPr="00B61C96">
        <w:t xml:space="preserve">Datos Estadísticos de </w:t>
      </w:r>
      <w:proofErr w:type="spellStart"/>
      <w:r w:rsidR="00583FBD" w:rsidRPr="00B61C96">
        <w:t>PcD</w:t>
      </w:r>
      <w:proofErr w:type="spellEnd"/>
      <w:r w:rsidR="00583FBD" w:rsidRPr="00B61C96">
        <w:t>, clasificados por sexo en la administración pública</w:t>
      </w:r>
      <w:r w:rsidR="00583FBD" w:rsidRPr="00BF6CA7">
        <w:rPr>
          <w:b w:val="0"/>
          <w:bCs/>
          <w:vertAlign w:val="superscript"/>
        </w:rPr>
        <w:footnoteReference w:id="84"/>
      </w:r>
    </w:p>
    <w:p w14:paraId="18586C16" w14:textId="77777777" w:rsidR="00BF6CA7" w:rsidRDefault="00BF6CA7" w:rsidP="00BF6CA7">
      <w:pPr>
        <w:pStyle w:val="SingleTxt"/>
        <w:spacing w:after="0" w:line="120" w:lineRule="exact"/>
        <w:rPr>
          <w:sz w:val="10"/>
        </w:rPr>
      </w:pPr>
    </w:p>
    <w:p w14:paraId="5AF48485" w14:textId="77777777" w:rsidR="005F64C3" w:rsidRDefault="005F64C3" w:rsidP="00BF6CA7">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2070"/>
        <w:gridCol w:w="2610"/>
        <w:gridCol w:w="2748"/>
      </w:tblGrid>
      <w:tr w:rsidR="005F64C3" w:rsidRPr="005F64C3" w14:paraId="7AC0E3B6" w14:textId="77777777" w:rsidTr="00D849F6">
        <w:trPr>
          <w:tblHeader/>
        </w:trPr>
        <w:tc>
          <w:tcPr>
            <w:tcW w:w="7428" w:type="dxa"/>
            <w:gridSpan w:val="3"/>
            <w:tcBorders>
              <w:top w:val="single" w:sz="4" w:space="0" w:color="auto"/>
              <w:bottom w:val="single" w:sz="4" w:space="0" w:color="auto"/>
            </w:tcBorders>
            <w:shd w:val="clear" w:color="auto" w:fill="auto"/>
            <w:vAlign w:val="bottom"/>
          </w:tcPr>
          <w:p w14:paraId="13C80051" w14:textId="529001D6" w:rsidR="005F64C3" w:rsidRPr="00D849F6" w:rsidRDefault="005F64C3" w:rsidP="00D849F6">
            <w:pPr>
              <w:tabs>
                <w:tab w:val="left" w:pos="288"/>
                <w:tab w:val="left" w:pos="576"/>
                <w:tab w:val="left" w:pos="864"/>
                <w:tab w:val="left" w:pos="1152"/>
              </w:tabs>
              <w:spacing w:before="80" w:after="80" w:line="160" w:lineRule="exact"/>
              <w:ind w:right="40"/>
              <w:jc w:val="center"/>
              <w:rPr>
                <w:i/>
                <w:sz w:val="14"/>
                <w:szCs w:val="14"/>
              </w:rPr>
            </w:pPr>
            <w:r w:rsidRPr="00D849F6">
              <w:rPr>
                <w:i/>
                <w:sz w:val="14"/>
                <w:szCs w:val="14"/>
                <w:lang w:val="es-PY" w:eastAsia="es-PY"/>
              </w:rPr>
              <w:t>Personas con Discapacidad, distribuido por Género en la Administración Pública</w:t>
            </w:r>
          </w:p>
        </w:tc>
      </w:tr>
      <w:tr w:rsidR="005F64C3" w:rsidRPr="005F64C3" w14:paraId="7CDB9C3A" w14:textId="77777777" w:rsidTr="00450DA2">
        <w:trPr>
          <w:tblHeader/>
        </w:trPr>
        <w:tc>
          <w:tcPr>
            <w:tcW w:w="2070" w:type="dxa"/>
            <w:tcBorders>
              <w:top w:val="single" w:sz="4" w:space="0" w:color="auto"/>
              <w:bottom w:val="single" w:sz="12" w:space="0" w:color="auto"/>
            </w:tcBorders>
            <w:shd w:val="clear" w:color="auto" w:fill="auto"/>
          </w:tcPr>
          <w:p w14:paraId="63AC7E4D" w14:textId="211FFCDB" w:rsidR="005F64C3" w:rsidRPr="00D849F6" w:rsidRDefault="005F64C3" w:rsidP="005F64C3">
            <w:pPr>
              <w:tabs>
                <w:tab w:val="left" w:pos="288"/>
                <w:tab w:val="left" w:pos="576"/>
                <w:tab w:val="left" w:pos="864"/>
                <w:tab w:val="left" w:pos="1152"/>
              </w:tabs>
              <w:spacing w:before="80" w:after="80" w:line="160" w:lineRule="exact"/>
              <w:ind w:right="40"/>
              <w:rPr>
                <w:i/>
                <w:iCs/>
                <w:sz w:val="14"/>
                <w:szCs w:val="14"/>
              </w:rPr>
            </w:pPr>
            <w:r w:rsidRPr="00D849F6">
              <w:rPr>
                <w:i/>
                <w:iCs/>
                <w:sz w:val="14"/>
                <w:szCs w:val="14"/>
                <w:lang w:val="es-PY" w:eastAsia="es-PY"/>
              </w:rPr>
              <w:t>Año</w:t>
            </w:r>
          </w:p>
        </w:tc>
        <w:tc>
          <w:tcPr>
            <w:tcW w:w="2610" w:type="dxa"/>
            <w:tcBorders>
              <w:top w:val="single" w:sz="4" w:space="0" w:color="auto"/>
              <w:bottom w:val="single" w:sz="12" w:space="0" w:color="auto"/>
            </w:tcBorders>
            <w:shd w:val="clear" w:color="auto" w:fill="auto"/>
          </w:tcPr>
          <w:p w14:paraId="6B76448F" w14:textId="63342676" w:rsidR="005F64C3" w:rsidRPr="00D849F6" w:rsidRDefault="005F64C3" w:rsidP="005F64C3">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val="es-PY" w:eastAsia="es-PY"/>
              </w:rPr>
              <w:t>Hombres</w:t>
            </w:r>
          </w:p>
        </w:tc>
        <w:tc>
          <w:tcPr>
            <w:tcW w:w="2748" w:type="dxa"/>
            <w:tcBorders>
              <w:top w:val="single" w:sz="4" w:space="0" w:color="auto"/>
              <w:bottom w:val="single" w:sz="12" w:space="0" w:color="auto"/>
            </w:tcBorders>
            <w:shd w:val="clear" w:color="auto" w:fill="auto"/>
          </w:tcPr>
          <w:p w14:paraId="33311411" w14:textId="62B472F4" w:rsidR="005F64C3" w:rsidRPr="00D849F6" w:rsidRDefault="005F64C3" w:rsidP="005F64C3">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val="es-PY" w:eastAsia="es-PY"/>
              </w:rPr>
              <w:t>Mujeres</w:t>
            </w:r>
          </w:p>
        </w:tc>
      </w:tr>
      <w:tr w:rsidR="005F64C3" w:rsidRPr="005F64C3" w14:paraId="7E43ED09" w14:textId="77777777" w:rsidTr="00450DA2">
        <w:trPr>
          <w:trHeight w:hRule="exact" w:val="115"/>
          <w:tblHeader/>
        </w:trPr>
        <w:tc>
          <w:tcPr>
            <w:tcW w:w="2070" w:type="dxa"/>
            <w:tcBorders>
              <w:top w:val="single" w:sz="12" w:space="0" w:color="auto"/>
            </w:tcBorders>
            <w:shd w:val="clear" w:color="auto" w:fill="auto"/>
            <w:vAlign w:val="bottom"/>
          </w:tcPr>
          <w:p w14:paraId="581E77B7" w14:textId="77777777" w:rsidR="005F64C3" w:rsidRPr="005F64C3" w:rsidRDefault="005F64C3" w:rsidP="005F64C3">
            <w:pPr>
              <w:tabs>
                <w:tab w:val="left" w:pos="288"/>
                <w:tab w:val="left" w:pos="576"/>
                <w:tab w:val="left" w:pos="864"/>
                <w:tab w:val="left" w:pos="1152"/>
              </w:tabs>
              <w:spacing w:before="40" w:after="40" w:line="210" w:lineRule="exact"/>
              <w:ind w:right="40"/>
              <w:rPr>
                <w:sz w:val="17"/>
              </w:rPr>
            </w:pPr>
          </w:p>
        </w:tc>
        <w:tc>
          <w:tcPr>
            <w:tcW w:w="2610" w:type="dxa"/>
            <w:tcBorders>
              <w:top w:val="single" w:sz="12" w:space="0" w:color="auto"/>
            </w:tcBorders>
            <w:shd w:val="clear" w:color="auto" w:fill="auto"/>
            <w:vAlign w:val="bottom"/>
          </w:tcPr>
          <w:p w14:paraId="23E38644" w14:textId="77777777" w:rsidR="005F64C3" w:rsidRPr="005F64C3" w:rsidRDefault="005F64C3" w:rsidP="00D849F6">
            <w:pPr>
              <w:tabs>
                <w:tab w:val="left" w:pos="288"/>
                <w:tab w:val="left" w:pos="576"/>
                <w:tab w:val="left" w:pos="864"/>
                <w:tab w:val="left" w:pos="1152"/>
              </w:tabs>
              <w:spacing w:before="40" w:after="40" w:line="210" w:lineRule="exact"/>
              <w:ind w:right="40"/>
              <w:jc w:val="right"/>
              <w:rPr>
                <w:sz w:val="17"/>
              </w:rPr>
            </w:pPr>
          </w:p>
        </w:tc>
        <w:tc>
          <w:tcPr>
            <w:tcW w:w="2748" w:type="dxa"/>
            <w:tcBorders>
              <w:top w:val="single" w:sz="12" w:space="0" w:color="auto"/>
            </w:tcBorders>
            <w:shd w:val="clear" w:color="auto" w:fill="auto"/>
            <w:vAlign w:val="bottom"/>
          </w:tcPr>
          <w:p w14:paraId="6AA2AFEC" w14:textId="77777777" w:rsidR="005F64C3" w:rsidRPr="005F64C3" w:rsidRDefault="005F64C3" w:rsidP="00D849F6">
            <w:pPr>
              <w:tabs>
                <w:tab w:val="left" w:pos="288"/>
                <w:tab w:val="left" w:pos="576"/>
                <w:tab w:val="left" w:pos="864"/>
                <w:tab w:val="left" w:pos="1152"/>
              </w:tabs>
              <w:spacing w:before="40" w:after="40" w:line="210" w:lineRule="exact"/>
              <w:ind w:right="40"/>
              <w:jc w:val="right"/>
              <w:rPr>
                <w:sz w:val="17"/>
              </w:rPr>
            </w:pPr>
          </w:p>
        </w:tc>
      </w:tr>
      <w:tr w:rsidR="005F64C3" w:rsidRPr="005F64C3" w14:paraId="4250F847" w14:textId="77777777" w:rsidTr="00450DA2">
        <w:tc>
          <w:tcPr>
            <w:tcW w:w="2070" w:type="dxa"/>
            <w:shd w:val="clear" w:color="auto" w:fill="auto"/>
          </w:tcPr>
          <w:p w14:paraId="54ECB779" w14:textId="154EF951" w:rsidR="005F64C3" w:rsidRPr="00D849F6" w:rsidRDefault="005F64C3" w:rsidP="00D849F6">
            <w:pPr>
              <w:tabs>
                <w:tab w:val="left" w:pos="288"/>
                <w:tab w:val="left" w:pos="576"/>
                <w:tab w:val="left" w:pos="864"/>
                <w:tab w:val="left" w:pos="1152"/>
              </w:tabs>
              <w:spacing w:before="40" w:after="40" w:line="210" w:lineRule="exact"/>
              <w:ind w:right="40"/>
              <w:rPr>
                <w:sz w:val="17"/>
              </w:rPr>
            </w:pPr>
            <w:r w:rsidRPr="007447FF">
              <w:rPr>
                <w:sz w:val="18"/>
                <w:lang w:val="es-PY" w:eastAsia="es-PY"/>
              </w:rPr>
              <w:t>2018</w:t>
            </w:r>
          </w:p>
        </w:tc>
        <w:tc>
          <w:tcPr>
            <w:tcW w:w="2610" w:type="dxa"/>
            <w:shd w:val="clear" w:color="auto" w:fill="auto"/>
          </w:tcPr>
          <w:p w14:paraId="18478EA0" w14:textId="3935B11A"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67</w:t>
            </w:r>
            <w:r>
              <w:rPr>
                <w:sz w:val="18"/>
                <w:lang w:val="es-PY" w:eastAsia="es-PY"/>
              </w:rPr>
              <w:t> </w:t>
            </w:r>
            <w:r w:rsidRPr="007447FF">
              <w:rPr>
                <w:sz w:val="18"/>
                <w:lang w:val="es-PY" w:eastAsia="es-PY"/>
              </w:rPr>
              <w:t>%</w:t>
            </w:r>
          </w:p>
        </w:tc>
        <w:tc>
          <w:tcPr>
            <w:tcW w:w="2748" w:type="dxa"/>
            <w:shd w:val="clear" w:color="auto" w:fill="auto"/>
          </w:tcPr>
          <w:p w14:paraId="0C3758A9" w14:textId="5060FDE7"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33</w:t>
            </w:r>
            <w:r>
              <w:rPr>
                <w:sz w:val="18"/>
                <w:lang w:val="es-PY" w:eastAsia="es-PY"/>
              </w:rPr>
              <w:t> </w:t>
            </w:r>
            <w:r w:rsidRPr="007447FF">
              <w:rPr>
                <w:sz w:val="18"/>
                <w:lang w:val="es-PY" w:eastAsia="es-PY"/>
              </w:rPr>
              <w:t>%</w:t>
            </w:r>
          </w:p>
        </w:tc>
      </w:tr>
      <w:tr w:rsidR="005F64C3" w:rsidRPr="005F64C3" w14:paraId="47161349" w14:textId="77777777" w:rsidTr="00450DA2">
        <w:tc>
          <w:tcPr>
            <w:tcW w:w="2070" w:type="dxa"/>
            <w:shd w:val="clear" w:color="auto" w:fill="auto"/>
          </w:tcPr>
          <w:p w14:paraId="37518E11" w14:textId="659B5C7D" w:rsidR="005F64C3" w:rsidRPr="00D849F6" w:rsidRDefault="005F64C3" w:rsidP="00D849F6">
            <w:pPr>
              <w:tabs>
                <w:tab w:val="left" w:pos="288"/>
                <w:tab w:val="left" w:pos="576"/>
                <w:tab w:val="left" w:pos="864"/>
                <w:tab w:val="left" w:pos="1152"/>
              </w:tabs>
              <w:spacing w:before="40" w:after="40" w:line="210" w:lineRule="exact"/>
              <w:ind w:right="40"/>
              <w:rPr>
                <w:sz w:val="17"/>
              </w:rPr>
            </w:pPr>
            <w:r w:rsidRPr="007447FF">
              <w:rPr>
                <w:sz w:val="18"/>
                <w:lang w:val="es-PY" w:eastAsia="es-PY"/>
              </w:rPr>
              <w:t>2019</w:t>
            </w:r>
          </w:p>
        </w:tc>
        <w:tc>
          <w:tcPr>
            <w:tcW w:w="2610" w:type="dxa"/>
            <w:shd w:val="clear" w:color="auto" w:fill="auto"/>
          </w:tcPr>
          <w:p w14:paraId="4EC3E696" w14:textId="4249C627"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65</w:t>
            </w:r>
            <w:r>
              <w:rPr>
                <w:sz w:val="18"/>
                <w:lang w:val="es-PY" w:eastAsia="es-PY"/>
              </w:rPr>
              <w:t> </w:t>
            </w:r>
            <w:r w:rsidRPr="007447FF">
              <w:rPr>
                <w:sz w:val="18"/>
                <w:lang w:val="es-PY" w:eastAsia="es-PY"/>
              </w:rPr>
              <w:t>%</w:t>
            </w:r>
          </w:p>
        </w:tc>
        <w:tc>
          <w:tcPr>
            <w:tcW w:w="2748" w:type="dxa"/>
            <w:shd w:val="clear" w:color="auto" w:fill="auto"/>
          </w:tcPr>
          <w:p w14:paraId="4C71DC1D" w14:textId="7A8D6100"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35</w:t>
            </w:r>
            <w:r>
              <w:rPr>
                <w:sz w:val="18"/>
                <w:lang w:val="es-PY" w:eastAsia="es-PY"/>
              </w:rPr>
              <w:t> </w:t>
            </w:r>
            <w:r w:rsidRPr="007447FF">
              <w:rPr>
                <w:sz w:val="18"/>
                <w:lang w:val="es-PY" w:eastAsia="es-PY"/>
              </w:rPr>
              <w:t>%</w:t>
            </w:r>
          </w:p>
        </w:tc>
      </w:tr>
      <w:tr w:rsidR="005F64C3" w:rsidRPr="005F64C3" w14:paraId="369F3876" w14:textId="77777777" w:rsidTr="00450DA2">
        <w:tc>
          <w:tcPr>
            <w:tcW w:w="2070" w:type="dxa"/>
            <w:shd w:val="clear" w:color="auto" w:fill="auto"/>
          </w:tcPr>
          <w:p w14:paraId="34EEADB0" w14:textId="46BE023B" w:rsidR="005F64C3" w:rsidRPr="00D849F6" w:rsidRDefault="005F64C3" w:rsidP="00D849F6">
            <w:pPr>
              <w:tabs>
                <w:tab w:val="left" w:pos="288"/>
                <w:tab w:val="left" w:pos="576"/>
                <w:tab w:val="left" w:pos="864"/>
                <w:tab w:val="left" w:pos="1152"/>
              </w:tabs>
              <w:spacing w:before="40" w:after="40" w:line="210" w:lineRule="exact"/>
              <w:ind w:right="40"/>
              <w:rPr>
                <w:sz w:val="17"/>
              </w:rPr>
            </w:pPr>
            <w:r w:rsidRPr="007447FF">
              <w:rPr>
                <w:sz w:val="18"/>
                <w:lang w:val="es-PY" w:eastAsia="es-PY"/>
              </w:rPr>
              <w:t>2020</w:t>
            </w:r>
          </w:p>
        </w:tc>
        <w:tc>
          <w:tcPr>
            <w:tcW w:w="2610" w:type="dxa"/>
            <w:shd w:val="clear" w:color="auto" w:fill="auto"/>
          </w:tcPr>
          <w:p w14:paraId="438A0E6E" w14:textId="383EE088"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63</w:t>
            </w:r>
            <w:r>
              <w:rPr>
                <w:sz w:val="18"/>
                <w:lang w:val="es-PY" w:eastAsia="es-PY"/>
              </w:rPr>
              <w:t> </w:t>
            </w:r>
            <w:r w:rsidRPr="007447FF">
              <w:rPr>
                <w:sz w:val="18"/>
                <w:lang w:val="es-PY" w:eastAsia="es-PY"/>
              </w:rPr>
              <w:t>%</w:t>
            </w:r>
          </w:p>
        </w:tc>
        <w:tc>
          <w:tcPr>
            <w:tcW w:w="2748" w:type="dxa"/>
            <w:shd w:val="clear" w:color="auto" w:fill="auto"/>
          </w:tcPr>
          <w:p w14:paraId="22587578" w14:textId="2CA0D119"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37</w:t>
            </w:r>
            <w:r>
              <w:rPr>
                <w:sz w:val="18"/>
                <w:lang w:val="es-PY" w:eastAsia="es-PY"/>
              </w:rPr>
              <w:t> </w:t>
            </w:r>
            <w:r w:rsidRPr="007447FF">
              <w:rPr>
                <w:sz w:val="18"/>
                <w:lang w:val="es-PY" w:eastAsia="es-PY"/>
              </w:rPr>
              <w:t>%</w:t>
            </w:r>
          </w:p>
        </w:tc>
      </w:tr>
      <w:tr w:rsidR="005F64C3" w:rsidRPr="005F64C3" w14:paraId="664004B8" w14:textId="77777777" w:rsidTr="00450DA2">
        <w:tc>
          <w:tcPr>
            <w:tcW w:w="2070" w:type="dxa"/>
            <w:shd w:val="clear" w:color="auto" w:fill="auto"/>
          </w:tcPr>
          <w:p w14:paraId="1545E5BB" w14:textId="7B752240" w:rsidR="005F64C3" w:rsidRPr="00D849F6" w:rsidRDefault="005F64C3" w:rsidP="00D849F6">
            <w:pPr>
              <w:tabs>
                <w:tab w:val="left" w:pos="288"/>
                <w:tab w:val="left" w:pos="576"/>
                <w:tab w:val="left" w:pos="864"/>
                <w:tab w:val="left" w:pos="1152"/>
              </w:tabs>
              <w:spacing w:before="40" w:after="40" w:line="210" w:lineRule="exact"/>
              <w:ind w:right="40"/>
              <w:rPr>
                <w:sz w:val="17"/>
              </w:rPr>
            </w:pPr>
            <w:r w:rsidRPr="007447FF">
              <w:rPr>
                <w:sz w:val="18"/>
                <w:lang w:val="es-PY" w:eastAsia="es-PY"/>
              </w:rPr>
              <w:t>2021</w:t>
            </w:r>
          </w:p>
        </w:tc>
        <w:tc>
          <w:tcPr>
            <w:tcW w:w="2610" w:type="dxa"/>
            <w:shd w:val="clear" w:color="auto" w:fill="auto"/>
          </w:tcPr>
          <w:p w14:paraId="358AE8C3" w14:textId="1931C4C1"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63</w:t>
            </w:r>
            <w:r>
              <w:rPr>
                <w:sz w:val="18"/>
                <w:lang w:val="es-PY" w:eastAsia="es-PY"/>
              </w:rPr>
              <w:t> </w:t>
            </w:r>
            <w:r w:rsidRPr="007447FF">
              <w:rPr>
                <w:sz w:val="18"/>
                <w:lang w:val="es-PY" w:eastAsia="es-PY"/>
              </w:rPr>
              <w:t>%</w:t>
            </w:r>
          </w:p>
        </w:tc>
        <w:tc>
          <w:tcPr>
            <w:tcW w:w="2748" w:type="dxa"/>
            <w:shd w:val="clear" w:color="auto" w:fill="auto"/>
          </w:tcPr>
          <w:p w14:paraId="2D1052AA" w14:textId="456E81E4"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37</w:t>
            </w:r>
            <w:r>
              <w:rPr>
                <w:sz w:val="18"/>
                <w:lang w:val="es-PY" w:eastAsia="es-PY"/>
              </w:rPr>
              <w:t> </w:t>
            </w:r>
            <w:r w:rsidRPr="007447FF">
              <w:rPr>
                <w:sz w:val="18"/>
                <w:lang w:val="es-PY" w:eastAsia="es-PY"/>
              </w:rPr>
              <w:t>%</w:t>
            </w:r>
          </w:p>
        </w:tc>
      </w:tr>
      <w:tr w:rsidR="005F64C3" w:rsidRPr="005F64C3" w14:paraId="259DB91B" w14:textId="77777777" w:rsidTr="00450DA2">
        <w:tc>
          <w:tcPr>
            <w:tcW w:w="2070" w:type="dxa"/>
            <w:shd w:val="clear" w:color="auto" w:fill="auto"/>
          </w:tcPr>
          <w:p w14:paraId="4101F331" w14:textId="42CA1932" w:rsidR="005F64C3" w:rsidRPr="00D849F6" w:rsidRDefault="005F64C3" w:rsidP="00D849F6">
            <w:pPr>
              <w:tabs>
                <w:tab w:val="left" w:pos="288"/>
                <w:tab w:val="left" w:pos="576"/>
                <w:tab w:val="left" w:pos="864"/>
                <w:tab w:val="left" w:pos="1152"/>
              </w:tabs>
              <w:spacing w:before="40" w:after="40" w:line="210" w:lineRule="exact"/>
              <w:ind w:right="40"/>
              <w:rPr>
                <w:sz w:val="17"/>
              </w:rPr>
            </w:pPr>
            <w:r w:rsidRPr="007447FF">
              <w:rPr>
                <w:sz w:val="18"/>
                <w:lang w:val="es-PY" w:eastAsia="es-PY"/>
              </w:rPr>
              <w:t>2022</w:t>
            </w:r>
          </w:p>
        </w:tc>
        <w:tc>
          <w:tcPr>
            <w:tcW w:w="2610" w:type="dxa"/>
            <w:shd w:val="clear" w:color="auto" w:fill="auto"/>
          </w:tcPr>
          <w:p w14:paraId="02DB6B4E" w14:textId="3F17846F"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62</w:t>
            </w:r>
            <w:r>
              <w:rPr>
                <w:sz w:val="18"/>
                <w:lang w:val="es-PY" w:eastAsia="es-PY"/>
              </w:rPr>
              <w:t> </w:t>
            </w:r>
            <w:r w:rsidRPr="007447FF">
              <w:rPr>
                <w:sz w:val="18"/>
                <w:lang w:val="es-PY" w:eastAsia="es-PY"/>
              </w:rPr>
              <w:t>%</w:t>
            </w:r>
          </w:p>
        </w:tc>
        <w:tc>
          <w:tcPr>
            <w:tcW w:w="2748" w:type="dxa"/>
            <w:shd w:val="clear" w:color="auto" w:fill="auto"/>
          </w:tcPr>
          <w:p w14:paraId="36B05445" w14:textId="2DDA3343"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38</w:t>
            </w:r>
            <w:r>
              <w:rPr>
                <w:sz w:val="18"/>
                <w:lang w:val="es-PY" w:eastAsia="es-PY"/>
              </w:rPr>
              <w:t> </w:t>
            </w:r>
            <w:r w:rsidRPr="007447FF">
              <w:rPr>
                <w:sz w:val="18"/>
                <w:lang w:val="es-PY" w:eastAsia="es-PY"/>
              </w:rPr>
              <w:t>%</w:t>
            </w:r>
          </w:p>
        </w:tc>
      </w:tr>
      <w:tr w:rsidR="005F64C3" w:rsidRPr="005F64C3" w14:paraId="05B73E12" w14:textId="77777777" w:rsidTr="00450DA2">
        <w:tc>
          <w:tcPr>
            <w:tcW w:w="2070" w:type="dxa"/>
            <w:tcBorders>
              <w:bottom w:val="single" w:sz="12" w:space="0" w:color="auto"/>
            </w:tcBorders>
            <w:shd w:val="clear" w:color="auto" w:fill="auto"/>
          </w:tcPr>
          <w:p w14:paraId="282A98B3" w14:textId="3D36B273" w:rsidR="005F64C3" w:rsidRPr="00D849F6" w:rsidRDefault="005F64C3" w:rsidP="00D849F6">
            <w:pPr>
              <w:tabs>
                <w:tab w:val="left" w:pos="288"/>
                <w:tab w:val="left" w:pos="576"/>
                <w:tab w:val="left" w:pos="864"/>
                <w:tab w:val="left" w:pos="1152"/>
              </w:tabs>
              <w:spacing w:before="40" w:after="40" w:line="210" w:lineRule="exact"/>
              <w:ind w:right="40"/>
              <w:rPr>
                <w:sz w:val="17"/>
              </w:rPr>
            </w:pPr>
            <w:r w:rsidRPr="007447FF">
              <w:rPr>
                <w:sz w:val="18"/>
                <w:lang w:val="es-PY" w:eastAsia="es-PY"/>
              </w:rPr>
              <w:t>2023</w:t>
            </w:r>
          </w:p>
        </w:tc>
        <w:tc>
          <w:tcPr>
            <w:tcW w:w="2610" w:type="dxa"/>
            <w:tcBorders>
              <w:bottom w:val="single" w:sz="12" w:space="0" w:color="auto"/>
            </w:tcBorders>
            <w:shd w:val="clear" w:color="auto" w:fill="auto"/>
          </w:tcPr>
          <w:p w14:paraId="0530E1BA" w14:textId="43523F94"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62</w:t>
            </w:r>
            <w:r>
              <w:rPr>
                <w:sz w:val="18"/>
                <w:lang w:val="es-PY" w:eastAsia="es-PY"/>
              </w:rPr>
              <w:t> </w:t>
            </w:r>
            <w:r w:rsidRPr="007447FF">
              <w:rPr>
                <w:sz w:val="18"/>
                <w:lang w:val="es-PY" w:eastAsia="es-PY"/>
              </w:rPr>
              <w:t>%</w:t>
            </w:r>
          </w:p>
        </w:tc>
        <w:tc>
          <w:tcPr>
            <w:tcW w:w="2748" w:type="dxa"/>
            <w:tcBorders>
              <w:bottom w:val="single" w:sz="12" w:space="0" w:color="auto"/>
            </w:tcBorders>
            <w:shd w:val="clear" w:color="auto" w:fill="auto"/>
          </w:tcPr>
          <w:p w14:paraId="3F5046C1" w14:textId="5EB5EF36" w:rsidR="005F64C3" w:rsidRPr="00D849F6" w:rsidRDefault="005F64C3" w:rsidP="00D849F6">
            <w:pPr>
              <w:tabs>
                <w:tab w:val="left" w:pos="288"/>
                <w:tab w:val="left" w:pos="576"/>
                <w:tab w:val="left" w:pos="864"/>
                <w:tab w:val="left" w:pos="1152"/>
              </w:tabs>
              <w:spacing w:before="40" w:after="40" w:line="210" w:lineRule="exact"/>
              <w:ind w:right="40"/>
              <w:jc w:val="right"/>
              <w:rPr>
                <w:sz w:val="17"/>
              </w:rPr>
            </w:pPr>
            <w:r w:rsidRPr="007447FF">
              <w:rPr>
                <w:sz w:val="18"/>
                <w:lang w:val="es-PY" w:eastAsia="es-PY"/>
              </w:rPr>
              <w:t>38</w:t>
            </w:r>
            <w:r>
              <w:rPr>
                <w:sz w:val="18"/>
                <w:lang w:val="es-PY" w:eastAsia="es-PY"/>
              </w:rPr>
              <w:t> </w:t>
            </w:r>
            <w:r w:rsidRPr="007447FF">
              <w:rPr>
                <w:sz w:val="18"/>
                <w:lang w:val="es-PY" w:eastAsia="es-PY"/>
              </w:rPr>
              <w:t>%</w:t>
            </w:r>
          </w:p>
        </w:tc>
      </w:tr>
    </w:tbl>
    <w:p w14:paraId="4F342405" w14:textId="77777777" w:rsidR="005F64C3" w:rsidRDefault="005F64C3" w:rsidP="00BF6CA7">
      <w:pPr>
        <w:pStyle w:val="SingleTxt"/>
        <w:spacing w:after="0" w:line="120" w:lineRule="exact"/>
        <w:rPr>
          <w:sz w:val="10"/>
        </w:rPr>
      </w:pPr>
    </w:p>
    <w:p w14:paraId="39AD6AB8" w14:textId="77777777" w:rsidR="005F64C3" w:rsidRDefault="005F64C3" w:rsidP="00BF6CA7">
      <w:pPr>
        <w:pStyle w:val="SingleTxt"/>
        <w:spacing w:after="0" w:line="120" w:lineRule="exact"/>
        <w:rPr>
          <w:sz w:val="10"/>
        </w:rPr>
      </w:pPr>
    </w:p>
    <w:p w14:paraId="29B944CE" w14:textId="3FED29EA" w:rsidR="00583FBD" w:rsidRPr="00B64C1B" w:rsidRDefault="00583FBD" w:rsidP="00BF6CA7">
      <w:pPr>
        <w:pStyle w:val="SingleTxt"/>
        <w:numPr>
          <w:ilvl w:val="0"/>
          <w:numId w:val="44"/>
        </w:numPr>
        <w:ind w:left="1267"/>
        <w:rPr>
          <w:lang w:val="es-PY"/>
        </w:rPr>
      </w:pPr>
      <w:r w:rsidRPr="00B64C1B">
        <w:rPr>
          <w:lang w:val="es-PY"/>
        </w:rPr>
        <w:t>El VCHGO elabora de forma periódica el informe sobre la composición del funcionariado de los tres Poderes del Estado, clasificado por sexo, respecto a categorías y nivel de ingresos, cuyos resultados correspondientes a los años 2018, 2019, 2020, 2021, 2022 y 2023 se encuentran disponibles en línea</w:t>
      </w:r>
      <w:r w:rsidRPr="00B64C1B">
        <w:rPr>
          <w:vertAlign w:val="superscript"/>
          <w:lang w:val="es-PY"/>
        </w:rPr>
        <w:footnoteReference w:id="85"/>
      </w:r>
      <w:r w:rsidRPr="00B64C1B">
        <w:rPr>
          <w:lang w:val="es-PY"/>
        </w:rPr>
        <w:t>.</w:t>
      </w:r>
    </w:p>
    <w:p w14:paraId="43914A48" w14:textId="38353529" w:rsidR="00583FBD" w:rsidRPr="00B64C1B" w:rsidRDefault="00583FBD" w:rsidP="00BF6CA7">
      <w:pPr>
        <w:pStyle w:val="SingleTxt"/>
        <w:numPr>
          <w:ilvl w:val="0"/>
          <w:numId w:val="44"/>
        </w:numPr>
        <w:tabs>
          <w:tab w:val="num" w:pos="2804"/>
        </w:tabs>
        <w:ind w:left="1267"/>
        <w:rPr>
          <w:lang w:val="es-PY"/>
        </w:rPr>
      </w:pPr>
      <w:r w:rsidRPr="00B64C1B">
        <w:rPr>
          <w:lang w:val="es-PY"/>
        </w:rPr>
        <w:t xml:space="preserve">Con respecto a la inclusión de medidas especiales a fin de promover su inclusión en el empleo privado de las personas con discapacidad, a nivel nacional existe una Ley, la </w:t>
      </w:r>
      <w:proofErr w:type="spellStart"/>
      <w:r w:rsidRPr="00B64C1B">
        <w:rPr>
          <w:lang w:val="es-PY"/>
        </w:rPr>
        <w:t>Nº</w:t>
      </w:r>
      <w:proofErr w:type="spellEnd"/>
      <w:r w:rsidRPr="00B64C1B">
        <w:rPr>
          <w:lang w:val="es-PY"/>
        </w:rPr>
        <w:t xml:space="preserve"> </w:t>
      </w:r>
      <w:r w:rsidRPr="00BF6CA7">
        <w:rPr>
          <w:lang w:val="es-PY"/>
        </w:rPr>
        <w:t>4962/2013</w:t>
      </w:r>
      <w:r w:rsidRPr="00B64C1B">
        <w:rPr>
          <w:lang w:val="es-PY"/>
        </w:rPr>
        <w:t xml:space="preserve">, </w:t>
      </w:r>
      <w:r w:rsidR="00F019B7">
        <w:rPr>
          <w:lang w:val="es-PY"/>
        </w:rPr>
        <w:t>“</w:t>
      </w:r>
      <w:r w:rsidRPr="00B64C1B">
        <w:rPr>
          <w:lang w:val="es-PY"/>
        </w:rPr>
        <w:t>que establece beneficios para los empleadores, a los efectos de incentivar la incorporación de personas con discapacidad en el sector privado</w:t>
      </w:r>
      <w:r w:rsidR="00F019B7">
        <w:rPr>
          <w:lang w:val="es-PY"/>
        </w:rPr>
        <w:t>”</w:t>
      </w:r>
      <w:r w:rsidRPr="00B64C1B">
        <w:rPr>
          <w:vertAlign w:val="superscript"/>
          <w:lang w:val="es-PY"/>
        </w:rPr>
        <w:t xml:space="preserve"> </w:t>
      </w:r>
      <w:r w:rsidRPr="00B64C1B">
        <w:rPr>
          <w:vertAlign w:val="superscript"/>
          <w:lang w:val="es-PY"/>
        </w:rPr>
        <w:footnoteReference w:id="86"/>
      </w:r>
      <w:r w:rsidRPr="00B64C1B">
        <w:rPr>
          <w:lang w:val="es-PY"/>
        </w:rPr>
        <w:t>, que de momento no cuenta con reglamentación, por lo cual aún está pendiente de implementar.</w:t>
      </w:r>
      <w:r w:rsidR="007E06AB">
        <w:rPr>
          <w:lang w:val="es-PY"/>
        </w:rPr>
        <w:t xml:space="preserve"> </w:t>
      </w:r>
      <w:r w:rsidRPr="00B64C1B">
        <w:rPr>
          <w:lang w:val="es-PY"/>
        </w:rPr>
        <w:t xml:space="preserve">No obstante, el MTESS trabaja en coordinación con la Fundación </w:t>
      </w:r>
      <w:proofErr w:type="spellStart"/>
      <w:r w:rsidRPr="00B64C1B">
        <w:rPr>
          <w:lang w:val="es-PY"/>
        </w:rPr>
        <w:t>Saraki</w:t>
      </w:r>
      <w:proofErr w:type="spellEnd"/>
      <w:r w:rsidRPr="00B64C1B">
        <w:rPr>
          <w:lang w:val="es-PY"/>
        </w:rPr>
        <w:t xml:space="preserve"> en procesos de formación e inserción laboral de personas con discapacidad, a través del impulso de la iniciativa </w:t>
      </w:r>
      <w:r w:rsidR="00F019B7">
        <w:rPr>
          <w:lang w:val="es-PY"/>
        </w:rPr>
        <w:t>“</w:t>
      </w:r>
      <w:r w:rsidRPr="00B64C1B">
        <w:rPr>
          <w:lang w:val="es-PY"/>
        </w:rPr>
        <w:t>Sello Empresas Inclusivas: Empresas In</w:t>
      </w:r>
      <w:r w:rsidR="00F019B7">
        <w:rPr>
          <w:lang w:val="es-PY"/>
        </w:rPr>
        <w:t>”</w:t>
      </w:r>
      <w:r w:rsidRPr="00B64C1B">
        <w:rPr>
          <w:lang w:val="es-PY"/>
        </w:rPr>
        <w:t>. Este programa reconoce y promueve el trabajo realizado por empresas privadas, organizaciones de la sociedad civil e instituciones públicas en materia de inclusión laboral y accesibilidad. Asimismo, a través del Programa SAPE´A 2.0, en asociación con Plan International Paraguay y financiado por la Agencia AECID, el MTESS trabaja en el acceso a la formación profesional y al empleo digno con un enfoque inclusivo y diferencial.</w:t>
      </w:r>
    </w:p>
    <w:p w14:paraId="37DB95E2" w14:textId="6C453D69" w:rsidR="00583FBD" w:rsidRPr="00B64C1B" w:rsidRDefault="00583FBD" w:rsidP="00E01B8C">
      <w:pPr>
        <w:pStyle w:val="SingleTxt"/>
        <w:numPr>
          <w:ilvl w:val="0"/>
          <w:numId w:val="44"/>
        </w:numPr>
        <w:ind w:left="1267"/>
        <w:rPr>
          <w:lang w:val="es-PY"/>
        </w:rPr>
      </w:pPr>
      <w:r w:rsidRPr="00B64C1B">
        <w:rPr>
          <w:lang w:val="es-PY"/>
        </w:rPr>
        <w:t xml:space="preserve">La ley </w:t>
      </w:r>
      <w:r w:rsidRPr="00BF6CA7">
        <w:rPr>
          <w:lang w:val="es-PY"/>
        </w:rPr>
        <w:t>5508/2015</w:t>
      </w:r>
      <w:r w:rsidRPr="00B64C1B">
        <w:rPr>
          <w:lang w:val="es-PY"/>
        </w:rPr>
        <w:t xml:space="preserve"> </w:t>
      </w:r>
      <w:r w:rsidR="00F019B7">
        <w:rPr>
          <w:lang w:val="es-PY"/>
        </w:rPr>
        <w:t>“</w:t>
      </w:r>
      <w:r w:rsidRPr="00B64C1B">
        <w:rPr>
          <w:lang w:val="es-PY"/>
        </w:rPr>
        <w:t>De promoción, protección de la maternidad y el apoyo a la lactancia materna</w:t>
      </w:r>
      <w:r w:rsidR="00F019B7">
        <w:rPr>
          <w:lang w:val="es-PY"/>
        </w:rPr>
        <w:t>”</w:t>
      </w:r>
      <w:r w:rsidRPr="00B64C1B">
        <w:rPr>
          <w:lang w:val="es-PY"/>
        </w:rPr>
        <w:t xml:space="preserve"> fue modificada y ampliada en los términos de la ley </w:t>
      </w:r>
      <w:r w:rsidRPr="00BF6CA7">
        <w:rPr>
          <w:lang w:val="es-PY"/>
        </w:rPr>
        <w:t>6453/2019</w:t>
      </w:r>
      <w:r w:rsidRPr="00B64C1B">
        <w:rPr>
          <w:lang w:val="es-PY"/>
        </w:rPr>
        <w:t>; incorporando al PJ, la CSJ, el MDP, el MP e instituciones de educación superior, además de establecer sanciones en caso de incumplimiento de la implementación de salas de lactancia</w:t>
      </w:r>
      <w:r w:rsidRPr="00B64C1B">
        <w:rPr>
          <w:vertAlign w:val="superscript"/>
          <w:lang w:val="es-PY"/>
        </w:rPr>
        <w:footnoteReference w:id="87"/>
      </w:r>
      <w:r w:rsidRPr="00B64C1B">
        <w:rPr>
          <w:lang w:val="es-PY"/>
        </w:rPr>
        <w:t>.</w:t>
      </w:r>
    </w:p>
    <w:p w14:paraId="7E11BDE3" w14:textId="7A06DDBD" w:rsidR="00583FBD" w:rsidRPr="00B64C1B" w:rsidRDefault="00583FBD" w:rsidP="00E01B8C">
      <w:pPr>
        <w:pStyle w:val="SingleTxt"/>
        <w:numPr>
          <w:ilvl w:val="0"/>
          <w:numId w:val="44"/>
        </w:numPr>
        <w:ind w:left="1267"/>
        <w:rPr>
          <w:lang w:val="es-PY"/>
        </w:rPr>
      </w:pPr>
      <w:r w:rsidRPr="00B64C1B">
        <w:rPr>
          <w:lang w:val="es-PY"/>
        </w:rPr>
        <w:t xml:space="preserve">Se encuentra en fase de estudio el proyecto de ley </w:t>
      </w:r>
      <w:r w:rsidR="00F019B7">
        <w:rPr>
          <w:iCs/>
          <w:lang w:val="es-PY"/>
        </w:rPr>
        <w:t>“</w:t>
      </w:r>
      <w:r w:rsidRPr="00B64C1B">
        <w:rPr>
          <w:iCs/>
          <w:lang w:val="es-PY"/>
        </w:rPr>
        <w:t>De Protección de Maternidad Vulnerable</w:t>
      </w:r>
      <w:r w:rsidR="00F019B7">
        <w:rPr>
          <w:iCs/>
          <w:lang w:val="es-PY"/>
        </w:rPr>
        <w:t>”</w:t>
      </w:r>
      <w:r w:rsidRPr="00B64C1B">
        <w:rPr>
          <w:i/>
          <w:lang w:val="es-PY"/>
        </w:rPr>
        <w:t xml:space="preserve">, </w:t>
      </w:r>
      <w:r w:rsidRPr="00B64C1B">
        <w:rPr>
          <w:iCs/>
          <w:lang w:val="es-PY"/>
        </w:rPr>
        <w:t>que</w:t>
      </w:r>
      <w:r w:rsidRPr="00B64C1B">
        <w:rPr>
          <w:i/>
          <w:lang w:val="es-PY"/>
        </w:rPr>
        <w:t xml:space="preserve"> </w:t>
      </w:r>
      <w:r w:rsidRPr="00B64C1B">
        <w:rPr>
          <w:lang w:val="es-PY"/>
        </w:rPr>
        <w:t>tiene por objeto garantizar la atención, acompañamiento y protección de la mujer embarazada que tenga dificultades en la gestación por razón de edad, violencia, abuso, enfermedad, peligro físico, pobreza o indigencia, situación familiar, laboral, social, de estudios o por cualquier otro motivo que pueda derivar en un supuesto de vulnerabilidad, brindando herramientas necesarias para la tutela de la madre</w:t>
      </w:r>
      <w:r w:rsidRPr="00B64C1B">
        <w:rPr>
          <w:vertAlign w:val="superscript"/>
          <w:lang w:val="es-PY"/>
        </w:rPr>
        <w:footnoteReference w:id="88"/>
      </w:r>
      <w:r w:rsidRPr="00B64C1B">
        <w:rPr>
          <w:lang w:val="es-PY"/>
        </w:rPr>
        <w:t>.</w:t>
      </w:r>
    </w:p>
    <w:p w14:paraId="09AEB5EA" w14:textId="71893E11" w:rsidR="00583FBD" w:rsidRPr="00B64C1B" w:rsidRDefault="00583FBD" w:rsidP="00E01B8C">
      <w:pPr>
        <w:pStyle w:val="SingleTxt"/>
        <w:numPr>
          <w:ilvl w:val="0"/>
          <w:numId w:val="44"/>
        </w:numPr>
        <w:tabs>
          <w:tab w:val="num" w:pos="2804"/>
        </w:tabs>
        <w:ind w:left="1267"/>
        <w:rPr>
          <w:lang w:val="es-PY"/>
        </w:rPr>
      </w:pPr>
      <w:r w:rsidRPr="00B64C1B">
        <w:rPr>
          <w:lang w:val="es-PY"/>
        </w:rPr>
        <w:lastRenderedPageBreak/>
        <w:t>La Política Nacional de Cuidados en Paraguay (PNCUPA)</w:t>
      </w:r>
      <w:r w:rsidRPr="00B64C1B">
        <w:rPr>
          <w:vertAlign w:val="superscript"/>
          <w:lang w:val="es-PY"/>
        </w:rPr>
        <w:footnoteReference w:id="89"/>
      </w:r>
      <w:r w:rsidRPr="00B64C1B">
        <w:rPr>
          <w:lang w:val="es-PY"/>
        </w:rPr>
        <w:t>, que reconoce la importancia de redistribuir las responsabilidades domésticas y familiares entre hombres y mujeres, y la corresponsabilidad del cuidado entre familia, Estado y sociedad se encuentra en fase de aprobación. Esta política ha sido adoptada como prioridad nacional y se han realizado avances significativos en su implementación, incluyendo la conformación de la Comisión Interinstitucional de Cuidados y la elaboración del Plan de Acción correspondiente.</w:t>
      </w:r>
    </w:p>
    <w:p w14:paraId="0E857CA5" w14:textId="0E74DE4D" w:rsidR="00583FBD" w:rsidRPr="00B64C1B" w:rsidRDefault="00583FBD" w:rsidP="00E01B8C">
      <w:pPr>
        <w:pStyle w:val="SingleTxt"/>
        <w:numPr>
          <w:ilvl w:val="0"/>
          <w:numId w:val="44"/>
        </w:numPr>
        <w:ind w:left="1267"/>
        <w:rPr>
          <w:lang w:val="es-PY"/>
        </w:rPr>
      </w:pPr>
      <w:r w:rsidRPr="00B64C1B">
        <w:rPr>
          <w:lang w:val="es-PY"/>
        </w:rPr>
        <w:t xml:space="preserve">En el ámbito laboral, el MTESS está trabajando en el fortalecimiento de los servicios de atención de asuntos laborales, con especial atención en el trabajo doméstico remunerado y la violencia laboral. Se están unificando los protocolos de prestación de servicios y se realiza la verificación de salas de lactancia en los lugares de trabajo. Además, el MTESS implementa programas de formación y capacitación para mejorar el acceso de las mujeres al empleo formal, incluidos los puestos de gestión o decisión. Se han lanzado estrategias como </w:t>
      </w:r>
      <w:r w:rsidR="00F019B7">
        <w:rPr>
          <w:lang w:val="es-PY"/>
        </w:rPr>
        <w:t>“</w:t>
      </w:r>
      <w:r w:rsidRPr="00B64C1B">
        <w:rPr>
          <w:lang w:val="es-PY"/>
        </w:rPr>
        <w:t>Emplea Igualdad</w:t>
      </w:r>
      <w:r w:rsidR="00F019B7">
        <w:rPr>
          <w:lang w:val="es-PY"/>
        </w:rPr>
        <w:t>”</w:t>
      </w:r>
      <w:r w:rsidRPr="00B64C1B">
        <w:rPr>
          <w:lang w:val="es-PY"/>
        </w:rPr>
        <w:t xml:space="preserve"> y se han habilitado plataformas como </w:t>
      </w:r>
      <w:proofErr w:type="spellStart"/>
      <w:r w:rsidRPr="00B64C1B">
        <w:rPr>
          <w:lang w:val="es-PY"/>
        </w:rPr>
        <w:t>EmpleaPy</w:t>
      </w:r>
      <w:proofErr w:type="spellEnd"/>
      <w:r w:rsidRPr="00B64C1B">
        <w:rPr>
          <w:vertAlign w:val="superscript"/>
          <w:lang w:val="es-PY"/>
        </w:rPr>
        <w:footnoteReference w:id="90"/>
      </w:r>
      <w:r w:rsidRPr="00B64C1B">
        <w:rPr>
          <w:lang w:val="es-PY"/>
        </w:rPr>
        <w:t xml:space="preserve"> para facilitar el acceso al mercado laboral. En el Centro </w:t>
      </w:r>
      <w:r w:rsidR="00F019B7">
        <w:rPr>
          <w:lang w:val="es-PY"/>
        </w:rPr>
        <w:t>“</w:t>
      </w:r>
      <w:r w:rsidRPr="00B64C1B">
        <w:rPr>
          <w:lang w:val="es-PY"/>
        </w:rPr>
        <w:t>Ciudad Mujer</w:t>
      </w:r>
      <w:r w:rsidR="00F019B7">
        <w:rPr>
          <w:lang w:val="es-PY"/>
        </w:rPr>
        <w:t>”</w:t>
      </w:r>
      <w:r w:rsidRPr="00B64C1B">
        <w:rPr>
          <w:lang w:val="es-PY"/>
        </w:rPr>
        <w:t xml:space="preserve">, el MTESS coordina el Módulo de Empoderamiento Económico, que ofrece un cronograma de cursos y capacitaciones, orientación e intermediación laboral, fortalecimiento de emprendedoras y conocimiento de los derechos económicos de las mujeres. </w:t>
      </w:r>
    </w:p>
    <w:p w14:paraId="320B86FB" w14:textId="3751C4FB" w:rsidR="00583FBD" w:rsidRPr="00B64C1B" w:rsidRDefault="00583FBD" w:rsidP="00E01B8C">
      <w:pPr>
        <w:pStyle w:val="SingleTxt"/>
        <w:numPr>
          <w:ilvl w:val="0"/>
          <w:numId w:val="44"/>
        </w:numPr>
        <w:ind w:left="1267"/>
        <w:rPr>
          <w:lang w:val="es-PY"/>
        </w:rPr>
      </w:pPr>
      <w:r w:rsidRPr="00B64C1B">
        <w:rPr>
          <w:lang w:val="es-PY"/>
        </w:rPr>
        <w:t xml:space="preserve">La Ley </w:t>
      </w:r>
      <w:proofErr w:type="spellStart"/>
      <w:r w:rsidRPr="00B64C1B">
        <w:rPr>
          <w:lang w:val="es-PY"/>
        </w:rPr>
        <w:t>N°</w:t>
      </w:r>
      <w:proofErr w:type="spellEnd"/>
      <w:r w:rsidRPr="00B64C1B">
        <w:rPr>
          <w:lang w:val="es-PY"/>
        </w:rPr>
        <w:t xml:space="preserve"> </w:t>
      </w:r>
      <w:r w:rsidR="006B7B40" w:rsidRPr="00D849F6">
        <w:t>5407/15</w:t>
      </w:r>
      <w:r w:rsidRPr="00B64C1B">
        <w:rPr>
          <w:lang w:val="es-PY"/>
        </w:rPr>
        <w:t xml:space="preserve"> </w:t>
      </w:r>
      <w:r w:rsidR="00F019B7">
        <w:rPr>
          <w:lang w:val="es-PY"/>
        </w:rPr>
        <w:t>“</w:t>
      </w:r>
      <w:r w:rsidRPr="00B64C1B">
        <w:rPr>
          <w:lang w:val="es-PY"/>
        </w:rPr>
        <w:t>del Trabajo Doméstico</w:t>
      </w:r>
      <w:r w:rsidR="00F019B7">
        <w:rPr>
          <w:lang w:val="es-PY"/>
        </w:rPr>
        <w:t>”</w:t>
      </w:r>
      <w:r w:rsidRPr="00B64C1B">
        <w:rPr>
          <w:vertAlign w:val="superscript"/>
          <w:lang w:val="es-PY"/>
        </w:rPr>
        <w:footnoteReference w:id="91"/>
      </w:r>
      <w:r w:rsidRPr="00B64C1B">
        <w:rPr>
          <w:lang w:val="es-PY"/>
        </w:rPr>
        <w:t xml:space="preserve"> establece la edad mínima de 18 años para ejercer el trabajo doméstico, contribuyendo así a la protección de los derechos de los niños y adolescentes. El MTESS lleva a cabo acciones de difusión de esta ley y de sensibilización a la población sobre la situación de las niñas que realizan trabajos domésticos y sus derechos. Se ha desarrollado un programa de sensibilización conjunta con el MINNA, dirigido a los referentes de las oficinas de Consejos Departamentales de la Niñez y Adolescencia (</w:t>
      </w:r>
      <w:proofErr w:type="spellStart"/>
      <w:r w:rsidRPr="00B64C1B">
        <w:rPr>
          <w:lang w:val="es-PY"/>
        </w:rPr>
        <w:t>CODENIs</w:t>
      </w:r>
      <w:proofErr w:type="spellEnd"/>
      <w:r w:rsidRPr="00B64C1B">
        <w:rPr>
          <w:lang w:val="es-PY"/>
        </w:rPr>
        <w:t>) de todo el país. Además, se han realizado capacitaciones virtuales a los referentes de las oficinas CODENI en todo el país.</w:t>
      </w:r>
    </w:p>
    <w:p w14:paraId="7F461822" w14:textId="4FC502E6" w:rsidR="00583FBD" w:rsidRPr="00B64C1B" w:rsidRDefault="00583FBD" w:rsidP="00E01B8C">
      <w:pPr>
        <w:pStyle w:val="SingleTxt"/>
        <w:numPr>
          <w:ilvl w:val="0"/>
          <w:numId w:val="44"/>
        </w:numPr>
        <w:ind w:left="1267"/>
        <w:rPr>
          <w:lang w:val="es-PY"/>
        </w:rPr>
      </w:pPr>
      <w:r w:rsidRPr="00B64C1B">
        <w:rPr>
          <w:lang w:val="es-PY"/>
        </w:rPr>
        <w:t xml:space="preserve">En cuanto al proyecto de ley </w:t>
      </w:r>
      <w:r w:rsidR="00F019B7">
        <w:rPr>
          <w:lang w:val="es-PY"/>
        </w:rPr>
        <w:t>“</w:t>
      </w:r>
      <w:r w:rsidRPr="00B64C1B">
        <w:rPr>
          <w:lang w:val="es-PY"/>
        </w:rPr>
        <w:t xml:space="preserve">Que tipifica el trabajo infantil peligroso y el </w:t>
      </w:r>
      <w:proofErr w:type="spellStart"/>
      <w:r w:rsidRPr="00B64C1B">
        <w:rPr>
          <w:lang w:val="es-PY"/>
        </w:rPr>
        <w:t>criadazgo</w:t>
      </w:r>
      <w:proofErr w:type="spellEnd"/>
      <w:r w:rsidR="00F019B7">
        <w:rPr>
          <w:lang w:val="es-PY"/>
        </w:rPr>
        <w:t>”</w:t>
      </w:r>
      <w:r w:rsidRPr="00B64C1B">
        <w:rPr>
          <w:vertAlign w:val="superscript"/>
          <w:lang w:val="es-PY"/>
        </w:rPr>
        <w:footnoteReference w:id="92"/>
      </w:r>
      <w:r w:rsidRPr="00B64C1B">
        <w:rPr>
          <w:lang w:val="es-PY"/>
        </w:rPr>
        <w:t>, presentado por el Poder Ejecutivo en el año 2016; fue girado para su estudio a las Comisiones Asesoras de Legislación, Derechos Humanos, Equidad y Género y Desarrollo Social. Habiendo emitido dictamen la Comisión de Equidad y Género; y se cuenta con el parecer técnico de la Coordinadora por los Derechos de la Infancia y Adolescencia (CDIA) y la Comisión Nacional de Erradicación del Trabajo Infantil y del Adolescente (CONAETI).</w:t>
      </w:r>
    </w:p>
    <w:p w14:paraId="3F18BF19" w14:textId="540CFFDB" w:rsidR="00583FBD" w:rsidRPr="00B64C1B" w:rsidRDefault="00583FBD" w:rsidP="00E01B8C">
      <w:pPr>
        <w:pStyle w:val="SingleTxt"/>
        <w:numPr>
          <w:ilvl w:val="0"/>
          <w:numId w:val="44"/>
        </w:numPr>
        <w:ind w:left="1267"/>
        <w:rPr>
          <w:lang w:val="es-PY"/>
        </w:rPr>
      </w:pPr>
      <w:r w:rsidRPr="00B64C1B">
        <w:rPr>
          <w:lang w:val="es-PY"/>
        </w:rPr>
        <w:t>En torno a la implementación de la Estrategia Nacional de Prevención y Erradicación del Trabajo Infantil y Protección del Trabajo Adolescente en el Paraguay 2019-2024</w:t>
      </w:r>
      <w:r w:rsidRPr="00B64C1B">
        <w:rPr>
          <w:vertAlign w:val="superscript"/>
          <w:lang w:val="es-PY"/>
        </w:rPr>
        <w:footnoteReference w:id="93"/>
      </w:r>
      <w:r w:rsidRPr="00B64C1B">
        <w:rPr>
          <w:lang w:val="es-PY"/>
        </w:rPr>
        <w:t xml:space="preserve">, se realizaron diversas acciones para controlar el trabajo adolescente y promover el trabajo decente para los adolescentes en situación o en riesgo de formas de trabajo infantil. Se ha capacitado a representantes de las </w:t>
      </w:r>
      <w:proofErr w:type="spellStart"/>
      <w:r w:rsidRPr="00B64C1B">
        <w:rPr>
          <w:lang w:val="es-PY"/>
        </w:rPr>
        <w:t>CODENIs</w:t>
      </w:r>
      <w:proofErr w:type="spellEnd"/>
      <w:r w:rsidRPr="00B64C1B">
        <w:rPr>
          <w:lang w:val="es-PY"/>
        </w:rPr>
        <w:t xml:space="preserve"> sobre el Registro Adolescente Trabajador (RAT) en varios distritos del país. Además, se llevaron a cabo fiscalizaciones a empresas para detectar trabajo infantil o adolescente no protegido, así como acciones para suspender laboralmente y multar a empresas por vulneración de derechos de trabajo adolescente.</w:t>
      </w:r>
    </w:p>
    <w:p w14:paraId="3367E78B" w14:textId="290BE68B" w:rsidR="00583FBD" w:rsidRPr="00B64C1B" w:rsidRDefault="00583FBD" w:rsidP="00E01B8C">
      <w:pPr>
        <w:pStyle w:val="SingleTxt"/>
        <w:numPr>
          <w:ilvl w:val="0"/>
          <w:numId w:val="44"/>
        </w:numPr>
        <w:ind w:left="1267"/>
        <w:rPr>
          <w:lang w:val="es-PY"/>
        </w:rPr>
      </w:pPr>
      <w:r w:rsidRPr="00B64C1B">
        <w:rPr>
          <w:lang w:val="es-PY"/>
        </w:rPr>
        <w:lastRenderedPageBreak/>
        <w:t>El MINNA impulsó la campaña #HayPromesasPeligrosas, para prevenir y crear conciencia sobre la trata de personas con finalidad de explotación sexual y laboral de niñas, niños y adolescentes.</w:t>
      </w:r>
    </w:p>
    <w:p w14:paraId="342A8195" w14:textId="4898391D" w:rsidR="00583FBD" w:rsidRDefault="00583FBD" w:rsidP="00E01B8C">
      <w:pPr>
        <w:pStyle w:val="SingleTxt"/>
        <w:numPr>
          <w:ilvl w:val="0"/>
          <w:numId w:val="44"/>
        </w:numPr>
        <w:ind w:left="1267"/>
        <w:rPr>
          <w:lang w:val="es-PY"/>
        </w:rPr>
      </w:pPr>
      <w:r w:rsidRPr="00B64C1B">
        <w:rPr>
          <w:lang w:val="es-PY"/>
        </w:rPr>
        <w:t xml:space="preserve">El MTESS verifica a través de procedimientos generales y específicos de inspección las denuncias por hechos de violencia laboral, incluidas las exigencias de pruebas obligatorias de embarazo y VIH en los procedimientos de contratación. Además, ha adoptado la Resolución </w:t>
      </w:r>
      <w:proofErr w:type="spellStart"/>
      <w:r w:rsidRPr="00B64C1B">
        <w:rPr>
          <w:lang w:val="es-PY"/>
        </w:rPr>
        <w:t>Nº</w:t>
      </w:r>
      <w:proofErr w:type="spellEnd"/>
      <w:r w:rsidRPr="00B64C1B">
        <w:rPr>
          <w:lang w:val="es-PY"/>
        </w:rPr>
        <w:t xml:space="preserve"> 388/19, </w:t>
      </w:r>
      <w:r w:rsidR="00F019B7">
        <w:rPr>
          <w:lang w:val="es-PY"/>
        </w:rPr>
        <w:t>“</w:t>
      </w:r>
      <w:r w:rsidRPr="00B64C1B">
        <w:rPr>
          <w:lang w:val="es-PY"/>
        </w:rPr>
        <w:t xml:space="preserve">que crea la Oficina de Atención y Prevención de la Violencia Laboral y establece el procedimiento de actuación ante casos de violencia laboral, </w:t>
      </w:r>
      <w:proofErr w:type="spellStart"/>
      <w:r w:rsidRPr="00B64C1B">
        <w:rPr>
          <w:lang w:val="es-PY"/>
        </w:rPr>
        <w:t>mobbing</w:t>
      </w:r>
      <w:proofErr w:type="spellEnd"/>
      <w:r w:rsidRPr="00B64C1B">
        <w:rPr>
          <w:lang w:val="es-PY"/>
        </w:rPr>
        <w:t xml:space="preserve"> y acoso sexual en los lugares de trabajo dentro de las empresas</w:t>
      </w:r>
      <w:r w:rsidR="00F019B7">
        <w:rPr>
          <w:lang w:val="es-PY"/>
        </w:rPr>
        <w:t>”</w:t>
      </w:r>
      <w:r w:rsidRPr="00B64C1B">
        <w:rPr>
          <w:vertAlign w:val="superscript"/>
          <w:lang w:val="es-PY"/>
        </w:rPr>
        <w:footnoteReference w:id="94"/>
      </w:r>
      <w:r w:rsidRPr="00B64C1B">
        <w:rPr>
          <w:lang w:val="es-PY"/>
        </w:rPr>
        <w:t xml:space="preserve">, y está trabajando en un protocolo específico de inspección y fiscalización para los casos de violencia laboral, tanto física como sexual y psicológica, que permitirá un mayor control del cumplimiento normativo y la aplicación de sanciones correspondientes, incluyendo situaciones de exigencia de pruebas de embarazo y VIH en los entornos laborales. </w:t>
      </w:r>
    </w:p>
    <w:p w14:paraId="663DA119" w14:textId="77777777" w:rsidR="00E01B8C" w:rsidRPr="00E01B8C" w:rsidRDefault="00E01B8C" w:rsidP="00E01B8C">
      <w:pPr>
        <w:pStyle w:val="SingleTxt"/>
        <w:spacing w:after="0" w:line="120" w:lineRule="exact"/>
        <w:rPr>
          <w:sz w:val="10"/>
          <w:lang w:val="es-PY"/>
        </w:rPr>
      </w:pPr>
    </w:p>
    <w:p w14:paraId="4D9FFE0B" w14:textId="77777777" w:rsidR="00E01B8C" w:rsidRPr="00E01B8C" w:rsidRDefault="00E01B8C" w:rsidP="00E01B8C">
      <w:pPr>
        <w:pStyle w:val="SingleTxt"/>
        <w:spacing w:after="0" w:line="120" w:lineRule="exact"/>
        <w:rPr>
          <w:sz w:val="10"/>
          <w:lang w:val="es-PY"/>
        </w:rPr>
      </w:pPr>
    </w:p>
    <w:p w14:paraId="5DBA12E9" w14:textId="77777777" w:rsidR="00583FBD" w:rsidRPr="00B64C1B" w:rsidRDefault="00583FBD" w:rsidP="00E01B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Salud (art. 12)</w:t>
      </w:r>
      <w:r w:rsidRPr="00E01B8C">
        <w:rPr>
          <w:b w:val="0"/>
          <w:bCs/>
          <w:sz w:val="20"/>
          <w:szCs w:val="20"/>
          <w:vertAlign w:val="superscript"/>
          <w:lang w:val="es-PY"/>
        </w:rPr>
        <w:footnoteReference w:id="95"/>
      </w:r>
    </w:p>
    <w:p w14:paraId="49AF9CCC" w14:textId="77777777" w:rsidR="00E01B8C" w:rsidRPr="00E01B8C" w:rsidRDefault="00E01B8C" w:rsidP="00D849F6">
      <w:pPr>
        <w:pStyle w:val="SingleTxtG"/>
        <w:spacing w:after="0" w:line="120" w:lineRule="exact"/>
        <w:ind w:left="1267"/>
        <w:rPr>
          <w:bCs/>
          <w:sz w:val="10"/>
          <w:lang w:val="es-PY"/>
        </w:rPr>
      </w:pPr>
    </w:p>
    <w:p w14:paraId="51E94B4F" w14:textId="77777777" w:rsidR="00E01B8C" w:rsidRPr="00E01B8C" w:rsidRDefault="00E01B8C" w:rsidP="00D849F6">
      <w:pPr>
        <w:pStyle w:val="SingleTxtG"/>
        <w:spacing w:after="0" w:line="120" w:lineRule="exact"/>
        <w:ind w:left="1267"/>
        <w:rPr>
          <w:bCs/>
          <w:sz w:val="10"/>
          <w:lang w:val="es-PY"/>
        </w:rPr>
      </w:pPr>
    </w:p>
    <w:p w14:paraId="4674500F" w14:textId="56FE90F2" w:rsidR="00583FBD" w:rsidRPr="00B64C1B" w:rsidRDefault="00583FBD" w:rsidP="00E01B8C">
      <w:pPr>
        <w:pStyle w:val="SingleTxt"/>
        <w:numPr>
          <w:ilvl w:val="0"/>
          <w:numId w:val="44"/>
        </w:numPr>
        <w:ind w:left="1267"/>
        <w:rPr>
          <w:lang w:val="es-PY"/>
        </w:rPr>
      </w:pPr>
      <w:r w:rsidRPr="00B64C1B">
        <w:rPr>
          <w:lang w:val="es-PY"/>
        </w:rPr>
        <w:t>Si bien no se cuenta con una ley especial sobre salud sexual y reproductiva, el Estado Paraguayo reconoce y garantiza el derecho a la salud y los derechos sexuales y reproductivos como fundamentales para todas las personas, tal como se estipula en el marco jurídico nacional.</w:t>
      </w:r>
      <w:r w:rsidR="007E06AB">
        <w:rPr>
          <w:lang w:val="es-PY"/>
        </w:rPr>
        <w:t xml:space="preserve"> </w:t>
      </w:r>
      <w:r w:rsidRPr="00B64C1B">
        <w:rPr>
          <w:lang w:val="es-PY"/>
        </w:rPr>
        <w:t xml:space="preserve">El </w:t>
      </w:r>
      <w:proofErr w:type="spellStart"/>
      <w:r w:rsidRPr="00B64C1B">
        <w:rPr>
          <w:lang w:val="es-PY"/>
        </w:rPr>
        <w:t>MSPyBS</w:t>
      </w:r>
      <w:proofErr w:type="spellEnd"/>
      <w:r w:rsidRPr="00B64C1B">
        <w:rPr>
          <w:lang w:val="es-PY"/>
        </w:rPr>
        <w:t xml:space="preserve">, como rector en el ámbito de la salud, tiene la obligación y el compromiso de hacer cumplir lo establecido en el marco jurídico nacional a través de la construcción e implementación de políticas, planes, programas y normativas públicas basadas en la última evidencia científica disponible. En ese sentido, el </w:t>
      </w:r>
      <w:r w:rsidR="00F019B7">
        <w:rPr>
          <w:lang w:val="es-PY"/>
        </w:rPr>
        <w:t>“</w:t>
      </w:r>
      <w:r w:rsidRPr="00B64C1B">
        <w:rPr>
          <w:lang w:val="es-PY"/>
        </w:rPr>
        <w:t>Plan Nacional de Salud Sexual y Salud Reproductiva 2019 - 2023</w:t>
      </w:r>
      <w:r w:rsidR="00F019B7">
        <w:rPr>
          <w:lang w:val="es-PY"/>
        </w:rPr>
        <w:t>”</w:t>
      </w:r>
      <w:r w:rsidRPr="00B64C1B">
        <w:rPr>
          <w:lang w:val="es-PY"/>
        </w:rPr>
        <w:t xml:space="preserve"> se basa en los marcos legales y normativos que garantizan una atención de calidad con enfoque de derechos y de género. Articula aspectos de la gestión, procesos sistemáticos de producción, actualización del conocimiento y asignación de recursos, desarrollando estrategias para mejorar los indicadores de salud sexual y reproductiva priorizados en el país, contribuyendo así en el avance hacia el acceso universal de la salud y al desarrollo sostenible. Actualmente, se encuentra en construcción el borrador del nuevo Plan Nacional de Salud Sexual y Reproductiva.</w:t>
      </w:r>
    </w:p>
    <w:p w14:paraId="77301A00" w14:textId="65DC74E6" w:rsidR="00583FBD" w:rsidRDefault="00583FBD" w:rsidP="00E01B8C">
      <w:pPr>
        <w:pStyle w:val="SingleTxt"/>
        <w:numPr>
          <w:ilvl w:val="0"/>
          <w:numId w:val="44"/>
        </w:numPr>
        <w:ind w:left="1267"/>
        <w:rPr>
          <w:lang w:val="es-PY"/>
        </w:rPr>
      </w:pPr>
      <w:r w:rsidRPr="00B64C1B">
        <w:rPr>
          <w:lang w:val="es-PY"/>
        </w:rPr>
        <w:t xml:space="preserve">En 2024, 3l presupuesto asignado a la Dirección de Salud Sexual y Reproductiva del </w:t>
      </w:r>
      <w:proofErr w:type="spellStart"/>
      <w:r w:rsidRPr="00B64C1B">
        <w:rPr>
          <w:lang w:val="es-PY"/>
        </w:rPr>
        <w:t>MSPyBS</w:t>
      </w:r>
      <w:proofErr w:type="spellEnd"/>
      <w:r w:rsidRPr="00B64C1B">
        <w:rPr>
          <w:lang w:val="es-PY"/>
        </w:rPr>
        <w:t xml:space="preserve"> es de 15.262.550.285 guaraníes. El 95%, se destina a la compra de métodos anticonceptivos y medicamentos e insumos de Kit de Parto, dando así cumplimiento al Eje Estratégico IV del Plan Nacional de Salud Sexual y Reproductiva: aseguramiento de insumos y medicamentos de salud sexual y reproductiva.</w:t>
      </w:r>
    </w:p>
    <w:p w14:paraId="4DDBBE03" w14:textId="77777777" w:rsidR="00E01B8C" w:rsidRPr="00E01B8C" w:rsidRDefault="00E01B8C" w:rsidP="00E01B8C">
      <w:pPr>
        <w:pStyle w:val="SingleTxt"/>
        <w:spacing w:after="0" w:line="120" w:lineRule="exact"/>
        <w:rPr>
          <w:sz w:val="10"/>
          <w:lang w:val="es-PY"/>
        </w:rPr>
      </w:pPr>
    </w:p>
    <w:p w14:paraId="072C855C" w14:textId="18B3724E" w:rsidR="00E01B8C" w:rsidRDefault="00E01B8C">
      <w:pPr>
        <w:suppressAutoHyphens w:val="0"/>
        <w:spacing w:after="160" w:line="259" w:lineRule="auto"/>
        <w:rPr>
          <w:kern w:val="14"/>
          <w:sz w:val="10"/>
          <w:lang w:val="es-PY"/>
        </w:rPr>
      </w:pPr>
      <w:r>
        <w:rPr>
          <w:sz w:val="10"/>
          <w:lang w:val="es-PY"/>
        </w:rPr>
        <w:br w:type="page"/>
      </w:r>
    </w:p>
    <w:p w14:paraId="0B6267F1" w14:textId="7BE54D83" w:rsidR="00583FBD" w:rsidRDefault="00E01B8C" w:rsidP="00E01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583FBD" w:rsidRPr="00750B4C">
        <w:t>Presupuesto para salud sexual y reproductiva</w:t>
      </w:r>
      <w:r w:rsidR="00583FBD" w:rsidRPr="00E01B8C">
        <w:rPr>
          <w:b w:val="0"/>
          <w:bCs/>
          <w:vertAlign w:val="superscript"/>
        </w:rPr>
        <w:footnoteReference w:id="96"/>
      </w:r>
    </w:p>
    <w:p w14:paraId="508C3DFA" w14:textId="77777777" w:rsidR="00E01B8C" w:rsidRPr="00E01B8C" w:rsidRDefault="00E01B8C" w:rsidP="00E01B8C">
      <w:pPr>
        <w:pStyle w:val="SingleTxt"/>
        <w:spacing w:after="0" w:line="120" w:lineRule="exact"/>
        <w:rPr>
          <w:sz w:val="10"/>
        </w:rPr>
      </w:pPr>
    </w:p>
    <w:p w14:paraId="5B719DD3" w14:textId="77777777" w:rsidR="00E01B8C" w:rsidRDefault="00E01B8C" w:rsidP="00E01B8C">
      <w:pPr>
        <w:pStyle w:val="SingleTxt"/>
        <w:spacing w:after="0" w:line="120" w:lineRule="exact"/>
        <w:rPr>
          <w:sz w:val="10"/>
        </w:rPr>
      </w:pPr>
    </w:p>
    <w:p w14:paraId="2B8A82C2" w14:textId="77777777" w:rsidR="0074293E" w:rsidRDefault="0074293E" w:rsidP="00E01B8C">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857"/>
      </w:tblGrid>
      <w:tr w:rsidR="0074293E" w:rsidRPr="0074293E" w14:paraId="08C4C7F1" w14:textId="77777777" w:rsidTr="00D849F6">
        <w:trPr>
          <w:tblHeader/>
        </w:trPr>
        <w:tc>
          <w:tcPr>
            <w:tcW w:w="1857" w:type="dxa"/>
            <w:tcBorders>
              <w:top w:val="single" w:sz="4" w:space="0" w:color="auto"/>
              <w:bottom w:val="single" w:sz="12" w:space="0" w:color="auto"/>
            </w:tcBorders>
            <w:shd w:val="clear" w:color="auto" w:fill="auto"/>
            <w:vAlign w:val="bottom"/>
          </w:tcPr>
          <w:p w14:paraId="7C24DF31" w14:textId="56ECC105" w:rsidR="0074293E" w:rsidRPr="00D849F6" w:rsidRDefault="0074293E" w:rsidP="00D849F6">
            <w:pPr>
              <w:tabs>
                <w:tab w:val="left" w:pos="288"/>
                <w:tab w:val="left" w:pos="576"/>
                <w:tab w:val="left" w:pos="864"/>
                <w:tab w:val="left" w:pos="1152"/>
              </w:tabs>
              <w:spacing w:before="80" w:after="80" w:line="160" w:lineRule="exact"/>
              <w:ind w:right="40"/>
              <w:rPr>
                <w:i/>
                <w:sz w:val="14"/>
                <w:szCs w:val="14"/>
              </w:rPr>
            </w:pPr>
            <w:r w:rsidRPr="00D849F6">
              <w:rPr>
                <w:bCs/>
                <w:i/>
                <w:sz w:val="14"/>
                <w:szCs w:val="14"/>
                <w:lang w:eastAsia="es-MX"/>
              </w:rPr>
              <w:t>Año</w:t>
            </w:r>
          </w:p>
        </w:tc>
        <w:tc>
          <w:tcPr>
            <w:tcW w:w="1857" w:type="dxa"/>
            <w:tcBorders>
              <w:top w:val="single" w:sz="4" w:space="0" w:color="auto"/>
              <w:bottom w:val="single" w:sz="12" w:space="0" w:color="auto"/>
            </w:tcBorders>
            <w:shd w:val="clear" w:color="auto" w:fill="auto"/>
            <w:vAlign w:val="bottom"/>
          </w:tcPr>
          <w:p w14:paraId="2D93565C" w14:textId="53B5BE72" w:rsidR="0074293E" w:rsidRPr="00D849F6" w:rsidRDefault="0074293E" w:rsidP="00D849F6">
            <w:pPr>
              <w:tabs>
                <w:tab w:val="left" w:pos="288"/>
                <w:tab w:val="left" w:pos="576"/>
                <w:tab w:val="left" w:pos="864"/>
                <w:tab w:val="left" w:pos="1152"/>
              </w:tabs>
              <w:spacing w:before="80" w:after="80" w:line="160" w:lineRule="exact"/>
              <w:ind w:right="40"/>
              <w:jc w:val="right"/>
              <w:rPr>
                <w:i/>
                <w:sz w:val="14"/>
                <w:szCs w:val="14"/>
              </w:rPr>
            </w:pPr>
            <w:r w:rsidRPr="00D849F6">
              <w:rPr>
                <w:bCs/>
                <w:i/>
                <w:sz w:val="14"/>
                <w:szCs w:val="14"/>
                <w:lang w:eastAsia="es-MX"/>
              </w:rPr>
              <w:t>Presupuesto asignado</w:t>
            </w:r>
          </w:p>
        </w:tc>
        <w:tc>
          <w:tcPr>
            <w:tcW w:w="1857" w:type="dxa"/>
            <w:tcBorders>
              <w:top w:val="single" w:sz="4" w:space="0" w:color="auto"/>
              <w:bottom w:val="single" w:sz="12" w:space="0" w:color="auto"/>
            </w:tcBorders>
            <w:shd w:val="clear" w:color="auto" w:fill="auto"/>
            <w:vAlign w:val="bottom"/>
          </w:tcPr>
          <w:p w14:paraId="0864CF22" w14:textId="7E580F40" w:rsidR="0074293E" w:rsidRPr="00D849F6" w:rsidRDefault="0074293E" w:rsidP="00D849F6">
            <w:pPr>
              <w:tabs>
                <w:tab w:val="left" w:pos="288"/>
                <w:tab w:val="left" w:pos="576"/>
                <w:tab w:val="left" w:pos="864"/>
                <w:tab w:val="left" w:pos="1152"/>
              </w:tabs>
              <w:spacing w:before="80" w:after="80" w:line="160" w:lineRule="exact"/>
              <w:ind w:right="40"/>
              <w:jc w:val="right"/>
              <w:rPr>
                <w:i/>
                <w:sz w:val="14"/>
                <w:szCs w:val="14"/>
              </w:rPr>
            </w:pPr>
            <w:r w:rsidRPr="00D849F6">
              <w:rPr>
                <w:bCs/>
                <w:i/>
                <w:sz w:val="14"/>
                <w:szCs w:val="14"/>
                <w:lang w:eastAsia="es-MX"/>
              </w:rPr>
              <w:t>Ejecutado</w:t>
            </w:r>
          </w:p>
        </w:tc>
        <w:tc>
          <w:tcPr>
            <w:tcW w:w="1857" w:type="dxa"/>
            <w:tcBorders>
              <w:top w:val="single" w:sz="4" w:space="0" w:color="auto"/>
              <w:bottom w:val="single" w:sz="12" w:space="0" w:color="auto"/>
            </w:tcBorders>
            <w:shd w:val="clear" w:color="auto" w:fill="auto"/>
            <w:vAlign w:val="bottom"/>
          </w:tcPr>
          <w:p w14:paraId="1E6AF850" w14:textId="134E0369" w:rsidR="0074293E" w:rsidRPr="00D849F6" w:rsidRDefault="0074293E" w:rsidP="00D849F6">
            <w:pPr>
              <w:tabs>
                <w:tab w:val="left" w:pos="288"/>
                <w:tab w:val="left" w:pos="576"/>
                <w:tab w:val="left" w:pos="864"/>
                <w:tab w:val="left" w:pos="1152"/>
              </w:tabs>
              <w:spacing w:before="80" w:after="80" w:line="160" w:lineRule="exact"/>
              <w:ind w:right="40"/>
              <w:jc w:val="right"/>
              <w:rPr>
                <w:i/>
                <w:sz w:val="14"/>
                <w:szCs w:val="14"/>
              </w:rPr>
            </w:pPr>
            <w:r w:rsidRPr="00D849F6">
              <w:rPr>
                <w:bCs/>
                <w:i/>
                <w:sz w:val="14"/>
                <w:szCs w:val="14"/>
                <w:lang w:eastAsia="es-MX"/>
              </w:rPr>
              <w:t>% Ejecución</w:t>
            </w:r>
          </w:p>
        </w:tc>
      </w:tr>
      <w:tr w:rsidR="0074293E" w:rsidRPr="0074293E" w14:paraId="4FAC091C" w14:textId="77777777" w:rsidTr="00D849F6">
        <w:trPr>
          <w:trHeight w:hRule="exact" w:val="115"/>
          <w:tblHeader/>
        </w:trPr>
        <w:tc>
          <w:tcPr>
            <w:tcW w:w="1857" w:type="dxa"/>
            <w:tcBorders>
              <w:top w:val="single" w:sz="12" w:space="0" w:color="auto"/>
            </w:tcBorders>
            <w:shd w:val="clear" w:color="auto" w:fill="auto"/>
            <w:vAlign w:val="bottom"/>
          </w:tcPr>
          <w:p w14:paraId="1AE6B479" w14:textId="77777777" w:rsidR="0074293E" w:rsidRPr="0074293E" w:rsidRDefault="0074293E" w:rsidP="0074293E">
            <w:pPr>
              <w:tabs>
                <w:tab w:val="left" w:pos="288"/>
                <w:tab w:val="left" w:pos="576"/>
                <w:tab w:val="left" w:pos="864"/>
                <w:tab w:val="left" w:pos="1152"/>
              </w:tabs>
              <w:spacing w:before="40" w:after="40" w:line="210" w:lineRule="exact"/>
              <w:ind w:right="40"/>
              <w:rPr>
                <w:sz w:val="17"/>
              </w:rPr>
            </w:pPr>
          </w:p>
        </w:tc>
        <w:tc>
          <w:tcPr>
            <w:tcW w:w="1857" w:type="dxa"/>
            <w:tcBorders>
              <w:top w:val="single" w:sz="12" w:space="0" w:color="auto"/>
            </w:tcBorders>
            <w:shd w:val="clear" w:color="auto" w:fill="auto"/>
            <w:vAlign w:val="bottom"/>
          </w:tcPr>
          <w:p w14:paraId="1FA64D84" w14:textId="77777777" w:rsidR="0074293E" w:rsidRPr="0074293E" w:rsidRDefault="0074293E" w:rsidP="00D849F6">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49F88656" w14:textId="77777777" w:rsidR="0074293E" w:rsidRPr="0074293E" w:rsidRDefault="0074293E" w:rsidP="00D849F6">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5E4672B9" w14:textId="77777777" w:rsidR="0074293E" w:rsidRPr="0074293E" w:rsidRDefault="0074293E" w:rsidP="00D849F6">
            <w:pPr>
              <w:tabs>
                <w:tab w:val="left" w:pos="288"/>
                <w:tab w:val="left" w:pos="576"/>
                <w:tab w:val="left" w:pos="864"/>
                <w:tab w:val="left" w:pos="1152"/>
              </w:tabs>
              <w:spacing w:before="40" w:after="40" w:line="210" w:lineRule="exact"/>
              <w:ind w:right="40"/>
              <w:jc w:val="right"/>
              <w:rPr>
                <w:sz w:val="17"/>
              </w:rPr>
            </w:pPr>
          </w:p>
        </w:tc>
      </w:tr>
      <w:tr w:rsidR="0074293E" w:rsidRPr="0074293E" w14:paraId="1590C4AF" w14:textId="77777777" w:rsidTr="00D849F6">
        <w:tc>
          <w:tcPr>
            <w:tcW w:w="1857" w:type="dxa"/>
            <w:shd w:val="clear" w:color="auto" w:fill="auto"/>
          </w:tcPr>
          <w:p w14:paraId="003728D8" w14:textId="7F0CFEAA"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2017</w:t>
            </w:r>
          </w:p>
        </w:tc>
        <w:tc>
          <w:tcPr>
            <w:tcW w:w="1857" w:type="dxa"/>
            <w:shd w:val="clear" w:color="auto" w:fill="auto"/>
            <w:vAlign w:val="bottom"/>
          </w:tcPr>
          <w:p w14:paraId="5F269419" w14:textId="233A8D79"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199</w:t>
            </w:r>
            <w:r w:rsidR="00F470DB" w:rsidRPr="00D849F6">
              <w:rPr>
                <w:sz w:val="17"/>
                <w:szCs w:val="17"/>
                <w:lang w:eastAsia="es-MX"/>
              </w:rPr>
              <w:t xml:space="preserve"> </w:t>
            </w:r>
            <w:r w:rsidRPr="00D849F6">
              <w:rPr>
                <w:sz w:val="17"/>
                <w:szCs w:val="17"/>
                <w:lang w:eastAsia="es-MX"/>
              </w:rPr>
              <w:t>174</w:t>
            </w:r>
            <w:r w:rsidR="00F470DB" w:rsidRPr="00D849F6">
              <w:rPr>
                <w:sz w:val="17"/>
                <w:szCs w:val="17"/>
                <w:lang w:eastAsia="es-MX"/>
              </w:rPr>
              <w:t xml:space="preserve"> </w:t>
            </w:r>
            <w:r w:rsidRPr="00D849F6">
              <w:rPr>
                <w:sz w:val="17"/>
                <w:szCs w:val="17"/>
                <w:lang w:eastAsia="es-MX"/>
              </w:rPr>
              <w:t>724</w:t>
            </w:r>
            <w:r w:rsidR="00F470DB" w:rsidRPr="00D849F6">
              <w:rPr>
                <w:sz w:val="17"/>
                <w:szCs w:val="17"/>
                <w:lang w:eastAsia="es-MX"/>
              </w:rPr>
              <w:t xml:space="preserve"> </w:t>
            </w:r>
            <w:r w:rsidRPr="00D849F6">
              <w:rPr>
                <w:sz w:val="17"/>
                <w:szCs w:val="17"/>
                <w:lang w:eastAsia="es-MX"/>
              </w:rPr>
              <w:t>753</w:t>
            </w:r>
          </w:p>
        </w:tc>
        <w:tc>
          <w:tcPr>
            <w:tcW w:w="1857" w:type="dxa"/>
            <w:shd w:val="clear" w:color="auto" w:fill="auto"/>
            <w:vAlign w:val="bottom"/>
          </w:tcPr>
          <w:p w14:paraId="660C74AC" w14:textId="582811CF"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190</w:t>
            </w:r>
            <w:r w:rsidR="00F470DB" w:rsidRPr="00D849F6">
              <w:rPr>
                <w:sz w:val="17"/>
                <w:szCs w:val="17"/>
                <w:lang w:eastAsia="es-MX"/>
              </w:rPr>
              <w:t xml:space="preserve"> </w:t>
            </w:r>
            <w:r w:rsidRPr="00D849F6">
              <w:rPr>
                <w:sz w:val="17"/>
                <w:szCs w:val="17"/>
                <w:lang w:eastAsia="es-MX"/>
              </w:rPr>
              <w:t>344</w:t>
            </w:r>
            <w:r w:rsidR="00F470DB" w:rsidRPr="00D849F6">
              <w:rPr>
                <w:sz w:val="17"/>
                <w:szCs w:val="17"/>
                <w:lang w:eastAsia="es-MX"/>
              </w:rPr>
              <w:t xml:space="preserve"> </w:t>
            </w:r>
            <w:r w:rsidRPr="00D849F6">
              <w:rPr>
                <w:sz w:val="17"/>
                <w:szCs w:val="17"/>
                <w:lang w:eastAsia="es-MX"/>
              </w:rPr>
              <w:t>043</w:t>
            </w:r>
            <w:r w:rsidR="00F470DB" w:rsidRPr="00D849F6">
              <w:rPr>
                <w:sz w:val="17"/>
                <w:szCs w:val="17"/>
                <w:lang w:eastAsia="es-MX"/>
              </w:rPr>
              <w:t xml:space="preserve"> </w:t>
            </w:r>
            <w:r w:rsidRPr="00D849F6">
              <w:rPr>
                <w:sz w:val="17"/>
                <w:szCs w:val="17"/>
                <w:lang w:eastAsia="es-MX"/>
              </w:rPr>
              <w:t>742</w:t>
            </w:r>
          </w:p>
        </w:tc>
        <w:tc>
          <w:tcPr>
            <w:tcW w:w="1857" w:type="dxa"/>
            <w:shd w:val="clear" w:color="auto" w:fill="auto"/>
            <w:vAlign w:val="bottom"/>
          </w:tcPr>
          <w:p w14:paraId="06E4E0CD" w14:textId="06C7A03E"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96</w:t>
            </w:r>
            <w:r w:rsidR="00F470DB" w:rsidRPr="00D849F6">
              <w:rPr>
                <w:b/>
                <w:bCs/>
                <w:sz w:val="17"/>
                <w:szCs w:val="17"/>
                <w:lang w:eastAsia="es-MX"/>
              </w:rPr>
              <w:t> </w:t>
            </w:r>
            <w:r w:rsidRPr="00D849F6">
              <w:rPr>
                <w:b/>
                <w:bCs/>
                <w:sz w:val="17"/>
                <w:szCs w:val="17"/>
                <w:lang w:eastAsia="es-MX"/>
              </w:rPr>
              <w:t>%</w:t>
            </w:r>
          </w:p>
        </w:tc>
      </w:tr>
      <w:tr w:rsidR="0074293E" w:rsidRPr="0074293E" w14:paraId="0D99DF0C" w14:textId="77777777" w:rsidTr="00D849F6">
        <w:tc>
          <w:tcPr>
            <w:tcW w:w="1857" w:type="dxa"/>
            <w:shd w:val="clear" w:color="auto" w:fill="auto"/>
          </w:tcPr>
          <w:p w14:paraId="6DD6277E" w14:textId="7EC0F648"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2018</w:t>
            </w:r>
          </w:p>
        </w:tc>
        <w:tc>
          <w:tcPr>
            <w:tcW w:w="1857" w:type="dxa"/>
            <w:shd w:val="clear" w:color="auto" w:fill="auto"/>
            <w:vAlign w:val="bottom"/>
          </w:tcPr>
          <w:p w14:paraId="4BB5F646" w14:textId="631C597F"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201</w:t>
            </w:r>
            <w:r w:rsidR="00F470DB" w:rsidRPr="00D849F6">
              <w:rPr>
                <w:sz w:val="17"/>
                <w:szCs w:val="17"/>
                <w:lang w:eastAsia="es-MX"/>
              </w:rPr>
              <w:t xml:space="preserve"> </w:t>
            </w:r>
            <w:r w:rsidRPr="00D849F6">
              <w:rPr>
                <w:sz w:val="17"/>
                <w:szCs w:val="17"/>
                <w:lang w:eastAsia="es-MX"/>
              </w:rPr>
              <w:t>653</w:t>
            </w:r>
            <w:r w:rsidR="00F470DB" w:rsidRPr="00D849F6">
              <w:rPr>
                <w:sz w:val="17"/>
                <w:szCs w:val="17"/>
                <w:lang w:eastAsia="es-MX"/>
              </w:rPr>
              <w:t xml:space="preserve"> </w:t>
            </w:r>
            <w:r w:rsidRPr="00D849F6">
              <w:rPr>
                <w:sz w:val="17"/>
                <w:szCs w:val="17"/>
                <w:lang w:eastAsia="es-MX"/>
              </w:rPr>
              <w:t>871</w:t>
            </w:r>
            <w:r w:rsidR="00F470DB" w:rsidRPr="00D849F6">
              <w:rPr>
                <w:sz w:val="17"/>
                <w:szCs w:val="17"/>
                <w:lang w:eastAsia="es-MX"/>
              </w:rPr>
              <w:t xml:space="preserve"> </w:t>
            </w:r>
            <w:r w:rsidRPr="00D849F6">
              <w:rPr>
                <w:sz w:val="17"/>
                <w:szCs w:val="17"/>
                <w:lang w:eastAsia="es-MX"/>
              </w:rPr>
              <w:t>938</w:t>
            </w:r>
          </w:p>
        </w:tc>
        <w:tc>
          <w:tcPr>
            <w:tcW w:w="1857" w:type="dxa"/>
            <w:shd w:val="clear" w:color="auto" w:fill="auto"/>
            <w:vAlign w:val="bottom"/>
          </w:tcPr>
          <w:p w14:paraId="1EB5ABAE" w14:textId="3F06B746"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172</w:t>
            </w:r>
            <w:r w:rsidR="00F470DB" w:rsidRPr="00D849F6">
              <w:rPr>
                <w:sz w:val="17"/>
                <w:szCs w:val="17"/>
                <w:lang w:eastAsia="es-MX"/>
              </w:rPr>
              <w:t xml:space="preserve"> </w:t>
            </w:r>
            <w:r w:rsidRPr="00D849F6">
              <w:rPr>
                <w:sz w:val="17"/>
                <w:szCs w:val="17"/>
                <w:lang w:eastAsia="es-MX"/>
              </w:rPr>
              <w:t>044</w:t>
            </w:r>
            <w:r w:rsidR="00F470DB" w:rsidRPr="00D849F6">
              <w:rPr>
                <w:sz w:val="17"/>
                <w:szCs w:val="17"/>
                <w:lang w:eastAsia="es-MX"/>
              </w:rPr>
              <w:t xml:space="preserve"> </w:t>
            </w:r>
            <w:r w:rsidRPr="00D849F6">
              <w:rPr>
                <w:sz w:val="17"/>
                <w:szCs w:val="17"/>
                <w:lang w:eastAsia="es-MX"/>
              </w:rPr>
              <w:t>152</w:t>
            </w:r>
            <w:r w:rsidR="00F470DB" w:rsidRPr="00D849F6">
              <w:rPr>
                <w:sz w:val="17"/>
                <w:szCs w:val="17"/>
                <w:lang w:eastAsia="es-MX"/>
              </w:rPr>
              <w:t xml:space="preserve"> </w:t>
            </w:r>
            <w:r w:rsidRPr="00D849F6">
              <w:rPr>
                <w:sz w:val="17"/>
                <w:szCs w:val="17"/>
                <w:lang w:eastAsia="es-MX"/>
              </w:rPr>
              <w:t>723</w:t>
            </w:r>
          </w:p>
        </w:tc>
        <w:tc>
          <w:tcPr>
            <w:tcW w:w="1857" w:type="dxa"/>
            <w:shd w:val="clear" w:color="auto" w:fill="auto"/>
            <w:vAlign w:val="bottom"/>
          </w:tcPr>
          <w:p w14:paraId="3A87FA4B" w14:textId="0C98917D"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85</w:t>
            </w:r>
            <w:r w:rsidR="00F470DB" w:rsidRPr="00D849F6">
              <w:rPr>
                <w:b/>
                <w:bCs/>
                <w:sz w:val="17"/>
                <w:szCs w:val="17"/>
                <w:lang w:eastAsia="es-MX"/>
              </w:rPr>
              <w:t> </w:t>
            </w:r>
            <w:r w:rsidRPr="00D849F6">
              <w:rPr>
                <w:b/>
                <w:bCs/>
                <w:sz w:val="17"/>
                <w:szCs w:val="17"/>
                <w:lang w:eastAsia="es-MX"/>
              </w:rPr>
              <w:t>%</w:t>
            </w:r>
          </w:p>
        </w:tc>
      </w:tr>
      <w:tr w:rsidR="0074293E" w:rsidRPr="0074293E" w14:paraId="1971E0E9" w14:textId="77777777" w:rsidTr="00D849F6">
        <w:tc>
          <w:tcPr>
            <w:tcW w:w="1857" w:type="dxa"/>
            <w:shd w:val="clear" w:color="auto" w:fill="auto"/>
          </w:tcPr>
          <w:p w14:paraId="630E93FE" w14:textId="2B17B54C"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2019</w:t>
            </w:r>
          </w:p>
        </w:tc>
        <w:tc>
          <w:tcPr>
            <w:tcW w:w="1857" w:type="dxa"/>
            <w:shd w:val="clear" w:color="auto" w:fill="auto"/>
            <w:vAlign w:val="bottom"/>
          </w:tcPr>
          <w:p w14:paraId="41505FCC" w14:textId="6DD322C6"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259</w:t>
            </w:r>
            <w:r w:rsidR="00F470DB" w:rsidRPr="00D849F6">
              <w:rPr>
                <w:sz w:val="17"/>
                <w:szCs w:val="17"/>
                <w:lang w:eastAsia="es-MX"/>
              </w:rPr>
              <w:t xml:space="preserve"> </w:t>
            </w:r>
            <w:r w:rsidRPr="00D849F6">
              <w:rPr>
                <w:sz w:val="17"/>
                <w:szCs w:val="17"/>
                <w:lang w:eastAsia="es-MX"/>
              </w:rPr>
              <w:t>925</w:t>
            </w:r>
            <w:r w:rsidR="00F470DB" w:rsidRPr="00D849F6">
              <w:rPr>
                <w:sz w:val="17"/>
                <w:szCs w:val="17"/>
                <w:lang w:eastAsia="es-MX"/>
              </w:rPr>
              <w:t xml:space="preserve"> </w:t>
            </w:r>
            <w:r w:rsidRPr="00D849F6">
              <w:rPr>
                <w:sz w:val="17"/>
                <w:szCs w:val="17"/>
                <w:lang w:eastAsia="es-MX"/>
              </w:rPr>
              <w:t>558</w:t>
            </w:r>
            <w:r w:rsidR="00F470DB" w:rsidRPr="00D849F6">
              <w:rPr>
                <w:sz w:val="17"/>
                <w:szCs w:val="17"/>
                <w:lang w:eastAsia="es-MX"/>
              </w:rPr>
              <w:t xml:space="preserve"> </w:t>
            </w:r>
            <w:r w:rsidRPr="00D849F6">
              <w:rPr>
                <w:sz w:val="17"/>
                <w:szCs w:val="17"/>
                <w:lang w:eastAsia="es-MX"/>
              </w:rPr>
              <w:t>523</w:t>
            </w:r>
          </w:p>
        </w:tc>
        <w:tc>
          <w:tcPr>
            <w:tcW w:w="1857" w:type="dxa"/>
            <w:shd w:val="clear" w:color="auto" w:fill="auto"/>
            <w:vAlign w:val="bottom"/>
          </w:tcPr>
          <w:p w14:paraId="4377FDDC" w14:textId="5FBBE952"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175</w:t>
            </w:r>
            <w:r w:rsidR="00F470DB" w:rsidRPr="00D849F6">
              <w:rPr>
                <w:sz w:val="17"/>
                <w:szCs w:val="17"/>
                <w:lang w:eastAsia="es-MX"/>
              </w:rPr>
              <w:t xml:space="preserve"> </w:t>
            </w:r>
            <w:r w:rsidRPr="00D849F6">
              <w:rPr>
                <w:sz w:val="17"/>
                <w:szCs w:val="17"/>
                <w:lang w:eastAsia="es-MX"/>
              </w:rPr>
              <w:t>658</w:t>
            </w:r>
            <w:r w:rsidR="00F470DB" w:rsidRPr="00D849F6">
              <w:rPr>
                <w:sz w:val="17"/>
                <w:szCs w:val="17"/>
                <w:lang w:eastAsia="es-MX"/>
              </w:rPr>
              <w:t xml:space="preserve"> </w:t>
            </w:r>
            <w:r w:rsidRPr="00D849F6">
              <w:rPr>
                <w:sz w:val="17"/>
                <w:szCs w:val="17"/>
                <w:lang w:eastAsia="es-MX"/>
              </w:rPr>
              <w:t>221</w:t>
            </w:r>
            <w:r w:rsidR="00F470DB" w:rsidRPr="00D849F6">
              <w:rPr>
                <w:sz w:val="17"/>
                <w:szCs w:val="17"/>
                <w:lang w:eastAsia="es-MX"/>
              </w:rPr>
              <w:t xml:space="preserve"> </w:t>
            </w:r>
            <w:r w:rsidRPr="00D849F6">
              <w:rPr>
                <w:sz w:val="17"/>
                <w:szCs w:val="17"/>
                <w:lang w:eastAsia="es-MX"/>
              </w:rPr>
              <w:t>606</w:t>
            </w:r>
          </w:p>
        </w:tc>
        <w:tc>
          <w:tcPr>
            <w:tcW w:w="1857" w:type="dxa"/>
            <w:shd w:val="clear" w:color="auto" w:fill="auto"/>
            <w:vAlign w:val="bottom"/>
          </w:tcPr>
          <w:p w14:paraId="6D52B836" w14:textId="2EFF058F"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68</w:t>
            </w:r>
            <w:r w:rsidR="00F470DB" w:rsidRPr="00D849F6">
              <w:rPr>
                <w:b/>
                <w:bCs/>
                <w:sz w:val="17"/>
                <w:szCs w:val="17"/>
                <w:lang w:eastAsia="es-MX"/>
              </w:rPr>
              <w:t> </w:t>
            </w:r>
            <w:r w:rsidRPr="00D849F6">
              <w:rPr>
                <w:b/>
                <w:bCs/>
                <w:sz w:val="17"/>
                <w:szCs w:val="17"/>
                <w:lang w:eastAsia="es-MX"/>
              </w:rPr>
              <w:t>%</w:t>
            </w:r>
          </w:p>
        </w:tc>
      </w:tr>
      <w:tr w:rsidR="0074293E" w:rsidRPr="0074293E" w14:paraId="2333300A" w14:textId="77777777" w:rsidTr="00D849F6">
        <w:tc>
          <w:tcPr>
            <w:tcW w:w="1857" w:type="dxa"/>
            <w:shd w:val="clear" w:color="auto" w:fill="auto"/>
          </w:tcPr>
          <w:p w14:paraId="40CE16B2" w14:textId="00D2711B"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2020</w:t>
            </w:r>
          </w:p>
        </w:tc>
        <w:tc>
          <w:tcPr>
            <w:tcW w:w="1857" w:type="dxa"/>
            <w:shd w:val="clear" w:color="auto" w:fill="auto"/>
            <w:vAlign w:val="bottom"/>
          </w:tcPr>
          <w:p w14:paraId="3D499284" w14:textId="273E089E"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258</w:t>
            </w:r>
            <w:r w:rsidR="00F470DB" w:rsidRPr="00D849F6">
              <w:rPr>
                <w:sz w:val="17"/>
                <w:szCs w:val="17"/>
                <w:lang w:eastAsia="es-MX"/>
              </w:rPr>
              <w:t xml:space="preserve"> </w:t>
            </w:r>
            <w:r w:rsidRPr="00D849F6">
              <w:rPr>
                <w:sz w:val="17"/>
                <w:szCs w:val="17"/>
                <w:lang w:eastAsia="es-MX"/>
              </w:rPr>
              <w:t>423</w:t>
            </w:r>
            <w:r w:rsidR="00F470DB" w:rsidRPr="00D849F6">
              <w:rPr>
                <w:sz w:val="17"/>
                <w:szCs w:val="17"/>
                <w:lang w:eastAsia="es-MX"/>
              </w:rPr>
              <w:t xml:space="preserve"> </w:t>
            </w:r>
            <w:r w:rsidRPr="00D849F6">
              <w:rPr>
                <w:sz w:val="17"/>
                <w:szCs w:val="17"/>
                <w:lang w:eastAsia="es-MX"/>
              </w:rPr>
              <w:t>793</w:t>
            </w:r>
            <w:r w:rsidR="00F470DB" w:rsidRPr="00D849F6">
              <w:rPr>
                <w:sz w:val="17"/>
                <w:szCs w:val="17"/>
                <w:lang w:eastAsia="es-MX"/>
              </w:rPr>
              <w:t xml:space="preserve"> </w:t>
            </w:r>
            <w:r w:rsidRPr="00D849F6">
              <w:rPr>
                <w:sz w:val="17"/>
                <w:szCs w:val="17"/>
                <w:lang w:eastAsia="es-MX"/>
              </w:rPr>
              <w:t>734</w:t>
            </w:r>
          </w:p>
        </w:tc>
        <w:tc>
          <w:tcPr>
            <w:tcW w:w="1857" w:type="dxa"/>
            <w:shd w:val="clear" w:color="auto" w:fill="auto"/>
            <w:vAlign w:val="bottom"/>
          </w:tcPr>
          <w:p w14:paraId="4A86A25A" w14:textId="53E7A6F3"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243</w:t>
            </w:r>
            <w:r w:rsidR="00F470DB" w:rsidRPr="00D849F6">
              <w:rPr>
                <w:sz w:val="17"/>
                <w:szCs w:val="17"/>
                <w:lang w:eastAsia="es-MX"/>
              </w:rPr>
              <w:t xml:space="preserve"> </w:t>
            </w:r>
            <w:r w:rsidRPr="00D849F6">
              <w:rPr>
                <w:sz w:val="17"/>
                <w:szCs w:val="17"/>
                <w:lang w:eastAsia="es-MX"/>
              </w:rPr>
              <w:t>710</w:t>
            </w:r>
            <w:r w:rsidR="00F470DB" w:rsidRPr="00D849F6">
              <w:rPr>
                <w:sz w:val="17"/>
                <w:szCs w:val="17"/>
                <w:lang w:eastAsia="es-MX"/>
              </w:rPr>
              <w:t xml:space="preserve"> </w:t>
            </w:r>
            <w:r w:rsidRPr="00D849F6">
              <w:rPr>
                <w:sz w:val="17"/>
                <w:szCs w:val="17"/>
                <w:lang w:eastAsia="es-MX"/>
              </w:rPr>
              <w:t>170</w:t>
            </w:r>
            <w:r w:rsidR="00F470DB" w:rsidRPr="00D849F6">
              <w:rPr>
                <w:sz w:val="17"/>
                <w:szCs w:val="17"/>
                <w:lang w:eastAsia="es-MX"/>
              </w:rPr>
              <w:t xml:space="preserve"> </w:t>
            </w:r>
            <w:r w:rsidRPr="00D849F6">
              <w:rPr>
                <w:sz w:val="17"/>
                <w:szCs w:val="17"/>
                <w:lang w:eastAsia="es-MX"/>
              </w:rPr>
              <w:t>142</w:t>
            </w:r>
          </w:p>
        </w:tc>
        <w:tc>
          <w:tcPr>
            <w:tcW w:w="1857" w:type="dxa"/>
            <w:shd w:val="clear" w:color="auto" w:fill="auto"/>
            <w:vAlign w:val="bottom"/>
          </w:tcPr>
          <w:p w14:paraId="2A0F2CB7" w14:textId="5A21A5EC"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94</w:t>
            </w:r>
            <w:r w:rsidR="00F470DB" w:rsidRPr="00D849F6">
              <w:rPr>
                <w:b/>
                <w:bCs/>
                <w:sz w:val="17"/>
                <w:szCs w:val="17"/>
                <w:lang w:eastAsia="es-MX"/>
              </w:rPr>
              <w:t> </w:t>
            </w:r>
            <w:r w:rsidRPr="00D849F6">
              <w:rPr>
                <w:b/>
                <w:bCs/>
                <w:sz w:val="17"/>
                <w:szCs w:val="17"/>
                <w:lang w:eastAsia="es-MX"/>
              </w:rPr>
              <w:t>%</w:t>
            </w:r>
          </w:p>
        </w:tc>
      </w:tr>
      <w:tr w:rsidR="0074293E" w:rsidRPr="0074293E" w14:paraId="6B0F37A3" w14:textId="77777777" w:rsidTr="00D849F6">
        <w:tc>
          <w:tcPr>
            <w:tcW w:w="1857" w:type="dxa"/>
            <w:shd w:val="clear" w:color="auto" w:fill="auto"/>
          </w:tcPr>
          <w:p w14:paraId="7DC6B503" w14:textId="317EF907"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2021</w:t>
            </w:r>
          </w:p>
        </w:tc>
        <w:tc>
          <w:tcPr>
            <w:tcW w:w="1857" w:type="dxa"/>
            <w:shd w:val="clear" w:color="auto" w:fill="auto"/>
            <w:vAlign w:val="bottom"/>
          </w:tcPr>
          <w:p w14:paraId="4B1B3BEF" w14:textId="2073F25F"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265</w:t>
            </w:r>
            <w:r w:rsidR="00F470DB" w:rsidRPr="00D849F6">
              <w:rPr>
                <w:sz w:val="17"/>
                <w:szCs w:val="17"/>
                <w:lang w:eastAsia="es-MX"/>
              </w:rPr>
              <w:t xml:space="preserve"> </w:t>
            </w:r>
            <w:r w:rsidRPr="00D849F6">
              <w:rPr>
                <w:sz w:val="17"/>
                <w:szCs w:val="17"/>
                <w:lang w:eastAsia="es-MX"/>
              </w:rPr>
              <w:t>582</w:t>
            </w:r>
            <w:r w:rsidR="00F470DB" w:rsidRPr="00D849F6">
              <w:rPr>
                <w:sz w:val="17"/>
                <w:szCs w:val="17"/>
                <w:lang w:eastAsia="es-MX"/>
              </w:rPr>
              <w:t xml:space="preserve"> </w:t>
            </w:r>
            <w:r w:rsidRPr="00D849F6">
              <w:rPr>
                <w:sz w:val="17"/>
                <w:szCs w:val="17"/>
                <w:lang w:eastAsia="es-MX"/>
              </w:rPr>
              <w:t>507</w:t>
            </w:r>
            <w:r w:rsidR="00F470DB" w:rsidRPr="00D849F6">
              <w:rPr>
                <w:sz w:val="17"/>
                <w:szCs w:val="17"/>
                <w:lang w:eastAsia="es-MX"/>
              </w:rPr>
              <w:t xml:space="preserve"> </w:t>
            </w:r>
            <w:r w:rsidRPr="00D849F6">
              <w:rPr>
                <w:sz w:val="17"/>
                <w:szCs w:val="17"/>
                <w:lang w:eastAsia="es-MX"/>
              </w:rPr>
              <w:t>364</w:t>
            </w:r>
          </w:p>
        </w:tc>
        <w:tc>
          <w:tcPr>
            <w:tcW w:w="1857" w:type="dxa"/>
            <w:shd w:val="clear" w:color="auto" w:fill="auto"/>
            <w:vAlign w:val="bottom"/>
          </w:tcPr>
          <w:p w14:paraId="6ED725CD" w14:textId="6E583873"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248</w:t>
            </w:r>
            <w:r w:rsidR="00F470DB" w:rsidRPr="00D849F6">
              <w:rPr>
                <w:sz w:val="17"/>
                <w:szCs w:val="17"/>
                <w:lang w:eastAsia="es-MX"/>
              </w:rPr>
              <w:t xml:space="preserve"> </w:t>
            </w:r>
            <w:r w:rsidRPr="00D849F6">
              <w:rPr>
                <w:sz w:val="17"/>
                <w:szCs w:val="17"/>
                <w:lang w:eastAsia="es-MX"/>
              </w:rPr>
              <w:t>181</w:t>
            </w:r>
            <w:r w:rsidR="00F470DB" w:rsidRPr="00D849F6">
              <w:rPr>
                <w:sz w:val="17"/>
                <w:szCs w:val="17"/>
                <w:lang w:eastAsia="es-MX"/>
              </w:rPr>
              <w:t xml:space="preserve"> </w:t>
            </w:r>
            <w:r w:rsidRPr="00D849F6">
              <w:rPr>
                <w:sz w:val="17"/>
                <w:szCs w:val="17"/>
                <w:lang w:eastAsia="es-MX"/>
              </w:rPr>
              <w:t>585</w:t>
            </w:r>
            <w:r w:rsidR="00F470DB" w:rsidRPr="00D849F6">
              <w:rPr>
                <w:sz w:val="17"/>
                <w:szCs w:val="17"/>
                <w:lang w:eastAsia="es-MX"/>
              </w:rPr>
              <w:t xml:space="preserve"> </w:t>
            </w:r>
            <w:r w:rsidRPr="00D849F6">
              <w:rPr>
                <w:sz w:val="17"/>
                <w:szCs w:val="17"/>
                <w:lang w:eastAsia="es-MX"/>
              </w:rPr>
              <w:t>307</w:t>
            </w:r>
          </w:p>
        </w:tc>
        <w:tc>
          <w:tcPr>
            <w:tcW w:w="1857" w:type="dxa"/>
            <w:shd w:val="clear" w:color="auto" w:fill="auto"/>
            <w:vAlign w:val="bottom"/>
          </w:tcPr>
          <w:p w14:paraId="4ED20B7A" w14:textId="00303CF3"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93</w:t>
            </w:r>
            <w:r w:rsidR="00F470DB" w:rsidRPr="00D849F6">
              <w:rPr>
                <w:b/>
                <w:bCs/>
                <w:sz w:val="17"/>
                <w:szCs w:val="17"/>
                <w:lang w:eastAsia="es-MX"/>
              </w:rPr>
              <w:t> </w:t>
            </w:r>
            <w:r w:rsidRPr="00D849F6">
              <w:rPr>
                <w:b/>
                <w:bCs/>
                <w:sz w:val="17"/>
                <w:szCs w:val="17"/>
                <w:lang w:eastAsia="es-MX"/>
              </w:rPr>
              <w:t>%</w:t>
            </w:r>
          </w:p>
        </w:tc>
      </w:tr>
      <w:tr w:rsidR="0074293E" w:rsidRPr="0074293E" w14:paraId="6804CC4C" w14:textId="77777777" w:rsidTr="00D849F6">
        <w:tc>
          <w:tcPr>
            <w:tcW w:w="1857" w:type="dxa"/>
            <w:shd w:val="clear" w:color="auto" w:fill="auto"/>
          </w:tcPr>
          <w:p w14:paraId="41D64CC5" w14:textId="016AEFC3"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2022</w:t>
            </w:r>
          </w:p>
        </w:tc>
        <w:tc>
          <w:tcPr>
            <w:tcW w:w="1857" w:type="dxa"/>
            <w:shd w:val="clear" w:color="auto" w:fill="auto"/>
            <w:vAlign w:val="bottom"/>
          </w:tcPr>
          <w:p w14:paraId="554BF26A" w14:textId="0D0DB139"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262</w:t>
            </w:r>
            <w:r w:rsidR="00F470DB" w:rsidRPr="00D849F6">
              <w:rPr>
                <w:sz w:val="17"/>
                <w:szCs w:val="17"/>
                <w:lang w:eastAsia="es-MX"/>
              </w:rPr>
              <w:t xml:space="preserve"> </w:t>
            </w:r>
            <w:r w:rsidRPr="00D849F6">
              <w:rPr>
                <w:sz w:val="17"/>
                <w:szCs w:val="17"/>
                <w:lang w:eastAsia="es-MX"/>
              </w:rPr>
              <w:t>129</w:t>
            </w:r>
            <w:r w:rsidR="00F470DB" w:rsidRPr="00D849F6">
              <w:rPr>
                <w:sz w:val="17"/>
                <w:szCs w:val="17"/>
                <w:lang w:eastAsia="es-MX"/>
              </w:rPr>
              <w:t xml:space="preserve"> </w:t>
            </w:r>
            <w:r w:rsidRPr="00D849F6">
              <w:rPr>
                <w:sz w:val="17"/>
                <w:szCs w:val="17"/>
                <w:lang w:eastAsia="es-MX"/>
              </w:rPr>
              <w:t>852</w:t>
            </w:r>
            <w:r w:rsidR="00F470DB" w:rsidRPr="00D849F6">
              <w:rPr>
                <w:sz w:val="17"/>
                <w:szCs w:val="17"/>
                <w:lang w:eastAsia="es-MX"/>
              </w:rPr>
              <w:t xml:space="preserve"> </w:t>
            </w:r>
            <w:r w:rsidRPr="00D849F6">
              <w:rPr>
                <w:sz w:val="17"/>
                <w:szCs w:val="17"/>
                <w:lang w:eastAsia="es-MX"/>
              </w:rPr>
              <w:t>103</w:t>
            </w:r>
          </w:p>
        </w:tc>
        <w:tc>
          <w:tcPr>
            <w:tcW w:w="1857" w:type="dxa"/>
            <w:shd w:val="clear" w:color="auto" w:fill="auto"/>
            <w:vAlign w:val="bottom"/>
          </w:tcPr>
          <w:p w14:paraId="5D9FA5F9" w14:textId="78904D95"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228</w:t>
            </w:r>
            <w:r w:rsidR="00F470DB" w:rsidRPr="00D849F6">
              <w:rPr>
                <w:sz w:val="17"/>
                <w:szCs w:val="17"/>
                <w:lang w:eastAsia="es-MX"/>
              </w:rPr>
              <w:t xml:space="preserve"> </w:t>
            </w:r>
            <w:r w:rsidRPr="00D849F6">
              <w:rPr>
                <w:sz w:val="17"/>
                <w:szCs w:val="17"/>
                <w:lang w:eastAsia="es-MX"/>
              </w:rPr>
              <w:t>504</w:t>
            </w:r>
            <w:r w:rsidR="00F470DB" w:rsidRPr="00D849F6">
              <w:rPr>
                <w:sz w:val="17"/>
                <w:szCs w:val="17"/>
                <w:lang w:eastAsia="es-MX"/>
              </w:rPr>
              <w:t xml:space="preserve"> </w:t>
            </w:r>
            <w:r w:rsidRPr="00D849F6">
              <w:rPr>
                <w:sz w:val="17"/>
                <w:szCs w:val="17"/>
                <w:lang w:eastAsia="es-MX"/>
              </w:rPr>
              <w:t>249</w:t>
            </w:r>
            <w:r w:rsidR="00F470DB" w:rsidRPr="00D849F6">
              <w:rPr>
                <w:sz w:val="17"/>
                <w:szCs w:val="17"/>
                <w:lang w:eastAsia="es-MX"/>
              </w:rPr>
              <w:t xml:space="preserve"> </w:t>
            </w:r>
            <w:r w:rsidRPr="00D849F6">
              <w:rPr>
                <w:sz w:val="17"/>
                <w:szCs w:val="17"/>
                <w:lang w:eastAsia="es-MX"/>
              </w:rPr>
              <w:t>076</w:t>
            </w:r>
          </w:p>
        </w:tc>
        <w:tc>
          <w:tcPr>
            <w:tcW w:w="1857" w:type="dxa"/>
            <w:shd w:val="clear" w:color="auto" w:fill="auto"/>
            <w:vAlign w:val="bottom"/>
          </w:tcPr>
          <w:p w14:paraId="50AF16A6" w14:textId="728F3F93"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87</w:t>
            </w:r>
            <w:r w:rsidR="00F470DB" w:rsidRPr="00D849F6">
              <w:rPr>
                <w:b/>
                <w:bCs/>
                <w:sz w:val="17"/>
                <w:szCs w:val="17"/>
                <w:lang w:eastAsia="es-MX"/>
              </w:rPr>
              <w:t> </w:t>
            </w:r>
            <w:r w:rsidRPr="00D849F6">
              <w:rPr>
                <w:b/>
                <w:bCs/>
                <w:sz w:val="17"/>
                <w:szCs w:val="17"/>
                <w:lang w:eastAsia="es-MX"/>
              </w:rPr>
              <w:t>%</w:t>
            </w:r>
          </w:p>
        </w:tc>
      </w:tr>
      <w:tr w:rsidR="0074293E" w:rsidRPr="0074293E" w14:paraId="4292C8F6" w14:textId="77777777" w:rsidTr="00D849F6">
        <w:tc>
          <w:tcPr>
            <w:tcW w:w="1857" w:type="dxa"/>
            <w:shd w:val="clear" w:color="auto" w:fill="auto"/>
          </w:tcPr>
          <w:p w14:paraId="1B1E7254" w14:textId="65392696"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2023</w:t>
            </w:r>
          </w:p>
        </w:tc>
        <w:tc>
          <w:tcPr>
            <w:tcW w:w="1857" w:type="dxa"/>
            <w:shd w:val="clear" w:color="auto" w:fill="auto"/>
            <w:vAlign w:val="bottom"/>
          </w:tcPr>
          <w:p w14:paraId="7A14B783" w14:textId="51FD2CD6"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276</w:t>
            </w:r>
            <w:r w:rsidR="00F470DB" w:rsidRPr="00D849F6">
              <w:rPr>
                <w:sz w:val="17"/>
                <w:szCs w:val="17"/>
                <w:lang w:eastAsia="es-MX"/>
              </w:rPr>
              <w:t xml:space="preserve"> </w:t>
            </w:r>
            <w:r w:rsidRPr="00D849F6">
              <w:rPr>
                <w:sz w:val="17"/>
                <w:szCs w:val="17"/>
                <w:lang w:eastAsia="es-MX"/>
              </w:rPr>
              <w:t>667</w:t>
            </w:r>
            <w:r w:rsidR="00F470DB" w:rsidRPr="00D849F6">
              <w:rPr>
                <w:sz w:val="17"/>
                <w:szCs w:val="17"/>
                <w:lang w:eastAsia="es-MX"/>
              </w:rPr>
              <w:t xml:space="preserve"> </w:t>
            </w:r>
            <w:r w:rsidRPr="00D849F6">
              <w:rPr>
                <w:sz w:val="17"/>
                <w:szCs w:val="17"/>
                <w:lang w:eastAsia="es-MX"/>
              </w:rPr>
              <w:t>382</w:t>
            </w:r>
            <w:r w:rsidR="00F470DB" w:rsidRPr="00D849F6">
              <w:rPr>
                <w:sz w:val="17"/>
                <w:szCs w:val="17"/>
                <w:lang w:eastAsia="es-MX"/>
              </w:rPr>
              <w:t xml:space="preserve"> </w:t>
            </w:r>
            <w:r w:rsidRPr="00D849F6">
              <w:rPr>
                <w:sz w:val="17"/>
                <w:szCs w:val="17"/>
                <w:lang w:eastAsia="es-MX"/>
              </w:rPr>
              <w:t>397</w:t>
            </w:r>
          </w:p>
        </w:tc>
        <w:tc>
          <w:tcPr>
            <w:tcW w:w="1857" w:type="dxa"/>
            <w:shd w:val="clear" w:color="auto" w:fill="auto"/>
            <w:vAlign w:val="bottom"/>
          </w:tcPr>
          <w:p w14:paraId="07D102DF" w14:textId="4B74C6EB"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244</w:t>
            </w:r>
            <w:r w:rsidR="00F470DB" w:rsidRPr="00D849F6">
              <w:rPr>
                <w:sz w:val="17"/>
                <w:szCs w:val="17"/>
                <w:lang w:eastAsia="es-MX"/>
              </w:rPr>
              <w:t xml:space="preserve"> </w:t>
            </w:r>
            <w:r w:rsidRPr="00D849F6">
              <w:rPr>
                <w:sz w:val="17"/>
                <w:szCs w:val="17"/>
                <w:lang w:eastAsia="es-MX"/>
              </w:rPr>
              <w:t>851</w:t>
            </w:r>
            <w:r w:rsidR="00F470DB" w:rsidRPr="00D849F6">
              <w:rPr>
                <w:sz w:val="17"/>
                <w:szCs w:val="17"/>
                <w:lang w:eastAsia="es-MX"/>
              </w:rPr>
              <w:t xml:space="preserve"> </w:t>
            </w:r>
            <w:r w:rsidRPr="00D849F6">
              <w:rPr>
                <w:sz w:val="17"/>
                <w:szCs w:val="17"/>
                <w:lang w:eastAsia="es-MX"/>
              </w:rPr>
              <w:t>087</w:t>
            </w:r>
            <w:r w:rsidR="00F470DB" w:rsidRPr="00D849F6">
              <w:rPr>
                <w:sz w:val="17"/>
                <w:szCs w:val="17"/>
                <w:lang w:eastAsia="es-MX"/>
              </w:rPr>
              <w:t xml:space="preserve"> </w:t>
            </w:r>
            <w:r w:rsidRPr="00D849F6">
              <w:rPr>
                <w:sz w:val="17"/>
                <w:szCs w:val="17"/>
                <w:lang w:eastAsia="es-MX"/>
              </w:rPr>
              <w:t>068</w:t>
            </w:r>
          </w:p>
        </w:tc>
        <w:tc>
          <w:tcPr>
            <w:tcW w:w="1857" w:type="dxa"/>
            <w:shd w:val="clear" w:color="auto" w:fill="auto"/>
            <w:vAlign w:val="bottom"/>
          </w:tcPr>
          <w:p w14:paraId="7867D63D" w14:textId="55BF1EA7"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89</w:t>
            </w:r>
            <w:r w:rsidR="00F470DB" w:rsidRPr="00D849F6">
              <w:rPr>
                <w:b/>
                <w:bCs/>
                <w:sz w:val="17"/>
                <w:szCs w:val="17"/>
                <w:lang w:eastAsia="es-MX"/>
              </w:rPr>
              <w:t> </w:t>
            </w:r>
            <w:r w:rsidRPr="00D849F6">
              <w:rPr>
                <w:b/>
                <w:bCs/>
                <w:sz w:val="17"/>
                <w:szCs w:val="17"/>
                <w:lang w:eastAsia="es-MX"/>
              </w:rPr>
              <w:t>%</w:t>
            </w:r>
          </w:p>
        </w:tc>
      </w:tr>
      <w:tr w:rsidR="0074293E" w:rsidRPr="0074293E" w14:paraId="765F37D1" w14:textId="77777777" w:rsidTr="00D849F6">
        <w:tc>
          <w:tcPr>
            <w:tcW w:w="1857" w:type="dxa"/>
            <w:tcBorders>
              <w:bottom w:val="single" w:sz="12" w:space="0" w:color="auto"/>
            </w:tcBorders>
            <w:shd w:val="clear" w:color="auto" w:fill="auto"/>
          </w:tcPr>
          <w:p w14:paraId="1434674D" w14:textId="70F4303A" w:rsidR="0074293E" w:rsidRPr="00D849F6" w:rsidRDefault="0074293E" w:rsidP="00D849F6">
            <w:pPr>
              <w:tabs>
                <w:tab w:val="left" w:pos="288"/>
                <w:tab w:val="left" w:pos="576"/>
                <w:tab w:val="left" w:pos="864"/>
                <w:tab w:val="left" w:pos="1152"/>
              </w:tabs>
              <w:spacing w:before="40" w:after="40" w:line="210" w:lineRule="exact"/>
              <w:ind w:right="40"/>
              <w:rPr>
                <w:sz w:val="17"/>
                <w:szCs w:val="17"/>
              </w:rPr>
            </w:pPr>
            <w:r w:rsidRPr="00D849F6">
              <w:rPr>
                <w:b/>
                <w:bCs/>
                <w:sz w:val="17"/>
                <w:szCs w:val="17"/>
                <w:lang w:eastAsia="es-MX"/>
              </w:rPr>
              <w:t>Año 2024</w:t>
            </w:r>
          </w:p>
        </w:tc>
        <w:tc>
          <w:tcPr>
            <w:tcW w:w="1857" w:type="dxa"/>
            <w:tcBorders>
              <w:bottom w:val="single" w:sz="12" w:space="0" w:color="auto"/>
            </w:tcBorders>
            <w:shd w:val="clear" w:color="auto" w:fill="auto"/>
            <w:vAlign w:val="bottom"/>
          </w:tcPr>
          <w:p w14:paraId="396BB7F6" w14:textId="06C0625A"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280</w:t>
            </w:r>
            <w:r w:rsidR="00F470DB" w:rsidRPr="00D849F6">
              <w:rPr>
                <w:sz w:val="17"/>
                <w:szCs w:val="17"/>
                <w:lang w:eastAsia="es-MX"/>
              </w:rPr>
              <w:t xml:space="preserve"> </w:t>
            </w:r>
            <w:r w:rsidRPr="00D849F6">
              <w:rPr>
                <w:sz w:val="17"/>
                <w:szCs w:val="17"/>
                <w:lang w:eastAsia="es-MX"/>
              </w:rPr>
              <w:t>799</w:t>
            </w:r>
            <w:r w:rsidR="00F470DB" w:rsidRPr="00D849F6">
              <w:rPr>
                <w:sz w:val="17"/>
                <w:szCs w:val="17"/>
                <w:lang w:eastAsia="es-MX"/>
              </w:rPr>
              <w:t xml:space="preserve"> </w:t>
            </w:r>
            <w:r w:rsidRPr="00D849F6">
              <w:rPr>
                <w:sz w:val="17"/>
                <w:szCs w:val="17"/>
                <w:lang w:eastAsia="es-MX"/>
              </w:rPr>
              <w:t>634</w:t>
            </w:r>
            <w:r w:rsidR="00F470DB" w:rsidRPr="00D849F6">
              <w:rPr>
                <w:sz w:val="17"/>
                <w:szCs w:val="17"/>
                <w:lang w:eastAsia="es-MX"/>
              </w:rPr>
              <w:t xml:space="preserve"> </w:t>
            </w:r>
            <w:r w:rsidRPr="00D849F6">
              <w:rPr>
                <w:sz w:val="17"/>
                <w:szCs w:val="17"/>
                <w:lang w:eastAsia="es-MX"/>
              </w:rPr>
              <w:t>819</w:t>
            </w:r>
          </w:p>
        </w:tc>
        <w:tc>
          <w:tcPr>
            <w:tcW w:w="1857" w:type="dxa"/>
            <w:tcBorders>
              <w:bottom w:val="single" w:sz="12" w:space="0" w:color="auto"/>
            </w:tcBorders>
            <w:shd w:val="clear" w:color="auto" w:fill="auto"/>
            <w:vAlign w:val="bottom"/>
          </w:tcPr>
          <w:p w14:paraId="747D1AAD" w14:textId="16C56A47"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MX"/>
              </w:rPr>
              <w:t>35</w:t>
            </w:r>
            <w:r w:rsidR="00F470DB" w:rsidRPr="00D849F6">
              <w:rPr>
                <w:sz w:val="17"/>
                <w:szCs w:val="17"/>
                <w:lang w:eastAsia="es-MX"/>
              </w:rPr>
              <w:t xml:space="preserve"> </w:t>
            </w:r>
            <w:r w:rsidRPr="00D849F6">
              <w:rPr>
                <w:sz w:val="17"/>
                <w:szCs w:val="17"/>
                <w:lang w:eastAsia="es-MX"/>
              </w:rPr>
              <w:t>089</w:t>
            </w:r>
            <w:r w:rsidR="00F470DB" w:rsidRPr="00D849F6">
              <w:rPr>
                <w:sz w:val="17"/>
                <w:szCs w:val="17"/>
                <w:lang w:eastAsia="es-MX"/>
              </w:rPr>
              <w:t xml:space="preserve"> </w:t>
            </w:r>
            <w:r w:rsidRPr="00D849F6">
              <w:rPr>
                <w:sz w:val="17"/>
                <w:szCs w:val="17"/>
                <w:lang w:eastAsia="es-MX"/>
              </w:rPr>
              <w:t>717</w:t>
            </w:r>
            <w:r w:rsidR="00F470DB" w:rsidRPr="00D849F6">
              <w:rPr>
                <w:sz w:val="17"/>
                <w:szCs w:val="17"/>
                <w:lang w:eastAsia="es-MX"/>
              </w:rPr>
              <w:t xml:space="preserve"> </w:t>
            </w:r>
            <w:r w:rsidRPr="00D849F6">
              <w:rPr>
                <w:sz w:val="17"/>
                <w:szCs w:val="17"/>
                <w:lang w:eastAsia="es-MX"/>
              </w:rPr>
              <w:t>843</w:t>
            </w:r>
          </w:p>
        </w:tc>
        <w:tc>
          <w:tcPr>
            <w:tcW w:w="1857" w:type="dxa"/>
            <w:tcBorders>
              <w:bottom w:val="single" w:sz="12" w:space="0" w:color="auto"/>
            </w:tcBorders>
            <w:shd w:val="clear" w:color="auto" w:fill="auto"/>
            <w:vAlign w:val="bottom"/>
          </w:tcPr>
          <w:p w14:paraId="7E755588" w14:textId="46E1473C" w:rsidR="0074293E" w:rsidRPr="00D849F6" w:rsidRDefault="0074293E"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MX"/>
              </w:rPr>
              <w:t>12</w:t>
            </w:r>
            <w:r w:rsidR="00F470DB" w:rsidRPr="00D849F6">
              <w:rPr>
                <w:b/>
                <w:bCs/>
                <w:sz w:val="17"/>
                <w:szCs w:val="17"/>
                <w:lang w:eastAsia="es-MX"/>
              </w:rPr>
              <w:t> </w:t>
            </w:r>
            <w:r w:rsidRPr="00D849F6">
              <w:rPr>
                <w:b/>
                <w:bCs/>
                <w:sz w:val="17"/>
                <w:szCs w:val="17"/>
                <w:lang w:eastAsia="es-MX"/>
              </w:rPr>
              <w:t>%</w:t>
            </w:r>
          </w:p>
        </w:tc>
      </w:tr>
    </w:tbl>
    <w:p w14:paraId="2BCC978F" w14:textId="77777777" w:rsidR="0074293E" w:rsidRPr="0074293E" w:rsidRDefault="0074293E" w:rsidP="0074293E">
      <w:pPr>
        <w:pStyle w:val="SingleTxt"/>
        <w:spacing w:after="0" w:line="120" w:lineRule="exact"/>
        <w:rPr>
          <w:sz w:val="10"/>
        </w:rPr>
      </w:pPr>
    </w:p>
    <w:p w14:paraId="3BE0510E" w14:textId="77777777" w:rsidR="0074293E" w:rsidRDefault="0074293E" w:rsidP="00E01B8C">
      <w:pPr>
        <w:pStyle w:val="SingleTxt"/>
        <w:spacing w:after="0" w:line="120" w:lineRule="exact"/>
        <w:rPr>
          <w:sz w:val="10"/>
        </w:rPr>
      </w:pPr>
    </w:p>
    <w:p w14:paraId="65F4A8B6" w14:textId="76B6EF26" w:rsidR="00583FBD" w:rsidRPr="00B64C1B" w:rsidRDefault="00583FBD" w:rsidP="00E01B8C">
      <w:pPr>
        <w:pStyle w:val="SingleTxt"/>
        <w:numPr>
          <w:ilvl w:val="0"/>
          <w:numId w:val="44"/>
        </w:numPr>
        <w:ind w:left="1267"/>
        <w:rPr>
          <w:lang w:val="es-PY"/>
        </w:rPr>
      </w:pPr>
      <w:r w:rsidRPr="00B64C1B">
        <w:rPr>
          <w:lang w:val="es-PY"/>
        </w:rPr>
        <w:t>Entre el 2019 y el 2023 se ha capacitación a 2.747 profesionales de la salud en planificación familiar, a 2.888 profesionales en Código Rojo, a 2.557 en atención prenatal y a 200 en manejo y atención del parto.</w:t>
      </w:r>
    </w:p>
    <w:p w14:paraId="75F937B0" w14:textId="4415E919" w:rsidR="00583FBD" w:rsidRPr="00B64C1B" w:rsidRDefault="00583FBD" w:rsidP="00E01B8C">
      <w:pPr>
        <w:pStyle w:val="SingleTxt"/>
        <w:numPr>
          <w:ilvl w:val="0"/>
          <w:numId w:val="44"/>
        </w:numPr>
        <w:ind w:left="1267"/>
        <w:rPr>
          <w:lang w:val="es-PY"/>
        </w:rPr>
      </w:pPr>
      <w:r w:rsidRPr="00B64C1B">
        <w:rPr>
          <w:lang w:val="es-PY"/>
        </w:rPr>
        <w:t xml:space="preserve">El Módulo de Salud Sexual y Reproductiva coordinado por el Ministerio de Salud Pública y Bienestar Social que funciona en el Centro </w:t>
      </w:r>
      <w:r w:rsidR="00F019B7">
        <w:rPr>
          <w:lang w:val="es-PY"/>
        </w:rPr>
        <w:t>“</w:t>
      </w:r>
      <w:r w:rsidRPr="00B64C1B">
        <w:rPr>
          <w:lang w:val="es-PY"/>
        </w:rPr>
        <w:t>Ciudad Mujer</w:t>
      </w:r>
      <w:r w:rsidR="00F019B7">
        <w:rPr>
          <w:lang w:val="es-PY"/>
        </w:rPr>
        <w:t>”</w:t>
      </w:r>
      <w:r w:rsidRPr="00B64C1B">
        <w:rPr>
          <w:lang w:val="es-PY"/>
        </w:rPr>
        <w:t xml:space="preserve"> ofrece servicios de ginecología, planificación familiar, estudios de </w:t>
      </w:r>
      <w:proofErr w:type="spellStart"/>
      <w:r w:rsidRPr="00B64C1B">
        <w:rPr>
          <w:lang w:val="es-PY"/>
        </w:rPr>
        <w:t>pap</w:t>
      </w:r>
      <w:proofErr w:type="spellEnd"/>
      <w:r w:rsidRPr="00B64C1B">
        <w:rPr>
          <w:lang w:val="es-PY"/>
        </w:rPr>
        <w:t xml:space="preserve"> y colposcopia, mamografía, densitometría ósea, nutrición, odontología, vacunación, ecografía mamaria poniendo énfasis en la salud preventiva e integral de las mujeres. Es el módulo de mayor demanda y concurrencia al centro con 39.532 usuarias en sus primeros 6 años de funcionamiento y 177.898 atenciones brindadas.</w:t>
      </w:r>
    </w:p>
    <w:p w14:paraId="74DA5884" w14:textId="179C32C2" w:rsidR="00583FBD" w:rsidRPr="00B64C1B" w:rsidRDefault="00583FBD" w:rsidP="00E01B8C">
      <w:pPr>
        <w:pStyle w:val="SingleTxt"/>
        <w:numPr>
          <w:ilvl w:val="0"/>
          <w:numId w:val="44"/>
        </w:numPr>
        <w:tabs>
          <w:tab w:val="num" w:pos="2804"/>
        </w:tabs>
        <w:ind w:left="1267"/>
        <w:rPr>
          <w:lang w:val="es-PY"/>
        </w:rPr>
      </w:pPr>
      <w:r w:rsidRPr="00B64C1B">
        <w:rPr>
          <w:lang w:val="es-PY"/>
        </w:rPr>
        <w:t xml:space="preserve">Las regulaciones del MSPBS son elaboradas para todas las personas, sin discriminación. Se encuentra en ejecución el Proyecto </w:t>
      </w:r>
      <w:r w:rsidR="00F019B7">
        <w:rPr>
          <w:lang w:val="es-PY"/>
        </w:rPr>
        <w:t>“</w:t>
      </w:r>
      <w:r w:rsidRPr="00B64C1B">
        <w:rPr>
          <w:lang w:val="es-PY"/>
        </w:rPr>
        <w:t>Extensión de acceso y cobertura de salud materna e infantil a zonas rurales dispersas, comunidades indígenas y ejes fronterizos del Chaco</w:t>
      </w:r>
      <w:r w:rsidR="00F019B7">
        <w:rPr>
          <w:lang w:val="es-PY"/>
        </w:rPr>
        <w:t>”</w:t>
      </w:r>
      <w:r w:rsidRPr="00B64C1B">
        <w:rPr>
          <w:lang w:val="es-PY"/>
        </w:rPr>
        <w:t xml:space="preserve"> (INDIA) y en elaboración el Proyecto de Prevención de embarazos adolescentes con un equipo interinstitucional entre los ministerios MSPBS, MEC, MINNA, y MTESS para prevenir el embarazo en niñas y adolescentes, así como situaciones de violencia o abuso sexual, a través del escalamiento de estrategias interinstitucionales de información, comunicación y educación fuera de las escuelas y la aplicación del modelo de atención de salud integral para adolescentes y de la ruta interinstitucional para la atención integral del abuso sexual hacia niños, niñas y adolescentes, la cual llegará a población indígena, rural y urbana. </w:t>
      </w:r>
    </w:p>
    <w:p w14:paraId="7782AA46" w14:textId="5E540BAD" w:rsidR="00583FBD" w:rsidRPr="00B64C1B" w:rsidRDefault="00583FBD" w:rsidP="00E01B8C">
      <w:pPr>
        <w:pStyle w:val="SingleTxt"/>
        <w:numPr>
          <w:ilvl w:val="0"/>
          <w:numId w:val="44"/>
        </w:numPr>
        <w:tabs>
          <w:tab w:val="num" w:pos="2804"/>
        </w:tabs>
        <w:ind w:left="1267"/>
        <w:rPr>
          <w:lang w:val="es-PY"/>
        </w:rPr>
      </w:pPr>
      <w:r w:rsidRPr="00B64C1B">
        <w:rPr>
          <w:lang w:val="es-PY"/>
        </w:rPr>
        <w:t xml:space="preserve">Se ofrece atención prenatal, del parto y posnatal (puerperio) de manera gratuita en todos los establecimientos de salud del MSPBS de acuerdo a las normativas vigentes. Se trabaja en el fortalecimiento de las Redes Integradas e Integrales de Servicios de Salud reduciendo las demoras en los servicios y mejorando la capacidad de los equipos de salud según los niveles de atención. </w:t>
      </w:r>
    </w:p>
    <w:p w14:paraId="6ACB360A" w14:textId="5950C576" w:rsidR="00583FBD" w:rsidRPr="00B64C1B" w:rsidRDefault="00583FBD" w:rsidP="00E01B8C">
      <w:pPr>
        <w:pStyle w:val="SingleTxt"/>
        <w:numPr>
          <w:ilvl w:val="0"/>
          <w:numId w:val="44"/>
        </w:numPr>
        <w:tabs>
          <w:tab w:val="num" w:pos="2804"/>
        </w:tabs>
        <w:ind w:left="1267"/>
        <w:rPr>
          <w:lang w:val="es-PY"/>
        </w:rPr>
      </w:pPr>
      <w:r w:rsidRPr="00B64C1B">
        <w:rPr>
          <w:lang w:val="es-PY"/>
        </w:rPr>
        <w:t xml:space="preserve">En el Primer Nivel de Atención, se cuenta con establecimientos que ofertan una cartera de servicios por curso de vida con enfoque integral e intercultural, brindando servicios de promoción, prevención, atención ambulatoria, de urgencias y de apoyo diagnóstico a mujeres en edad fértil, tales como: clubes de embarazadas, planificación familiar, oferta de servicios de vacunación según esquema regular del Programa Ampliado de Inmunizaciones (PAI), la realización de examen de mama, toma de muestra para el </w:t>
      </w:r>
      <w:proofErr w:type="spellStart"/>
      <w:r w:rsidRPr="00B64C1B">
        <w:rPr>
          <w:lang w:val="es-PY"/>
        </w:rPr>
        <w:t>papanicolau</w:t>
      </w:r>
      <w:proofErr w:type="spellEnd"/>
      <w:r w:rsidRPr="00B64C1B">
        <w:rPr>
          <w:lang w:val="es-PY"/>
        </w:rPr>
        <w:t xml:space="preserve">, atención integral a la mujer, atención preconcepcional, prenatal y puerperio, atención integral en salud sexual y reproductiva, atención de </w:t>
      </w:r>
      <w:r w:rsidRPr="00B64C1B">
        <w:rPr>
          <w:lang w:val="es-PY"/>
        </w:rPr>
        <w:lastRenderedPageBreak/>
        <w:t xml:space="preserve">consultas de urgencias, y en las Unidades de Salud Ampliadas, atención integral al parto vaginal de bajo riesgo, entre otros servicios descriptos en el Manual de Organización del Primer Nivel de Atención, aprobado por Resolución S.G. </w:t>
      </w:r>
      <w:proofErr w:type="spellStart"/>
      <w:r w:rsidRPr="00B64C1B">
        <w:rPr>
          <w:lang w:val="es-PY"/>
        </w:rPr>
        <w:t>N°</w:t>
      </w:r>
      <w:proofErr w:type="spellEnd"/>
      <w:r w:rsidRPr="00B64C1B">
        <w:rPr>
          <w:lang w:val="es-PY"/>
        </w:rPr>
        <w:t xml:space="preserve"> 560/2022</w:t>
      </w:r>
      <w:r w:rsidRPr="00B64C1B">
        <w:rPr>
          <w:vertAlign w:val="superscript"/>
          <w:lang w:val="es-PY"/>
        </w:rPr>
        <w:footnoteReference w:id="97"/>
      </w:r>
      <w:r w:rsidRPr="00B64C1B">
        <w:rPr>
          <w:lang w:val="es-PY"/>
        </w:rPr>
        <w:t xml:space="preserve">. En este documento se incorpora la figura de </w:t>
      </w:r>
      <w:r w:rsidR="00F019B7">
        <w:rPr>
          <w:lang w:val="es-PY"/>
        </w:rPr>
        <w:t>“</w:t>
      </w:r>
      <w:r w:rsidRPr="00B64C1B">
        <w:rPr>
          <w:lang w:val="es-PY"/>
        </w:rPr>
        <w:t>Licenciatura en obstetricia</w:t>
      </w:r>
      <w:r w:rsidR="00F019B7">
        <w:rPr>
          <w:lang w:val="es-PY"/>
        </w:rPr>
        <w:t>”</w:t>
      </w:r>
      <w:r w:rsidRPr="00B64C1B">
        <w:rPr>
          <w:lang w:val="es-PY"/>
        </w:rPr>
        <w:t xml:space="preserve"> al Equipo de Salud de la Familia, es decir que cada Unidad de Salud de la Familia (USF) debe contar con un/a Lic. en enfermería y un/una Lic. en obstetricia. </w:t>
      </w:r>
    </w:p>
    <w:p w14:paraId="10E50C28" w14:textId="7D25AF15" w:rsidR="00583FBD" w:rsidRPr="00B64C1B" w:rsidRDefault="00583FBD" w:rsidP="00E01B8C">
      <w:pPr>
        <w:pStyle w:val="SingleTxt"/>
        <w:numPr>
          <w:ilvl w:val="0"/>
          <w:numId w:val="44"/>
        </w:numPr>
        <w:ind w:left="1267"/>
        <w:rPr>
          <w:lang w:val="es-PY"/>
        </w:rPr>
      </w:pPr>
      <w:r w:rsidRPr="00B64C1B">
        <w:rPr>
          <w:lang w:val="es-PY"/>
        </w:rPr>
        <w:t>Con relación al aumento de numero de USF, cabe mencionar que desde el año 2017 a la fecha se han instalado 136 USF, contando actualmente con un total de 936 USF distribuidas en las zonas más vulnerables del territorio nacional, siendo un objetivo primordial seguir avanzando en la instalación de nuevas USF y con esto aumentar la cobertura del primer nivel de atención que actualmente alcanza un 37%.</w:t>
      </w:r>
    </w:p>
    <w:p w14:paraId="4CA92C9E" w14:textId="77777777" w:rsidR="00E01B8C" w:rsidRPr="00E01B8C" w:rsidRDefault="00E01B8C" w:rsidP="00E01B8C">
      <w:pPr>
        <w:pStyle w:val="SingleTxt"/>
        <w:spacing w:after="0" w:line="120" w:lineRule="exact"/>
        <w:rPr>
          <w:sz w:val="10"/>
        </w:rPr>
      </w:pPr>
    </w:p>
    <w:p w14:paraId="3E100B03" w14:textId="7868F0EB" w:rsidR="00583FBD" w:rsidRDefault="00E01B8C" w:rsidP="00E01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83FBD" w:rsidRPr="00750B4C">
        <w:t>Incremento de las USF desde el año 2017 en adelante</w:t>
      </w:r>
      <w:r w:rsidR="00583FBD" w:rsidRPr="00E01B8C">
        <w:rPr>
          <w:b w:val="0"/>
          <w:bCs/>
          <w:vertAlign w:val="superscript"/>
        </w:rPr>
        <w:footnoteReference w:id="98"/>
      </w:r>
    </w:p>
    <w:p w14:paraId="33F88BAB" w14:textId="77777777" w:rsidR="00E01B8C" w:rsidRPr="00E01B8C" w:rsidRDefault="00E01B8C" w:rsidP="00E01B8C">
      <w:pPr>
        <w:pStyle w:val="SingleTxt"/>
        <w:spacing w:after="0" w:line="120" w:lineRule="exact"/>
        <w:rPr>
          <w:sz w:val="10"/>
        </w:rPr>
      </w:pPr>
    </w:p>
    <w:p w14:paraId="30923F48" w14:textId="77777777" w:rsidR="00E01B8C" w:rsidRPr="00E01B8C" w:rsidRDefault="00E01B8C" w:rsidP="00E01B8C">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530"/>
        <w:gridCol w:w="360"/>
        <w:gridCol w:w="562"/>
        <w:gridCol w:w="743"/>
        <w:gridCol w:w="743"/>
        <w:gridCol w:w="743"/>
        <w:gridCol w:w="743"/>
        <w:gridCol w:w="743"/>
        <w:gridCol w:w="743"/>
        <w:gridCol w:w="743"/>
      </w:tblGrid>
      <w:tr w:rsidR="00E14704" w:rsidRPr="00E14704" w14:paraId="3665EF08" w14:textId="77777777" w:rsidTr="00D849F6">
        <w:trPr>
          <w:tblHeader/>
        </w:trPr>
        <w:tc>
          <w:tcPr>
            <w:tcW w:w="7653" w:type="dxa"/>
            <w:gridSpan w:val="10"/>
            <w:tcBorders>
              <w:top w:val="single" w:sz="4" w:space="0" w:color="auto"/>
              <w:bottom w:val="single" w:sz="4" w:space="0" w:color="auto"/>
            </w:tcBorders>
            <w:shd w:val="clear" w:color="auto" w:fill="auto"/>
            <w:vAlign w:val="bottom"/>
          </w:tcPr>
          <w:p w14:paraId="00040CA6" w14:textId="3E02E194" w:rsidR="00E14704" w:rsidRPr="009D06AB" w:rsidRDefault="00E14704" w:rsidP="00D849F6">
            <w:pPr>
              <w:tabs>
                <w:tab w:val="left" w:pos="288"/>
                <w:tab w:val="left" w:pos="576"/>
                <w:tab w:val="left" w:pos="864"/>
                <w:tab w:val="left" w:pos="1152"/>
              </w:tabs>
              <w:spacing w:before="80" w:after="80" w:line="160" w:lineRule="exact"/>
              <w:ind w:right="40"/>
              <w:jc w:val="center"/>
              <w:rPr>
                <w:i/>
                <w:sz w:val="14"/>
                <w:szCs w:val="14"/>
              </w:rPr>
            </w:pPr>
            <w:proofErr w:type="spellStart"/>
            <w:r w:rsidRPr="009D06AB">
              <w:rPr>
                <w:bCs/>
                <w:i/>
                <w:sz w:val="14"/>
                <w:szCs w:val="14"/>
                <w:lang w:eastAsia="es-PY"/>
              </w:rPr>
              <w:t>N°USF</w:t>
            </w:r>
            <w:proofErr w:type="spellEnd"/>
            <w:r w:rsidRPr="009D06AB">
              <w:rPr>
                <w:bCs/>
                <w:i/>
                <w:sz w:val="14"/>
                <w:szCs w:val="14"/>
                <w:lang w:eastAsia="es-PY"/>
              </w:rPr>
              <w:t xml:space="preserve"> 2017 a la actualidad</w:t>
            </w:r>
          </w:p>
        </w:tc>
      </w:tr>
      <w:tr w:rsidR="00E14704" w:rsidRPr="00E14704" w14:paraId="366E6A58" w14:textId="77777777" w:rsidTr="00B27D24">
        <w:trPr>
          <w:tblHeader/>
        </w:trPr>
        <w:tc>
          <w:tcPr>
            <w:tcW w:w="1530" w:type="dxa"/>
            <w:tcBorders>
              <w:top w:val="single" w:sz="4" w:space="0" w:color="auto"/>
              <w:bottom w:val="single" w:sz="12" w:space="0" w:color="auto"/>
            </w:tcBorders>
            <w:shd w:val="clear" w:color="auto" w:fill="auto"/>
          </w:tcPr>
          <w:p w14:paraId="7F8FDE9F" w14:textId="70ED979E" w:rsidR="00E14704" w:rsidRPr="00D849F6" w:rsidRDefault="00E14704" w:rsidP="00D849F6">
            <w:pPr>
              <w:tabs>
                <w:tab w:val="left" w:pos="288"/>
                <w:tab w:val="left" w:pos="576"/>
                <w:tab w:val="left" w:pos="864"/>
                <w:tab w:val="left" w:pos="1152"/>
              </w:tabs>
              <w:spacing w:before="80" w:after="80" w:line="160" w:lineRule="exact"/>
              <w:ind w:right="40"/>
              <w:rPr>
                <w:i/>
                <w:iCs/>
                <w:sz w:val="14"/>
                <w:szCs w:val="14"/>
              </w:rPr>
            </w:pPr>
            <w:r w:rsidRPr="00D849F6">
              <w:rPr>
                <w:i/>
                <w:iCs/>
                <w:sz w:val="14"/>
                <w:szCs w:val="14"/>
                <w:lang w:eastAsia="es-PY"/>
              </w:rPr>
              <w:t>Región Sanitaria</w:t>
            </w:r>
          </w:p>
        </w:tc>
        <w:tc>
          <w:tcPr>
            <w:tcW w:w="360" w:type="dxa"/>
            <w:tcBorders>
              <w:top w:val="single" w:sz="4" w:space="0" w:color="auto"/>
              <w:bottom w:val="single" w:sz="12" w:space="0" w:color="auto"/>
            </w:tcBorders>
            <w:shd w:val="clear" w:color="auto" w:fill="auto"/>
            <w:vAlign w:val="bottom"/>
          </w:tcPr>
          <w:p w14:paraId="4D5C63DC" w14:textId="65DE811B"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2017</w:t>
            </w:r>
          </w:p>
        </w:tc>
        <w:tc>
          <w:tcPr>
            <w:tcW w:w="562" w:type="dxa"/>
            <w:tcBorders>
              <w:top w:val="single" w:sz="4" w:space="0" w:color="auto"/>
              <w:bottom w:val="single" w:sz="12" w:space="0" w:color="auto"/>
            </w:tcBorders>
            <w:shd w:val="clear" w:color="auto" w:fill="auto"/>
            <w:vAlign w:val="bottom"/>
          </w:tcPr>
          <w:p w14:paraId="6C6FD08D" w14:textId="240BDAA0"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2018</w:t>
            </w:r>
          </w:p>
        </w:tc>
        <w:tc>
          <w:tcPr>
            <w:tcW w:w="743" w:type="dxa"/>
            <w:tcBorders>
              <w:top w:val="single" w:sz="4" w:space="0" w:color="auto"/>
              <w:bottom w:val="single" w:sz="12" w:space="0" w:color="auto"/>
            </w:tcBorders>
            <w:shd w:val="clear" w:color="auto" w:fill="auto"/>
            <w:vAlign w:val="bottom"/>
          </w:tcPr>
          <w:p w14:paraId="18A0A511" w14:textId="75CF0297"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2019</w:t>
            </w:r>
          </w:p>
        </w:tc>
        <w:tc>
          <w:tcPr>
            <w:tcW w:w="743" w:type="dxa"/>
            <w:tcBorders>
              <w:top w:val="single" w:sz="4" w:space="0" w:color="auto"/>
              <w:bottom w:val="single" w:sz="12" w:space="0" w:color="auto"/>
            </w:tcBorders>
            <w:shd w:val="clear" w:color="auto" w:fill="auto"/>
            <w:vAlign w:val="bottom"/>
          </w:tcPr>
          <w:p w14:paraId="65E929C2" w14:textId="21A34C39"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2020</w:t>
            </w:r>
          </w:p>
        </w:tc>
        <w:tc>
          <w:tcPr>
            <w:tcW w:w="743" w:type="dxa"/>
            <w:tcBorders>
              <w:top w:val="single" w:sz="4" w:space="0" w:color="auto"/>
              <w:bottom w:val="single" w:sz="12" w:space="0" w:color="auto"/>
            </w:tcBorders>
            <w:shd w:val="clear" w:color="auto" w:fill="auto"/>
            <w:vAlign w:val="bottom"/>
          </w:tcPr>
          <w:p w14:paraId="3CF3D43D" w14:textId="10AFF9CE"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2021</w:t>
            </w:r>
          </w:p>
        </w:tc>
        <w:tc>
          <w:tcPr>
            <w:tcW w:w="743" w:type="dxa"/>
            <w:tcBorders>
              <w:top w:val="single" w:sz="4" w:space="0" w:color="auto"/>
              <w:bottom w:val="single" w:sz="12" w:space="0" w:color="auto"/>
            </w:tcBorders>
            <w:shd w:val="clear" w:color="auto" w:fill="auto"/>
            <w:vAlign w:val="bottom"/>
          </w:tcPr>
          <w:p w14:paraId="7121FD0D" w14:textId="4A0F182C"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2022</w:t>
            </w:r>
          </w:p>
        </w:tc>
        <w:tc>
          <w:tcPr>
            <w:tcW w:w="743" w:type="dxa"/>
            <w:tcBorders>
              <w:top w:val="single" w:sz="4" w:space="0" w:color="auto"/>
              <w:bottom w:val="single" w:sz="12" w:space="0" w:color="auto"/>
            </w:tcBorders>
            <w:shd w:val="clear" w:color="auto" w:fill="auto"/>
            <w:vAlign w:val="bottom"/>
          </w:tcPr>
          <w:p w14:paraId="3FF5D435" w14:textId="401F1CA3"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2023</w:t>
            </w:r>
          </w:p>
        </w:tc>
        <w:tc>
          <w:tcPr>
            <w:tcW w:w="743" w:type="dxa"/>
            <w:tcBorders>
              <w:top w:val="single" w:sz="4" w:space="0" w:color="auto"/>
              <w:bottom w:val="single" w:sz="12" w:space="0" w:color="auto"/>
            </w:tcBorders>
            <w:shd w:val="clear" w:color="auto" w:fill="auto"/>
            <w:vAlign w:val="bottom"/>
          </w:tcPr>
          <w:p w14:paraId="54DAD217" w14:textId="049A6C17" w:rsidR="00E14704" w:rsidRPr="009D06AB"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9D06AB">
              <w:rPr>
                <w:i/>
                <w:iCs/>
                <w:sz w:val="14"/>
                <w:szCs w:val="14"/>
                <w:lang w:eastAsia="es-PY"/>
              </w:rPr>
              <w:t>2024</w:t>
            </w:r>
          </w:p>
        </w:tc>
        <w:tc>
          <w:tcPr>
            <w:tcW w:w="743" w:type="dxa"/>
            <w:tcBorders>
              <w:top w:val="single" w:sz="4" w:space="0" w:color="auto"/>
              <w:bottom w:val="single" w:sz="12" w:space="0" w:color="auto"/>
            </w:tcBorders>
            <w:shd w:val="clear" w:color="auto" w:fill="auto"/>
            <w:vAlign w:val="bottom"/>
          </w:tcPr>
          <w:p w14:paraId="69BA9837" w14:textId="751C9883" w:rsidR="00E14704" w:rsidRPr="00D849F6" w:rsidRDefault="00E14704" w:rsidP="00D849F6">
            <w:pPr>
              <w:tabs>
                <w:tab w:val="left" w:pos="288"/>
                <w:tab w:val="left" w:pos="576"/>
                <w:tab w:val="left" w:pos="864"/>
                <w:tab w:val="left" w:pos="1152"/>
              </w:tabs>
              <w:spacing w:before="80" w:after="80" w:line="160" w:lineRule="exact"/>
              <w:ind w:right="40"/>
              <w:jc w:val="right"/>
              <w:rPr>
                <w:i/>
                <w:iCs/>
                <w:sz w:val="14"/>
                <w:szCs w:val="14"/>
              </w:rPr>
            </w:pPr>
            <w:r w:rsidRPr="00D849F6">
              <w:rPr>
                <w:i/>
                <w:iCs/>
                <w:sz w:val="14"/>
                <w:szCs w:val="14"/>
                <w:lang w:eastAsia="es-PY"/>
              </w:rPr>
              <w:t>T</w:t>
            </w:r>
            <w:r>
              <w:rPr>
                <w:i/>
                <w:iCs/>
                <w:sz w:val="14"/>
                <w:szCs w:val="14"/>
                <w:lang w:eastAsia="es-PY"/>
              </w:rPr>
              <w:t>otal</w:t>
            </w:r>
          </w:p>
        </w:tc>
      </w:tr>
      <w:tr w:rsidR="00E14704" w:rsidRPr="00E14704" w14:paraId="0065566E" w14:textId="77777777" w:rsidTr="00B27D24">
        <w:trPr>
          <w:trHeight w:hRule="exact" w:val="115"/>
          <w:tblHeader/>
        </w:trPr>
        <w:tc>
          <w:tcPr>
            <w:tcW w:w="1530" w:type="dxa"/>
            <w:tcBorders>
              <w:top w:val="single" w:sz="12" w:space="0" w:color="auto"/>
            </w:tcBorders>
            <w:shd w:val="clear" w:color="auto" w:fill="auto"/>
            <w:vAlign w:val="bottom"/>
          </w:tcPr>
          <w:p w14:paraId="305463CB" w14:textId="77777777" w:rsidR="00E14704" w:rsidRPr="00E14704" w:rsidRDefault="00E14704" w:rsidP="00E14704">
            <w:pPr>
              <w:tabs>
                <w:tab w:val="left" w:pos="288"/>
                <w:tab w:val="left" w:pos="576"/>
                <w:tab w:val="left" w:pos="864"/>
                <w:tab w:val="left" w:pos="1152"/>
              </w:tabs>
              <w:spacing w:before="40" w:after="40" w:line="210" w:lineRule="exact"/>
              <w:ind w:right="40"/>
              <w:rPr>
                <w:sz w:val="17"/>
              </w:rPr>
            </w:pPr>
          </w:p>
        </w:tc>
        <w:tc>
          <w:tcPr>
            <w:tcW w:w="360" w:type="dxa"/>
            <w:tcBorders>
              <w:top w:val="single" w:sz="12" w:space="0" w:color="auto"/>
            </w:tcBorders>
            <w:shd w:val="clear" w:color="auto" w:fill="auto"/>
            <w:vAlign w:val="bottom"/>
          </w:tcPr>
          <w:p w14:paraId="3085273B"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562" w:type="dxa"/>
            <w:tcBorders>
              <w:top w:val="single" w:sz="12" w:space="0" w:color="auto"/>
            </w:tcBorders>
            <w:shd w:val="clear" w:color="auto" w:fill="auto"/>
            <w:vAlign w:val="bottom"/>
          </w:tcPr>
          <w:p w14:paraId="7F3EDD05"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14:paraId="29B1F9CF"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14:paraId="2BC950BE"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14:paraId="652B5AFE"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14:paraId="4B4EB789"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14:paraId="25E3E6E0"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14:paraId="331CECA1"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14:paraId="77AE9A60" w14:textId="77777777" w:rsidR="00E14704" w:rsidRPr="00E14704" w:rsidRDefault="00E14704" w:rsidP="00D849F6">
            <w:pPr>
              <w:tabs>
                <w:tab w:val="left" w:pos="288"/>
                <w:tab w:val="left" w:pos="576"/>
                <w:tab w:val="left" w:pos="864"/>
                <w:tab w:val="left" w:pos="1152"/>
              </w:tabs>
              <w:spacing w:before="40" w:after="40" w:line="210" w:lineRule="exact"/>
              <w:ind w:right="40"/>
              <w:jc w:val="right"/>
              <w:rPr>
                <w:sz w:val="17"/>
              </w:rPr>
            </w:pPr>
          </w:p>
        </w:tc>
      </w:tr>
      <w:tr w:rsidR="00E14704" w:rsidRPr="00E14704" w14:paraId="45639C62" w14:textId="77777777" w:rsidTr="00B27D24">
        <w:tc>
          <w:tcPr>
            <w:tcW w:w="1530" w:type="dxa"/>
            <w:shd w:val="clear" w:color="auto" w:fill="auto"/>
          </w:tcPr>
          <w:p w14:paraId="44F28F2E" w14:textId="2083DEC3" w:rsidR="00E14704" w:rsidRPr="00D849F6" w:rsidRDefault="00E14704" w:rsidP="00D849F6">
            <w:pPr>
              <w:tabs>
                <w:tab w:val="left" w:pos="288"/>
                <w:tab w:val="left" w:pos="576"/>
                <w:tab w:val="left" w:pos="864"/>
                <w:tab w:val="left" w:pos="1152"/>
              </w:tabs>
              <w:spacing w:before="40" w:after="40" w:line="210" w:lineRule="exact"/>
              <w:ind w:right="40"/>
              <w:rPr>
                <w:b/>
                <w:bCs/>
                <w:sz w:val="17"/>
                <w:szCs w:val="17"/>
              </w:rPr>
            </w:pPr>
            <w:r w:rsidRPr="00D849F6">
              <w:rPr>
                <w:sz w:val="17"/>
                <w:szCs w:val="17"/>
                <w:lang w:eastAsia="es-PY"/>
              </w:rPr>
              <w:t>01</w:t>
            </w:r>
            <w:r>
              <w:rPr>
                <w:sz w:val="17"/>
                <w:szCs w:val="17"/>
                <w:lang w:eastAsia="es-PY"/>
              </w:rPr>
              <w:tab/>
            </w:r>
            <w:r w:rsidRPr="00D849F6">
              <w:rPr>
                <w:sz w:val="17"/>
                <w:szCs w:val="17"/>
                <w:lang w:eastAsia="es-PY"/>
              </w:rPr>
              <w:t>Concepción</w:t>
            </w:r>
          </w:p>
        </w:tc>
        <w:tc>
          <w:tcPr>
            <w:tcW w:w="360" w:type="dxa"/>
            <w:shd w:val="clear" w:color="auto" w:fill="auto"/>
          </w:tcPr>
          <w:p w14:paraId="286BB00E" w14:textId="4C04A1D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562" w:type="dxa"/>
            <w:shd w:val="clear" w:color="auto" w:fill="auto"/>
          </w:tcPr>
          <w:p w14:paraId="464DC27B" w14:textId="68C23F5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302AC7C5" w14:textId="7F043B2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743E974C" w14:textId="19EAFCD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D1BD9">
              <w:rPr>
                <w:sz w:val="17"/>
                <w:szCs w:val="17"/>
              </w:rPr>
              <w:t>–</w:t>
            </w:r>
          </w:p>
        </w:tc>
        <w:tc>
          <w:tcPr>
            <w:tcW w:w="743" w:type="dxa"/>
            <w:shd w:val="clear" w:color="auto" w:fill="auto"/>
          </w:tcPr>
          <w:p w14:paraId="203F2A6F" w14:textId="67C98AD2"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D1BD9">
              <w:rPr>
                <w:sz w:val="17"/>
                <w:szCs w:val="17"/>
              </w:rPr>
              <w:t>–</w:t>
            </w:r>
          </w:p>
        </w:tc>
        <w:tc>
          <w:tcPr>
            <w:tcW w:w="743" w:type="dxa"/>
            <w:shd w:val="clear" w:color="auto" w:fill="auto"/>
          </w:tcPr>
          <w:p w14:paraId="324BA67D" w14:textId="51F4886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D1BD9">
              <w:rPr>
                <w:sz w:val="17"/>
                <w:szCs w:val="17"/>
              </w:rPr>
              <w:t>–</w:t>
            </w:r>
          </w:p>
        </w:tc>
        <w:tc>
          <w:tcPr>
            <w:tcW w:w="743" w:type="dxa"/>
            <w:shd w:val="clear" w:color="auto" w:fill="auto"/>
          </w:tcPr>
          <w:p w14:paraId="1B3ECBCD" w14:textId="1A3C7B6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D1BD9">
              <w:rPr>
                <w:sz w:val="17"/>
                <w:szCs w:val="17"/>
              </w:rPr>
              <w:t>–</w:t>
            </w:r>
          </w:p>
        </w:tc>
        <w:tc>
          <w:tcPr>
            <w:tcW w:w="743" w:type="dxa"/>
            <w:shd w:val="clear" w:color="auto" w:fill="auto"/>
          </w:tcPr>
          <w:p w14:paraId="531D2866" w14:textId="254680C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D1BD9">
              <w:rPr>
                <w:sz w:val="17"/>
                <w:szCs w:val="17"/>
              </w:rPr>
              <w:t>–</w:t>
            </w:r>
          </w:p>
        </w:tc>
        <w:tc>
          <w:tcPr>
            <w:tcW w:w="743" w:type="dxa"/>
            <w:shd w:val="clear" w:color="auto" w:fill="auto"/>
          </w:tcPr>
          <w:p w14:paraId="20A3C259" w14:textId="24B28D1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3</w:t>
            </w:r>
          </w:p>
        </w:tc>
      </w:tr>
      <w:tr w:rsidR="00E14704" w:rsidRPr="00E14704" w14:paraId="66762D76" w14:textId="77777777" w:rsidTr="00B27D24">
        <w:tc>
          <w:tcPr>
            <w:tcW w:w="1530" w:type="dxa"/>
            <w:shd w:val="clear" w:color="auto" w:fill="auto"/>
          </w:tcPr>
          <w:p w14:paraId="19734374" w14:textId="7C198059"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02</w:t>
            </w:r>
            <w:r>
              <w:rPr>
                <w:sz w:val="17"/>
                <w:szCs w:val="17"/>
                <w:lang w:eastAsia="es-PY"/>
              </w:rPr>
              <w:tab/>
            </w:r>
            <w:r w:rsidRPr="00D849F6">
              <w:rPr>
                <w:sz w:val="17"/>
                <w:szCs w:val="17"/>
                <w:lang w:eastAsia="es-PY"/>
              </w:rPr>
              <w:t xml:space="preserve">San Pedro </w:t>
            </w:r>
          </w:p>
        </w:tc>
        <w:tc>
          <w:tcPr>
            <w:tcW w:w="360" w:type="dxa"/>
            <w:shd w:val="clear" w:color="auto" w:fill="auto"/>
          </w:tcPr>
          <w:p w14:paraId="75EF8989" w14:textId="1BAF1162"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562" w:type="dxa"/>
            <w:shd w:val="clear" w:color="auto" w:fill="auto"/>
          </w:tcPr>
          <w:p w14:paraId="017C4928" w14:textId="263AAEA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180F24BA" w14:textId="344AEC2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1800B8F5" w14:textId="1BAA2450" w:rsidR="00E14704" w:rsidRPr="00D849F6" w:rsidRDefault="009D06AB"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6EC4559F" w14:textId="47FD7EB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7D15A94F" w14:textId="57C658A7" w:rsidR="00E14704" w:rsidRPr="00D849F6" w:rsidRDefault="009D06AB"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430D3D8D" w14:textId="27F4A95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4</w:t>
            </w:r>
          </w:p>
        </w:tc>
        <w:tc>
          <w:tcPr>
            <w:tcW w:w="743" w:type="dxa"/>
            <w:shd w:val="clear" w:color="auto" w:fill="auto"/>
          </w:tcPr>
          <w:p w14:paraId="6DFF1BD1" w14:textId="22326D2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6EDB19B5" w14:textId="6E2FC3A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8</w:t>
            </w:r>
          </w:p>
        </w:tc>
      </w:tr>
      <w:tr w:rsidR="00E14704" w:rsidRPr="00E14704" w14:paraId="0F747DA7" w14:textId="77777777" w:rsidTr="00B27D24">
        <w:tc>
          <w:tcPr>
            <w:tcW w:w="1530" w:type="dxa"/>
            <w:shd w:val="clear" w:color="auto" w:fill="auto"/>
          </w:tcPr>
          <w:p w14:paraId="5EBAF9AF" w14:textId="2787B4D7"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03</w:t>
            </w:r>
            <w:r>
              <w:rPr>
                <w:sz w:val="17"/>
                <w:szCs w:val="17"/>
                <w:lang w:eastAsia="es-PY"/>
              </w:rPr>
              <w:tab/>
            </w:r>
            <w:r w:rsidRPr="00D849F6">
              <w:rPr>
                <w:sz w:val="17"/>
                <w:szCs w:val="17"/>
                <w:lang w:eastAsia="es-PY"/>
              </w:rPr>
              <w:t>Cordillera</w:t>
            </w:r>
          </w:p>
        </w:tc>
        <w:tc>
          <w:tcPr>
            <w:tcW w:w="360" w:type="dxa"/>
            <w:shd w:val="clear" w:color="auto" w:fill="auto"/>
          </w:tcPr>
          <w:p w14:paraId="4609850B" w14:textId="4B661F37"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562" w:type="dxa"/>
            <w:shd w:val="clear" w:color="auto" w:fill="auto"/>
          </w:tcPr>
          <w:p w14:paraId="7641C1FF" w14:textId="6886181D"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lang w:eastAsia="es-PY"/>
              </w:rPr>
              <w:t>–</w:t>
            </w:r>
          </w:p>
        </w:tc>
        <w:tc>
          <w:tcPr>
            <w:tcW w:w="743" w:type="dxa"/>
            <w:shd w:val="clear" w:color="auto" w:fill="auto"/>
          </w:tcPr>
          <w:p w14:paraId="53BC4D05" w14:textId="79624232"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lang w:eastAsia="es-PY"/>
              </w:rPr>
              <w:t>–</w:t>
            </w:r>
          </w:p>
        </w:tc>
        <w:tc>
          <w:tcPr>
            <w:tcW w:w="743" w:type="dxa"/>
            <w:shd w:val="clear" w:color="auto" w:fill="auto"/>
          </w:tcPr>
          <w:p w14:paraId="79E39C8B" w14:textId="704CF1E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2BF977A2" w14:textId="0E5F448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A6C48">
              <w:rPr>
                <w:sz w:val="17"/>
                <w:szCs w:val="17"/>
              </w:rPr>
              <w:t>–</w:t>
            </w:r>
          </w:p>
        </w:tc>
        <w:tc>
          <w:tcPr>
            <w:tcW w:w="743" w:type="dxa"/>
            <w:shd w:val="clear" w:color="auto" w:fill="auto"/>
          </w:tcPr>
          <w:p w14:paraId="1C6F5480" w14:textId="2CBA6711"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A6C48">
              <w:rPr>
                <w:sz w:val="17"/>
                <w:szCs w:val="17"/>
              </w:rPr>
              <w:t>–</w:t>
            </w:r>
          </w:p>
        </w:tc>
        <w:tc>
          <w:tcPr>
            <w:tcW w:w="743" w:type="dxa"/>
            <w:shd w:val="clear" w:color="auto" w:fill="auto"/>
          </w:tcPr>
          <w:p w14:paraId="76097363" w14:textId="4E465717"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A6C48">
              <w:rPr>
                <w:sz w:val="17"/>
                <w:szCs w:val="17"/>
              </w:rPr>
              <w:t>–</w:t>
            </w:r>
          </w:p>
        </w:tc>
        <w:tc>
          <w:tcPr>
            <w:tcW w:w="743" w:type="dxa"/>
            <w:shd w:val="clear" w:color="auto" w:fill="auto"/>
          </w:tcPr>
          <w:p w14:paraId="639C8257" w14:textId="0E70E21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06413AAC" w14:textId="1B9ED74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2</w:t>
            </w:r>
          </w:p>
        </w:tc>
      </w:tr>
      <w:tr w:rsidR="00E14704" w:rsidRPr="00E14704" w14:paraId="287FE3B4" w14:textId="77777777" w:rsidTr="00B27D24">
        <w:tc>
          <w:tcPr>
            <w:tcW w:w="1530" w:type="dxa"/>
            <w:shd w:val="clear" w:color="auto" w:fill="auto"/>
          </w:tcPr>
          <w:p w14:paraId="030526BF" w14:textId="02974830"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04</w:t>
            </w:r>
            <w:r>
              <w:rPr>
                <w:sz w:val="17"/>
                <w:szCs w:val="17"/>
                <w:lang w:eastAsia="es-PY"/>
              </w:rPr>
              <w:tab/>
            </w:r>
            <w:r w:rsidRPr="00D849F6">
              <w:rPr>
                <w:sz w:val="17"/>
                <w:szCs w:val="17"/>
                <w:lang w:eastAsia="es-PY"/>
              </w:rPr>
              <w:t>Guaira</w:t>
            </w:r>
          </w:p>
        </w:tc>
        <w:tc>
          <w:tcPr>
            <w:tcW w:w="360" w:type="dxa"/>
            <w:shd w:val="clear" w:color="auto" w:fill="auto"/>
          </w:tcPr>
          <w:p w14:paraId="77AC0DE7" w14:textId="66EC3772"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562" w:type="dxa"/>
            <w:shd w:val="clear" w:color="auto" w:fill="auto"/>
          </w:tcPr>
          <w:p w14:paraId="1E9E50AE" w14:textId="2933EFB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743" w:type="dxa"/>
            <w:shd w:val="clear" w:color="auto" w:fill="auto"/>
          </w:tcPr>
          <w:p w14:paraId="3A89F40F" w14:textId="785D6DA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743" w:type="dxa"/>
            <w:shd w:val="clear" w:color="auto" w:fill="auto"/>
          </w:tcPr>
          <w:p w14:paraId="5964BCEA" w14:textId="023C10E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743" w:type="dxa"/>
            <w:shd w:val="clear" w:color="auto" w:fill="auto"/>
          </w:tcPr>
          <w:p w14:paraId="08B03234" w14:textId="0648BF8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743" w:type="dxa"/>
            <w:shd w:val="clear" w:color="auto" w:fill="auto"/>
          </w:tcPr>
          <w:p w14:paraId="6A82BC85" w14:textId="0F6F6A7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743" w:type="dxa"/>
            <w:shd w:val="clear" w:color="auto" w:fill="auto"/>
          </w:tcPr>
          <w:p w14:paraId="34872D08" w14:textId="125CEC2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743" w:type="dxa"/>
            <w:shd w:val="clear" w:color="auto" w:fill="auto"/>
          </w:tcPr>
          <w:p w14:paraId="40D76944" w14:textId="597C2C6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B2718">
              <w:rPr>
                <w:sz w:val="17"/>
                <w:szCs w:val="17"/>
              </w:rPr>
              <w:t>–</w:t>
            </w:r>
          </w:p>
        </w:tc>
        <w:tc>
          <w:tcPr>
            <w:tcW w:w="743" w:type="dxa"/>
            <w:shd w:val="clear" w:color="auto" w:fill="auto"/>
          </w:tcPr>
          <w:p w14:paraId="22EE3BFB" w14:textId="0C6AC9E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0</w:t>
            </w:r>
          </w:p>
        </w:tc>
      </w:tr>
      <w:tr w:rsidR="00E14704" w:rsidRPr="00E14704" w14:paraId="3A10384E" w14:textId="77777777" w:rsidTr="00B27D24">
        <w:tc>
          <w:tcPr>
            <w:tcW w:w="1530" w:type="dxa"/>
            <w:shd w:val="clear" w:color="auto" w:fill="auto"/>
          </w:tcPr>
          <w:p w14:paraId="4D4F29DC" w14:textId="3D6751A0"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05</w:t>
            </w:r>
            <w:r>
              <w:rPr>
                <w:sz w:val="17"/>
                <w:szCs w:val="17"/>
                <w:lang w:eastAsia="es-PY"/>
              </w:rPr>
              <w:tab/>
            </w:r>
            <w:r w:rsidRPr="00D849F6">
              <w:rPr>
                <w:sz w:val="17"/>
                <w:szCs w:val="17"/>
                <w:lang w:eastAsia="es-PY"/>
              </w:rPr>
              <w:t>Caaguazú</w:t>
            </w:r>
          </w:p>
        </w:tc>
        <w:tc>
          <w:tcPr>
            <w:tcW w:w="360" w:type="dxa"/>
            <w:shd w:val="clear" w:color="auto" w:fill="auto"/>
          </w:tcPr>
          <w:p w14:paraId="7105C2F9" w14:textId="1E335E37"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562" w:type="dxa"/>
            <w:shd w:val="clear" w:color="auto" w:fill="auto"/>
          </w:tcPr>
          <w:p w14:paraId="0515B36F" w14:textId="59FF1B3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616A1">
              <w:rPr>
                <w:sz w:val="17"/>
                <w:szCs w:val="17"/>
              </w:rPr>
              <w:t>–</w:t>
            </w:r>
          </w:p>
        </w:tc>
        <w:tc>
          <w:tcPr>
            <w:tcW w:w="743" w:type="dxa"/>
            <w:shd w:val="clear" w:color="auto" w:fill="auto"/>
          </w:tcPr>
          <w:p w14:paraId="2C916F3C" w14:textId="51375B0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2616A1">
              <w:rPr>
                <w:sz w:val="17"/>
                <w:szCs w:val="17"/>
              </w:rPr>
              <w:t>–</w:t>
            </w:r>
          </w:p>
        </w:tc>
        <w:tc>
          <w:tcPr>
            <w:tcW w:w="743" w:type="dxa"/>
            <w:shd w:val="clear" w:color="auto" w:fill="auto"/>
          </w:tcPr>
          <w:p w14:paraId="62651654" w14:textId="3AC7CD0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5B1683EF" w14:textId="6026CD7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09D0457D" w14:textId="4660F6A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8</w:t>
            </w:r>
          </w:p>
        </w:tc>
        <w:tc>
          <w:tcPr>
            <w:tcW w:w="743" w:type="dxa"/>
            <w:shd w:val="clear" w:color="auto" w:fill="auto"/>
          </w:tcPr>
          <w:p w14:paraId="160681D6" w14:textId="10E2A37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10</w:t>
            </w:r>
          </w:p>
        </w:tc>
        <w:tc>
          <w:tcPr>
            <w:tcW w:w="743" w:type="dxa"/>
            <w:shd w:val="clear" w:color="auto" w:fill="auto"/>
          </w:tcPr>
          <w:p w14:paraId="12AFB5C7" w14:textId="03937AC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79DD4E42" w14:textId="4B4ECB2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20</w:t>
            </w:r>
          </w:p>
        </w:tc>
      </w:tr>
      <w:tr w:rsidR="00E14704" w:rsidRPr="00E14704" w14:paraId="6450F400" w14:textId="77777777" w:rsidTr="00B27D24">
        <w:tc>
          <w:tcPr>
            <w:tcW w:w="1530" w:type="dxa"/>
            <w:shd w:val="clear" w:color="auto" w:fill="auto"/>
          </w:tcPr>
          <w:p w14:paraId="1B4CEBC5" w14:textId="25B4E366"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06</w:t>
            </w:r>
            <w:r>
              <w:rPr>
                <w:sz w:val="17"/>
                <w:szCs w:val="17"/>
                <w:lang w:eastAsia="es-PY"/>
              </w:rPr>
              <w:tab/>
            </w:r>
            <w:r w:rsidRPr="00D849F6">
              <w:rPr>
                <w:sz w:val="17"/>
                <w:szCs w:val="17"/>
                <w:lang w:eastAsia="es-PY"/>
              </w:rPr>
              <w:t>Caazapá</w:t>
            </w:r>
          </w:p>
        </w:tc>
        <w:tc>
          <w:tcPr>
            <w:tcW w:w="360" w:type="dxa"/>
            <w:shd w:val="clear" w:color="auto" w:fill="auto"/>
          </w:tcPr>
          <w:p w14:paraId="70FD9977" w14:textId="48093CB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3C2EE3">
              <w:rPr>
                <w:sz w:val="17"/>
                <w:szCs w:val="17"/>
              </w:rPr>
              <w:t>–</w:t>
            </w:r>
          </w:p>
        </w:tc>
        <w:tc>
          <w:tcPr>
            <w:tcW w:w="562" w:type="dxa"/>
            <w:shd w:val="clear" w:color="auto" w:fill="auto"/>
          </w:tcPr>
          <w:p w14:paraId="4BF54D36" w14:textId="0499C10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3C2EE3">
              <w:rPr>
                <w:sz w:val="17"/>
                <w:szCs w:val="17"/>
              </w:rPr>
              <w:t>–</w:t>
            </w:r>
          </w:p>
        </w:tc>
        <w:tc>
          <w:tcPr>
            <w:tcW w:w="743" w:type="dxa"/>
            <w:shd w:val="clear" w:color="auto" w:fill="auto"/>
          </w:tcPr>
          <w:p w14:paraId="1C9FE883" w14:textId="48FEAEE7"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3C2EE3">
              <w:rPr>
                <w:sz w:val="17"/>
                <w:szCs w:val="17"/>
              </w:rPr>
              <w:t>–</w:t>
            </w:r>
          </w:p>
        </w:tc>
        <w:tc>
          <w:tcPr>
            <w:tcW w:w="743" w:type="dxa"/>
            <w:shd w:val="clear" w:color="auto" w:fill="auto"/>
          </w:tcPr>
          <w:p w14:paraId="3DA79F8A" w14:textId="32645BC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3C2EE3">
              <w:rPr>
                <w:sz w:val="17"/>
                <w:szCs w:val="17"/>
              </w:rPr>
              <w:t>–</w:t>
            </w:r>
          </w:p>
        </w:tc>
        <w:tc>
          <w:tcPr>
            <w:tcW w:w="743" w:type="dxa"/>
            <w:shd w:val="clear" w:color="auto" w:fill="auto"/>
          </w:tcPr>
          <w:p w14:paraId="62A04294" w14:textId="636704B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3C2EE3">
              <w:rPr>
                <w:sz w:val="17"/>
                <w:szCs w:val="17"/>
              </w:rPr>
              <w:t>–</w:t>
            </w:r>
          </w:p>
        </w:tc>
        <w:tc>
          <w:tcPr>
            <w:tcW w:w="743" w:type="dxa"/>
            <w:shd w:val="clear" w:color="auto" w:fill="auto"/>
          </w:tcPr>
          <w:p w14:paraId="3927129D" w14:textId="776AB777"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3C2EE3">
              <w:rPr>
                <w:sz w:val="17"/>
                <w:szCs w:val="17"/>
              </w:rPr>
              <w:t>–</w:t>
            </w:r>
          </w:p>
        </w:tc>
        <w:tc>
          <w:tcPr>
            <w:tcW w:w="743" w:type="dxa"/>
            <w:shd w:val="clear" w:color="auto" w:fill="auto"/>
          </w:tcPr>
          <w:p w14:paraId="2B01EBA0" w14:textId="375EFA7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2</w:t>
            </w:r>
          </w:p>
        </w:tc>
        <w:tc>
          <w:tcPr>
            <w:tcW w:w="743" w:type="dxa"/>
            <w:shd w:val="clear" w:color="auto" w:fill="auto"/>
          </w:tcPr>
          <w:p w14:paraId="03B923C2" w14:textId="4BD9911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709D79A7" w14:textId="0B17E14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2</w:t>
            </w:r>
          </w:p>
        </w:tc>
      </w:tr>
      <w:tr w:rsidR="00E14704" w:rsidRPr="00E14704" w14:paraId="6FC69C33" w14:textId="77777777" w:rsidTr="00B27D24">
        <w:tc>
          <w:tcPr>
            <w:tcW w:w="1530" w:type="dxa"/>
            <w:shd w:val="clear" w:color="auto" w:fill="auto"/>
          </w:tcPr>
          <w:p w14:paraId="10AD996A" w14:textId="66B19A97"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07</w:t>
            </w:r>
            <w:r>
              <w:rPr>
                <w:sz w:val="17"/>
                <w:szCs w:val="17"/>
                <w:lang w:eastAsia="es-PY"/>
              </w:rPr>
              <w:tab/>
            </w:r>
            <w:r w:rsidRPr="00D849F6">
              <w:rPr>
                <w:sz w:val="17"/>
                <w:szCs w:val="17"/>
                <w:lang w:eastAsia="es-PY"/>
              </w:rPr>
              <w:t>Itapúa</w:t>
            </w:r>
          </w:p>
        </w:tc>
        <w:tc>
          <w:tcPr>
            <w:tcW w:w="360" w:type="dxa"/>
            <w:shd w:val="clear" w:color="auto" w:fill="auto"/>
          </w:tcPr>
          <w:p w14:paraId="6EE3432F" w14:textId="23293D57"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0575A8">
              <w:rPr>
                <w:sz w:val="17"/>
                <w:szCs w:val="17"/>
              </w:rPr>
              <w:t>–</w:t>
            </w:r>
          </w:p>
        </w:tc>
        <w:tc>
          <w:tcPr>
            <w:tcW w:w="562" w:type="dxa"/>
            <w:shd w:val="clear" w:color="auto" w:fill="auto"/>
          </w:tcPr>
          <w:p w14:paraId="1F954D73" w14:textId="57F26D81"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0575A8">
              <w:rPr>
                <w:sz w:val="17"/>
                <w:szCs w:val="17"/>
              </w:rPr>
              <w:t>–</w:t>
            </w:r>
          </w:p>
        </w:tc>
        <w:tc>
          <w:tcPr>
            <w:tcW w:w="743" w:type="dxa"/>
            <w:shd w:val="clear" w:color="auto" w:fill="auto"/>
          </w:tcPr>
          <w:p w14:paraId="3DC8F37E" w14:textId="100A2FE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613203E2" w14:textId="0967530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CB181D">
              <w:rPr>
                <w:sz w:val="17"/>
                <w:szCs w:val="17"/>
              </w:rPr>
              <w:t>–</w:t>
            </w:r>
          </w:p>
        </w:tc>
        <w:tc>
          <w:tcPr>
            <w:tcW w:w="743" w:type="dxa"/>
            <w:shd w:val="clear" w:color="auto" w:fill="auto"/>
          </w:tcPr>
          <w:p w14:paraId="56CBF082" w14:textId="1FA9131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CB181D">
              <w:rPr>
                <w:sz w:val="17"/>
                <w:szCs w:val="17"/>
              </w:rPr>
              <w:t>–</w:t>
            </w:r>
          </w:p>
        </w:tc>
        <w:tc>
          <w:tcPr>
            <w:tcW w:w="743" w:type="dxa"/>
            <w:shd w:val="clear" w:color="auto" w:fill="auto"/>
          </w:tcPr>
          <w:p w14:paraId="68D68B48" w14:textId="289EC90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11</w:t>
            </w:r>
          </w:p>
        </w:tc>
        <w:tc>
          <w:tcPr>
            <w:tcW w:w="743" w:type="dxa"/>
            <w:shd w:val="clear" w:color="auto" w:fill="auto"/>
          </w:tcPr>
          <w:p w14:paraId="09AA441E" w14:textId="1CBE827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467B8B">
              <w:rPr>
                <w:sz w:val="17"/>
                <w:szCs w:val="17"/>
              </w:rPr>
              <w:t>–</w:t>
            </w:r>
          </w:p>
        </w:tc>
        <w:tc>
          <w:tcPr>
            <w:tcW w:w="743" w:type="dxa"/>
            <w:shd w:val="clear" w:color="auto" w:fill="auto"/>
          </w:tcPr>
          <w:p w14:paraId="6403E925" w14:textId="274A322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467B8B">
              <w:rPr>
                <w:sz w:val="17"/>
                <w:szCs w:val="17"/>
              </w:rPr>
              <w:t>–</w:t>
            </w:r>
          </w:p>
        </w:tc>
        <w:tc>
          <w:tcPr>
            <w:tcW w:w="743" w:type="dxa"/>
            <w:shd w:val="clear" w:color="auto" w:fill="auto"/>
          </w:tcPr>
          <w:p w14:paraId="05141DC4" w14:textId="2AEBC0D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12</w:t>
            </w:r>
          </w:p>
        </w:tc>
      </w:tr>
      <w:tr w:rsidR="00E14704" w:rsidRPr="00E14704" w14:paraId="3BE92332" w14:textId="77777777" w:rsidTr="00B27D24">
        <w:tc>
          <w:tcPr>
            <w:tcW w:w="1530" w:type="dxa"/>
            <w:shd w:val="clear" w:color="auto" w:fill="auto"/>
          </w:tcPr>
          <w:p w14:paraId="316352FB" w14:textId="5D7EB0BE"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08</w:t>
            </w:r>
            <w:r>
              <w:rPr>
                <w:sz w:val="17"/>
                <w:szCs w:val="17"/>
                <w:lang w:eastAsia="es-PY"/>
              </w:rPr>
              <w:tab/>
            </w:r>
            <w:r w:rsidRPr="00D849F6">
              <w:rPr>
                <w:sz w:val="17"/>
                <w:szCs w:val="17"/>
                <w:lang w:eastAsia="es-PY"/>
              </w:rPr>
              <w:t>Misiones</w:t>
            </w:r>
          </w:p>
        </w:tc>
        <w:tc>
          <w:tcPr>
            <w:tcW w:w="360" w:type="dxa"/>
            <w:shd w:val="clear" w:color="auto" w:fill="auto"/>
          </w:tcPr>
          <w:p w14:paraId="4A7323CD" w14:textId="1F5C391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562" w:type="dxa"/>
            <w:shd w:val="clear" w:color="auto" w:fill="auto"/>
          </w:tcPr>
          <w:p w14:paraId="3E31474A" w14:textId="3E886E67"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743" w:type="dxa"/>
            <w:shd w:val="clear" w:color="auto" w:fill="auto"/>
          </w:tcPr>
          <w:p w14:paraId="0388B73B" w14:textId="0C7ECD8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743" w:type="dxa"/>
            <w:shd w:val="clear" w:color="auto" w:fill="auto"/>
          </w:tcPr>
          <w:p w14:paraId="2EEA01A4" w14:textId="3DA2F95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743" w:type="dxa"/>
            <w:shd w:val="clear" w:color="auto" w:fill="auto"/>
          </w:tcPr>
          <w:p w14:paraId="624DB4B0" w14:textId="364736CD"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743" w:type="dxa"/>
            <w:shd w:val="clear" w:color="auto" w:fill="auto"/>
          </w:tcPr>
          <w:p w14:paraId="5A19A20C" w14:textId="6D57739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743" w:type="dxa"/>
            <w:shd w:val="clear" w:color="auto" w:fill="auto"/>
          </w:tcPr>
          <w:p w14:paraId="246A8598" w14:textId="12C59EA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743" w:type="dxa"/>
            <w:shd w:val="clear" w:color="auto" w:fill="auto"/>
          </w:tcPr>
          <w:p w14:paraId="2593ECE4" w14:textId="3DFA52E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90382">
              <w:rPr>
                <w:sz w:val="17"/>
                <w:szCs w:val="17"/>
              </w:rPr>
              <w:t>–</w:t>
            </w:r>
          </w:p>
        </w:tc>
        <w:tc>
          <w:tcPr>
            <w:tcW w:w="743" w:type="dxa"/>
            <w:shd w:val="clear" w:color="auto" w:fill="auto"/>
          </w:tcPr>
          <w:p w14:paraId="36F3A40C" w14:textId="5702B79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0</w:t>
            </w:r>
          </w:p>
        </w:tc>
      </w:tr>
      <w:tr w:rsidR="00E14704" w:rsidRPr="00E14704" w14:paraId="00595CEC" w14:textId="77777777" w:rsidTr="00B27D24">
        <w:tc>
          <w:tcPr>
            <w:tcW w:w="1530" w:type="dxa"/>
            <w:shd w:val="clear" w:color="auto" w:fill="auto"/>
          </w:tcPr>
          <w:p w14:paraId="79F80FE6" w14:textId="1B4A4C37"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09</w:t>
            </w:r>
            <w:r>
              <w:rPr>
                <w:sz w:val="17"/>
                <w:szCs w:val="17"/>
                <w:lang w:eastAsia="es-PY"/>
              </w:rPr>
              <w:tab/>
            </w:r>
            <w:r w:rsidRPr="00D849F6">
              <w:rPr>
                <w:sz w:val="17"/>
                <w:szCs w:val="17"/>
                <w:lang w:eastAsia="es-PY"/>
              </w:rPr>
              <w:t>Paraguarí</w:t>
            </w:r>
          </w:p>
        </w:tc>
        <w:tc>
          <w:tcPr>
            <w:tcW w:w="360" w:type="dxa"/>
            <w:shd w:val="clear" w:color="auto" w:fill="auto"/>
          </w:tcPr>
          <w:p w14:paraId="3C86E97C" w14:textId="32B4FE5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562" w:type="dxa"/>
            <w:shd w:val="clear" w:color="auto" w:fill="auto"/>
          </w:tcPr>
          <w:p w14:paraId="1EB80880" w14:textId="545DA2C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152AD0CC" w14:textId="63D56A3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7833C1">
              <w:rPr>
                <w:sz w:val="17"/>
                <w:szCs w:val="17"/>
              </w:rPr>
              <w:t>–</w:t>
            </w:r>
          </w:p>
        </w:tc>
        <w:tc>
          <w:tcPr>
            <w:tcW w:w="743" w:type="dxa"/>
            <w:shd w:val="clear" w:color="auto" w:fill="auto"/>
          </w:tcPr>
          <w:p w14:paraId="2698E1BA" w14:textId="276BD0B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7833C1">
              <w:rPr>
                <w:sz w:val="17"/>
                <w:szCs w:val="17"/>
              </w:rPr>
              <w:t>–</w:t>
            </w:r>
          </w:p>
        </w:tc>
        <w:tc>
          <w:tcPr>
            <w:tcW w:w="743" w:type="dxa"/>
            <w:shd w:val="clear" w:color="auto" w:fill="auto"/>
          </w:tcPr>
          <w:p w14:paraId="52185836" w14:textId="1D12EBB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7833C1">
              <w:rPr>
                <w:sz w:val="17"/>
                <w:szCs w:val="17"/>
              </w:rPr>
              <w:t>–</w:t>
            </w:r>
          </w:p>
        </w:tc>
        <w:tc>
          <w:tcPr>
            <w:tcW w:w="743" w:type="dxa"/>
            <w:shd w:val="clear" w:color="auto" w:fill="auto"/>
          </w:tcPr>
          <w:p w14:paraId="0AFCFFF0" w14:textId="3F7C1181"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7833C1">
              <w:rPr>
                <w:sz w:val="17"/>
                <w:szCs w:val="17"/>
              </w:rPr>
              <w:t>–</w:t>
            </w:r>
          </w:p>
        </w:tc>
        <w:tc>
          <w:tcPr>
            <w:tcW w:w="743" w:type="dxa"/>
            <w:shd w:val="clear" w:color="auto" w:fill="auto"/>
          </w:tcPr>
          <w:p w14:paraId="26F35861" w14:textId="5C0D60C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7833C1">
              <w:rPr>
                <w:sz w:val="17"/>
                <w:szCs w:val="17"/>
              </w:rPr>
              <w:t>–</w:t>
            </w:r>
          </w:p>
        </w:tc>
        <w:tc>
          <w:tcPr>
            <w:tcW w:w="743" w:type="dxa"/>
            <w:shd w:val="clear" w:color="auto" w:fill="auto"/>
          </w:tcPr>
          <w:p w14:paraId="609251EF" w14:textId="6E22A4F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3</w:t>
            </w:r>
          </w:p>
        </w:tc>
        <w:tc>
          <w:tcPr>
            <w:tcW w:w="743" w:type="dxa"/>
            <w:shd w:val="clear" w:color="auto" w:fill="auto"/>
          </w:tcPr>
          <w:p w14:paraId="685E2FB7" w14:textId="421FC0E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4</w:t>
            </w:r>
          </w:p>
        </w:tc>
      </w:tr>
      <w:tr w:rsidR="00E14704" w:rsidRPr="00E14704" w14:paraId="7218DD55" w14:textId="77777777" w:rsidTr="00B27D24">
        <w:tc>
          <w:tcPr>
            <w:tcW w:w="1530" w:type="dxa"/>
            <w:shd w:val="clear" w:color="auto" w:fill="auto"/>
          </w:tcPr>
          <w:p w14:paraId="7F4E6A40" w14:textId="4D4C8B71"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10</w:t>
            </w:r>
            <w:r>
              <w:rPr>
                <w:sz w:val="17"/>
                <w:szCs w:val="17"/>
                <w:lang w:eastAsia="es-PY"/>
              </w:rPr>
              <w:tab/>
            </w:r>
            <w:r w:rsidRPr="00D849F6">
              <w:rPr>
                <w:sz w:val="17"/>
                <w:szCs w:val="17"/>
                <w:lang w:eastAsia="es-PY"/>
              </w:rPr>
              <w:t>Alto Paraná</w:t>
            </w:r>
          </w:p>
        </w:tc>
        <w:tc>
          <w:tcPr>
            <w:tcW w:w="360" w:type="dxa"/>
            <w:shd w:val="clear" w:color="auto" w:fill="auto"/>
          </w:tcPr>
          <w:p w14:paraId="7E4F1302" w14:textId="5B4D832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8322D">
              <w:rPr>
                <w:sz w:val="17"/>
                <w:szCs w:val="17"/>
              </w:rPr>
              <w:t>–</w:t>
            </w:r>
          </w:p>
        </w:tc>
        <w:tc>
          <w:tcPr>
            <w:tcW w:w="562" w:type="dxa"/>
            <w:shd w:val="clear" w:color="auto" w:fill="auto"/>
          </w:tcPr>
          <w:p w14:paraId="3A992265" w14:textId="0E1377D1"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8322D">
              <w:rPr>
                <w:sz w:val="17"/>
                <w:szCs w:val="17"/>
              </w:rPr>
              <w:t>–</w:t>
            </w:r>
          </w:p>
        </w:tc>
        <w:tc>
          <w:tcPr>
            <w:tcW w:w="743" w:type="dxa"/>
            <w:shd w:val="clear" w:color="auto" w:fill="auto"/>
          </w:tcPr>
          <w:p w14:paraId="1FC96179" w14:textId="3AE11FB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8322D">
              <w:rPr>
                <w:sz w:val="17"/>
                <w:szCs w:val="17"/>
              </w:rPr>
              <w:t>–</w:t>
            </w:r>
          </w:p>
        </w:tc>
        <w:tc>
          <w:tcPr>
            <w:tcW w:w="743" w:type="dxa"/>
            <w:shd w:val="clear" w:color="auto" w:fill="auto"/>
          </w:tcPr>
          <w:p w14:paraId="0BAD1E33" w14:textId="7B63C5D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11</w:t>
            </w:r>
          </w:p>
        </w:tc>
        <w:tc>
          <w:tcPr>
            <w:tcW w:w="743" w:type="dxa"/>
            <w:shd w:val="clear" w:color="auto" w:fill="auto"/>
          </w:tcPr>
          <w:p w14:paraId="0B6C49B2" w14:textId="3DA928E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10</w:t>
            </w:r>
          </w:p>
        </w:tc>
        <w:tc>
          <w:tcPr>
            <w:tcW w:w="743" w:type="dxa"/>
            <w:shd w:val="clear" w:color="auto" w:fill="auto"/>
          </w:tcPr>
          <w:p w14:paraId="5453E9DC" w14:textId="1D92626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4</w:t>
            </w:r>
          </w:p>
        </w:tc>
        <w:tc>
          <w:tcPr>
            <w:tcW w:w="743" w:type="dxa"/>
            <w:shd w:val="clear" w:color="auto" w:fill="auto"/>
          </w:tcPr>
          <w:p w14:paraId="323F7F9B" w14:textId="13D616B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8</w:t>
            </w:r>
          </w:p>
        </w:tc>
        <w:tc>
          <w:tcPr>
            <w:tcW w:w="743" w:type="dxa"/>
            <w:shd w:val="clear" w:color="auto" w:fill="auto"/>
          </w:tcPr>
          <w:p w14:paraId="490F1940" w14:textId="1732F3C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63489213" w14:textId="18BFE09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34</w:t>
            </w:r>
          </w:p>
        </w:tc>
      </w:tr>
      <w:tr w:rsidR="00E14704" w:rsidRPr="00E14704" w14:paraId="22CECE75" w14:textId="77777777" w:rsidTr="00B27D24">
        <w:tc>
          <w:tcPr>
            <w:tcW w:w="1530" w:type="dxa"/>
            <w:shd w:val="clear" w:color="auto" w:fill="auto"/>
          </w:tcPr>
          <w:p w14:paraId="3EEFFE70" w14:textId="2EB88C5A"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11</w:t>
            </w:r>
            <w:r>
              <w:rPr>
                <w:sz w:val="17"/>
                <w:szCs w:val="17"/>
                <w:lang w:eastAsia="es-PY"/>
              </w:rPr>
              <w:tab/>
            </w:r>
            <w:r w:rsidRPr="00D849F6">
              <w:rPr>
                <w:sz w:val="17"/>
                <w:szCs w:val="17"/>
                <w:lang w:eastAsia="es-PY"/>
              </w:rPr>
              <w:t>Central</w:t>
            </w:r>
          </w:p>
        </w:tc>
        <w:tc>
          <w:tcPr>
            <w:tcW w:w="360" w:type="dxa"/>
            <w:shd w:val="clear" w:color="auto" w:fill="auto"/>
          </w:tcPr>
          <w:p w14:paraId="1800F292" w14:textId="1534843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F11A1">
              <w:rPr>
                <w:sz w:val="17"/>
                <w:szCs w:val="17"/>
              </w:rPr>
              <w:t>–</w:t>
            </w:r>
          </w:p>
        </w:tc>
        <w:tc>
          <w:tcPr>
            <w:tcW w:w="562" w:type="dxa"/>
            <w:shd w:val="clear" w:color="auto" w:fill="auto"/>
          </w:tcPr>
          <w:p w14:paraId="77668362" w14:textId="701C45A1"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F11A1">
              <w:rPr>
                <w:sz w:val="17"/>
                <w:szCs w:val="17"/>
              </w:rPr>
              <w:t>–</w:t>
            </w:r>
          </w:p>
        </w:tc>
        <w:tc>
          <w:tcPr>
            <w:tcW w:w="743" w:type="dxa"/>
            <w:shd w:val="clear" w:color="auto" w:fill="auto"/>
          </w:tcPr>
          <w:p w14:paraId="32CB3738" w14:textId="57E6834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8F11A1">
              <w:rPr>
                <w:sz w:val="17"/>
                <w:szCs w:val="17"/>
              </w:rPr>
              <w:t>–</w:t>
            </w:r>
          </w:p>
        </w:tc>
        <w:tc>
          <w:tcPr>
            <w:tcW w:w="743" w:type="dxa"/>
            <w:shd w:val="clear" w:color="auto" w:fill="auto"/>
          </w:tcPr>
          <w:p w14:paraId="3912397C" w14:textId="1DAE3DF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32</w:t>
            </w:r>
          </w:p>
        </w:tc>
        <w:tc>
          <w:tcPr>
            <w:tcW w:w="743" w:type="dxa"/>
            <w:shd w:val="clear" w:color="auto" w:fill="auto"/>
          </w:tcPr>
          <w:p w14:paraId="0B34113B" w14:textId="408D100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6</w:t>
            </w:r>
          </w:p>
        </w:tc>
        <w:tc>
          <w:tcPr>
            <w:tcW w:w="743" w:type="dxa"/>
            <w:shd w:val="clear" w:color="auto" w:fill="auto"/>
          </w:tcPr>
          <w:p w14:paraId="6785CD56" w14:textId="7EAD3681"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13235255" w14:textId="56110220"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2</w:t>
            </w:r>
          </w:p>
        </w:tc>
        <w:tc>
          <w:tcPr>
            <w:tcW w:w="743" w:type="dxa"/>
            <w:shd w:val="clear" w:color="auto" w:fill="auto"/>
          </w:tcPr>
          <w:p w14:paraId="4D1A448B" w14:textId="658B6AD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2</w:t>
            </w:r>
          </w:p>
        </w:tc>
        <w:tc>
          <w:tcPr>
            <w:tcW w:w="743" w:type="dxa"/>
            <w:shd w:val="clear" w:color="auto" w:fill="auto"/>
          </w:tcPr>
          <w:p w14:paraId="03C47525" w14:textId="308F163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43</w:t>
            </w:r>
          </w:p>
        </w:tc>
      </w:tr>
      <w:tr w:rsidR="00E14704" w:rsidRPr="00E14704" w14:paraId="02B9CEF7" w14:textId="77777777" w:rsidTr="00B27D24">
        <w:tc>
          <w:tcPr>
            <w:tcW w:w="1530" w:type="dxa"/>
            <w:shd w:val="clear" w:color="auto" w:fill="auto"/>
          </w:tcPr>
          <w:p w14:paraId="72D312F3" w14:textId="4E6AE6AB"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12</w:t>
            </w:r>
            <w:r>
              <w:rPr>
                <w:sz w:val="17"/>
                <w:szCs w:val="17"/>
                <w:lang w:eastAsia="es-PY"/>
              </w:rPr>
              <w:tab/>
            </w:r>
            <w:proofErr w:type="spellStart"/>
            <w:r w:rsidRPr="00D849F6">
              <w:rPr>
                <w:sz w:val="17"/>
                <w:szCs w:val="17"/>
                <w:lang w:eastAsia="es-PY"/>
              </w:rPr>
              <w:t>Ñeembucu</w:t>
            </w:r>
            <w:proofErr w:type="spellEnd"/>
          </w:p>
        </w:tc>
        <w:tc>
          <w:tcPr>
            <w:tcW w:w="360" w:type="dxa"/>
            <w:shd w:val="clear" w:color="auto" w:fill="auto"/>
          </w:tcPr>
          <w:p w14:paraId="268AFA2D" w14:textId="07A8BB5D"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562" w:type="dxa"/>
            <w:shd w:val="clear" w:color="auto" w:fill="auto"/>
          </w:tcPr>
          <w:p w14:paraId="3CAC5A9A" w14:textId="03463D1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743" w:type="dxa"/>
            <w:shd w:val="clear" w:color="auto" w:fill="auto"/>
          </w:tcPr>
          <w:p w14:paraId="3B1CA002" w14:textId="4909ECC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743" w:type="dxa"/>
            <w:shd w:val="clear" w:color="auto" w:fill="auto"/>
          </w:tcPr>
          <w:p w14:paraId="5433534D" w14:textId="082D621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743" w:type="dxa"/>
            <w:shd w:val="clear" w:color="auto" w:fill="auto"/>
          </w:tcPr>
          <w:p w14:paraId="500FA45D" w14:textId="520AE6C0"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743" w:type="dxa"/>
            <w:shd w:val="clear" w:color="auto" w:fill="auto"/>
          </w:tcPr>
          <w:p w14:paraId="03215323" w14:textId="39D68D6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743" w:type="dxa"/>
            <w:shd w:val="clear" w:color="auto" w:fill="auto"/>
          </w:tcPr>
          <w:p w14:paraId="307F26E7" w14:textId="1E0516C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743" w:type="dxa"/>
            <w:shd w:val="clear" w:color="auto" w:fill="auto"/>
          </w:tcPr>
          <w:p w14:paraId="190446D0" w14:textId="24BFD2D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680D6A">
              <w:rPr>
                <w:sz w:val="17"/>
                <w:szCs w:val="17"/>
              </w:rPr>
              <w:t>–</w:t>
            </w:r>
          </w:p>
        </w:tc>
        <w:tc>
          <w:tcPr>
            <w:tcW w:w="743" w:type="dxa"/>
            <w:shd w:val="clear" w:color="auto" w:fill="auto"/>
          </w:tcPr>
          <w:p w14:paraId="541D4A57" w14:textId="3821ECCD"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0</w:t>
            </w:r>
          </w:p>
        </w:tc>
      </w:tr>
      <w:tr w:rsidR="00E14704" w:rsidRPr="00E14704" w14:paraId="103B5E0F" w14:textId="77777777" w:rsidTr="00B27D24">
        <w:tc>
          <w:tcPr>
            <w:tcW w:w="1530" w:type="dxa"/>
            <w:shd w:val="clear" w:color="auto" w:fill="auto"/>
          </w:tcPr>
          <w:p w14:paraId="2D4587AA" w14:textId="798A9248"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13</w:t>
            </w:r>
            <w:r>
              <w:rPr>
                <w:sz w:val="17"/>
                <w:szCs w:val="17"/>
                <w:lang w:eastAsia="es-PY"/>
              </w:rPr>
              <w:tab/>
            </w:r>
            <w:r w:rsidRPr="00D849F6">
              <w:rPr>
                <w:sz w:val="17"/>
                <w:szCs w:val="17"/>
                <w:lang w:eastAsia="es-PY"/>
              </w:rPr>
              <w:t>Amambay</w:t>
            </w:r>
          </w:p>
        </w:tc>
        <w:tc>
          <w:tcPr>
            <w:tcW w:w="360" w:type="dxa"/>
            <w:shd w:val="clear" w:color="auto" w:fill="auto"/>
          </w:tcPr>
          <w:p w14:paraId="5F72457F" w14:textId="07D6072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562" w:type="dxa"/>
            <w:shd w:val="clear" w:color="auto" w:fill="auto"/>
          </w:tcPr>
          <w:p w14:paraId="3DE10795" w14:textId="249832E1"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743" w:type="dxa"/>
            <w:shd w:val="clear" w:color="auto" w:fill="auto"/>
          </w:tcPr>
          <w:p w14:paraId="7CECAEED" w14:textId="4665435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743" w:type="dxa"/>
            <w:shd w:val="clear" w:color="auto" w:fill="auto"/>
          </w:tcPr>
          <w:p w14:paraId="1EFFA519" w14:textId="4443426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743" w:type="dxa"/>
            <w:shd w:val="clear" w:color="auto" w:fill="auto"/>
          </w:tcPr>
          <w:p w14:paraId="506D723E" w14:textId="4E61B87D"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743" w:type="dxa"/>
            <w:shd w:val="clear" w:color="auto" w:fill="auto"/>
          </w:tcPr>
          <w:p w14:paraId="11C49D47" w14:textId="1DF139E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743" w:type="dxa"/>
            <w:shd w:val="clear" w:color="auto" w:fill="auto"/>
          </w:tcPr>
          <w:p w14:paraId="3ED25DB9" w14:textId="296FCA6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743" w:type="dxa"/>
            <w:shd w:val="clear" w:color="auto" w:fill="auto"/>
          </w:tcPr>
          <w:p w14:paraId="27624D23" w14:textId="0A834D7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F33CE2">
              <w:rPr>
                <w:sz w:val="17"/>
                <w:szCs w:val="17"/>
              </w:rPr>
              <w:t>–</w:t>
            </w:r>
          </w:p>
        </w:tc>
        <w:tc>
          <w:tcPr>
            <w:tcW w:w="743" w:type="dxa"/>
            <w:shd w:val="clear" w:color="auto" w:fill="auto"/>
          </w:tcPr>
          <w:p w14:paraId="013603C5" w14:textId="59792D9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0</w:t>
            </w:r>
          </w:p>
        </w:tc>
      </w:tr>
      <w:tr w:rsidR="00E14704" w:rsidRPr="00E14704" w14:paraId="12785ECC" w14:textId="77777777" w:rsidTr="00B27D24">
        <w:tc>
          <w:tcPr>
            <w:tcW w:w="1530" w:type="dxa"/>
            <w:shd w:val="clear" w:color="auto" w:fill="auto"/>
          </w:tcPr>
          <w:p w14:paraId="50940F7C" w14:textId="638D0F9F"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14</w:t>
            </w:r>
            <w:r>
              <w:rPr>
                <w:sz w:val="17"/>
                <w:szCs w:val="17"/>
                <w:lang w:eastAsia="es-PY"/>
              </w:rPr>
              <w:tab/>
            </w:r>
            <w:proofErr w:type="spellStart"/>
            <w:r w:rsidRPr="00D849F6">
              <w:rPr>
                <w:sz w:val="17"/>
                <w:szCs w:val="17"/>
                <w:lang w:eastAsia="es-PY"/>
              </w:rPr>
              <w:t>Canindeyu</w:t>
            </w:r>
            <w:proofErr w:type="spellEnd"/>
          </w:p>
        </w:tc>
        <w:tc>
          <w:tcPr>
            <w:tcW w:w="360" w:type="dxa"/>
            <w:shd w:val="clear" w:color="auto" w:fill="auto"/>
          </w:tcPr>
          <w:p w14:paraId="5B22E991" w14:textId="4A51D08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4D5925">
              <w:rPr>
                <w:sz w:val="17"/>
                <w:szCs w:val="17"/>
              </w:rPr>
              <w:t>–</w:t>
            </w:r>
          </w:p>
        </w:tc>
        <w:tc>
          <w:tcPr>
            <w:tcW w:w="562" w:type="dxa"/>
            <w:shd w:val="clear" w:color="auto" w:fill="auto"/>
          </w:tcPr>
          <w:p w14:paraId="656735D7" w14:textId="7EA1AA4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4D5925">
              <w:rPr>
                <w:sz w:val="17"/>
                <w:szCs w:val="17"/>
              </w:rPr>
              <w:t>–</w:t>
            </w:r>
          </w:p>
        </w:tc>
        <w:tc>
          <w:tcPr>
            <w:tcW w:w="743" w:type="dxa"/>
            <w:shd w:val="clear" w:color="auto" w:fill="auto"/>
          </w:tcPr>
          <w:p w14:paraId="438974F6" w14:textId="5BD7116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0B58E4E0" w14:textId="56172B58"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74F65">
              <w:rPr>
                <w:sz w:val="17"/>
                <w:szCs w:val="17"/>
              </w:rPr>
              <w:t>–</w:t>
            </w:r>
          </w:p>
        </w:tc>
        <w:tc>
          <w:tcPr>
            <w:tcW w:w="743" w:type="dxa"/>
            <w:shd w:val="clear" w:color="auto" w:fill="auto"/>
          </w:tcPr>
          <w:p w14:paraId="6C51213E" w14:textId="19319B8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74F65">
              <w:rPr>
                <w:sz w:val="17"/>
                <w:szCs w:val="17"/>
              </w:rPr>
              <w:t>–</w:t>
            </w:r>
          </w:p>
        </w:tc>
        <w:tc>
          <w:tcPr>
            <w:tcW w:w="743" w:type="dxa"/>
            <w:shd w:val="clear" w:color="auto" w:fill="auto"/>
          </w:tcPr>
          <w:p w14:paraId="7F752661" w14:textId="4FED64E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74F65">
              <w:rPr>
                <w:sz w:val="17"/>
                <w:szCs w:val="17"/>
              </w:rPr>
              <w:t>–</w:t>
            </w:r>
          </w:p>
        </w:tc>
        <w:tc>
          <w:tcPr>
            <w:tcW w:w="743" w:type="dxa"/>
            <w:shd w:val="clear" w:color="auto" w:fill="auto"/>
          </w:tcPr>
          <w:p w14:paraId="4C4E55F1" w14:textId="39F30C3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74F65">
              <w:rPr>
                <w:sz w:val="17"/>
                <w:szCs w:val="17"/>
              </w:rPr>
              <w:t>–</w:t>
            </w:r>
          </w:p>
        </w:tc>
        <w:tc>
          <w:tcPr>
            <w:tcW w:w="743" w:type="dxa"/>
            <w:shd w:val="clear" w:color="auto" w:fill="auto"/>
          </w:tcPr>
          <w:p w14:paraId="7443DE62" w14:textId="6E0B7762"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74F65">
              <w:rPr>
                <w:sz w:val="17"/>
                <w:szCs w:val="17"/>
              </w:rPr>
              <w:t>–</w:t>
            </w:r>
          </w:p>
        </w:tc>
        <w:tc>
          <w:tcPr>
            <w:tcW w:w="743" w:type="dxa"/>
            <w:shd w:val="clear" w:color="auto" w:fill="auto"/>
          </w:tcPr>
          <w:p w14:paraId="6AB73BA7" w14:textId="7FB4E16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1</w:t>
            </w:r>
          </w:p>
        </w:tc>
      </w:tr>
      <w:tr w:rsidR="00E14704" w:rsidRPr="00E14704" w14:paraId="23D56405" w14:textId="77777777" w:rsidTr="00B27D24">
        <w:tc>
          <w:tcPr>
            <w:tcW w:w="1530" w:type="dxa"/>
            <w:shd w:val="clear" w:color="auto" w:fill="auto"/>
          </w:tcPr>
          <w:p w14:paraId="2ED96584" w14:textId="2A0510AF"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15</w:t>
            </w:r>
            <w:r>
              <w:rPr>
                <w:sz w:val="17"/>
                <w:szCs w:val="17"/>
                <w:lang w:eastAsia="es-PY"/>
              </w:rPr>
              <w:tab/>
            </w:r>
            <w:proofErr w:type="spellStart"/>
            <w:r w:rsidRPr="00D849F6">
              <w:rPr>
                <w:sz w:val="17"/>
                <w:szCs w:val="17"/>
                <w:lang w:eastAsia="es-PY"/>
              </w:rPr>
              <w:t>Pte</w:t>
            </w:r>
            <w:proofErr w:type="spellEnd"/>
            <w:r w:rsidRPr="00D849F6">
              <w:rPr>
                <w:sz w:val="17"/>
                <w:szCs w:val="17"/>
                <w:lang w:eastAsia="es-PY"/>
              </w:rPr>
              <w:t xml:space="preserve"> Hayes</w:t>
            </w:r>
          </w:p>
        </w:tc>
        <w:tc>
          <w:tcPr>
            <w:tcW w:w="360" w:type="dxa"/>
            <w:shd w:val="clear" w:color="auto" w:fill="auto"/>
          </w:tcPr>
          <w:p w14:paraId="651855A3" w14:textId="1F585F3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C11D2">
              <w:rPr>
                <w:sz w:val="17"/>
                <w:szCs w:val="17"/>
              </w:rPr>
              <w:t>–</w:t>
            </w:r>
          </w:p>
        </w:tc>
        <w:tc>
          <w:tcPr>
            <w:tcW w:w="562" w:type="dxa"/>
            <w:shd w:val="clear" w:color="auto" w:fill="auto"/>
          </w:tcPr>
          <w:p w14:paraId="719A4280" w14:textId="38F1375F"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C11D2">
              <w:rPr>
                <w:sz w:val="17"/>
                <w:szCs w:val="17"/>
              </w:rPr>
              <w:t>–</w:t>
            </w:r>
          </w:p>
        </w:tc>
        <w:tc>
          <w:tcPr>
            <w:tcW w:w="743" w:type="dxa"/>
            <w:shd w:val="clear" w:color="auto" w:fill="auto"/>
          </w:tcPr>
          <w:p w14:paraId="45F6251B" w14:textId="4C264786"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C11D2">
              <w:rPr>
                <w:sz w:val="17"/>
                <w:szCs w:val="17"/>
              </w:rPr>
              <w:t>–</w:t>
            </w:r>
          </w:p>
        </w:tc>
        <w:tc>
          <w:tcPr>
            <w:tcW w:w="743" w:type="dxa"/>
            <w:shd w:val="clear" w:color="auto" w:fill="auto"/>
          </w:tcPr>
          <w:p w14:paraId="0EFA5959" w14:textId="5F626F4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C11D2">
              <w:rPr>
                <w:sz w:val="17"/>
                <w:szCs w:val="17"/>
              </w:rPr>
              <w:t>–</w:t>
            </w:r>
          </w:p>
        </w:tc>
        <w:tc>
          <w:tcPr>
            <w:tcW w:w="743" w:type="dxa"/>
            <w:shd w:val="clear" w:color="auto" w:fill="auto"/>
          </w:tcPr>
          <w:p w14:paraId="35426B52" w14:textId="6EBD4BDC"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EC11D2">
              <w:rPr>
                <w:sz w:val="17"/>
                <w:szCs w:val="17"/>
              </w:rPr>
              <w:t>–</w:t>
            </w:r>
          </w:p>
        </w:tc>
        <w:tc>
          <w:tcPr>
            <w:tcW w:w="743" w:type="dxa"/>
            <w:shd w:val="clear" w:color="auto" w:fill="auto"/>
          </w:tcPr>
          <w:p w14:paraId="501C0746" w14:textId="7276D8E2"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5E4FE424" w14:textId="546B387B"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2</w:t>
            </w:r>
          </w:p>
        </w:tc>
        <w:tc>
          <w:tcPr>
            <w:tcW w:w="743" w:type="dxa"/>
            <w:shd w:val="clear" w:color="auto" w:fill="auto"/>
          </w:tcPr>
          <w:p w14:paraId="39F01F81" w14:textId="09B1F3CD"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4BF57D51" w14:textId="558F2580"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3</w:t>
            </w:r>
          </w:p>
        </w:tc>
      </w:tr>
      <w:tr w:rsidR="00E14704" w:rsidRPr="00E14704" w14:paraId="0574BFD0" w14:textId="77777777" w:rsidTr="00B27D24">
        <w:tc>
          <w:tcPr>
            <w:tcW w:w="1530" w:type="dxa"/>
            <w:shd w:val="clear" w:color="auto" w:fill="auto"/>
          </w:tcPr>
          <w:p w14:paraId="4C6AD441" w14:textId="1CAAA802" w:rsidR="00E14704" w:rsidRPr="00D849F6" w:rsidRDefault="00E14704"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eastAsia="es-PY"/>
              </w:rPr>
              <w:t>16</w:t>
            </w:r>
            <w:r>
              <w:rPr>
                <w:sz w:val="17"/>
                <w:szCs w:val="17"/>
                <w:lang w:eastAsia="es-PY"/>
              </w:rPr>
              <w:tab/>
            </w:r>
            <w:r w:rsidRPr="00D849F6">
              <w:rPr>
                <w:sz w:val="17"/>
                <w:szCs w:val="17"/>
                <w:lang w:eastAsia="es-PY"/>
              </w:rPr>
              <w:t>Boquerón</w:t>
            </w:r>
          </w:p>
        </w:tc>
        <w:tc>
          <w:tcPr>
            <w:tcW w:w="360" w:type="dxa"/>
            <w:shd w:val="clear" w:color="auto" w:fill="auto"/>
          </w:tcPr>
          <w:p w14:paraId="395DA38C" w14:textId="77FD54F4"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20CD">
              <w:rPr>
                <w:sz w:val="17"/>
                <w:szCs w:val="17"/>
              </w:rPr>
              <w:t>–</w:t>
            </w:r>
          </w:p>
        </w:tc>
        <w:tc>
          <w:tcPr>
            <w:tcW w:w="562" w:type="dxa"/>
            <w:shd w:val="clear" w:color="auto" w:fill="auto"/>
          </w:tcPr>
          <w:p w14:paraId="5857F4D8" w14:textId="3EE9E61E"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20CD">
              <w:rPr>
                <w:sz w:val="17"/>
                <w:szCs w:val="17"/>
              </w:rPr>
              <w:t>–</w:t>
            </w:r>
          </w:p>
        </w:tc>
        <w:tc>
          <w:tcPr>
            <w:tcW w:w="743" w:type="dxa"/>
            <w:shd w:val="clear" w:color="auto" w:fill="auto"/>
          </w:tcPr>
          <w:p w14:paraId="4158EB25" w14:textId="3183D7A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20CD">
              <w:rPr>
                <w:sz w:val="17"/>
                <w:szCs w:val="17"/>
              </w:rPr>
              <w:t>–</w:t>
            </w:r>
          </w:p>
        </w:tc>
        <w:tc>
          <w:tcPr>
            <w:tcW w:w="743" w:type="dxa"/>
            <w:shd w:val="clear" w:color="auto" w:fill="auto"/>
          </w:tcPr>
          <w:p w14:paraId="0B41BAC5" w14:textId="30A31059"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1</w:t>
            </w:r>
          </w:p>
        </w:tc>
        <w:tc>
          <w:tcPr>
            <w:tcW w:w="743" w:type="dxa"/>
            <w:shd w:val="clear" w:color="auto" w:fill="auto"/>
          </w:tcPr>
          <w:p w14:paraId="73A6C040" w14:textId="097460F0"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Pr>
                <w:sz w:val="17"/>
                <w:szCs w:val="17"/>
              </w:rPr>
              <w:t>–</w:t>
            </w:r>
          </w:p>
        </w:tc>
        <w:tc>
          <w:tcPr>
            <w:tcW w:w="743" w:type="dxa"/>
            <w:shd w:val="clear" w:color="auto" w:fill="auto"/>
          </w:tcPr>
          <w:p w14:paraId="5F2A494A" w14:textId="5586781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eastAsia="es-PY"/>
              </w:rPr>
              <w:t>3</w:t>
            </w:r>
          </w:p>
        </w:tc>
        <w:tc>
          <w:tcPr>
            <w:tcW w:w="743" w:type="dxa"/>
            <w:shd w:val="clear" w:color="auto" w:fill="auto"/>
          </w:tcPr>
          <w:p w14:paraId="744A8767" w14:textId="5AEB39A5"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932E5B">
              <w:rPr>
                <w:sz w:val="17"/>
                <w:szCs w:val="17"/>
              </w:rPr>
              <w:t>–</w:t>
            </w:r>
          </w:p>
        </w:tc>
        <w:tc>
          <w:tcPr>
            <w:tcW w:w="743" w:type="dxa"/>
            <w:shd w:val="clear" w:color="auto" w:fill="auto"/>
          </w:tcPr>
          <w:p w14:paraId="6A396D5B" w14:textId="1EE94C83"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932E5B">
              <w:rPr>
                <w:sz w:val="17"/>
                <w:szCs w:val="17"/>
              </w:rPr>
              <w:t>–</w:t>
            </w:r>
          </w:p>
        </w:tc>
        <w:tc>
          <w:tcPr>
            <w:tcW w:w="743" w:type="dxa"/>
            <w:shd w:val="clear" w:color="auto" w:fill="auto"/>
          </w:tcPr>
          <w:p w14:paraId="38252E7A" w14:textId="4F058B0A" w:rsidR="00E14704" w:rsidRPr="00D849F6" w:rsidRDefault="00E14704" w:rsidP="00D849F6">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4</w:t>
            </w:r>
          </w:p>
        </w:tc>
      </w:tr>
      <w:tr w:rsidR="00E14704" w:rsidRPr="00E14704" w14:paraId="302EBD17" w14:textId="77777777" w:rsidTr="00B27D24">
        <w:tc>
          <w:tcPr>
            <w:tcW w:w="1530" w:type="dxa"/>
            <w:shd w:val="clear" w:color="auto" w:fill="auto"/>
          </w:tcPr>
          <w:p w14:paraId="6AEF3898" w14:textId="2F3C1DB5" w:rsidR="00E14704" w:rsidRPr="00D849F6" w:rsidRDefault="00E14704" w:rsidP="00D849F6">
            <w:pPr>
              <w:tabs>
                <w:tab w:val="left" w:pos="288"/>
                <w:tab w:val="left" w:pos="576"/>
                <w:tab w:val="left" w:pos="864"/>
                <w:tab w:val="left" w:pos="1152"/>
              </w:tabs>
              <w:spacing w:before="40" w:after="40" w:line="210" w:lineRule="exact"/>
              <w:ind w:left="288" w:right="40" w:hanging="288"/>
              <w:rPr>
                <w:sz w:val="17"/>
                <w:szCs w:val="17"/>
              </w:rPr>
            </w:pPr>
            <w:r w:rsidRPr="00D849F6">
              <w:rPr>
                <w:sz w:val="17"/>
                <w:szCs w:val="17"/>
                <w:lang w:eastAsia="es-PY"/>
              </w:rPr>
              <w:t>17</w:t>
            </w:r>
            <w:r>
              <w:rPr>
                <w:sz w:val="17"/>
                <w:szCs w:val="17"/>
                <w:lang w:eastAsia="es-PY"/>
              </w:rPr>
              <w:tab/>
            </w:r>
            <w:r w:rsidRPr="00D849F6">
              <w:rPr>
                <w:sz w:val="17"/>
                <w:szCs w:val="17"/>
                <w:lang w:eastAsia="es-PY"/>
              </w:rPr>
              <w:t>Alto Paraguay</w:t>
            </w:r>
          </w:p>
        </w:tc>
        <w:tc>
          <w:tcPr>
            <w:tcW w:w="360" w:type="dxa"/>
            <w:shd w:val="clear" w:color="auto" w:fill="auto"/>
            <w:vAlign w:val="bottom"/>
          </w:tcPr>
          <w:p w14:paraId="765B1B99" w14:textId="618D9960"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562" w:type="dxa"/>
            <w:shd w:val="clear" w:color="auto" w:fill="auto"/>
            <w:vAlign w:val="bottom"/>
          </w:tcPr>
          <w:p w14:paraId="203EAA81" w14:textId="4A86EF17"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743" w:type="dxa"/>
            <w:shd w:val="clear" w:color="auto" w:fill="auto"/>
            <w:vAlign w:val="bottom"/>
          </w:tcPr>
          <w:p w14:paraId="1F1FDC53" w14:textId="4CD2482D"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743" w:type="dxa"/>
            <w:shd w:val="clear" w:color="auto" w:fill="auto"/>
            <w:vAlign w:val="bottom"/>
          </w:tcPr>
          <w:p w14:paraId="24541E3E" w14:textId="205E361F"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743" w:type="dxa"/>
            <w:shd w:val="clear" w:color="auto" w:fill="auto"/>
            <w:vAlign w:val="bottom"/>
          </w:tcPr>
          <w:p w14:paraId="4A18EBF1" w14:textId="49D76EBB"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743" w:type="dxa"/>
            <w:shd w:val="clear" w:color="auto" w:fill="auto"/>
            <w:vAlign w:val="bottom"/>
          </w:tcPr>
          <w:p w14:paraId="392057F7" w14:textId="2333B633"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743" w:type="dxa"/>
            <w:shd w:val="clear" w:color="auto" w:fill="auto"/>
            <w:vAlign w:val="bottom"/>
          </w:tcPr>
          <w:p w14:paraId="28DB6949" w14:textId="118175A6"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743" w:type="dxa"/>
            <w:shd w:val="clear" w:color="auto" w:fill="auto"/>
            <w:vAlign w:val="bottom"/>
          </w:tcPr>
          <w:p w14:paraId="0462E519" w14:textId="2C7D423B"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950369">
              <w:rPr>
                <w:sz w:val="17"/>
                <w:szCs w:val="17"/>
              </w:rPr>
              <w:t>–</w:t>
            </w:r>
          </w:p>
        </w:tc>
        <w:tc>
          <w:tcPr>
            <w:tcW w:w="743" w:type="dxa"/>
            <w:shd w:val="clear" w:color="auto" w:fill="auto"/>
            <w:vAlign w:val="bottom"/>
          </w:tcPr>
          <w:p w14:paraId="60FB9FCF" w14:textId="3981BE83" w:rsidR="00E14704" w:rsidRPr="00D849F6" w:rsidRDefault="00E14704" w:rsidP="009D06AB">
            <w:pPr>
              <w:tabs>
                <w:tab w:val="left" w:pos="288"/>
                <w:tab w:val="left" w:pos="576"/>
                <w:tab w:val="left" w:pos="864"/>
                <w:tab w:val="left" w:pos="1152"/>
              </w:tabs>
              <w:spacing w:before="40" w:after="40" w:line="210" w:lineRule="exact"/>
              <w:ind w:right="40"/>
              <w:jc w:val="right"/>
              <w:rPr>
                <w:sz w:val="17"/>
                <w:szCs w:val="17"/>
              </w:rPr>
            </w:pPr>
            <w:r w:rsidRPr="00D849F6">
              <w:rPr>
                <w:b/>
                <w:bCs/>
                <w:sz w:val="17"/>
                <w:szCs w:val="17"/>
                <w:lang w:eastAsia="es-PY"/>
              </w:rPr>
              <w:t>0</w:t>
            </w:r>
          </w:p>
        </w:tc>
      </w:tr>
      <w:tr w:rsidR="009A587D" w:rsidRPr="00E14704" w14:paraId="6207ED63" w14:textId="77777777" w:rsidTr="00B27D24">
        <w:tc>
          <w:tcPr>
            <w:tcW w:w="1530" w:type="dxa"/>
            <w:tcBorders>
              <w:bottom w:val="single" w:sz="4" w:space="0" w:color="auto"/>
            </w:tcBorders>
            <w:shd w:val="clear" w:color="auto" w:fill="auto"/>
          </w:tcPr>
          <w:p w14:paraId="0C18DC9F" w14:textId="70B393B5" w:rsidR="00E14704" w:rsidRPr="00D849F6" w:rsidRDefault="00E14704" w:rsidP="00D849F6">
            <w:pPr>
              <w:tabs>
                <w:tab w:val="left" w:pos="288"/>
                <w:tab w:val="left" w:pos="576"/>
                <w:tab w:val="left" w:pos="864"/>
                <w:tab w:val="left" w:pos="1152"/>
              </w:tabs>
              <w:spacing w:before="40" w:after="81" w:line="210" w:lineRule="exact"/>
              <w:ind w:right="40"/>
              <w:rPr>
                <w:sz w:val="17"/>
                <w:szCs w:val="17"/>
              </w:rPr>
            </w:pPr>
            <w:r w:rsidRPr="00D849F6">
              <w:rPr>
                <w:sz w:val="17"/>
                <w:szCs w:val="17"/>
                <w:lang w:eastAsia="es-PY"/>
              </w:rPr>
              <w:t>18</w:t>
            </w:r>
            <w:r>
              <w:rPr>
                <w:sz w:val="17"/>
                <w:szCs w:val="17"/>
                <w:lang w:eastAsia="es-PY"/>
              </w:rPr>
              <w:tab/>
            </w:r>
            <w:r w:rsidRPr="00D849F6">
              <w:rPr>
                <w:sz w:val="17"/>
                <w:szCs w:val="17"/>
                <w:lang w:eastAsia="es-PY"/>
              </w:rPr>
              <w:t>Capital</w:t>
            </w:r>
          </w:p>
        </w:tc>
        <w:tc>
          <w:tcPr>
            <w:tcW w:w="360" w:type="dxa"/>
            <w:tcBorders>
              <w:bottom w:val="single" w:sz="4" w:space="0" w:color="auto"/>
            </w:tcBorders>
            <w:shd w:val="clear" w:color="auto" w:fill="auto"/>
          </w:tcPr>
          <w:p w14:paraId="30D47B42" w14:textId="7F4A1C36"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562" w:type="dxa"/>
            <w:tcBorders>
              <w:bottom w:val="single" w:sz="4" w:space="0" w:color="auto"/>
            </w:tcBorders>
            <w:shd w:val="clear" w:color="auto" w:fill="auto"/>
          </w:tcPr>
          <w:p w14:paraId="62894EFE" w14:textId="1BB4A826"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743" w:type="dxa"/>
            <w:tcBorders>
              <w:bottom w:val="single" w:sz="4" w:space="0" w:color="auto"/>
            </w:tcBorders>
            <w:shd w:val="clear" w:color="auto" w:fill="auto"/>
          </w:tcPr>
          <w:p w14:paraId="48A85312" w14:textId="27BAB144"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743" w:type="dxa"/>
            <w:tcBorders>
              <w:bottom w:val="single" w:sz="4" w:space="0" w:color="auto"/>
            </w:tcBorders>
            <w:shd w:val="clear" w:color="auto" w:fill="auto"/>
          </w:tcPr>
          <w:p w14:paraId="7C87A97C" w14:textId="7013A5A3"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743" w:type="dxa"/>
            <w:tcBorders>
              <w:bottom w:val="single" w:sz="4" w:space="0" w:color="auto"/>
            </w:tcBorders>
            <w:shd w:val="clear" w:color="auto" w:fill="auto"/>
          </w:tcPr>
          <w:p w14:paraId="7B7DF2FA" w14:textId="1CFF3036"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743" w:type="dxa"/>
            <w:tcBorders>
              <w:bottom w:val="single" w:sz="4" w:space="0" w:color="auto"/>
            </w:tcBorders>
            <w:shd w:val="clear" w:color="auto" w:fill="auto"/>
          </w:tcPr>
          <w:p w14:paraId="29DF679E" w14:textId="0694CAF7"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743" w:type="dxa"/>
            <w:tcBorders>
              <w:bottom w:val="single" w:sz="4" w:space="0" w:color="auto"/>
            </w:tcBorders>
            <w:shd w:val="clear" w:color="auto" w:fill="auto"/>
          </w:tcPr>
          <w:p w14:paraId="7A96E98B" w14:textId="19B29BDD"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743" w:type="dxa"/>
            <w:tcBorders>
              <w:bottom w:val="single" w:sz="4" w:space="0" w:color="auto"/>
            </w:tcBorders>
            <w:shd w:val="clear" w:color="auto" w:fill="auto"/>
          </w:tcPr>
          <w:p w14:paraId="0A8A6ED6" w14:textId="7A651DA2"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3607B8">
              <w:rPr>
                <w:sz w:val="17"/>
                <w:szCs w:val="17"/>
              </w:rPr>
              <w:t>–</w:t>
            </w:r>
          </w:p>
        </w:tc>
        <w:tc>
          <w:tcPr>
            <w:tcW w:w="743" w:type="dxa"/>
            <w:tcBorders>
              <w:bottom w:val="single" w:sz="4" w:space="0" w:color="auto"/>
            </w:tcBorders>
            <w:shd w:val="clear" w:color="auto" w:fill="auto"/>
          </w:tcPr>
          <w:p w14:paraId="7BCACC99" w14:textId="1C35A7EC" w:rsidR="00E14704" w:rsidRPr="00D849F6" w:rsidRDefault="00E14704" w:rsidP="00D849F6">
            <w:pPr>
              <w:tabs>
                <w:tab w:val="left" w:pos="288"/>
                <w:tab w:val="left" w:pos="576"/>
                <w:tab w:val="left" w:pos="864"/>
                <w:tab w:val="left" w:pos="1152"/>
              </w:tabs>
              <w:spacing w:before="40" w:after="81" w:line="210" w:lineRule="exact"/>
              <w:ind w:right="40"/>
              <w:jc w:val="right"/>
              <w:rPr>
                <w:sz w:val="17"/>
                <w:szCs w:val="17"/>
              </w:rPr>
            </w:pPr>
            <w:r w:rsidRPr="00D849F6">
              <w:rPr>
                <w:b/>
                <w:bCs/>
                <w:sz w:val="17"/>
                <w:szCs w:val="17"/>
                <w:lang w:eastAsia="es-PY"/>
              </w:rPr>
              <w:t>0</w:t>
            </w:r>
          </w:p>
        </w:tc>
      </w:tr>
      <w:tr w:rsidR="00E14704" w:rsidRPr="00E14704" w14:paraId="485CF25C" w14:textId="77777777" w:rsidTr="00B27D24">
        <w:tc>
          <w:tcPr>
            <w:tcW w:w="1530" w:type="dxa"/>
            <w:tcBorders>
              <w:top w:val="single" w:sz="4" w:space="0" w:color="auto"/>
              <w:bottom w:val="single" w:sz="12" w:space="0" w:color="auto"/>
            </w:tcBorders>
            <w:shd w:val="clear" w:color="auto" w:fill="auto"/>
          </w:tcPr>
          <w:p w14:paraId="06EB3E0D" w14:textId="0D71C119" w:rsidR="00E14704" w:rsidRPr="00D849F6" w:rsidRDefault="00E14704" w:rsidP="00D849F6">
            <w:pPr>
              <w:tabs>
                <w:tab w:val="left" w:pos="288"/>
                <w:tab w:val="left" w:pos="576"/>
                <w:tab w:val="left" w:pos="864"/>
                <w:tab w:val="left" w:pos="1152"/>
              </w:tabs>
              <w:spacing w:before="81" w:after="81" w:line="210" w:lineRule="exact"/>
              <w:ind w:right="40"/>
              <w:rPr>
                <w:b/>
                <w:sz w:val="17"/>
                <w:szCs w:val="17"/>
                <w:lang w:eastAsia="es-PY"/>
              </w:rPr>
            </w:pPr>
            <w:r w:rsidRPr="00E14704">
              <w:rPr>
                <w:b/>
                <w:bCs/>
                <w:sz w:val="17"/>
                <w:szCs w:val="17"/>
                <w:lang w:eastAsia="es-PY"/>
              </w:rPr>
              <w:tab/>
            </w:r>
            <w:r w:rsidRPr="00D849F6">
              <w:rPr>
                <w:b/>
                <w:bCs/>
                <w:sz w:val="17"/>
                <w:szCs w:val="17"/>
                <w:lang w:eastAsia="es-PY"/>
              </w:rPr>
              <w:t>Total</w:t>
            </w:r>
          </w:p>
        </w:tc>
        <w:tc>
          <w:tcPr>
            <w:tcW w:w="360" w:type="dxa"/>
            <w:tcBorders>
              <w:top w:val="single" w:sz="4" w:space="0" w:color="auto"/>
              <w:bottom w:val="single" w:sz="12" w:space="0" w:color="auto"/>
            </w:tcBorders>
            <w:shd w:val="clear" w:color="auto" w:fill="auto"/>
          </w:tcPr>
          <w:p w14:paraId="09B8296E" w14:textId="6435A50C"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3</w:t>
            </w:r>
          </w:p>
        </w:tc>
        <w:tc>
          <w:tcPr>
            <w:tcW w:w="562" w:type="dxa"/>
            <w:tcBorders>
              <w:top w:val="single" w:sz="4" w:space="0" w:color="auto"/>
              <w:bottom w:val="single" w:sz="12" w:space="0" w:color="auto"/>
            </w:tcBorders>
            <w:shd w:val="clear" w:color="auto" w:fill="auto"/>
          </w:tcPr>
          <w:p w14:paraId="791A16FB" w14:textId="7909A309"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3</w:t>
            </w:r>
          </w:p>
        </w:tc>
        <w:tc>
          <w:tcPr>
            <w:tcW w:w="743" w:type="dxa"/>
            <w:tcBorders>
              <w:top w:val="single" w:sz="4" w:space="0" w:color="auto"/>
              <w:bottom w:val="single" w:sz="12" w:space="0" w:color="auto"/>
            </w:tcBorders>
            <w:shd w:val="clear" w:color="auto" w:fill="auto"/>
          </w:tcPr>
          <w:p w14:paraId="78F099F6" w14:textId="01C07CC5"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4</w:t>
            </w:r>
          </w:p>
        </w:tc>
        <w:tc>
          <w:tcPr>
            <w:tcW w:w="743" w:type="dxa"/>
            <w:tcBorders>
              <w:top w:val="single" w:sz="4" w:space="0" w:color="auto"/>
              <w:bottom w:val="single" w:sz="12" w:space="0" w:color="auto"/>
            </w:tcBorders>
            <w:shd w:val="clear" w:color="auto" w:fill="auto"/>
          </w:tcPr>
          <w:p w14:paraId="414F5918" w14:textId="507F45A4"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46</w:t>
            </w:r>
          </w:p>
        </w:tc>
        <w:tc>
          <w:tcPr>
            <w:tcW w:w="743" w:type="dxa"/>
            <w:tcBorders>
              <w:top w:val="single" w:sz="4" w:space="0" w:color="auto"/>
              <w:bottom w:val="single" w:sz="12" w:space="0" w:color="auto"/>
            </w:tcBorders>
            <w:shd w:val="clear" w:color="auto" w:fill="auto"/>
          </w:tcPr>
          <w:p w14:paraId="1C19C8C2" w14:textId="3D9F87A3"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17</w:t>
            </w:r>
          </w:p>
        </w:tc>
        <w:tc>
          <w:tcPr>
            <w:tcW w:w="743" w:type="dxa"/>
            <w:tcBorders>
              <w:top w:val="single" w:sz="4" w:space="0" w:color="auto"/>
              <w:bottom w:val="single" w:sz="12" w:space="0" w:color="auto"/>
            </w:tcBorders>
            <w:shd w:val="clear" w:color="auto" w:fill="auto"/>
          </w:tcPr>
          <w:p w14:paraId="2437888E" w14:textId="2C2347A4"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28</w:t>
            </w:r>
          </w:p>
        </w:tc>
        <w:tc>
          <w:tcPr>
            <w:tcW w:w="743" w:type="dxa"/>
            <w:tcBorders>
              <w:top w:val="single" w:sz="4" w:space="0" w:color="auto"/>
              <w:bottom w:val="single" w:sz="12" w:space="0" w:color="auto"/>
            </w:tcBorders>
            <w:shd w:val="clear" w:color="auto" w:fill="auto"/>
          </w:tcPr>
          <w:p w14:paraId="017E6D68" w14:textId="608026BB"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28</w:t>
            </w:r>
          </w:p>
        </w:tc>
        <w:tc>
          <w:tcPr>
            <w:tcW w:w="743" w:type="dxa"/>
            <w:tcBorders>
              <w:top w:val="single" w:sz="4" w:space="0" w:color="auto"/>
              <w:bottom w:val="single" w:sz="12" w:space="0" w:color="auto"/>
            </w:tcBorders>
            <w:shd w:val="clear" w:color="auto" w:fill="auto"/>
          </w:tcPr>
          <w:p w14:paraId="6A37DCA3" w14:textId="2F5AD111" w:rsidR="00E14704" w:rsidRPr="00D849F6" w:rsidRDefault="00E14704" w:rsidP="00D849F6">
            <w:pPr>
              <w:tabs>
                <w:tab w:val="left" w:pos="288"/>
                <w:tab w:val="left" w:pos="576"/>
                <w:tab w:val="left" w:pos="864"/>
                <w:tab w:val="left" w:pos="1152"/>
              </w:tabs>
              <w:spacing w:before="81" w:after="81" w:line="210" w:lineRule="exact"/>
              <w:ind w:right="40"/>
              <w:jc w:val="right"/>
              <w:rPr>
                <w:b/>
                <w:sz w:val="17"/>
                <w:szCs w:val="17"/>
                <w:lang w:eastAsia="es-PY"/>
              </w:rPr>
            </w:pPr>
            <w:r w:rsidRPr="00D849F6">
              <w:rPr>
                <w:b/>
                <w:bCs/>
                <w:sz w:val="17"/>
                <w:szCs w:val="17"/>
                <w:lang w:eastAsia="es-PY"/>
              </w:rPr>
              <w:t>7</w:t>
            </w:r>
          </w:p>
        </w:tc>
        <w:tc>
          <w:tcPr>
            <w:tcW w:w="743" w:type="dxa"/>
            <w:tcBorders>
              <w:top w:val="single" w:sz="4" w:space="0" w:color="auto"/>
              <w:bottom w:val="single" w:sz="12" w:space="0" w:color="auto"/>
            </w:tcBorders>
            <w:shd w:val="clear" w:color="auto" w:fill="auto"/>
          </w:tcPr>
          <w:p w14:paraId="7C183958" w14:textId="4A1339B0" w:rsidR="00E14704" w:rsidRPr="00D849F6" w:rsidRDefault="00E14704" w:rsidP="00D849F6">
            <w:pPr>
              <w:tabs>
                <w:tab w:val="left" w:pos="288"/>
                <w:tab w:val="left" w:pos="576"/>
                <w:tab w:val="left" w:pos="864"/>
                <w:tab w:val="left" w:pos="1152"/>
              </w:tabs>
              <w:spacing w:before="81" w:after="81" w:line="210" w:lineRule="exact"/>
              <w:ind w:right="40"/>
              <w:jc w:val="right"/>
              <w:rPr>
                <w:b/>
                <w:bCs/>
                <w:sz w:val="17"/>
                <w:szCs w:val="17"/>
                <w:lang w:eastAsia="es-PY"/>
              </w:rPr>
            </w:pPr>
            <w:r w:rsidRPr="00D849F6">
              <w:rPr>
                <w:b/>
                <w:bCs/>
                <w:sz w:val="17"/>
                <w:szCs w:val="17"/>
                <w:lang w:eastAsia="es-PY"/>
              </w:rPr>
              <w:t>136</w:t>
            </w:r>
          </w:p>
        </w:tc>
      </w:tr>
    </w:tbl>
    <w:p w14:paraId="15166BD9" w14:textId="77777777" w:rsidR="00E14704" w:rsidRPr="00D849F6" w:rsidRDefault="00E14704" w:rsidP="00D849F6">
      <w:pPr>
        <w:pStyle w:val="SingleTxt"/>
        <w:spacing w:after="0" w:line="120" w:lineRule="exact"/>
        <w:rPr>
          <w:sz w:val="10"/>
        </w:rPr>
      </w:pPr>
    </w:p>
    <w:p w14:paraId="2499D927" w14:textId="77777777" w:rsidR="00E14704" w:rsidRPr="00D849F6" w:rsidRDefault="00E14704" w:rsidP="00D849F6">
      <w:pPr>
        <w:pStyle w:val="SingleTxt"/>
        <w:spacing w:after="0" w:line="120" w:lineRule="exact"/>
        <w:rPr>
          <w:sz w:val="10"/>
        </w:rPr>
      </w:pPr>
    </w:p>
    <w:p w14:paraId="1F3BDE38" w14:textId="77777777" w:rsidR="009A587D" w:rsidRDefault="009A587D" w:rsidP="00583FBD">
      <w:pPr>
        <w:pStyle w:val="SingleTxtG"/>
        <w:rPr>
          <w:lang w:val="es-PY"/>
        </w:rPr>
      </w:pPr>
    </w:p>
    <w:p w14:paraId="71FA6EE9" w14:textId="77777777" w:rsidR="009A587D" w:rsidRDefault="009A587D">
      <w:pPr>
        <w:suppressAutoHyphens w:val="0"/>
        <w:spacing w:after="160" w:line="259" w:lineRule="auto"/>
        <w:rPr>
          <w:rFonts w:eastAsiaTheme="minorEastAsia"/>
          <w:spacing w:val="0"/>
          <w:w w:val="100"/>
          <w:kern w:val="0"/>
          <w:szCs w:val="20"/>
          <w:lang w:val="es-PY" w:eastAsia="es-ES"/>
          <w14:ligatures w14:val="none"/>
        </w:rPr>
      </w:pPr>
      <w:r>
        <w:rPr>
          <w:lang w:val="es-PY"/>
        </w:rPr>
        <w:br w:type="page"/>
      </w:r>
    </w:p>
    <w:p w14:paraId="6143AE2B" w14:textId="351A654E" w:rsidR="00583FBD" w:rsidRDefault="009A587D" w:rsidP="009A58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583FBD" w:rsidRPr="00750B4C">
        <w:t>Cantidad total de USF</w:t>
      </w:r>
      <w:r w:rsidR="00583FBD" w:rsidRPr="00D849F6">
        <w:rPr>
          <w:b w:val="0"/>
          <w:bCs/>
          <w:vertAlign w:val="superscript"/>
        </w:rPr>
        <w:footnoteReference w:id="99"/>
      </w:r>
    </w:p>
    <w:p w14:paraId="1494D1D2" w14:textId="77777777" w:rsidR="009A587D" w:rsidRPr="00D849F6" w:rsidRDefault="009A587D" w:rsidP="00D849F6">
      <w:pPr>
        <w:pStyle w:val="SingleTxt"/>
        <w:spacing w:after="0" w:line="120" w:lineRule="exact"/>
        <w:rPr>
          <w:sz w:val="10"/>
        </w:rPr>
      </w:pPr>
    </w:p>
    <w:p w14:paraId="25E27DF5" w14:textId="77777777" w:rsidR="009A587D" w:rsidRPr="00D849F6" w:rsidRDefault="009A587D" w:rsidP="00D849F6">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714"/>
        <w:gridCol w:w="3714"/>
      </w:tblGrid>
      <w:tr w:rsidR="009A587D" w:rsidRPr="009A587D" w14:paraId="095B3BA9" w14:textId="77777777" w:rsidTr="009A587D">
        <w:trPr>
          <w:tblHeader/>
        </w:trPr>
        <w:tc>
          <w:tcPr>
            <w:tcW w:w="3714" w:type="dxa"/>
            <w:tcBorders>
              <w:top w:val="single" w:sz="4" w:space="0" w:color="auto"/>
              <w:bottom w:val="single" w:sz="12" w:space="0" w:color="auto"/>
            </w:tcBorders>
            <w:shd w:val="clear" w:color="auto" w:fill="auto"/>
            <w:vAlign w:val="bottom"/>
          </w:tcPr>
          <w:p w14:paraId="3DEDA238" w14:textId="7F85971A" w:rsidR="009A587D" w:rsidRPr="00D849F6" w:rsidRDefault="009A587D" w:rsidP="00D849F6">
            <w:pPr>
              <w:tabs>
                <w:tab w:val="left" w:pos="288"/>
                <w:tab w:val="left" w:pos="576"/>
                <w:tab w:val="left" w:pos="864"/>
                <w:tab w:val="left" w:pos="1152"/>
              </w:tabs>
              <w:spacing w:before="80" w:after="80" w:line="160" w:lineRule="exact"/>
              <w:ind w:right="40"/>
              <w:rPr>
                <w:i/>
                <w:sz w:val="14"/>
                <w:szCs w:val="14"/>
              </w:rPr>
            </w:pPr>
            <w:r w:rsidRPr="00D849F6">
              <w:rPr>
                <w:bCs/>
                <w:i/>
                <w:sz w:val="14"/>
                <w:szCs w:val="14"/>
                <w:lang w:val="es-PY"/>
              </w:rPr>
              <w:t>Región Sanitaria</w:t>
            </w:r>
          </w:p>
        </w:tc>
        <w:tc>
          <w:tcPr>
            <w:tcW w:w="3714" w:type="dxa"/>
            <w:tcBorders>
              <w:top w:val="single" w:sz="4" w:space="0" w:color="auto"/>
              <w:bottom w:val="single" w:sz="12" w:space="0" w:color="auto"/>
            </w:tcBorders>
            <w:shd w:val="clear" w:color="auto" w:fill="auto"/>
            <w:vAlign w:val="bottom"/>
          </w:tcPr>
          <w:p w14:paraId="607526B8" w14:textId="4302C6F1" w:rsidR="009A587D" w:rsidRPr="00D849F6" w:rsidRDefault="009A587D" w:rsidP="00D849F6">
            <w:pPr>
              <w:tabs>
                <w:tab w:val="left" w:pos="288"/>
                <w:tab w:val="left" w:pos="576"/>
                <w:tab w:val="left" w:pos="864"/>
                <w:tab w:val="left" w:pos="1152"/>
              </w:tabs>
              <w:spacing w:before="80" w:after="80" w:line="160" w:lineRule="exact"/>
              <w:ind w:right="40"/>
              <w:jc w:val="right"/>
              <w:rPr>
                <w:i/>
                <w:sz w:val="14"/>
                <w:szCs w:val="14"/>
              </w:rPr>
            </w:pPr>
            <w:r w:rsidRPr="00D849F6">
              <w:rPr>
                <w:bCs/>
                <w:i/>
                <w:sz w:val="14"/>
                <w:szCs w:val="14"/>
                <w:lang w:val="es-PY"/>
              </w:rPr>
              <w:t>Cantidad de USF</w:t>
            </w:r>
          </w:p>
        </w:tc>
      </w:tr>
      <w:tr w:rsidR="009A587D" w:rsidRPr="009A587D" w14:paraId="42071448" w14:textId="77777777" w:rsidTr="00D849F6">
        <w:trPr>
          <w:trHeight w:hRule="exact" w:val="115"/>
          <w:tblHeader/>
        </w:trPr>
        <w:tc>
          <w:tcPr>
            <w:tcW w:w="3714" w:type="dxa"/>
            <w:tcBorders>
              <w:top w:val="single" w:sz="12" w:space="0" w:color="auto"/>
            </w:tcBorders>
            <w:shd w:val="clear" w:color="auto" w:fill="auto"/>
            <w:vAlign w:val="bottom"/>
          </w:tcPr>
          <w:p w14:paraId="31FF1082" w14:textId="77777777" w:rsidR="009A587D" w:rsidRPr="009A587D" w:rsidRDefault="009A587D" w:rsidP="009A587D">
            <w:pPr>
              <w:tabs>
                <w:tab w:val="left" w:pos="288"/>
                <w:tab w:val="left" w:pos="576"/>
                <w:tab w:val="left" w:pos="864"/>
                <w:tab w:val="left" w:pos="1152"/>
              </w:tabs>
              <w:spacing w:before="40" w:after="40" w:line="210" w:lineRule="exact"/>
              <w:ind w:right="40"/>
              <w:rPr>
                <w:sz w:val="17"/>
              </w:rPr>
            </w:pPr>
          </w:p>
        </w:tc>
        <w:tc>
          <w:tcPr>
            <w:tcW w:w="3714" w:type="dxa"/>
            <w:tcBorders>
              <w:top w:val="single" w:sz="12" w:space="0" w:color="auto"/>
            </w:tcBorders>
            <w:shd w:val="clear" w:color="auto" w:fill="auto"/>
            <w:vAlign w:val="bottom"/>
          </w:tcPr>
          <w:p w14:paraId="212921EC" w14:textId="77777777" w:rsidR="009A587D" w:rsidRPr="009A587D" w:rsidRDefault="009A587D" w:rsidP="00D849F6">
            <w:pPr>
              <w:tabs>
                <w:tab w:val="left" w:pos="288"/>
                <w:tab w:val="left" w:pos="576"/>
                <w:tab w:val="left" w:pos="864"/>
                <w:tab w:val="left" w:pos="1152"/>
              </w:tabs>
              <w:spacing w:before="40" w:after="40" w:line="210" w:lineRule="exact"/>
              <w:ind w:right="40"/>
              <w:jc w:val="right"/>
              <w:rPr>
                <w:sz w:val="17"/>
              </w:rPr>
            </w:pPr>
          </w:p>
        </w:tc>
      </w:tr>
      <w:tr w:rsidR="009A587D" w:rsidRPr="009A587D" w14:paraId="07EB2BA8" w14:textId="77777777" w:rsidTr="00D849F6">
        <w:tc>
          <w:tcPr>
            <w:tcW w:w="3714" w:type="dxa"/>
            <w:shd w:val="clear" w:color="auto" w:fill="auto"/>
          </w:tcPr>
          <w:p w14:paraId="0C0C7B91" w14:textId="736276EB"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Concepción</w:t>
            </w:r>
          </w:p>
        </w:tc>
        <w:tc>
          <w:tcPr>
            <w:tcW w:w="3714" w:type="dxa"/>
            <w:shd w:val="clear" w:color="auto" w:fill="auto"/>
            <w:vAlign w:val="bottom"/>
          </w:tcPr>
          <w:p w14:paraId="55ED33DB" w14:textId="23791DE4"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52</w:t>
            </w:r>
          </w:p>
        </w:tc>
      </w:tr>
      <w:tr w:rsidR="009A587D" w:rsidRPr="009A587D" w14:paraId="6662B557" w14:textId="77777777" w:rsidTr="00D849F6">
        <w:tc>
          <w:tcPr>
            <w:tcW w:w="3714" w:type="dxa"/>
            <w:shd w:val="clear" w:color="auto" w:fill="auto"/>
          </w:tcPr>
          <w:p w14:paraId="63F6905D" w14:textId="787C8BDE"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 xml:space="preserve">San Pedro </w:t>
            </w:r>
          </w:p>
        </w:tc>
        <w:tc>
          <w:tcPr>
            <w:tcW w:w="3714" w:type="dxa"/>
            <w:shd w:val="clear" w:color="auto" w:fill="auto"/>
            <w:vAlign w:val="bottom"/>
          </w:tcPr>
          <w:p w14:paraId="050D32CE" w14:textId="5D0EADE5"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76</w:t>
            </w:r>
          </w:p>
        </w:tc>
      </w:tr>
      <w:tr w:rsidR="009A587D" w:rsidRPr="009A587D" w14:paraId="3C70464E" w14:textId="77777777" w:rsidTr="00D849F6">
        <w:tc>
          <w:tcPr>
            <w:tcW w:w="3714" w:type="dxa"/>
            <w:shd w:val="clear" w:color="auto" w:fill="auto"/>
          </w:tcPr>
          <w:p w14:paraId="73D3C6C2" w14:textId="173219EA"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Cordillera</w:t>
            </w:r>
          </w:p>
        </w:tc>
        <w:tc>
          <w:tcPr>
            <w:tcW w:w="3714" w:type="dxa"/>
            <w:shd w:val="clear" w:color="auto" w:fill="auto"/>
            <w:vAlign w:val="bottom"/>
          </w:tcPr>
          <w:p w14:paraId="1E7CFFDB" w14:textId="7818D2D0"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45</w:t>
            </w:r>
          </w:p>
        </w:tc>
      </w:tr>
      <w:tr w:rsidR="009A587D" w:rsidRPr="009A587D" w14:paraId="437E9DB2" w14:textId="77777777" w:rsidTr="00D849F6">
        <w:tc>
          <w:tcPr>
            <w:tcW w:w="3714" w:type="dxa"/>
            <w:shd w:val="clear" w:color="auto" w:fill="auto"/>
          </w:tcPr>
          <w:p w14:paraId="3A45FEB2" w14:textId="6B5C673A"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Guaira</w:t>
            </w:r>
          </w:p>
        </w:tc>
        <w:tc>
          <w:tcPr>
            <w:tcW w:w="3714" w:type="dxa"/>
            <w:shd w:val="clear" w:color="auto" w:fill="auto"/>
            <w:vAlign w:val="bottom"/>
          </w:tcPr>
          <w:p w14:paraId="2A48BCC5" w14:textId="52F10B0A"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56</w:t>
            </w:r>
          </w:p>
        </w:tc>
      </w:tr>
      <w:tr w:rsidR="009A587D" w:rsidRPr="009A587D" w14:paraId="68BA7FAC" w14:textId="77777777" w:rsidTr="00D849F6">
        <w:tc>
          <w:tcPr>
            <w:tcW w:w="3714" w:type="dxa"/>
            <w:shd w:val="clear" w:color="auto" w:fill="auto"/>
          </w:tcPr>
          <w:p w14:paraId="6B747E1E" w14:textId="044158ED"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Caaguazú</w:t>
            </w:r>
          </w:p>
        </w:tc>
        <w:tc>
          <w:tcPr>
            <w:tcW w:w="3714" w:type="dxa"/>
            <w:shd w:val="clear" w:color="auto" w:fill="auto"/>
            <w:vAlign w:val="bottom"/>
          </w:tcPr>
          <w:p w14:paraId="6F173789" w14:textId="59FD2ADA"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64</w:t>
            </w:r>
          </w:p>
        </w:tc>
      </w:tr>
      <w:tr w:rsidR="009A587D" w:rsidRPr="009A587D" w14:paraId="1487F36F" w14:textId="77777777" w:rsidTr="00D849F6">
        <w:tc>
          <w:tcPr>
            <w:tcW w:w="3714" w:type="dxa"/>
            <w:shd w:val="clear" w:color="auto" w:fill="auto"/>
          </w:tcPr>
          <w:p w14:paraId="55C0E1E5" w14:textId="6061D438"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Caazapá</w:t>
            </w:r>
          </w:p>
        </w:tc>
        <w:tc>
          <w:tcPr>
            <w:tcW w:w="3714" w:type="dxa"/>
            <w:shd w:val="clear" w:color="auto" w:fill="auto"/>
            <w:vAlign w:val="bottom"/>
          </w:tcPr>
          <w:p w14:paraId="63A6E40F" w14:textId="24175F2F"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51</w:t>
            </w:r>
          </w:p>
        </w:tc>
      </w:tr>
      <w:tr w:rsidR="009A587D" w:rsidRPr="009A587D" w14:paraId="08A65EAD" w14:textId="77777777" w:rsidTr="00D849F6">
        <w:tc>
          <w:tcPr>
            <w:tcW w:w="3714" w:type="dxa"/>
            <w:shd w:val="clear" w:color="auto" w:fill="auto"/>
          </w:tcPr>
          <w:p w14:paraId="3E92B6F3" w14:textId="2FAB44B3"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Itapúa</w:t>
            </w:r>
          </w:p>
        </w:tc>
        <w:tc>
          <w:tcPr>
            <w:tcW w:w="3714" w:type="dxa"/>
            <w:shd w:val="clear" w:color="auto" w:fill="auto"/>
            <w:vAlign w:val="bottom"/>
          </w:tcPr>
          <w:p w14:paraId="1D816903" w14:textId="58774A76"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71</w:t>
            </w:r>
          </w:p>
        </w:tc>
      </w:tr>
      <w:tr w:rsidR="009A587D" w:rsidRPr="009A587D" w14:paraId="49FCE123" w14:textId="77777777" w:rsidTr="00D849F6">
        <w:tc>
          <w:tcPr>
            <w:tcW w:w="3714" w:type="dxa"/>
            <w:shd w:val="clear" w:color="auto" w:fill="auto"/>
          </w:tcPr>
          <w:p w14:paraId="718ACA5E" w14:textId="73707CFC"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Misiones</w:t>
            </w:r>
          </w:p>
        </w:tc>
        <w:tc>
          <w:tcPr>
            <w:tcW w:w="3714" w:type="dxa"/>
            <w:shd w:val="clear" w:color="auto" w:fill="auto"/>
            <w:vAlign w:val="bottom"/>
          </w:tcPr>
          <w:p w14:paraId="748268D6" w14:textId="3D77D3DF"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36</w:t>
            </w:r>
          </w:p>
        </w:tc>
      </w:tr>
      <w:tr w:rsidR="009A587D" w:rsidRPr="009A587D" w14:paraId="77BD0AAE" w14:textId="77777777" w:rsidTr="00D849F6">
        <w:tc>
          <w:tcPr>
            <w:tcW w:w="3714" w:type="dxa"/>
            <w:shd w:val="clear" w:color="auto" w:fill="auto"/>
          </w:tcPr>
          <w:p w14:paraId="0555DE40" w14:textId="3907E376"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Paraguarí</w:t>
            </w:r>
          </w:p>
        </w:tc>
        <w:tc>
          <w:tcPr>
            <w:tcW w:w="3714" w:type="dxa"/>
            <w:shd w:val="clear" w:color="auto" w:fill="auto"/>
            <w:vAlign w:val="bottom"/>
          </w:tcPr>
          <w:p w14:paraId="4A3BEB41" w14:textId="7EADEA59"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50</w:t>
            </w:r>
          </w:p>
        </w:tc>
      </w:tr>
      <w:tr w:rsidR="009A587D" w:rsidRPr="009A587D" w14:paraId="5981429D" w14:textId="77777777" w:rsidTr="00D849F6">
        <w:tc>
          <w:tcPr>
            <w:tcW w:w="3714" w:type="dxa"/>
            <w:shd w:val="clear" w:color="auto" w:fill="auto"/>
          </w:tcPr>
          <w:p w14:paraId="2A4FAEE5" w14:textId="71045948"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Alto Paraná</w:t>
            </w:r>
          </w:p>
        </w:tc>
        <w:tc>
          <w:tcPr>
            <w:tcW w:w="3714" w:type="dxa"/>
            <w:shd w:val="clear" w:color="auto" w:fill="auto"/>
            <w:vAlign w:val="bottom"/>
          </w:tcPr>
          <w:p w14:paraId="4DF5606E" w14:textId="4EE21039"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111</w:t>
            </w:r>
          </w:p>
        </w:tc>
      </w:tr>
      <w:tr w:rsidR="009A587D" w:rsidRPr="009A587D" w14:paraId="2FAC0347" w14:textId="77777777" w:rsidTr="00D849F6">
        <w:tc>
          <w:tcPr>
            <w:tcW w:w="3714" w:type="dxa"/>
            <w:shd w:val="clear" w:color="auto" w:fill="auto"/>
          </w:tcPr>
          <w:p w14:paraId="4EE55507" w14:textId="5195384B"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Central</w:t>
            </w:r>
          </w:p>
        </w:tc>
        <w:tc>
          <w:tcPr>
            <w:tcW w:w="3714" w:type="dxa"/>
            <w:shd w:val="clear" w:color="auto" w:fill="auto"/>
            <w:vAlign w:val="bottom"/>
          </w:tcPr>
          <w:p w14:paraId="4EFBDF22" w14:textId="649D6A10"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151</w:t>
            </w:r>
          </w:p>
        </w:tc>
      </w:tr>
      <w:tr w:rsidR="009A587D" w:rsidRPr="009A587D" w14:paraId="6B8533C0" w14:textId="77777777" w:rsidTr="00D849F6">
        <w:tc>
          <w:tcPr>
            <w:tcW w:w="3714" w:type="dxa"/>
            <w:shd w:val="clear" w:color="auto" w:fill="auto"/>
          </w:tcPr>
          <w:p w14:paraId="75069228" w14:textId="05FAD955"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proofErr w:type="spellStart"/>
            <w:r w:rsidRPr="00D849F6">
              <w:rPr>
                <w:sz w:val="17"/>
                <w:szCs w:val="17"/>
                <w:lang w:val="es-PY"/>
              </w:rPr>
              <w:t>Ñeembucu</w:t>
            </w:r>
            <w:proofErr w:type="spellEnd"/>
          </w:p>
        </w:tc>
        <w:tc>
          <w:tcPr>
            <w:tcW w:w="3714" w:type="dxa"/>
            <w:shd w:val="clear" w:color="auto" w:fill="auto"/>
            <w:vAlign w:val="bottom"/>
          </w:tcPr>
          <w:p w14:paraId="182200CB" w14:textId="03704C7A"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25</w:t>
            </w:r>
          </w:p>
        </w:tc>
      </w:tr>
      <w:tr w:rsidR="009A587D" w:rsidRPr="009A587D" w14:paraId="5FD43758" w14:textId="77777777" w:rsidTr="00D849F6">
        <w:tc>
          <w:tcPr>
            <w:tcW w:w="3714" w:type="dxa"/>
            <w:shd w:val="clear" w:color="auto" w:fill="auto"/>
          </w:tcPr>
          <w:p w14:paraId="701F3BF1" w14:textId="06329973"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Amambay</w:t>
            </w:r>
          </w:p>
        </w:tc>
        <w:tc>
          <w:tcPr>
            <w:tcW w:w="3714" w:type="dxa"/>
            <w:shd w:val="clear" w:color="auto" w:fill="auto"/>
            <w:vAlign w:val="bottom"/>
          </w:tcPr>
          <w:p w14:paraId="794B7BAB" w14:textId="5E357BEF"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22</w:t>
            </w:r>
          </w:p>
        </w:tc>
      </w:tr>
      <w:tr w:rsidR="009A587D" w:rsidRPr="009A587D" w14:paraId="2796C961" w14:textId="77777777" w:rsidTr="00D849F6">
        <w:tc>
          <w:tcPr>
            <w:tcW w:w="3714" w:type="dxa"/>
            <w:shd w:val="clear" w:color="auto" w:fill="auto"/>
          </w:tcPr>
          <w:p w14:paraId="6B5C1E48" w14:textId="44E071A4"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proofErr w:type="spellStart"/>
            <w:r w:rsidRPr="00D849F6">
              <w:rPr>
                <w:sz w:val="17"/>
                <w:szCs w:val="17"/>
                <w:lang w:val="es-PY"/>
              </w:rPr>
              <w:t>Canindeyu</w:t>
            </w:r>
            <w:proofErr w:type="spellEnd"/>
          </w:p>
        </w:tc>
        <w:tc>
          <w:tcPr>
            <w:tcW w:w="3714" w:type="dxa"/>
            <w:shd w:val="clear" w:color="auto" w:fill="auto"/>
            <w:vAlign w:val="bottom"/>
          </w:tcPr>
          <w:p w14:paraId="48029EE6" w14:textId="7174770B"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49</w:t>
            </w:r>
          </w:p>
        </w:tc>
      </w:tr>
      <w:tr w:rsidR="009A587D" w:rsidRPr="009A587D" w14:paraId="572FE93C" w14:textId="77777777" w:rsidTr="00D849F6">
        <w:tc>
          <w:tcPr>
            <w:tcW w:w="3714" w:type="dxa"/>
            <w:shd w:val="clear" w:color="auto" w:fill="auto"/>
          </w:tcPr>
          <w:p w14:paraId="5EB85053" w14:textId="1C07D25D"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Presidente Hayes</w:t>
            </w:r>
          </w:p>
        </w:tc>
        <w:tc>
          <w:tcPr>
            <w:tcW w:w="3714" w:type="dxa"/>
            <w:shd w:val="clear" w:color="auto" w:fill="auto"/>
            <w:vAlign w:val="bottom"/>
          </w:tcPr>
          <w:p w14:paraId="5FEE61EF" w14:textId="731E0CE1"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21</w:t>
            </w:r>
          </w:p>
        </w:tc>
      </w:tr>
      <w:tr w:rsidR="009A587D" w:rsidRPr="009A587D" w14:paraId="257A262E" w14:textId="77777777" w:rsidTr="00D849F6">
        <w:tc>
          <w:tcPr>
            <w:tcW w:w="3714" w:type="dxa"/>
            <w:shd w:val="clear" w:color="auto" w:fill="auto"/>
          </w:tcPr>
          <w:p w14:paraId="641393B6" w14:textId="62E0FE6F"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Boquerón</w:t>
            </w:r>
          </w:p>
        </w:tc>
        <w:tc>
          <w:tcPr>
            <w:tcW w:w="3714" w:type="dxa"/>
            <w:shd w:val="clear" w:color="auto" w:fill="auto"/>
            <w:vAlign w:val="bottom"/>
          </w:tcPr>
          <w:p w14:paraId="5E16A30E" w14:textId="6C8DDB56"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15</w:t>
            </w:r>
          </w:p>
        </w:tc>
      </w:tr>
      <w:tr w:rsidR="009A587D" w:rsidRPr="009A587D" w14:paraId="07C08B18" w14:textId="77777777" w:rsidTr="00D849F6">
        <w:tc>
          <w:tcPr>
            <w:tcW w:w="3714" w:type="dxa"/>
            <w:shd w:val="clear" w:color="auto" w:fill="auto"/>
          </w:tcPr>
          <w:p w14:paraId="5A17813C" w14:textId="19246B7B" w:rsidR="009A587D" w:rsidRPr="00D849F6" w:rsidRDefault="009A587D" w:rsidP="00D849F6">
            <w:pPr>
              <w:tabs>
                <w:tab w:val="left" w:pos="288"/>
                <w:tab w:val="left" w:pos="576"/>
                <w:tab w:val="left" w:pos="864"/>
                <w:tab w:val="left" w:pos="1152"/>
              </w:tabs>
              <w:spacing w:before="40" w:after="40" w:line="210" w:lineRule="exact"/>
              <w:ind w:right="40"/>
              <w:rPr>
                <w:sz w:val="17"/>
                <w:szCs w:val="17"/>
              </w:rPr>
            </w:pPr>
            <w:r w:rsidRPr="00D849F6">
              <w:rPr>
                <w:sz w:val="17"/>
                <w:szCs w:val="17"/>
                <w:lang w:val="es-PY"/>
              </w:rPr>
              <w:t>Alto Paraguay</w:t>
            </w:r>
          </w:p>
        </w:tc>
        <w:tc>
          <w:tcPr>
            <w:tcW w:w="3714" w:type="dxa"/>
            <w:shd w:val="clear" w:color="auto" w:fill="auto"/>
            <w:vAlign w:val="bottom"/>
          </w:tcPr>
          <w:p w14:paraId="52C5C26C" w14:textId="253BFD44" w:rsidR="009A587D" w:rsidRPr="00D849F6" w:rsidRDefault="009A587D" w:rsidP="00D849F6">
            <w:pPr>
              <w:tabs>
                <w:tab w:val="left" w:pos="288"/>
                <w:tab w:val="left" w:pos="576"/>
                <w:tab w:val="left" w:pos="864"/>
                <w:tab w:val="left" w:pos="1152"/>
              </w:tabs>
              <w:spacing w:before="40" w:after="40" w:line="210" w:lineRule="exact"/>
              <w:ind w:right="40"/>
              <w:jc w:val="right"/>
              <w:rPr>
                <w:sz w:val="17"/>
                <w:szCs w:val="17"/>
              </w:rPr>
            </w:pPr>
            <w:r w:rsidRPr="00D849F6">
              <w:rPr>
                <w:sz w:val="17"/>
                <w:szCs w:val="17"/>
                <w:lang w:val="es-PY"/>
              </w:rPr>
              <w:t>8</w:t>
            </w:r>
          </w:p>
        </w:tc>
      </w:tr>
      <w:tr w:rsidR="009A587D" w:rsidRPr="009A587D" w14:paraId="30E528AB" w14:textId="77777777" w:rsidTr="00D849F6">
        <w:tc>
          <w:tcPr>
            <w:tcW w:w="3714" w:type="dxa"/>
            <w:tcBorders>
              <w:bottom w:val="single" w:sz="4" w:space="0" w:color="auto"/>
            </w:tcBorders>
            <w:shd w:val="clear" w:color="auto" w:fill="auto"/>
          </w:tcPr>
          <w:p w14:paraId="00A4D3BE" w14:textId="096FDA4C" w:rsidR="009A587D" w:rsidRPr="00D849F6" w:rsidRDefault="009A587D" w:rsidP="00D849F6">
            <w:pPr>
              <w:tabs>
                <w:tab w:val="left" w:pos="288"/>
                <w:tab w:val="left" w:pos="576"/>
                <w:tab w:val="left" w:pos="864"/>
                <w:tab w:val="left" w:pos="1152"/>
              </w:tabs>
              <w:spacing w:before="40" w:after="81" w:line="210" w:lineRule="exact"/>
              <w:ind w:right="40"/>
              <w:rPr>
                <w:sz w:val="17"/>
                <w:szCs w:val="17"/>
              </w:rPr>
            </w:pPr>
            <w:r w:rsidRPr="00D849F6">
              <w:rPr>
                <w:sz w:val="17"/>
                <w:szCs w:val="17"/>
                <w:lang w:val="es-PY"/>
              </w:rPr>
              <w:t>Capital</w:t>
            </w:r>
          </w:p>
        </w:tc>
        <w:tc>
          <w:tcPr>
            <w:tcW w:w="3714" w:type="dxa"/>
            <w:tcBorders>
              <w:bottom w:val="single" w:sz="4" w:space="0" w:color="auto"/>
            </w:tcBorders>
            <w:shd w:val="clear" w:color="auto" w:fill="auto"/>
            <w:vAlign w:val="bottom"/>
          </w:tcPr>
          <w:p w14:paraId="4E5BC018" w14:textId="231638C1" w:rsidR="009A587D" w:rsidRPr="00D849F6" w:rsidRDefault="009A587D" w:rsidP="00D849F6">
            <w:pPr>
              <w:tabs>
                <w:tab w:val="left" w:pos="288"/>
                <w:tab w:val="left" w:pos="576"/>
                <w:tab w:val="left" w:pos="864"/>
                <w:tab w:val="left" w:pos="1152"/>
              </w:tabs>
              <w:spacing w:before="40" w:after="81" w:line="210" w:lineRule="exact"/>
              <w:ind w:right="40"/>
              <w:jc w:val="right"/>
              <w:rPr>
                <w:sz w:val="17"/>
                <w:szCs w:val="17"/>
              </w:rPr>
            </w:pPr>
            <w:r w:rsidRPr="00D849F6">
              <w:rPr>
                <w:sz w:val="17"/>
                <w:szCs w:val="17"/>
                <w:lang w:val="es-PY"/>
              </w:rPr>
              <w:t>33</w:t>
            </w:r>
          </w:p>
        </w:tc>
      </w:tr>
      <w:tr w:rsidR="009A587D" w:rsidRPr="009A587D" w14:paraId="6EBFDEE6" w14:textId="77777777" w:rsidTr="00D849F6">
        <w:tc>
          <w:tcPr>
            <w:tcW w:w="3714" w:type="dxa"/>
            <w:tcBorders>
              <w:top w:val="single" w:sz="4" w:space="0" w:color="auto"/>
              <w:bottom w:val="single" w:sz="12" w:space="0" w:color="auto"/>
            </w:tcBorders>
            <w:shd w:val="clear" w:color="auto" w:fill="auto"/>
          </w:tcPr>
          <w:p w14:paraId="62560628" w14:textId="56BDE2E0" w:rsidR="009A587D" w:rsidRPr="00D849F6" w:rsidRDefault="009A587D" w:rsidP="00D849F6">
            <w:pPr>
              <w:tabs>
                <w:tab w:val="left" w:pos="288"/>
                <w:tab w:val="left" w:pos="576"/>
                <w:tab w:val="left" w:pos="864"/>
                <w:tab w:val="left" w:pos="1152"/>
              </w:tabs>
              <w:spacing w:before="81" w:after="81" w:line="210" w:lineRule="exact"/>
              <w:ind w:right="40"/>
              <w:rPr>
                <w:b/>
                <w:sz w:val="17"/>
                <w:szCs w:val="17"/>
              </w:rPr>
            </w:pPr>
            <w:r w:rsidRPr="00D849F6">
              <w:rPr>
                <w:b/>
                <w:bCs/>
                <w:sz w:val="17"/>
                <w:szCs w:val="17"/>
                <w:lang w:val="es-PY"/>
              </w:rPr>
              <w:tab/>
              <w:t>Total</w:t>
            </w:r>
          </w:p>
        </w:tc>
        <w:tc>
          <w:tcPr>
            <w:tcW w:w="3714" w:type="dxa"/>
            <w:tcBorders>
              <w:top w:val="single" w:sz="4" w:space="0" w:color="auto"/>
              <w:bottom w:val="single" w:sz="12" w:space="0" w:color="auto"/>
            </w:tcBorders>
            <w:shd w:val="clear" w:color="auto" w:fill="auto"/>
            <w:vAlign w:val="bottom"/>
          </w:tcPr>
          <w:p w14:paraId="193704CD" w14:textId="63BD00FB" w:rsidR="009A587D" w:rsidRPr="00D849F6" w:rsidRDefault="009A587D" w:rsidP="00D849F6">
            <w:pPr>
              <w:tabs>
                <w:tab w:val="left" w:pos="288"/>
                <w:tab w:val="left" w:pos="576"/>
                <w:tab w:val="left" w:pos="864"/>
                <w:tab w:val="left" w:pos="1152"/>
              </w:tabs>
              <w:spacing w:before="81" w:after="81" w:line="210" w:lineRule="exact"/>
              <w:ind w:right="40"/>
              <w:jc w:val="right"/>
              <w:rPr>
                <w:b/>
                <w:sz w:val="17"/>
                <w:szCs w:val="17"/>
              </w:rPr>
            </w:pPr>
            <w:r w:rsidRPr="00D849F6">
              <w:rPr>
                <w:b/>
                <w:bCs/>
                <w:sz w:val="17"/>
                <w:szCs w:val="17"/>
                <w:lang w:val="es-PY"/>
              </w:rPr>
              <w:t>936</w:t>
            </w:r>
          </w:p>
        </w:tc>
      </w:tr>
    </w:tbl>
    <w:p w14:paraId="7FEC456B" w14:textId="77777777" w:rsidR="009A587D" w:rsidRPr="00D849F6" w:rsidRDefault="009A587D" w:rsidP="00D849F6">
      <w:pPr>
        <w:pStyle w:val="SingleTxt"/>
        <w:spacing w:after="0" w:line="120" w:lineRule="exact"/>
        <w:rPr>
          <w:sz w:val="10"/>
        </w:rPr>
      </w:pPr>
    </w:p>
    <w:p w14:paraId="5B1A01BB" w14:textId="77777777" w:rsidR="009A587D" w:rsidRPr="00D849F6" w:rsidRDefault="009A587D" w:rsidP="00D849F6">
      <w:pPr>
        <w:pStyle w:val="SingleTxt"/>
        <w:spacing w:after="0" w:line="120" w:lineRule="exact"/>
        <w:rPr>
          <w:sz w:val="10"/>
        </w:rPr>
      </w:pPr>
    </w:p>
    <w:p w14:paraId="6DEE77DE" w14:textId="17560F63" w:rsidR="00583FBD" w:rsidRPr="00B64C1B" w:rsidRDefault="00583FBD" w:rsidP="00E67B58">
      <w:pPr>
        <w:pStyle w:val="SingleTxt"/>
        <w:numPr>
          <w:ilvl w:val="0"/>
          <w:numId w:val="44"/>
        </w:numPr>
        <w:ind w:left="1267"/>
        <w:rPr>
          <w:lang w:val="es-PY"/>
        </w:rPr>
      </w:pPr>
      <w:r w:rsidRPr="00B64C1B">
        <w:rPr>
          <w:lang w:val="es-PY"/>
        </w:rPr>
        <w:t xml:space="preserve">Sigue en vigencia la Resolución S.G. N°146/2012, </w:t>
      </w:r>
      <w:r w:rsidR="00F019B7">
        <w:rPr>
          <w:lang w:val="es-PY"/>
        </w:rPr>
        <w:t>“</w:t>
      </w:r>
      <w:r w:rsidRPr="00B64C1B">
        <w:rPr>
          <w:lang w:val="es-PY"/>
        </w:rPr>
        <w:t>Por la cual se establece la obligatoriedad de brindar acceso a los servicios de salud de calidad y atención sin discriminaciones, con efectivo cumplimiento del deber de confidencialidad y garantía de plena vigencia del secreto profesional en la atención</w:t>
      </w:r>
      <w:r w:rsidR="00F019B7">
        <w:rPr>
          <w:lang w:val="es-PY"/>
        </w:rPr>
        <w:t>”</w:t>
      </w:r>
      <w:r w:rsidRPr="00B64C1B">
        <w:rPr>
          <w:lang w:val="es-PY"/>
        </w:rPr>
        <w:t xml:space="preserve">. Además, el expediente clínico utilizado en la gestión de prestación de servicios de salud (creado de conformidad a lo establecido en la Resolución S.G. N°527/2010), dispone que la totalidad de información obrante en el mismo, reciba un tratamiento que asegure el respeto absoluto a la privacidad de los datos correspondientes a los pacientes. </w:t>
      </w:r>
    </w:p>
    <w:p w14:paraId="70797DD3" w14:textId="40F83C3B" w:rsidR="00583FBD" w:rsidRPr="00B64C1B" w:rsidRDefault="00583FBD" w:rsidP="00E67B58">
      <w:pPr>
        <w:pStyle w:val="SingleTxt"/>
        <w:numPr>
          <w:ilvl w:val="0"/>
          <w:numId w:val="44"/>
        </w:numPr>
        <w:tabs>
          <w:tab w:val="num" w:pos="2804"/>
        </w:tabs>
        <w:ind w:left="1267"/>
        <w:rPr>
          <w:lang w:val="es-PY"/>
        </w:rPr>
      </w:pPr>
      <w:r w:rsidRPr="00B64C1B">
        <w:rPr>
          <w:lang w:val="es-PY"/>
        </w:rPr>
        <w:t xml:space="preserve">La Constitución Nacional en su artículo 4, </w:t>
      </w:r>
      <w:r w:rsidR="00F019B7">
        <w:rPr>
          <w:lang w:val="es-PY"/>
        </w:rPr>
        <w:t>“</w:t>
      </w:r>
      <w:r w:rsidRPr="00B64C1B">
        <w:rPr>
          <w:lang w:val="es-PY"/>
        </w:rPr>
        <w:t>Del Derecho a la vida</w:t>
      </w:r>
      <w:r w:rsidR="00F019B7">
        <w:rPr>
          <w:lang w:val="es-PY"/>
        </w:rPr>
        <w:t>”</w:t>
      </w:r>
      <w:r w:rsidRPr="00B64C1B">
        <w:rPr>
          <w:lang w:val="es-PY"/>
        </w:rPr>
        <w:t xml:space="preserve">, establece: </w:t>
      </w:r>
      <w:r w:rsidR="00F019B7">
        <w:rPr>
          <w:lang w:val="es-PY"/>
        </w:rPr>
        <w:t>“</w:t>
      </w:r>
      <w:r w:rsidRPr="00B64C1B">
        <w:rPr>
          <w:lang w:val="es-PY"/>
        </w:rPr>
        <w:t>El derecho a la vida es inherente a la persona humana. Se garantiza su protección, en general, desde la concepción…</w:t>
      </w:r>
      <w:r w:rsidR="00F019B7">
        <w:rPr>
          <w:lang w:val="es-PY"/>
        </w:rPr>
        <w:t>”</w:t>
      </w:r>
      <w:r w:rsidRPr="00B64C1B">
        <w:rPr>
          <w:lang w:val="es-PY"/>
        </w:rPr>
        <w:t>.</w:t>
      </w:r>
      <w:r w:rsidR="007E06AB">
        <w:rPr>
          <w:lang w:val="es-PY"/>
        </w:rPr>
        <w:t xml:space="preserve"> </w:t>
      </w:r>
      <w:r w:rsidRPr="00B64C1B">
        <w:rPr>
          <w:lang w:val="es-PY"/>
        </w:rPr>
        <w:t>La muerte indirecta por estado de necesidad en el parto está establecida en el artículo 109 del Código Penal:</w:t>
      </w:r>
      <w:r w:rsidR="007E06AB">
        <w:rPr>
          <w:lang w:val="es-PY"/>
        </w:rPr>
        <w:t xml:space="preserve"> </w:t>
      </w:r>
      <w:r w:rsidR="00F019B7">
        <w:rPr>
          <w:lang w:val="es-PY"/>
        </w:rPr>
        <w:t>“</w:t>
      </w:r>
      <w:r w:rsidRPr="00B64C1B">
        <w:rPr>
          <w:lang w:val="es-PY"/>
        </w:rPr>
        <w:t>No obra antijurídicamente el que causara indirectamente la muerte del feto mediante actos propios del parto si ello, según los conocimientos y las experiencias del arte médico, fuera necesario e inevitable para desviar un peligro serio para la vida o la salud de la madre</w:t>
      </w:r>
      <w:r w:rsidR="00F019B7">
        <w:rPr>
          <w:lang w:val="es-PY"/>
        </w:rPr>
        <w:t>”</w:t>
      </w:r>
      <w:r w:rsidRPr="00B64C1B">
        <w:rPr>
          <w:lang w:val="es-PY"/>
        </w:rPr>
        <w:t>.</w:t>
      </w:r>
    </w:p>
    <w:p w14:paraId="7FDD035B" w14:textId="7FC0F6DF" w:rsidR="00583FBD" w:rsidRPr="00B64C1B" w:rsidRDefault="00583FBD" w:rsidP="00E67B58">
      <w:pPr>
        <w:pStyle w:val="SingleTxt"/>
        <w:numPr>
          <w:ilvl w:val="0"/>
          <w:numId w:val="44"/>
        </w:numPr>
        <w:ind w:left="1267"/>
        <w:rPr>
          <w:lang w:val="es-PY"/>
        </w:rPr>
      </w:pPr>
      <w:r w:rsidRPr="00B64C1B">
        <w:rPr>
          <w:lang w:val="es-PY"/>
        </w:rPr>
        <w:t>Se han promulgado leyes que contribuyen a fortalecer las acciones para la prevención, detección temprana, tratamiento y apoyo psicológico a las mujeres y niñas afectadas por el cáncer. La Ley N°</w:t>
      </w:r>
      <w:r w:rsidRPr="00E67B58">
        <w:rPr>
          <w:lang w:val="es-PY"/>
        </w:rPr>
        <w:t>6266/18</w:t>
      </w:r>
      <w:r w:rsidRPr="00B64C1B">
        <w:rPr>
          <w:lang w:val="es-PY"/>
        </w:rPr>
        <w:t xml:space="preserve"> </w:t>
      </w:r>
      <w:r w:rsidR="00F019B7">
        <w:rPr>
          <w:lang w:val="es-PY"/>
        </w:rPr>
        <w:t>“</w:t>
      </w:r>
      <w:r w:rsidRPr="00B64C1B">
        <w:rPr>
          <w:lang w:val="es-PY"/>
        </w:rPr>
        <w:t>De Atención Integral a las Personas con Cáncer</w:t>
      </w:r>
      <w:r w:rsidR="00F019B7">
        <w:rPr>
          <w:lang w:val="es-PY"/>
        </w:rPr>
        <w:t>”</w:t>
      </w:r>
      <w:r w:rsidRPr="00B64C1B">
        <w:rPr>
          <w:vertAlign w:val="superscript"/>
          <w:lang w:val="es-PY"/>
        </w:rPr>
        <w:footnoteReference w:id="100"/>
      </w:r>
      <w:r w:rsidRPr="00B64C1B">
        <w:rPr>
          <w:lang w:val="es-PY"/>
        </w:rPr>
        <w:t xml:space="preserve"> garantiza el acceso oportuno y de calidad a una atención de salud digna e integral para todas las personas afectadas por el cáncer. Esta ley abarca diversos </w:t>
      </w:r>
      <w:r w:rsidRPr="00B64C1B">
        <w:rPr>
          <w:lang w:val="es-PY"/>
        </w:rPr>
        <w:lastRenderedPageBreak/>
        <w:t>aspectos de la atención oncológica, incluyendo la promoción de la salud, la prevención de enfermedades, la detección precoz, el diagnóstico, el tratamiento, la rehabilitación, la salud mental y los cuidados paliativos. Asimismo, la Ley N°</w:t>
      </w:r>
      <w:r w:rsidRPr="00E67B58">
        <w:rPr>
          <w:lang w:val="es-PY"/>
        </w:rPr>
        <w:t>6949/22</w:t>
      </w:r>
      <w:r w:rsidRPr="00B64C1B">
        <w:rPr>
          <w:vertAlign w:val="superscript"/>
          <w:lang w:val="es-PY"/>
        </w:rPr>
        <w:footnoteReference w:id="101"/>
      </w:r>
      <w:r w:rsidRPr="00B64C1B">
        <w:rPr>
          <w:lang w:val="es-PY"/>
        </w:rPr>
        <w:t xml:space="preserve">, que modifica los artículos 11 y 13 de la Ley </w:t>
      </w:r>
      <w:proofErr w:type="spellStart"/>
      <w:r w:rsidRPr="00B64C1B">
        <w:rPr>
          <w:lang w:val="es-PY"/>
        </w:rPr>
        <w:t>Nº</w:t>
      </w:r>
      <w:proofErr w:type="spellEnd"/>
      <w:r w:rsidRPr="00B64C1B">
        <w:rPr>
          <w:lang w:val="es-PY"/>
        </w:rPr>
        <w:t xml:space="preserve"> </w:t>
      </w:r>
      <w:r w:rsidRPr="00E67B58">
        <w:rPr>
          <w:lang w:val="es-PY"/>
        </w:rPr>
        <w:t>3331/2007</w:t>
      </w:r>
      <w:r w:rsidRPr="00B64C1B">
        <w:rPr>
          <w:lang w:val="es-PY"/>
        </w:rPr>
        <w:t xml:space="preserve"> que establece el Programa Nacional de Prevención, Detección Precoz y Tratamiento del Cáncer de Cuello Uterino y Mama. Esta modificación promueve una mayor efectividad de las acciones preventivas y de detección precoz de estos tipos de cáncer.</w:t>
      </w:r>
    </w:p>
    <w:p w14:paraId="5CD6B610" w14:textId="46262F54" w:rsidR="00583FBD" w:rsidRPr="00B64C1B" w:rsidRDefault="00583FBD" w:rsidP="00E67B58">
      <w:pPr>
        <w:pStyle w:val="SingleTxt"/>
        <w:numPr>
          <w:ilvl w:val="0"/>
          <w:numId w:val="44"/>
        </w:numPr>
        <w:ind w:left="1267"/>
        <w:rPr>
          <w:lang w:val="es-PY"/>
        </w:rPr>
      </w:pPr>
      <w:r w:rsidRPr="00B64C1B">
        <w:rPr>
          <w:lang w:val="es-PY"/>
        </w:rPr>
        <w:t xml:space="preserve">En el Módulo de Salud Sexual Reproductiva del Centro </w:t>
      </w:r>
      <w:r w:rsidR="00F019B7">
        <w:rPr>
          <w:lang w:val="es-PY"/>
        </w:rPr>
        <w:t>“</w:t>
      </w:r>
      <w:r w:rsidRPr="00B64C1B">
        <w:rPr>
          <w:lang w:val="es-PY"/>
        </w:rPr>
        <w:t>Ciudad Mujer</w:t>
      </w:r>
      <w:r w:rsidR="00F019B7">
        <w:rPr>
          <w:lang w:val="es-PY"/>
        </w:rPr>
        <w:t>”</w:t>
      </w:r>
      <w:r w:rsidRPr="00B64C1B">
        <w:rPr>
          <w:lang w:val="es-PY"/>
        </w:rPr>
        <w:t xml:space="preserve"> se desarrollan campañas de promoción de los servicios de detección temprana, la referencia ante los diagnósticos positivos y de prevención con informaciones impartidas por profesionales calificadas.</w:t>
      </w:r>
    </w:p>
    <w:p w14:paraId="34137554" w14:textId="41F2866D" w:rsidR="00583FBD" w:rsidRPr="00B64C1B" w:rsidRDefault="00583FBD" w:rsidP="00E67B58">
      <w:pPr>
        <w:pStyle w:val="SingleTxt"/>
        <w:numPr>
          <w:ilvl w:val="0"/>
          <w:numId w:val="44"/>
        </w:numPr>
        <w:ind w:left="1267"/>
        <w:rPr>
          <w:lang w:val="es-PY"/>
        </w:rPr>
      </w:pPr>
      <w:r w:rsidRPr="00B64C1B">
        <w:rPr>
          <w:lang w:val="es-PY"/>
        </w:rPr>
        <w:t xml:space="preserve">El cáncer de cuello uterino sigue siendo una de las patologías neoplásicas de mayor incidencia y mortalidad en nuestro país, constituyendo un problema de salud pública, a pesar de ser una enfermedad prevenible. Paraguay está llevando a cabo esfuerzos para mitigar los estragos causados por una enfermedad que visualiza las brechas e inequidades existentes; prueba de ello, se han establecido metas concretas como la introducción del Test de VPH como método de tamizaje primario en el país mediante Resolución S.G. N°1104/2021, con lo cual se pretende ampliar la cobertura de mujeres en edad de riesgo mediante una prueba de alta sensibilidad. Con el afán de brindar herramientas vanguardistas a los profesionales que se dedican a la prevención, el diagnóstico precoz y el tratamiento de las lesiones precursoras y el cáncer de cuello uterino se realizó en el año 2022, la actualización del Manual de Normas y Procedimientos para la prevención y el control del cáncer de tracto genital inferior femenino. Además, se dispone de la vacuna que previene esta enfermedad, y está incluida dentro del esquema regular de vacunación. La vacuna contra el VPH es segura, confiable y efectiva; está orientada a niñas de 9 a 14 años de edad. Las dosis son aplicadas en las unidades educativas y </w:t>
      </w:r>
      <w:proofErr w:type="spellStart"/>
      <w:r w:rsidRPr="00B64C1B">
        <w:rPr>
          <w:lang w:val="es-PY"/>
        </w:rPr>
        <w:t>vacunatorios</w:t>
      </w:r>
      <w:proofErr w:type="spellEnd"/>
      <w:r w:rsidRPr="00B64C1B">
        <w:rPr>
          <w:lang w:val="es-PY"/>
        </w:rPr>
        <w:t xml:space="preserve"> del </w:t>
      </w:r>
      <w:r w:rsidRPr="00B64C1B">
        <w:rPr>
          <w:bCs/>
          <w:lang w:val="es-PY"/>
        </w:rPr>
        <w:t>MSPBS</w:t>
      </w:r>
      <w:r w:rsidRPr="00B64C1B">
        <w:rPr>
          <w:lang w:val="es-PY"/>
        </w:rPr>
        <w:t xml:space="preserve">. Desde este 2024 se tiene prevista la implementación de la toma de muestra y test del VPH en departamentos con alta tasa de prevalencia y mortalidad de cáncer de cuello uterino, como Alto Paraná y Central. Además, se está trabajando en el proyecto del </w:t>
      </w:r>
      <w:r w:rsidR="00F019B7">
        <w:rPr>
          <w:lang w:val="es-PY"/>
        </w:rPr>
        <w:t>“</w:t>
      </w:r>
      <w:r w:rsidRPr="00B64C1B">
        <w:rPr>
          <w:lang w:val="es-PY"/>
        </w:rPr>
        <w:t>Plan Nacional de Detección Precoz para el Cáncer de Mama</w:t>
      </w:r>
      <w:r w:rsidR="00F019B7">
        <w:rPr>
          <w:lang w:val="es-PY"/>
        </w:rPr>
        <w:t>”</w:t>
      </w:r>
      <w:r w:rsidRPr="00B64C1B">
        <w:rPr>
          <w:lang w:val="es-PY"/>
        </w:rPr>
        <w:t xml:space="preserve">, para la adquisición de más mamógrafos y capacitaciones a los profesionales de imágenes. </w:t>
      </w:r>
    </w:p>
    <w:p w14:paraId="6988F878" w14:textId="71FB44A9" w:rsidR="00583FBD" w:rsidRPr="00B64C1B" w:rsidRDefault="00583FBD" w:rsidP="00E67B58">
      <w:pPr>
        <w:pStyle w:val="SingleTxt"/>
        <w:numPr>
          <w:ilvl w:val="0"/>
          <w:numId w:val="44"/>
        </w:numPr>
        <w:ind w:left="1267"/>
        <w:rPr>
          <w:lang w:val="es-PY"/>
        </w:rPr>
      </w:pPr>
      <w:r w:rsidRPr="00B64C1B">
        <w:rPr>
          <w:lang w:val="es-PY"/>
        </w:rPr>
        <w:t>El Instituto Nacional del Cáncer (INCAN) habilitó varios centros oncológicos en el interior del país para facilitar el envío y aplicación de medicamentos oncológicos, evitando el traslado de grandes distancias, el desarraigo, además de disminuir el gasto de bolsillo de los pacientes. Estos centros se encuentran en Encarnación, Ciudad del Este, Pedro Juan Caballero, Villa Hayes y en la ciudad de Pilar. En este último se habilitó un consultorio médico oncológico. En Central y Capital se habilitaron en el Hospital Nacional de Itauguá, Hospital San Pablo, Hospital Pediátrico Niños de Acosta Ñu y se suscribió convenios con el Hospital de Clínicas e IPS.</w:t>
      </w:r>
    </w:p>
    <w:p w14:paraId="46B11572" w14:textId="3B68D18B" w:rsidR="00583FBD" w:rsidRPr="00B64C1B" w:rsidRDefault="00583FBD" w:rsidP="00E67B58">
      <w:pPr>
        <w:pStyle w:val="SingleTxt"/>
        <w:numPr>
          <w:ilvl w:val="0"/>
          <w:numId w:val="44"/>
        </w:numPr>
        <w:tabs>
          <w:tab w:val="num" w:pos="2804"/>
        </w:tabs>
        <w:ind w:left="1267"/>
        <w:rPr>
          <w:lang w:val="es-PY"/>
        </w:rPr>
      </w:pPr>
      <w:r w:rsidRPr="00B64C1B">
        <w:rPr>
          <w:lang w:val="es-PY"/>
        </w:rPr>
        <w:t>En 2022 se promulgó la Ley N°</w:t>
      </w:r>
      <w:r w:rsidRPr="00E67B58">
        <w:rPr>
          <w:lang w:val="es-PY"/>
        </w:rPr>
        <w:t>6993/2022</w:t>
      </w:r>
      <w:r w:rsidRPr="00B64C1B">
        <w:rPr>
          <w:lang w:val="es-PY"/>
        </w:rPr>
        <w:t xml:space="preserve"> </w:t>
      </w:r>
      <w:r w:rsidR="00F019B7">
        <w:rPr>
          <w:lang w:val="es-PY"/>
        </w:rPr>
        <w:t>“</w:t>
      </w:r>
      <w:r w:rsidRPr="00B64C1B">
        <w:rPr>
          <w:lang w:val="es-PY"/>
        </w:rPr>
        <w:t>De provisión gratuita de productos de gestión menstrual</w:t>
      </w:r>
      <w:r w:rsidR="00F019B7">
        <w:rPr>
          <w:lang w:val="es-PY"/>
        </w:rPr>
        <w:t>”</w:t>
      </w:r>
      <w:r w:rsidRPr="00B64C1B">
        <w:rPr>
          <w:vertAlign w:val="superscript"/>
          <w:lang w:val="es-PY"/>
        </w:rPr>
        <w:footnoteReference w:id="102"/>
      </w:r>
      <w:r w:rsidRPr="00B64C1B">
        <w:rPr>
          <w:lang w:val="es-PY"/>
        </w:rPr>
        <w:t>, que establece la obligatoriedad en todo el territorio de garantizar la provisión gratuita de elementos para la gestión menstrual a niñas, adolescentes y mujeres en ámbitos educativos de gestión pública, de salud pública, de reclusión de personas y redes de alojamiento diurno y/o nocturno para personas en situación de calle.</w:t>
      </w:r>
    </w:p>
    <w:p w14:paraId="129087F0" w14:textId="61408889" w:rsidR="00583FBD" w:rsidRPr="00B64C1B" w:rsidRDefault="00583FBD" w:rsidP="00E67B58">
      <w:pPr>
        <w:pStyle w:val="SingleTxt"/>
        <w:numPr>
          <w:ilvl w:val="0"/>
          <w:numId w:val="44"/>
        </w:numPr>
        <w:tabs>
          <w:tab w:val="num" w:pos="2804"/>
        </w:tabs>
        <w:ind w:left="1267"/>
        <w:rPr>
          <w:lang w:val="es-PY"/>
        </w:rPr>
      </w:pPr>
      <w:r w:rsidRPr="00B64C1B">
        <w:rPr>
          <w:lang w:val="es-PY"/>
        </w:rPr>
        <w:lastRenderedPageBreak/>
        <w:t>Se encuentra en implementación el Plan de Acción Nacional por los Derechos de las Personas con Discapacidad 2015-2030</w:t>
      </w:r>
      <w:r w:rsidRPr="00B64C1B">
        <w:rPr>
          <w:vertAlign w:val="superscript"/>
          <w:lang w:val="es-PY"/>
        </w:rPr>
        <w:footnoteReference w:id="103"/>
      </w:r>
      <w:r w:rsidRPr="00B64C1B">
        <w:rPr>
          <w:lang w:val="es-PY"/>
        </w:rPr>
        <w:t>, que incluye acciones para asegurar que las mujeres y niñas con discapacidad tengan acceso a servicios de salud adecuados y libres de discriminación.</w:t>
      </w:r>
    </w:p>
    <w:p w14:paraId="4DBBCDA4" w14:textId="03C2D839" w:rsidR="00583FBD" w:rsidRPr="00B64C1B" w:rsidRDefault="00583FBD" w:rsidP="00E67B58">
      <w:pPr>
        <w:pStyle w:val="SingleTxt"/>
        <w:numPr>
          <w:ilvl w:val="0"/>
          <w:numId w:val="44"/>
        </w:numPr>
        <w:tabs>
          <w:tab w:val="num" w:pos="2804"/>
        </w:tabs>
        <w:ind w:left="1267"/>
        <w:rPr>
          <w:lang w:val="es-PY"/>
        </w:rPr>
      </w:pPr>
      <w:r w:rsidRPr="00B64C1B">
        <w:rPr>
          <w:lang w:val="es-PY"/>
        </w:rPr>
        <w:t xml:space="preserve">El modelo de atención especializada del Centro </w:t>
      </w:r>
      <w:r w:rsidR="00F019B7">
        <w:rPr>
          <w:lang w:val="es-PY"/>
        </w:rPr>
        <w:t>“</w:t>
      </w:r>
      <w:r w:rsidRPr="00B64C1B">
        <w:rPr>
          <w:lang w:val="es-PY"/>
        </w:rPr>
        <w:t>Ciudad Mujer</w:t>
      </w:r>
      <w:r w:rsidR="00F019B7">
        <w:rPr>
          <w:lang w:val="es-PY"/>
        </w:rPr>
        <w:t>”</w:t>
      </w:r>
      <w:r w:rsidRPr="00B64C1B">
        <w:rPr>
          <w:lang w:val="es-PY"/>
        </w:rPr>
        <w:t xml:space="preserve"> prevé el protocolo de atención a mujeres con VIH y SIDA y también dispone de protocolos diferenciados para el acceso de mujeres con discapacidad.</w:t>
      </w:r>
    </w:p>
    <w:p w14:paraId="38CCE30C" w14:textId="7F6A0BEC" w:rsidR="00583FBD" w:rsidRPr="00B64C1B" w:rsidRDefault="00583FBD" w:rsidP="00E67B58">
      <w:pPr>
        <w:pStyle w:val="SingleTxt"/>
        <w:numPr>
          <w:ilvl w:val="0"/>
          <w:numId w:val="44"/>
        </w:numPr>
        <w:tabs>
          <w:tab w:val="num" w:pos="2804"/>
        </w:tabs>
        <w:ind w:left="1267"/>
        <w:rPr>
          <w:lang w:val="es-PY"/>
        </w:rPr>
      </w:pPr>
      <w:r w:rsidRPr="00B64C1B">
        <w:rPr>
          <w:lang w:val="es-PY"/>
        </w:rPr>
        <w:t xml:space="preserve">Por Resolución S.G. N°50/2024 se aprueba el </w:t>
      </w:r>
      <w:r w:rsidR="00F019B7">
        <w:rPr>
          <w:lang w:val="es-PY"/>
        </w:rPr>
        <w:t>“</w:t>
      </w:r>
      <w:r w:rsidRPr="00B64C1B">
        <w:rPr>
          <w:lang w:val="es-PY"/>
        </w:rPr>
        <w:t>Plan de Implementación de Pruebas Autoadministradas de VIH (PA - VIH) en Paraguay</w:t>
      </w:r>
      <w:r w:rsidR="00F019B7">
        <w:rPr>
          <w:lang w:val="es-PY"/>
        </w:rPr>
        <w:t>”</w:t>
      </w:r>
      <w:r w:rsidRPr="00B64C1B">
        <w:rPr>
          <w:lang w:val="es-PY"/>
        </w:rPr>
        <w:t xml:space="preserve">, ante la necesidad de abordar a las diferentes poblaciones, en particular a la población clave para el VIH (hombres que tiene sexo con hombres, personas transgénero, mujeres trabajadoras sexuales), a través de diferentes ofertas de testeos, se plantea la incorporación de esta modalidad de auto tamizaje para el VIH. De igual manera, por Resolución S.G. N°346/2020 se aprueba el Plan Estratégico Nacional para la Respuesta al VIH/Sida y otras ITS 2019-2023; y por Resolución S.G. </w:t>
      </w:r>
      <w:proofErr w:type="spellStart"/>
      <w:r w:rsidRPr="00B64C1B">
        <w:rPr>
          <w:lang w:val="es-PY"/>
        </w:rPr>
        <w:t>N°</w:t>
      </w:r>
      <w:proofErr w:type="spellEnd"/>
      <w:r w:rsidRPr="00B64C1B">
        <w:rPr>
          <w:lang w:val="es-PY"/>
        </w:rPr>
        <w:t xml:space="preserve"> 558/2022 se aprueba el Protocolo Clínico y Directrices Terapéuticas para profilaxis Pre Exposición del VIH -PrEP, como parte de la prevención combinada, con alcance a poblaciones priorizadas.</w:t>
      </w:r>
    </w:p>
    <w:p w14:paraId="272F0E5D" w14:textId="2258584B" w:rsidR="00583FBD" w:rsidRPr="00B64C1B" w:rsidRDefault="00583FBD" w:rsidP="00E67B58">
      <w:pPr>
        <w:pStyle w:val="SingleTxt"/>
        <w:numPr>
          <w:ilvl w:val="0"/>
          <w:numId w:val="44"/>
        </w:numPr>
        <w:tabs>
          <w:tab w:val="num" w:pos="2804"/>
        </w:tabs>
        <w:ind w:left="1267"/>
        <w:rPr>
          <w:lang w:val="es-PY"/>
        </w:rPr>
      </w:pPr>
      <w:r w:rsidRPr="00B64C1B">
        <w:rPr>
          <w:bCs/>
          <w:lang w:val="es-PY"/>
        </w:rPr>
        <w:t xml:space="preserve">El MSPBS lidera la Subcomisión de Salud y Bienestar Social de la CONADIS. En ese marco, se ha aprobado recientemente el documento denominado </w:t>
      </w:r>
      <w:r w:rsidR="00F019B7">
        <w:rPr>
          <w:bCs/>
          <w:lang w:val="es-PY"/>
        </w:rPr>
        <w:t>“</w:t>
      </w:r>
      <w:r w:rsidRPr="00B64C1B">
        <w:rPr>
          <w:bCs/>
          <w:lang w:val="es-PY"/>
        </w:rPr>
        <w:t>Lineamiento Técnico de Trato Adecuado y Respetuoso de Trabajadores/as de Salud, a las Personas con Discapacidad (</w:t>
      </w:r>
      <w:proofErr w:type="spellStart"/>
      <w:r w:rsidRPr="00B64C1B">
        <w:rPr>
          <w:bCs/>
          <w:lang w:val="es-PY"/>
        </w:rPr>
        <w:t>PcD</w:t>
      </w:r>
      <w:proofErr w:type="spellEnd"/>
      <w:r w:rsidRPr="00B64C1B">
        <w:rPr>
          <w:bCs/>
          <w:lang w:val="es-PY"/>
        </w:rPr>
        <w:t>), Edición 1 – 2023</w:t>
      </w:r>
      <w:r w:rsidR="00F019B7">
        <w:rPr>
          <w:bCs/>
          <w:lang w:val="es-PY"/>
        </w:rPr>
        <w:t>”</w:t>
      </w:r>
      <w:r w:rsidRPr="00B64C1B">
        <w:rPr>
          <w:bCs/>
          <w:vertAlign w:val="superscript"/>
          <w:lang w:val="es-PY"/>
        </w:rPr>
        <w:footnoteReference w:id="104"/>
      </w:r>
      <w:r w:rsidRPr="00B64C1B">
        <w:rPr>
          <w:bCs/>
          <w:lang w:val="es-PY"/>
        </w:rPr>
        <w:t xml:space="preserve">, mediante la Resolución S.G. N°867, de fecha 20 de diciembre de 2023. Dicho documento es el resultado de un proceso de construcción participativa, el mismo, está centrado en el trato adecuado y respetuoso a las personas con discapacidad, con el claro objetivo de contribuir a la igualdad de condiciones y oportunidades, previniendo todas las formas de discriminación hacia las personas con discapacidad y con ello sumar a la cultura de trato adecuado y respetuoso, y a su vez, generar confianza, minimizar el temor y aportar al conocimiento de trabajadores/as de la salud para tratar con la personas con discapacidad y así facilitar el acceso de las mismas al derecho a la salud. </w:t>
      </w:r>
    </w:p>
    <w:p w14:paraId="5346D8CE" w14:textId="3A0ED342" w:rsidR="00583FBD" w:rsidRPr="00B64C1B" w:rsidRDefault="00583FBD" w:rsidP="00E67B58">
      <w:pPr>
        <w:pStyle w:val="SingleTxt"/>
        <w:numPr>
          <w:ilvl w:val="0"/>
          <w:numId w:val="44"/>
        </w:numPr>
        <w:tabs>
          <w:tab w:val="num" w:pos="2804"/>
        </w:tabs>
        <w:ind w:left="1267"/>
        <w:rPr>
          <w:lang w:val="es-PY"/>
        </w:rPr>
      </w:pPr>
      <w:r w:rsidRPr="00B64C1B">
        <w:rPr>
          <w:bCs/>
          <w:lang w:val="es-PY"/>
        </w:rPr>
        <w:t xml:space="preserve">Con la promulgación de la </w:t>
      </w:r>
      <w:r w:rsidRPr="00B64C1B">
        <w:rPr>
          <w:lang w:val="es-PY"/>
        </w:rPr>
        <w:t xml:space="preserve">Ley N°7018 </w:t>
      </w:r>
      <w:r w:rsidR="00F019B7">
        <w:rPr>
          <w:lang w:val="es-PY"/>
        </w:rPr>
        <w:t>“</w:t>
      </w:r>
      <w:r w:rsidRPr="00B64C1B">
        <w:rPr>
          <w:lang w:val="es-PY"/>
        </w:rPr>
        <w:t>De Salud Mental</w:t>
      </w:r>
      <w:r w:rsidR="00F019B7">
        <w:rPr>
          <w:lang w:val="es-PY"/>
        </w:rPr>
        <w:t>”</w:t>
      </w:r>
      <w:r w:rsidRPr="00B64C1B">
        <w:rPr>
          <w:vertAlign w:val="superscript"/>
          <w:lang w:val="es-PY"/>
        </w:rPr>
        <w:footnoteReference w:id="105"/>
      </w:r>
      <w:r w:rsidRPr="00B64C1B">
        <w:rPr>
          <w:bCs/>
          <w:lang w:val="es-PY"/>
        </w:rPr>
        <w:t xml:space="preserve"> se dio inicio al proceso de reforma de la atención de la salud mental tan anhelado. Dicho cuerpo legal tiene por objeto la protección a la salud mental de las personas, con una atención humanizada centrada en la persona y su contexto psicosocial en pleno goce de sus derechos humanos. Con la entrada en vigencia de la Ley </w:t>
      </w:r>
      <w:r w:rsidRPr="00E67B58">
        <w:rPr>
          <w:bCs/>
          <w:lang w:val="es-PY"/>
        </w:rPr>
        <w:t>7018/2022</w:t>
      </w:r>
      <w:r w:rsidRPr="00B64C1B">
        <w:rPr>
          <w:bCs/>
          <w:lang w:val="es-PY"/>
        </w:rPr>
        <w:t xml:space="preserve"> y su </w:t>
      </w:r>
      <w:r w:rsidRPr="00B64C1B">
        <w:rPr>
          <w:lang w:val="es-PY"/>
        </w:rPr>
        <w:t>Decreto Reglamentario N°</w:t>
      </w:r>
      <w:r w:rsidRPr="00E67B58">
        <w:rPr>
          <w:lang w:val="es-PY"/>
        </w:rPr>
        <w:t>9811/2023</w:t>
      </w:r>
      <w:r w:rsidRPr="00B64C1B">
        <w:rPr>
          <w:bCs/>
          <w:lang w:val="es-PY"/>
        </w:rPr>
        <w:t>, la Dirección Nacional de Salud Mental se halla abocada a la actualización de la Política Nacional de Salud Mental y el Plan Nacional de Salud Mental, en los que se contemplan estrategias y acciones para el aumento de la cobertura descentralizada y de la oferta de diferentes dispositivos en salud mental.</w:t>
      </w:r>
    </w:p>
    <w:p w14:paraId="5FF83A90" w14:textId="737074C6" w:rsidR="00583FBD" w:rsidRPr="00B64C1B" w:rsidRDefault="00583FBD" w:rsidP="00E67B58">
      <w:pPr>
        <w:pStyle w:val="SingleTxt"/>
        <w:numPr>
          <w:ilvl w:val="0"/>
          <w:numId w:val="44"/>
        </w:numPr>
        <w:ind w:left="1267"/>
        <w:rPr>
          <w:lang w:val="es-PY"/>
        </w:rPr>
      </w:pPr>
      <w:r w:rsidRPr="00B64C1B">
        <w:rPr>
          <w:lang w:val="es-PY"/>
        </w:rPr>
        <w:t xml:space="preserve">En lo concerniente a la Salud Sexual y Reproductiva, resulta importante mencionar la vigencia de la </w:t>
      </w:r>
      <w:r w:rsidR="00F019B7">
        <w:rPr>
          <w:lang w:val="es-PY"/>
        </w:rPr>
        <w:t>“</w:t>
      </w:r>
      <w:r w:rsidRPr="00B64C1B">
        <w:rPr>
          <w:i/>
          <w:lang w:val="es-PY"/>
        </w:rPr>
        <w:t>Guía de atención en salud sexual y reproductiva para adolescentes con discapacidad - Hacia una Salud Inclusiva</w:t>
      </w:r>
      <w:r w:rsidR="00F019B7">
        <w:rPr>
          <w:lang w:val="es-PY"/>
        </w:rPr>
        <w:t>”</w:t>
      </w:r>
      <w:r w:rsidRPr="00B64C1B">
        <w:rPr>
          <w:lang w:val="es-PY"/>
        </w:rPr>
        <w:t xml:space="preserve">. Se trata de una herramienta dirigida a profesionales de la salud que, en su cotidiana asistencia y cuidado al usuario/a, ha manifestado la necesidad de contar con una guía de apoyo para </w:t>
      </w:r>
      <w:r w:rsidRPr="00E74846">
        <w:rPr>
          <w:lang w:val="es-PY"/>
        </w:rPr>
        <w:t>mejorar</w:t>
      </w:r>
      <w:r w:rsidRPr="00B64C1B">
        <w:rPr>
          <w:lang w:val="es-PY"/>
        </w:rPr>
        <w:t xml:space="preserve"> la calidad en la atención a los/as adolescentes y particularmente aquellos con discapacidad, teniendo en cuenta que durante su interacción con los/as mismas, deben hacerlo de manera clara y específica, de modo tal que sea comprensible para </w:t>
      </w:r>
      <w:r w:rsidRPr="00B64C1B">
        <w:rPr>
          <w:lang w:val="es-PY"/>
        </w:rPr>
        <w:lastRenderedPageBreak/>
        <w:t>las personas adolescentes, sus familiares y la población en general. Demuestra el compromiso de garantizar el acceso de la población a los servicios de salud siguiendo con el proceso continuo de respeto de los derechos y la calidad de la atención en sus diferentes componentes, en especial de la salud sexual y reproductiva de los/as adolescentes.</w:t>
      </w:r>
    </w:p>
    <w:p w14:paraId="50EB9D73" w14:textId="0DB87DAA" w:rsidR="00583FBD" w:rsidRPr="00B64C1B" w:rsidRDefault="00583FBD" w:rsidP="00E67B58">
      <w:pPr>
        <w:pStyle w:val="SingleTxt"/>
        <w:numPr>
          <w:ilvl w:val="0"/>
          <w:numId w:val="44"/>
        </w:numPr>
        <w:ind w:left="1267"/>
        <w:rPr>
          <w:lang w:val="es-PY"/>
        </w:rPr>
      </w:pPr>
      <w:r w:rsidRPr="00B64C1B">
        <w:rPr>
          <w:lang w:val="es-PY"/>
        </w:rPr>
        <w:t xml:space="preserve">El último quinquenio se produjo un incremento en los Servicios de Atención Integral de Adolescentes del </w:t>
      </w:r>
      <w:proofErr w:type="spellStart"/>
      <w:r w:rsidRPr="00B64C1B">
        <w:rPr>
          <w:lang w:val="es-PY"/>
        </w:rPr>
        <w:t>MSPyBS</w:t>
      </w:r>
      <w:proofErr w:type="spellEnd"/>
      <w:r w:rsidRPr="00B64C1B">
        <w:rPr>
          <w:lang w:val="es-PY"/>
        </w:rPr>
        <w:t>, en todo el país, incrementándose de 24 servicios en 2019 a 107 servicios en 2023. Asimismo, se encuentra en vigencia la Norma Técnica de Atención Integral para Adolescentes en los Servicios de Salud</w:t>
      </w:r>
      <w:r w:rsidRPr="00B64C1B">
        <w:rPr>
          <w:vertAlign w:val="superscript"/>
          <w:lang w:val="es-PY"/>
        </w:rPr>
        <w:footnoteReference w:id="106"/>
      </w:r>
      <w:r w:rsidRPr="00B64C1B">
        <w:rPr>
          <w:lang w:val="es-PY"/>
        </w:rPr>
        <w:t>, como parte del modelo de atención integral del adolescente a través de los establecimientos de salud. Esta norma proporciona espacios de salud mental, proyecto de vida, hábitos saludables, nutrición, salud bucal, entre otros aspectos importantes para el bienestar de los adolescentes.</w:t>
      </w:r>
    </w:p>
    <w:p w14:paraId="7A041745" w14:textId="11814A9C" w:rsidR="00583FBD" w:rsidRPr="00B64C1B" w:rsidRDefault="00583FBD" w:rsidP="00E67B58">
      <w:pPr>
        <w:pStyle w:val="SingleTxt"/>
        <w:numPr>
          <w:ilvl w:val="0"/>
          <w:numId w:val="44"/>
        </w:numPr>
        <w:ind w:left="1267"/>
        <w:rPr>
          <w:lang w:val="es-PY"/>
        </w:rPr>
      </w:pPr>
      <w:r w:rsidRPr="00B64C1B">
        <w:rPr>
          <w:lang w:val="es-PY"/>
        </w:rPr>
        <w:t>Además, se ha revisado y actualizado el cuadro de procedimientos de Integración del Manejo de Adolescentes y sus Necesidades (IMAN), de acuerdo a las necesidades específicas de los adolescentes. También se ha desarrollado la Guía para la implementación de los clubes de adolescentes, orientada a los equipos de las Unidades de Salud Familiar, para promover y prevenir factores de riesgo entre los adolescentes.</w:t>
      </w:r>
    </w:p>
    <w:p w14:paraId="276FBEA8" w14:textId="77777777" w:rsidR="00E67B58" w:rsidRPr="00E67B58" w:rsidRDefault="00E67B58" w:rsidP="00E67B58">
      <w:pPr>
        <w:pStyle w:val="SingleTxt"/>
        <w:spacing w:after="0" w:line="120" w:lineRule="exact"/>
        <w:rPr>
          <w:sz w:val="10"/>
          <w:lang w:val="es-PY"/>
        </w:rPr>
      </w:pPr>
    </w:p>
    <w:p w14:paraId="542CA0F6" w14:textId="77777777" w:rsidR="00E67B58" w:rsidRPr="00E67B58" w:rsidRDefault="00E67B58" w:rsidP="00E67B58">
      <w:pPr>
        <w:pStyle w:val="SingleTxt"/>
        <w:spacing w:after="0" w:line="120" w:lineRule="exact"/>
        <w:rPr>
          <w:sz w:val="10"/>
          <w:lang w:val="es-PY"/>
        </w:rPr>
      </w:pPr>
    </w:p>
    <w:p w14:paraId="09FDB1BF" w14:textId="04F20814" w:rsidR="00583FBD" w:rsidRPr="00B64C1B" w:rsidRDefault="00583FBD" w:rsidP="00E67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Empoderamiento económico de la mujer (art. 13)</w:t>
      </w:r>
      <w:r w:rsidRPr="00E67B58">
        <w:rPr>
          <w:b w:val="0"/>
          <w:bCs/>
          <w:sz w:val="20"/>
          <w:szCs w:val="20"/>
          <w:vertAlign w:val="superscript"/>
          <w:lang w:val="es-PY"/>
        </w:rPr>
        <w:footnoteReference w:id="107"/>
      </w:r>
    </w:p>
    <w:p w14:paraId="4D490A2F" w14:textId="77777777" w:rsidR="00E67B58" w:rsidRPr="00E67B58" w:rsidRDefault="00E67B58" w:rsidP="00D849F6">
      <w:pPr>
        <w:pStyle w:val="SingleTxtG"/>
        <w:spacing w:after="0" w:line="120" w:lineRule="exact"/>
        <w:ind w:left="1267" w:right="1267"/>
        <w:rPr>
          <w:bCs/>
          <w:sz w:val="10"/>
          <w:lang w:val="es-PY"/>
        </w:rPr>
      </w:pPr>
    </w:p>
    <w:p w14:paraId="782A3796" w14:textId="77777777" w:rsidR="00E67B58" w:rsidRPr="00E67B58" w:rsidRDefault="00E67B58" w:rsidP="00D849F6">
      <w:pPr>
        <w:pStyle w:val="SingleTxtG"/>
        <w:spacing w:after="0" w:line="120" w:lineRule="exact"/>
        <w:ind w:left="1267" w:right="1267"/>
        <w:rPr>
          <w:bCs/>
          <w:sz w:val="10"/>
          <w:lang w:val="es-PY"/>
        </w:rPr>
      </w:pPr>
    </w:p>
    <w:p w14:paraId="6498B3A4" w14:textId="41D3CDB8" w:rsidR="00583FBD" w:rsidRPr="00E67B58" w:rsidRDefault="00583FBD" w:rsidP="00E67B58">
      <w:pPr>
        <w:pStyle w:val="SingleTxt"/>
        <w:numPr>
          <w:ilvl w:val="0"/>
          <w:numId w:val="44"/>
        </w:numPr>
        <w:tabs>
          <w:tab w:val="num" w:pos="2804"/>
        </w:tabs>
        <w:ind w:left="1267"/>
        <w:rPr>
          <w:bCs/>
          <w:lang w:val="es-PY"/>
        </w:rPr>
      </w:pPr>
      <w:r w:rsidRPr="00B64C1B">
        <w:rPr>
          <w:lang w:val="es-PY"/>
        </w:rPr>
        <w:t xml:space="preserve">Con apoyo del PNUD se ha conformado el Grupo de Trabajo </w:t>
      </w:r>
      <w:r w:rsidR="00F019B7">
        <w:rPr>
          <w:lang w:val="es-PY"/>
        </w:rPr>
        <w:t>“</w:t>
      </w:r>
      <w:r w:rsidRPr="00B64C1B">
        <w:rPr>
          <w:lang w:val="es-PY"/>
        </w:rPr>
        <w:t>La mujer y la sostenibilidad financiera</w:t>
      </w:r>
      <w:r w:rsidR="00F019B7">
        <w:rPr>
          <w:lang w:val="es-PY"/>
        </w:rPr>
        <w:t>”</w:t>
      </w:r>
      <w:r w:rsidRPr="00B64C1B">
        <w:rPr>
          <w:lang w:val="es-PY"/>
        </w:rPr>
        <w:t xml:space="preserve">, dedicado a analizar y proponer medidas para garantizar que la perspectiva de género esté adecuadamente integrada en la Estrategia Nacional de Inclusión Financiera. </w:t>
      </w:r>
    </w:p>
    <w:p w14:paraId="513090D0" w14:textId="341307E1" w:rsidR="00583FBD" w:rsidRPr="00E67B58" w:rsidRDefault="00583FBD" w:rsidP="00E67B58">
      <w:pPr>
        <w:pStyle w:val="SingleTxt"/>
        <w:numPr>
          <w:ilvl w:val="0"/>
          <w:numId w:val="44"/>
        </w:numPr>
        <w:tabs>
          <w:tab w:val="num" w:pos="2804"/>
        </w:tabs>
        <w:ind w:left="1267"/>
        <w:rPr>
          <w:bCs/>
          <w:lang w:val="es-PY"/>
        </w:rPr>
      </w:pPr>
      <w:r w:rsidRPr="00B64C1B">
        <w:rPr>
          <w:lang w:val="es-PY"/>
        </w:rPr>
        <w:t xml:space="preserve">El Crédito Agrícola de Habilitación (CAH) brinda atención especializada a los sectores con escaso acceso a fuentes de financiamiento, particularmente a las mujeres, a través de diversas iniciativas dirigidas a apoyar a las emprendedoras y productoras rurales, con el resultado de un crecimiento sostenido en la población femenina con acceso a préstamos. Entre ellas, se destaca el producto financiero específico para mujeres </w:t>
      </w:r>
      <w:r w:rsidR="00F019B7">
        <w:rPr>
          <w:lang w:val="es-PY"/>
        </w:rPr>
        <w:t>“</w:t>
      </w:r>
      <w:r w:rsidRPr="00B64C1B">
        <w:rPr>
          <w:lang w:val="es-PY"/>
        </w:rPr>
        <w:t>KUÑA ÑAMOMBARETE HAG̃UA</w:t>
      </w:r>
      <w:r w:rsidR="00F019B7">
        <w:rPr>
          <w:lang w:val="es-PY"/>
        </w:rPr>
        <w:t>”</w:t>
      </w:r>
      <w:r w:rsidRPr="00B64C1B">
        <w:rPr>
          <w:lang w:val="es-PY"/>
        </w:rPr>
        <w:t>, diseñado para impulsar el empoderamiento económico de las mujeres mediante el financiamiento de proyectos a emprendedoras formalizadas y cuenta con un Fondo de Garantía para la Mujer (FOGAMU). Asimismo, se realizaron</w:t>
      </w:r>
      <w:r w:rsidR="007E06AB">
        <w:rPr>
          <w:lang w:val="es-PY"/>
        </w:rPr>
        <w:t xml:space="preserve"> </w:t>
      </w:r>
      <w:r w:rsidRPr="00B64C1B">
        <w:rPr>
          <w:lang w:val="es-PY"/>
        </w:rPr>
        <w:t xml:space="preserve"> jornadas de capacitación para dar a conocer el contenido de la Ley </w:t>
      </w:r>
      <w:r w:rsidR="00A71EA6" w:rsidRPr="00D849F6">
        <w:t>5446/15</w:t>
      </w:r>
      <w:r w:rsidRPr="00B64C1B">
        <w:rPr>
          <w:lang w:val="es-PY"/>
        </w:rPr>
        <w:t xml:space="preserve"> </w:t>
      </w:r>
      <w:r w:rsidR="00F019B7">
        <w:rPr>
          <w:lang w:val="es-PY"/>
        </w:rPr>
        <w:t>“</w:t>
      </w:r>
      <w:r w:rsidRPr="00B64C1B">
        <w:rPr>
          <w:lang w:val="es-PY"/>
        </w:rPr>
        <w:t>Políticas Públicas para Mujeres Rurales</w:t>
      </w:r>
      <w:r w:rsidR="00F019B7">
        <w:rPr>
          <w:lang w:val="es-PY"/>
        </w:rPr>
        <w:t>”</w:t>
      </w:r>
      <w:r w:rsidRPr="00B64C1B">
        <w:rPr>
          <w:lang w:val="es-PY"/>
        </w:rPr>
        <w:t>. Estas jornadas han permitido a las mujeres rurales conocer sus derechos y acceder a información sobre oportunidades de financiamiento.</w:t>
      </w:r>
    </w:p>
    <w:p w14:paraId="4F306D87" w14:textId="65D323F8" w:rsidR="00583FBD" w:rsidRPr="00E67B58" w:rsidRDefault="00583FBD" w:rsidP="00E67B58">
      <w:pPr>
        <w:pStyle w:val="SingleTxt"/>
        <w:numPr>
          <w:ilvl w:val="0"/>
          <w:numId w:val="44"/>
        </w:numPr>
        <w:ind w:left="1267"/>
        <w:rPr>
          <w:bCs/>
          <w:lang w:val="es-PY"/>
        </w:rPr>
      </w:pPr>
      <w:r w:rsidRPr="00B64C1B">
        <w:rPr>
          <w:lang w:val="es-PY"/>
        </w:rPr>
        <w:t xml:space="preserve">El MINMUJER implementó cursos de formación y capacitación en diferentes rubros en sus cuatro Centros Regionales, en articulación con otras instituciones y organizaciones del sector público y privado. De igual manera, en el marco de la Conmemoración del Día Internacional de la Mujer Rural, en los Centros Regionales se realizaron exposiciones y feria de productos, así como charlas informativas sobre los servicios que ofrece el CAH. </w:t>
      </w:r>
    </w:p>
    <w:p w14:paraId="0FE6B873" w14:textId="7017C4D2" w:rsidR="00583FBD" w:rsidRPr="00E67B58" w:rsidRDefault="00583FBD" w:rsidP="00E67B58">
      <w:pPr>
        <w:pStyle w:val="SingleTxt"/>
        <w:numPr>
          <w:ilvl w:val="0"/>
          <w:numId w:val="44"/>
        </w:numPr>
        <w:ind w:left="1267"/>
        <w:rPr>
          <w:bCs/>
          <w:lang w:val="es-PY"/>
        </w:rPr>
      </w:pPr>
      <w:r w:rsidRPr="00B64C1B">
        <w:rPr>
          <w:lang w:val="es-PY"/>
        </w:rPr>
        <w:t xml:space="preserve">El Programa </w:t>
      </w:r>
      <w:r w:rsidR="00F019B7">
        <w:rPr>
          <w:lang w:val="es-PY"/>
        </w:rPr>
        <w:t>“</w:t>
      </w:r>
      <w:r w:rsidRPr="00B64C1B">
        <w:rPr>
          <w:lang w:val="es-PY"/>
        </w:rPr>
        <w:t>Seamos Ciudadanos</w:t>
      </w:r>
      <w:r w:rsidR="00F019B7">
        <w:rPr>
          <w:lang w:val="es-PY"/>
        </w:rPr>
        <w:t>”</w:t>
      </w:r>
      <w:r w:rsidRPr="00B64C1B">
        <w:rPr>
          <w:lang w:val="es-PY"/>
        </w:rPr>
        <w:t xml:space="preserve"> del MI ofrece, entre otros servicios, la provisión de cédulas de identidad, con énfasis en la población de niños, niñas, </w:t>
      </w:r>
      <w:r w:rsidRPr="00B64C1B">
        <w:rPr>
          <w:lang w:val="es-PY"/>
        </w:rPr>
        <w:lastRenderedPageBreak/>
        <w:t xml:space="preserve">adolescentes y personas adultas mayores, en coordinación con municipalidades y gobernaciones. </w:t>
      </w:r>
    </w:p>
    <w:p w14:paraId="213ED68A" w14:textId="5AE6A36C" w:rsidR="00583FBD" w:rsidRPr="00E67B58" w:rsidRDefault="00583FBD" w:rsidP="00E67B58">
      <w:pPr>
        <w:pStyle w:val="SingleTxt"/>
        <w:numPr>
          <w:ilvl w:val="0"/>
          <w:numId w:val="44"/>
        </w:numPr>
        <w:ind w:left="1267"/>
        <w:rPr>
          <w:bCs/>
          <w:lang w:val="es-PY"/>
        </w:rPr>
      </w:pPr>
      <w:r w:rsidRPr="00B64C1B">
        <w:rPr>
          <w:lang w:val="es-PY"/>
        </w:rPr>
        <w:t xml:space="preserve">En colaboración con la Agencia Financiera de Desarrollo (AFD), se estableció el FOGAMU con el objetivo de mejorar las condiciones de acceso al crédito para mujeres emprendedoras y propietarias de empresas, así como para aquellas que desean iniciar un negocio. Entre julio de 2022 y julio de 2023, se han otorgado créditos por valor de USD 338,66 millones, siendo el 38% beneficiarias mujeres. Asimismo, la AFD ha implementado el </w:t>
      </w:r>
      <w:r w:rsidR="00F019B7">
        <w:rPr>
          <w:lang w:val="es-PY"/>
        </w:rPr>
        <w:t>“</w:t>
      </w:r>
      <w:proofErr w:type="spellStart"/>
      <w:r w:rsidRPr="00B64C1B">
        <w:rPr>
          <w:lang w:val="es-PY"/>
        </w:rPr>
        <w:t>ProMiPymes</w:t>
      </w:r>
      <w:proofErr w:type="spellEnd"/>
      <w:r w:rsidRPr="00B64C1B">
        <w:rPr>
          <w:lang w:val="es-PY"/>
        </w:rPr>
        <w:t xml:space="preserve"> (Mujer)</w:t>
      </w:r>
      <w:r w:rsidR="00F019B7">
        <w:rPr>
          <w:lang w:val="es-PY"/>
        </w:rPr>
        <w:t>”</w:t>
      </w:r>
      <w:r w:rsidRPr="00B64C1B">
        <w:rPr>
          <w:lang w:val="es-PY"/>
        </w:rPr>
        <w:t xml:space="preserve"> con tasas de interés preferenciales, con el objetivo de facilitar el acceso al crédito para mujeres emprendedoras. La AFD ha modificado el objetivo general del Plan Estratégico Institucional para incorporar a mujeres jefas de hogar como beneficiarias.</w:t>
      </w:r>
    </w:p>
    <w:p w14:paraId="02B93FE8" w14:textId="391ED99C" w:rsidR="00583FBD" w:rsidRPr="00E67B58" w:rsidRDefault="00583FBD" w:rsidP="00E67B58">
      <w:pPr>
        <w:pStyle w:val="SingleTxt"/>
        <w:numPr>
          <w:ilvl w:val="0"/>
          <w:numId w:val="44"/>
        </w:numPr>
        <w:ind w:left="1267"/>
        <w:rPr>
          <w:bCs/>
          <w:lang w:val="es-PY"/>
        </w:rPr>
      </w:pPr>
      <w:r w:rsidRPr="00B64C1B">
        <w:rPr>
          <w:lang w:val="es-PY"/>
        </w:rPr>
        <w:t xml:space="preserve">Se han establecido alianzas entre diversas instituciones, incluido el Banco Nacional de Fomento (BNF), para promover el acceso al crédito y la capacitación empresarial de las mujeres. A través de programas como la línea de crédito </w:t>
      </w:r>
      <w:proofErr w:type="spellStart"/>
      <w:r w:rsidRPr="00B64C1B">
        <w:rPr>
          <w:lang w:val="es-PY"/>
        </w:rPr>
        <w:t>Kuña</w:t>
      </w:r>
      <w:proofErr w:type="spellEnd"/>
      <w:r w:rsidRPr="00B64C1B">
        <w:rPr>
          <w:lang w:val="es-PY"/>
        </w:rPr>
        <w:t xml:space="preserve"> </w:t>
      </w:r>
      <w:proofErr w:type="spellStart"/>
      <w:r w:rsidRPr="00B64C1B">
        <w:rPr>
          <w:lang w:val="es-PY"/>
        </w:rPr>
        <w:t>Katupyry</w:t>
      </w:r>
      <w:proofErr w:type="spellEnd"/>
      <w:r w:rsidRPr="00B64C1B">
        <w:rPr>
          <w:lang w:val="es-PY"/>
        </w:rPr>
        <w:t>, se ha brindado financiamiento y capacitación a miles de mujeres emprendedoras, tanto en áreas urbanas como rurales. Además, se realizaron actividades específicas de capacitación y sensibilización sobre temas de género, dirigidas a instituciones financieras, gremios y grupos de interés.</w:t>
      </w:r>
    </w:p>
    <w:p w14:paraId="17D55D9B" w14:textId="78FAFED3" w:rsidR="00583FBD" w:rsidRPr="00E67B58" w:rsidRDefault="00583FBD" w:rsidP="00E67B58">
      <w:pPr>
        <w:pStyle w:val="SingleTxt"/>
        <w:numPr>
          <w:ilvl w:val="0"/>
          <w:numId w:val="44"/>
        </w:numPr>
        <w:ind w:left="1267"/>
        <w:rPr>
          <w:bCs/>
          <w:lang w:val="es-PY"/>
        </w:rPr>
      </w:pPr>
      <w:r w:rsidRPr="00B64C1B">
        <w:rPr>
          <w:lang w:val="es-PY"/>
        </w:rPr>
        <w:t>Se han implementado programas de asistencia técnica y financiera en colaboración con instituciones como el BNF y la Federación de Cooperativas de Producción (FECOPROD), dirigidos a productores y organizaciones para mejorar sus condiciones socioeconómicas. Estos programas fueron fundamentales para respaldar planes de negocios y producción, especialmente en el sector agropecuario, donde se observó un alto porcentaje de participación de mujeres.</w:t>
      </w:r>
    </w:p>
    <w:p w14:paraId="6F74D13C" w14:textId="3E11284F" w:rsidR="00583FBD" w:rsidRPr="00E67B58" w:rsidRDefault="00583FBD" w:rsidP="00E67B58">
      <w:pPr>
        <w:pStyle w:val="SingleTxt"/>
        <w:numPr>
          <w:ilvl w:val="0"/>
          <w:numId w:val="44"/>
        </w:numPr>
        <w:ind w:left="1267"/>
        <w:rPr>
          <w:bCs/>
          <w:lang w:val="es-PY"/>
        </w:rPr>
      </w:pPr>
      <w:r w:rsidRPr="00B64C1B">
        <w:rPr>
          <w:lang w:val="es-PY"/>
        </w:rPr>
        <w:t>Se avanzó en la implementación de la Ley N°</w:t>
      </w:r>
      <w:r w:rsidRPr="00E67B58">
        <w:rPr>
          <w:lang w:val="es-PY"/>
        </w:rPr>
        <w:t>5446/15</w:t>
      </w:r>
      <w:r w:rsidRPr="00B64C1B">
        <w:rPr>
          <w:lang w:val="es-PY"/>
        </w:rPr>
        <w:t xml:space="preserve"> de </w:t>
      </w:r>
      <w:r w:rsidR="00F019B7">
        <w:rPr>
          <w:lang w:val="es-PY"/>
        </w:rPr>
        <w:t>“</w:t>
      </w:r>
      <w:r w:rsidRPr="00B64C1B">
        <w:rPr>
          <w:lang w:val="es-PY"/>
        </w:rPr>
        <w:t>Políticas Públicas para Mujeres Rurales</w:t>
      </w:r>
      <w:r w:rsidR="00F019B7">
        <w:rPr>
          <w:lang w:val="es-PY"/>
        </w:rPr>
        <w:t>”</w:t>
      </w:r>
      <w:r w:rsidRPr="00B64C1B">
        <w:rPr>
          <w:lang w:val="es-PY"/>
        </w:rPr>
        <w:t xml:space="preserve">, a través de iniciativas como el </w:t>
      </w:r>
      <w:r w:rsidR="00F019B7">
        <w:rPr>
          <w:lang w:val="es-PY"/>
        </w:rPr>
        <w:t>“</w:t>
      </w:r>
      <w:r w:rsidRPr="00B64C1B">
        <w:rPr>
          <w:lang w:val="es-PY"/>
        </w:rPr>
        <w:t>Proyecto de Desarrollo Rural Sostenible</w:t>
      </w:r>
      <w:r w:rsidR="00F019B7">
        <w:rPr>
          <w:lang w:val="es-PY"/>
        </w:rPr>
        <w:t>”</w:t>
      </w:r>
      <w:r w:rsidRPr="00B64C1B">
        <w:rPr>
          <w:lang w:val="es-PY"/>
        </w:rPr>
        <w:t xml:space="preserve"> (PRODERS) y el Programa Nacional de Fomento Pecuario (PRONAFOPE), que brindan asistencia técnica, capacitación y apoyo financiero a familias rurales, con un enfoque en el empoderamiento económico de las mujeres. Además, se impulsaron iniciativas de educación ambiental y fortalecimiento de capacidades empresariales, con un enfoque en la inclusión de mujeres en todos los niveles de la cadena productiva.</w:t>
      </w:r>
    </w:p>
    <w:p w14:paraId="6F8BD80A" w14:textId="626E0252" w:rsidR="00583FBD" w:rsidRPr="00E67B58" w:rsidRDefault="00583FBD" w:rsidP="00E67B58">
      <w:pPr>
        <w:pStyle w:val="SingleTxt"/>
        <w:numPr>
          <w:ilvl w:val="0"/>
          <w:numId w:val="44"/>
        </w:numPr>
        <w:ind w:left="1267"/>
        <w:rPr>
          <w:bCs/>
          <w:lang w:val="es-PY"/>
        </w:rPr>
      </w:pPr>
      <w:r w:rsidRPr="00B64C1B">
        <w:rPr>
          <w:lang w:val="es-PY"/>
        </w:rPr>
        <w:t>El CAH cuenta con programas de educación financiera, llegando lo últimos años a más de 59.000 personas con capacitación en el manejo de sus ingresos, la administración de sus gastos y fomentando la cultura del ahorro, alcanzando a niños, niñas y adolescentes. También se han implementado actividades de apoyo a la comercialización, como ferias y espacios de venta directa, con el objetivo de generar un mayor margen de ganancia, especialmente para las mujeres productoras.</w:t>
      </w:r>
    </w:p>
    <w:p w14:paraId="00390C14" w14:textId="77777777" w:rsidR="00E67B58" w:rsidRPr="00E67B58" w:rsidRDefault="00E67B58" w:rsidP="00E67B58">
      <w:pPr>
        <w:pStyle w:val="SingleTxt"/>
        <w:spacing w:after="0" w:line="120" w:lineRule="exact"/>
        <w:rPr>
          <w:sz w:val="10"/>
          <w:lang w:val="es-PY"/>
        </w:rPr>
      </w:pPr>
    </w:p>
    <w:p w14:paraId="0214EA88" w14:textId="77777777" w:rsidR="00E67B58" w:rsidRPr="00E67B58" w:rsidRDefault="00E67B58" w:rsidP="00E67B58">
      <w:pPr>
        <w:pStyle w:val="SingleTxt"/>
        <w:spacing w:after="0" w:line="120" w:lineRule="exact"/>
        <w:rPr>
          <w:sz w:val="10"/>
          <w:lang w:val="es-PY"/>
        </w:rPr>
      </w:pPr>
    </w:p>
    <w:p w14:paraId="62EBF18A" w14:textId="2791090C" w:rsidR="00583FBD" w:rsidRPr="00B64C1B" w:rsidRDefault="00583FBD" w:rsidP="00E67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Mujeres rurales y mujeres indígenas (art. 14)</w:t>
      </w:r>
      <w:r w:rsidRPr="00E67B58">
        <w:rPr>
          <w:b w:val="0"/>
          <w:bCs/>
          <w:sz w:val="20"/>
          <w:szCs w:val="20"/>
          <w:vertAlign w:val="superscript"/>
          <w:lang w:val="es-PY"/>
        </w:rPr>
        <w:footnoteReference w:id="108"/>
      </w:r>
    </w:p>
    <w:p w14:paraId="52BF36F9" w14:textId="77777777" w:rsidR="00E67B58" w:rsidRPr="00E67B58" w:rsidRDefault="00E67B58" w:rsidP="00D849F6">
      <w:pPr>
        <w:pStyle w:val="SingleTxtG"/>
        <w:spacing w:after="0" w:line="120" w:lineRule="exact"/>
        <w:ind w:left="1267"/>
        <w:rPr>
          <w:bCs/>
          <w:sz w:val="10"/>
          <w:lang w:val="es-PY"/>
        </w:rPr>
      </w:pPr>
    </w:p>
    <w:p w14:paraId="5ED43784" w14:textId="77777777" w:rsidR="00E67B58" w:rsidRPr="00E67B58" w:rsidRDefault="00E67B58" w:rsidP="00D849F6">
      <w:pPr>
        <w:pStyle w:val="SingleTxtG"/>
        <w:spacing w:after="0" w:line="120" w:lineRule="exact"/>
        <w:ind w:left="1267"/>
        <w:rPr>
          <w:bCs/>
          <w:sz w:val="10"/>
          <w:lang w:val="es-PY"/>
        </w:rPr>
      </w:pPr>
    </w:p>
    <w:p w14:paraId="109E295B" w14:textId="37B2CC34" w:rsidR="00583FBD" w:rsidRPr="00B64C1B" w:rsidRDefault="00583FBD" w:rsidP="00E67B58">
      <w:pPr>
        <w:pStyle w:val="SingleTxt"/>
        <w:numPr>
          <w:ilvl w:val="0"/>
          <w:numId w:val="44"/>
        </w:numPr>
        <w:ind w:left="1267"/>
        <w:rPr>
          <w:lang w:val="es-PY"/>
        </w:rPr>
      </w:pPr>
      <w:r w:rsidRPr="00B64C1B">
        <w:rPr>
          <w:lang w:val="es-PY"/>
        </w:rPr>
        <w:t>Se encuentra en estudio en la HCS el Proyecto de Ley que establece la igualdad salarial entre hombres y mujeres en el sector público y privado</w:t>
      </w:r>
      <w:r w:rsidRPr="00B64C1B">
        <w:rPr>
          <w:vertAlign w:val="superscript"/>
          <w:lang w:val="es-PY"/>
        </w:rPr>
        <w:footnoteReference w:id="109"/>
      </w:r>
      <w:r w:rsidRPr="00B64C1B">
        <w:rPr>
          <w:lang w:val="es-PY"/>
        </w:rPr>
        <w:t>. Este proyecto tiene como objetivo principal eliminar las brechas de desigualdad salarial y promover la equidad de género en el ámbito laboral, en cumplimiento de los principios constitucionales de igualdad.</w:t>
      </w:r>
    </w:p>
    <w:p w14:paraId="1EA542F4" w14:textId="7140C448" w:rsidR="00583FBD" w:rsidRPr="00B64C1B" w:rsidRDefault="00583FBD" w:rsidP="00E67B58">
      <w:pPr>
        <w:pStyle w:val="SingleTxt"/>
        <w:numPr>
          <w:ilvl w:val="0"/>
          <w:numId w:val="44"/>
        </w:numPr>
        <w:ind w:left="1267"/>
        <w:rPr>
          <w:lang w:val="es-PY"/>
        </w:rPr>
      </w:pPr>
      <w:r w:rsidRPr="00B64C1B">
        <w:rPr>
          <w:lang w:val="es-PY"/>
        </w:rPr>
        <w:t xml:space="preserve">El MTESS implementó cursos de capacitación laboral dirigidos específicamente a mujeres rurales, enfocados en rubros de alta productividad y demanda laboral. En </w:t>
      </w:r>
      <w:r w:rsidRPr="00B64C1B">
        <w:rPr>
          <w:lang w:val="es-PY"/>
        </w:rPr>
        <w:lastRenderedPageBreak/>
        <w:t>el último periodo (2022-2023), se beneficiaron 3.954 mujeres del sector rural con acciones formativas y asesoramiento para mejorar sus habilidades y oportunidades laborales.</w:t>
      </w:r>
    </w:p>
    <w:p w14:paraId="45065BA3" w14:textId="6BBB8905" w:rsidR="00583FBD" w:rsidRPr="00B64C1B" w:rsidRDefault="00583FBD" w:rsidP="00E67B58">
      <w:pPr>
        <w:pStyle w:val="SingleTxt"/>
        <w:numPr>
          <w:ilvl w:val="0"/>
          <w:numId w:val="44"/>
        </w:numPr>
        <w:ind w:left="1267"/>
        <w:rPr>
          <w:lang w:val="es-PY"/>
        </w:rPr>
      </w:pPr>
      <w:r w:rsidRPr="00B64C1B">
        <w:rPr>
          <w:lang w:val="es-PY"/>
        </w:rPr>
        <w:t xml:space="preserve">En el marco del Proyecto </w:t>
      </w:r>
      <w:proofErr w:type="spellStart"/>
      <w:r w:rsidRPr="00B64C1B">
        <w:rPr>
          <w:lang w:val="es-PY"/>
        </w:rPr>
        <w:t>Sape´a</w:t>
      </w:r>
      <w:proofErr w:type="spellEnd"/>
      <w:r w:rsidRPr="00B64C1B">
        <w:rPr>
          <w:lang w:val="es-PY"/>
        </w:rPr>
        <w:t xml:space="preserve"> 2.0, el MTESS proporcionó un capital a 100 mujeres emprendedoras rurales en los Departamentos de San Pedro y Caaguazú. Además, concedió certificaciones, asistencias técnicas y apoyo a la formalización de emprendimientos, beneficiando a cientos de mujeres rurales en el país. Además, el MTESS ha impulsado la formalización de empleos en el ámbito rural a través de servicios diarios en las Direcciones Regionales de Trabajo, con el objetivo de incentivar la suscripción de contratos de trabajo, y la incorporación de las trabajadoras al sistema de seguridad social. Esto incluye capacitación, asesoramiento legal y resolución de conflictos laborales para garantizar condiciones laborales justas y equitativas para las mujeres rurales.</w:t>
      </w:r>
    </w:p>
    <w:p w14:paraId="1FF6639E" w14:textId="799D84B5" w:rsidR="00583FBD" w:rsidRDefault="00583FBD" w:rsidP="00E67B58">
      <w:pPr>
        <w:pStyle w:val="SingleTxt"/>
        <w:numPr>
          <w:ilvl w:val="0"/>
          <w:numId w:val="44"/>
        </w:numPr>
        <w:ind w:left="1267"/>
        <w:rPr>
          <w:lang w:val="es-PY"/>
        </w:rPr>
      </w:pPr>
      <w:r w:rsidRPr="00B64C1B">
        <w:rPr>
          <w:lang w:val="es-PY"/>
        </w:rPr>
        <w:t xml:space="preserve">Los datos exponen que durante el periodo comprendido entre el año 2018 al 2023 un total de 54.196 mujeres han sido capacitadas por el Sistema Nacional de Formación y Capacitación Laboral (SINAFOCAL), entre las cuales 497 son mujeres indígenas. Las capacitaciones se desarrollan en todo el territorio nacional teniendo cobertura en zonas rurales y urbanas. </w:t>
      </w:r>
    </w:p>
    <w:p w14:paraId="66D98FBC" w14:textId="77777777" w:rsidR="00E67B58" w:rsidRPr="00E67B58" w:rsidRDefault="00E67B58" w:rsidP="00E67B58">
      <w:pPr>
        <w:pStyle w:val="SingleTxt"/>
        <w:spacing w:after="0" w:line="120" w:lineRule="exact"/>
        <w:rPr>
          <w:sz w:val="10"/>
          <w:lang w:val="es-PY"/>
        </w:rPr>
      </w:pPr>
    </w:p>
    <w:p w14:paraId="4A587159" w14:textId="36C647E7" w:rsidR="00583FBD" w:rsidRDefault="00E67B58" w:rsidP="00E67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83FBD" w:rsidRPr="00750B4C">
        <w:t>Capacitaciones realizadas en SINAFOCAL</w:t>
      </w:r>
      <w:r w:rsidR="00583FBD" w:rsidRPr="00E67B58">
        <w:rPr>
          <w:b w:val="0"/>
          <w:bCs/>
          <w:vertAlign w:val="superscript"/>
        </w:rPr>
        <w:footnoteReference w:id="110"/>
      </w:r>
    </w:p>
    <w:p w14:paraId="24C63AC8" w14:textId="77777777" w:rsidR="00055A77" w:rsidRPr="00055A77" w:rsidRDefault="00055A77" w:rsidP="00055A77">
      <w:pPr>
        <w:pStyle w:val="SingleTxt"/>
        <w:spacing w:after="0" w:line="120" w:lineRule="exact"/>
        <w:rPr>
          <w:sz w:val="10"/>
        </w:rPr>
      </w:pPr>
    </w:p>
    <w:p w14:paraId="61DA1D62" w14:textId="77777777" w:rsidR="00055A77" w:rsidRPr="00055A77" w:rsidRDefault="00055A77" w:rsidP="00055A77">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857"/>
      </w:tblGrid>
      <w:tr w:rsidR="00055A77" w:rsidRPr="00055A77" w14:paraId="2B01F91B" w14:textId="77777777" w:rsidTr="00055A77">
        <w:trPr>
          <w:tblHeader/>
        </w:trPr>
        <w:tc>
          <w:tcPr>
            <w:tcW w:w="1857" w:type="dxa"/>
            <w:tcBorders>
              <w:top w:val="single" w:sz="4" w:space="0" w:color="auto"/>
              <w:bottom w:val="single" w:sz="12" w:space="0" w:color="auto"/>
            </w:tcBorders>
            <w:shd w:val="clear" w:color="auto" w:fill="auto"/>
            <w:vAlign w:val="bottom"/>
          </w:tcPr>
          <w:p w14:paraId="2553372A" w14:textId="79C4E4A6" w:rsidR="00055A77" w:rsidRPr="00055A77" w:rsidRDefault="00055A77" w:rsidP="00055A77">
            <w:pPr>
              <w:tabs>
                <w:tab w:val="left" w:pos="288"/>
                <w:tab w:val="left" w:pos="576"/>
                <w:tab w:val="left" w:pos="864"/>
                <w:tab w:val="left" w:pos="1152"/>
              </w:tabs>
              <w:spacing w:before="80" w:after="80" w:line="160" w:lineRule="exact"/>
              <w:ind w:right="40"/>
              <w:rPr>
                <w:i/>
                <w:sz w:val="14"/>
                <w:szCs w:val="14"/>
              </w:rPr>
            </w:pPr>
            <w:r w:rsidRPr="00055A77">
              <w:rPr>
                <w:rFonts w:eastAsia="Arial"/>
                <w:bCs/>
                <w:i/>
                <w:sz w:val="14"/>
                <w:szCs w:val="14"/>
                <w:lang w:val="es-PY"/>
              </w:rPr>
              <w:t>Año</w:t>
            </w:r>
          </w:p>
        </w:tc>
        <w:tc>
          <w:tcPr>
            <w:tcW w:w="1857" w:type="dxa"/>
            <w:tcBorders>
              <w:top w:val="single" w:sz="4" w:space="0" w:color="auto"/>
              <w:bottom w:val="single" w:sz="12" w:space="0" w:color="auto"/>
            </w:tcBorders>
            <w:shd w:val="clear" w:color="auto" w:fill="auto"/>
            <w:vAlign w:val="bottom"/>
          </w:tcPr>
          <w:p w14:paraId="04781037" w14:textId="1184BEB3" w:rsidR="00055A77" w:rsidRPr="00055A77" w:rsidRDefault="00055A77" w:rsidP="00055A77">
            <w:pPr>
              <w:tabs>
                <w:tab w:val="left" w:pos="288"/>
                <w:tab w:val="left" w:pos="576"/>
                <w:tab w:val="left" w:pos="864"/>
                <w:tab w:val="left" w:pos="1152"/>
              </w:tabs>
              <w:spacing w:before="80" w:after="80" w:line="160" w:lineRule="exact"/>
              <w:ind w:right="40"/>
              <w:jc w:val="right"/>
              <w:rPr>
                <w:i/>
                <w:sz w:val="14"/>
                <w:szCs w:val="14"/>
              </w:rPr>
            </w:pPr>
            <w:r w:rsidRPr="00055A77">
              <w:rPr>
                <w:rFonts w:eastAsia="Arial"/>
                <w:bCs/>
                <w:i/>
                <w:sz w:val="14"/>
                <w:szCs w:val="14"/>
                <w:lang w:val="es-PY"/>
              </w:rPr>
              <w:t>Hombre</w:t>
            </w:r>
          </w:p>
        </w:tc>
        <w:tc>
          <w:tcPr>
            <w:tcW w:w="1857" w:type="dxa"/>
            <w:tcBorders>
              <w:top w:val="single" w:sz="4" w:space="0" w:color="auto"/>
              <w:bottom w:val="single" w:sz="12" w:space="0" w:color="auto"/>
            </w:tcBorders>
            <w:shd w:val="clear" w:color="auto" w:fill="auto"/>
            <w:vAlign w:val="bottom"/>
          </w:tcPr>
          <w:p w14:paraId="0D12CC2D" w14:textId="2C949F63" w:rsidR="00055A77" w:rsidRPr="00055A77" w:rsidRDefault="00055A77" w:rsidP="00055A77">
            <w:pPr>
              <w:tabs>
                <w:tab w:val="left" w:pos="288"/>
                <w:tab w:val="left" w:pos="576"/>
                <w:tab w:val="left" w:pos="864"/>
                <w:tab w:val="left" w:pos="1152"/>
              </w:tabs>
              <w:spacing w:before="80" w:after="80" w:line="160" w:lineRule="exact"/>
              <w:ind w:right="40"/>
              <w:jc w:val="right"/>
              <w:rPr>
                <w:i/>
                <w:sz w:val="14"/>
                <w:szCs w:val="14"/>
              </w:rPr>
            </w:pPr>
            <w:r w:rsidRPr="00055A77">
              <w:rPr>
                <w:rFonts w:eastAsia="Arial"/>
                <w:bCs/>
                <w:i/>
                <w:sz w:val="14"/>
                <w:szCs w:val="14"/>
                <w:lang w:val="es-PY"/>
              </w:rPr>
              <w:t>Mujer</w:t>
            </w:r>
          </w:p>
        </w:tc>
        <w:tc>
          <w:tcPr>
            <w:tcW w:w="1857" w:type="dxa"/>
            <w:tcBorders>
              <w:top w:val="single" w:sz="4" w:space="0" w:color="auto"/>
              <w:bottom w:val="single" w:sz="12" w:space="0" w:color="auto"/>
            </w:tcBorders>
            <w:shd w:val="clear" w:color="auto" w:fill="auto"/>
            <w:vAlign w:val="bottom"/>
          </w:tcPr>
          <w:p w14:paraId="252F84AF" w14:textId="5CB361F2" w:rsidR="00055A77" w:rsidRPr="00055A77" w:rsidRDefault="00055A77" w:rsidP="00055A77">
            <w:pPr>
              <w:tabs>
                <w:tab w:val="left" w:pos="288"/>
                <w:tab w:val="left" w:pos="576"/>
                <w:tab w:val="left" w:pos="864"/>
                <w:tab w:val="left" w:pos="1152"/>
              </w:tabs>
              <w:spacing w:before="80" w:after="80" w:line="160" w:lineRule="exact"/>
              <w:ind w:right="40"/>
              <w:jc w:val="right"/>
              <w:rPr>
                <w:i/>
                <w:sz w:val="14"/>
                <w:szCs w:val="14"/>
              </w:rPr>
            </w:pPr>
            <w:r w:rsidRPr="00055A77">
              <w:rPr>
                <w:rFonts w:eastAsia="Arial"/>
                <w:bCs/>
                <w:i/>
                <w:sz w:val="14"/>
                <w:szCs w:val="14"/>
                <w:lang w:val="es-PY"/>
              </w:rPr>
              <w:t>Total</w:t>
            </w:r>
          </w:p>
        </w:tc>
      </w:tr>
      <w:tr w:rsidR="00055A77" w:rsidRPr="00055A77" w14:paraId="379AA95E" w14:textId="77777777" w:rsidTr="00055A77">
        <w:trPr>
          <w:trHeight w:hRule="exact" w:val="115"/>
          <w:tblHeader/>
        </w:trPr>
        <w:tc>
          <w:tcPr>
            <w:tcW w:w="1857" w:type="dxa"/>
            <w:tcBorders>
              <w:top w:val="single" w:sz="12" w:space="0" w:color="auto"/>
            </w:tcBorders>
            <w:shd w:val="clear" w:color="auto" w:fill="auto"/>
            <w:vAlign w:val="bottom"/>
          </w:tcPr>
          <w:p w14:paraId="11A0A3E2" w14:textId="77777777" w:rsidR="00055A77" w:rsidRPr="00055A77" w:rsidRDefault="00055A77" w:rsidP="00055A77">
            <w:pPr>
              <w:tabs>
                <w:tab w:val="left" w:pos="288"/>
                <w:tab w:val="left" w:pos="576"/>
                <w:tab w:val="left" w:pos="864"/>
                <w:tab w:val="left" w:pos="1152"/>
              </w:tabs>
              <w:spacing w:before="40" w:after="40" w:line="210" w:lineRule="exact"/>
              <w:ind w:right="40"/>
              <w:rPr>
                <w:sz w:val="17"/>
              </w:rPr>
            </w:pPr>
          </w:p>
        </w:tc>
        <w:tc>
          <w:tcPr>
            <w:tcW w:w="1857" w:type="dxa"/>
            <w:tcBorders>
              <w:top w:val="single" w:sz="12" w:space="0" w:color="auto"/>
            </w:tcBorders>
            <w:shd w:val="clear" w:color="auto" w:fill="auto"/>
            <w:vAlign w:val="bottom"/>
          </w:tcPr>
          <w:p w14:paraId="5ABBBDC9" w14:textId="77777777"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6F6CBA0F" w14:textId="77777777"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392ABCD2" w14:textId="77777777"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p>
        </w:tc>
      </w:tr>
      <w:tr w:rsidR="00055A77" w:rsidRPr="00055A77" w14:paraId="1B719EE1" w14:textId="77777777" w:rsidTr="005820EE">
        <w:tc>
          <w:tcPr>
            <w:tcW w:w="1857" w:type="dxa"/>
            <w:shd w:val="clear" w:color="auto" w:fill="auto"/>
          </w:tcPr>
          <w:p w14:paraId="05BE37E3" w14:textId="7A5B98A5" w:rsidR="00055A77" w:rsidRPr="00055A77" w:rsidRDefault="00055A77" w:rsidP="00055A77">
            <w:pPr>
              <w:tabs>
                <w:tab w:val="left" w:pos="288"/>
                <w:tab w:val="left" w:pos="576"/>
                <w:tab w:val="left" w:pos="864"/>
                <w:tab w:val="left" w:pos="1152"/>
              </w:tabs>
              <w:spacing w:before="40" w:after="40" w:line="210" w:lineRule="exact"/>
              <w:ind w:right="40"/>
              <w:rPr>
                <w:sz w:val="17"/>
              </w:rPr>
            </w:pPr>
            <w:r w:rsidRPr="007447FF">
              <w:rPr>
                <w:rFonts w:eastAsia="Arial"/>
                <w:sz w:val="18"/>
                <w:lang w:val="es-PY"/>
              </w:rPr>
              <w:t>2018</w:t>
            </w:r>
          </w:p>
        </w:tc>
        <w:tc>
          <w:tcPr>
            <w:tcW w:w="1857" w:type="dxa"/>
            <w:shd w:val="clear" w:color="auto" w:fill="auto"/>
            <w:vAlign w:val="bottom"/>
          </w:tcPr>
          <w:p w14:paraId="6D729FFB" w14:textId="4555EF71"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4</w:t>
            </w:r>
            <w:r>
              <w:rPr>
                <w:rFonts w:eastAsia="Arial"/>
                <w:sz w:val="18"/>
                <w:lang w:val="es-PY"/>
              </w:rPr>
              <w:t xml:space="preserve"> </w:t>
            </w:r>
            <w:r w:rsidRPr="007447FF">
              <w:rPr>
                <w:rFonts w:eastAsia="Arial"/>
                <w:sz w:val="18"/>
                <w:lang w:val="es-PY"/>
              </w:rPr>
              <w:t>767</w:t>
            </w:r>
          </w:p>
        </w:tc>
        <w:tc>
          <w:tcPr>
            <w:tcW w:w="1857" w:type="dxa"/>
            <w:shd w:val="clear" w:color="auto" w:fill="auto"/>
            <w:vAlign w:val="bottom"/>
          </w:tcPr>
          <w:p w14:paraId="617059F1" w14:textId="14FDDB99"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6</w:t>
            </w:r>
            <w:r>
              <w:rPr>
                <w:rFonts w:eastAsia="Arial"/>
                <w:sz w:val="18"/>
                <w:lang w:val="es-PY"/>
              </w:rPr>
              <w:t xml:space="preserve"> </w:t>
            </w:r>
            <w:r w:rsidRPr="007447FF">
              <w:rPr>
                <w:rFonts w:eastAsia="Arial"/>
                <w:sz w:val="18"/>
                <w:lang w:val="es-PY"/>
              </w:rPr>
              <w:t>562</w:t>
            </w:r>
          </w:p>
        </w:tc>
        <w:tc>
          <w:tcPr>
            <w:tcW w:w="1857" w:type="dxa"/>
            <w:shd w:val="clear" w:color="auto" w:fill="auto"/>
            <w:vAlign w:val="bottom"/>
          </w:tcPr>
          <w:p w14:paraId="2E3752D6" w14:textId="0A9BEFFF"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11</w:t>
            </w:r>
            <w:r>
              <w:rPr>
                <w:rFonts w:eastAsia="Arial"/>
                <w:sz w:val="18"/>
                <w:lang w:val="es-PY"/>
              </w:rPr>
              <w:t xml:space="preserve"> </w:t>
            </w:r>
            <w:r w:rsidRPr="007447FF">
              <w:rPr>
                <w:rFonts w:eastAsia="Arial"/>
                <w:sz w:val="18"/>
                <w:lang w:val="es-PY"/>
              </w:rPr>
              <w:t>329</w:t>
            </w:r>
          </w:p>
        </w:tc>
      </w:tr>
      <w:tr w:rsidR="00055A77" w:rsidRPr="00055A77" w14:paraId="32C41F3A" w14:textId="77777777" w:rsidTr="005820EE">
        <w:tc>
          <w:tcPr>
            <w:tcW w:w="1857" w:type="dxa"/>
            <w:shd w:val="clear" w:color="auto" w:fill="auto"/>
          </w:tcPr>
          <w:p w14:paraId="70E8EDFC" w14:textId="3A381E4E" w:rsidR="00055A77" w:rsidRPr="00055A77" w:rsidRDefault="00055A77" w:rsidP="00055A77">
            <w:pPr>
              <w:tabs>
                <w:tab w:val="left" w:pos="288"/>
                <w:tab w:val="left" w:pos="576"/>
                <w:tab w:val="left" w:pos="864"/>
                <w:tab w:val="left" w:pos="1152"/>
              </w:tabs>
              <w:spacing w:before="40" w:after="40" w:line="210" w:lineRule="exact"/>
              <w:ind w:right="40"/>
              <w:rPr>
                <w:sz w:val="17"/>
              </w:rPr>
            </w:pPr>
            <w:r w:rsidRPr="007447FF">
              <w:rPr>
                <w:rFonts w:eastAsia="Arial"/>
                <w:sz w:val="18"/>
                <w:lang w:val="es-PY"/>
              </w:rPr>
              <w:t>2019</w:t>
            </w:r>
          </w:p>
        </w:tc>
        <w:tc>
          <w:tcPr>
            <w:tcW w:w="1857" w:type="dxa"/>
            <w:shd w:val="clear" w:color="auto" w:fill="auto"/>
            <w:vAlign w:val="bottom"/>
          </w:tcPr>
          <w:p w14:paraId="32FECAFE" w14:textId="5224DC93"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5</w:t>
            </w:r>
            <w:r>
              <w:rPr>
                <w:rFonts w:eastAsia="Arial"/>
                <w:sz w:val="18"/>
                <w:lang w:val="es-PY"/>
              </w:rPr>
              <w:t xml:space="preserve"> </w:t>
            </w:r>
            <w:r w:rsidRPr="007447FF">
              <w:rPr>
                <w:rFonts w:eastAsia="Arial"/>
                <w:sz w:val="18"/>
                <w:lang w:val="es-PY"/>
              </w:rPr>
              <w:t>624</w:t>
            </w:r>
          </w:p>
        </w:tc>
        <w:tc>
          <w:tcPr>
            <w:tcW w:w="1857" w:type="dxa"/>
            <w:shd w:val="clear" w:color="auto" w:fill="auto"/>
            <w:vAlign w:val="bottom"/>
          </w:tcPr>
          <w:p w14:paraId="73BE4238" w14:textId="7E9B68A6"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9</w:t>
            </w:r>
            <w:r>
              <w:rPr>
                <w:rFonts w:eastAsia="Arial"/>
                <w:sz w:val="18"/>
                <w:lang w:val="es-PY"/>
              </w:rPr>
              <w:t xml:space="preserve"> </w:t>
            </w:r>
            <w:r w:rsidRPr="007447FF">
              <w:rPr>
                <w:rFonts w:eastAsia="Arial"/>
                <w:sz w:val="18"/>
                <w:lang w:val="es-PY"/>
              </w:rPr>
              <w:t>007</w:t>
            </w:r>
          </w:p>
        </w:tc>
        <w:tc>
          <w:tcPr>
            <w:tcW w:w="1857" w:type="dxa"/>
            <w:shd w:val="clear" w:color="auto" w:fill="auto"/>
            <w:vAlign w:val="bottom"/>
          </w:tcPr>
          <w:p w14:paraId="64FF5747" w14:textId="5076F16D"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14</w:t>
            </w:r>
            <w:r>
              <w:rPr>
                <w:rFonts w:eastAsia="Arial"/>
                <w:sz w:val="18"/>
                <w:lang w:val="es-PY"/>
              </w:rPr>
              <w:t xml:space="preserve"> </w:t>
            </w:r>
            <w:r w:rsidRPr="007447FF">
              <w:rPr>
                <w:rFonts w:eastAsia="Arial"/>
                <w:sz w:val="18"/>
                <w:lang w:val="es-PY"/>
              </w:rPr>
              <w:t>631</w:t>
            </w:r>
          </w:p>
        </w:tc>
      </w:tr>
      <w:tr w:rsidR="00055A77" w:rsidRPr="00055A77" w14:paraId="2240BAC0" w14:textId="77777777" w:rsidTr="005820EE">
        <w:tc>
          <w:tcPr>
            <w:tcW w:w="1857" w:type="dxa"/>
            <w:shd w:val="clear" w:color="auto" w:fill="auto"/>
          </w:tcPr>
          <w:p w14:paraId="28EEC525" w14:textId="21FE1885" w:rsidR="00055A77" w:rsidRPr="00055A77" w:rsidRDefault="00055A77" w:rsidP="00055A77">
            <w:pPr>
              <w:tabs>
                <w:tab w:val="left" w:pos="288"/>
                <w:tab w:val="left" w:pos="576"/>
                <w:tab w:val="left" w:pos="864"/>
                <w:tab w:val="left" w:pos="1152"/>
              </w:tabs>
              <w:spacing w:before="40" w:after="40" w:line="210" w:lineRule="exact"/>
              <w:ind w:right="40"/>
              <w:rPr>
                <w:sz w:val="17"/>
              </w:rPr>
            </w:pPr>
            <w:r w:rsidRPr="007447FF">
              <w:rPr>
                <w:rFonts w:eastAsia="Arial"/>
                <w:sz w:val="18"/>
                <w:lang w:val="es-PY"/>
              </w:rPr>
              <w:t>2020</w:t>
            </w:r>
          </w:p>
        </w:tc>
        <w:tc>
          <w:tcPr>
            <w:tcW w:w="1857" w:type="dxa"/>
            <w:shd w:val="clear" w:color="auto" w:fill="auto"/>
            <w:vAlign w:val="bottom"/>
          </w:tcPr>
          <w:p w14:paraId="6B0DE472" w14:textId="6DA05FD4"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5</w:t>
            </w:r>
            <w:r>
              <w:rPr>
                <w:rFonts w:eastAsia="Arial"/>
                <w:sz w:val="18"/>
                <w:lang w:val="es-PY"/>
              </w:rPr>
              <w:t xml:space="preserve"> </w:t>
            </w:r>
            <w:r w:rsidRPr="007447FF">
              <w:rPr>
                <w:rFonts w:eastAsia="Arial"/>
                <w:sz w:val="18"/>
                <w:lang w:val="es-PY"/>
              </w:rPr>
              <w:t>069</w:t>
            </w:r>
          </w:p>
        </w:tc>
        <w:tc>
          <w:tcPr>
            <w:tcW w:w="1857" w:type="dxa"/>
            <w:shd w:val="clear" w:color="auto" w:fill="auto"/>
            <w:vAlign w:val="bottom"/>
          </w:tcPr>
          <w:p w14:paraId="0F01D89C" w14:textId="6317A52D"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8</w:t>
            </w:r>
            <w:r>
              <w:rPr>
                <w:rFonts w:eastAsia="Arial"/>
                <w:sz w:val="18"/>
                <w:lang w:val="es-PY"/>
              </w:rPr>
              <w:t xml:space="preserve"> </w:t>
            </w:r>
            <w:r w:rsidRPr="007447FF">
              <w:rPr>
                <w:rFonts w:eastAsia="Arial"/>
                <w:sz w:val="18"/>
                <w:lang w:val="es-PY"/>
              </w:rPr>
              <w:t>620</w:t>
            </w:r>
          </w:p>
        </w:tc>
        <w:tc>
          <w:tcPr>
            <w:tcW w:w="1857" w:type="dxa"/>
            <w:shd w:val="clear" w:color="auto" w:fill="auto"/>
            <w:vAlign w:val="bottom"/>
          </w:tcPr>
          <w:p w14:paraId="54DFA16D" w14:textId="3BB89358"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13</w:t>
            </w:r>
            <w:r>
              <w:rPr>
                <w:rFonts w:eastAsia="Arial"/>
                <w:sz w:val="18"/>
                <w:lang w:val="es-PY"/>
              </w:rPr>
              <w:t xml:space="preserve"> </w:t>
            </w:r>
            <w:r w:rsidRPr="007447FF">
              <w:rPr>
                <w:rFonts w:eastAsia="Arial"/>
                <w:sz w:val="18"/>
                <w:lang w:val="es-PY"/>
              </w:rPr>
              <w:t>689</w:t>
            </w:r>
          </w:p>
        </w:tc>
      </w:tr>
      <w:tr w:rsidR="00055A77" w:rsidRPr="00055A77" w14:paraId="3A49C3D3" w14:textId="77777777" w:rsidTr="005820EE">
        <w:tc>
          <w:tcPr>
            <w:tcW w:w="1857" w:type="dxa"/>
            <w:shd w:val="clear" w:color="auto" w:fill="auto"/>
          </w:tcPr>
          <w:p w14:paraId="28491DA9" w14:textId="0C61B9EA" w:rsidR="00055A77" w:rsidRPr="00055A77" w:rsidRDefault="00055A77" w:rsidP="00055A77">
            <w:pPr>
              <w:tabs>
                <w:tab w:val="left" w:pos="288"/>
                <w:tab w:val="left" w:pos="576"/>
                <w:tab w:val="left" w:pos="864"/>
                <w:tab w:val="left" w:pos="1152"/>
              </w:tabs>
              <w:spacing w:before="40" w:after="40" w:line="210" w:lineRule="exact"/>
              <w:ind w:right="40"/>
              <w:rPr>
                <w:sz w:val="17"/>
              </w:rPr>
            </w:pPr>
            <w:r w:rsidRPr="007447FF">
              <w:rPr>
                <w:rFonts w:eastAsia="Arial"/>
                <w:sz w:val="18"/>
                <w:lang w:val="es-PY"/>
              </w:rPr>
              <w:t>2021</w:t>
            </w:r>
          </w:p>
        </w:tc>
        <w:tc>
          <w:tcPr>
            <w:tcW w:w="1857" w:type="dxa"/>
            <w:shd w:val="clear" w:color="auto" w:fill="auto"/>
            <w:vAlign w:val="bottom"/>
          </w:tcPr>
          <w:p w14:paraId="1803A1EE" w14:textId="27553C45"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7</w:t>
            </w:r>
            <w:r>
              <w:rPr>
                <w:rFonts w:eastAsia="Arial"/>
                <w:sz w:val="18"/>
                <w:lang w:val="es-PY"/>
              </w:rPr>
              <w:t xml:space="preserve"> </w:t>
            </w:r>
            <w:r w:rsidRPr="007447FF">
              <w:rPr>
                <w:rFonts w:eastAsia="Arial"/>
                <w:sz w:val="18"/>
                <w:lang w:val="es-PY"/>
              </w:rPr>
              <w:t>203</w:t>
            </w:r>
          </w:p>
        </w:tc>
        <w:tc>
          <w:tcPr>
            <w:tcW w:w="1857" w:type="dxa"/>
            <w:shd w:val="clear" w:color="auto" w:fill="auto"/>
            <w:vAlign w:val="bottom"/>
          </w:tcPr>
          <w:p w14:paraId="5E67F084" w14:textId="723CD844"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14</w:t>
            </w:r>
            <w:r>
              <w:rPr>
                <w:rFonts w:eastAsia="Arial"/>
                <w:sz w:val="18"/>
                <w:lang w:val="es-PY"/>
              </w:rPr>
              <w:t xml:space="preserve"> </w:t>
            </w:r>
            <w:r w:rsidRPr="007447FF">
              <w:rPr>
                <w:rFonts w:eastAsia="Arial"/>
                <w:sz w:val="18"/>
                <w:lang w:val="es-PY"/>
              </w:rPr>
              <w:t>604</w:t>
            </w:r>
          </w:p>
        </w:tc>
        <w:tc>
          <w:tcPr>
            <w:tcW w:w="1857" w:type="dxa"/>
            <w:shd w:val="clear" w:color="auto" w:fill="auto"/>
            <w:vAlign w:val="bottom"/>
          </w:tcPr>
          <w:p w14:paraId="5482D59D" w14:textId="2994D70C"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21</w:t>
            </w:r>
            <w:r>
              <w:rPr>
                <w:rFonts w:eastAsia="Arial"/>
                <w:sz w:val="18"/>
                <w:lang w:val="es-PY"/>
              </w:rPr>
              <w:t xml:space="preserve"> </w:t>
            </w:r>
            <w:r w:rsidRPr="007447FF">
              <w:rPr>
                <w:rFonts w:eastAsia="Arial"/>
                <w:sz w:val="18"/>
                <w:lang w:val="es-PY"/>
              </w:rPr>
              <w:t>807</w:t>
            </w:r>
          </w:p>
        </w:tc>
      </w:tr>
      <w:tr w:rsidR="00055A77" w:rsidRPr="00055A77" w14:paraId="7EA7BCF2" w14:textId="77777777" w:rsidTr="005820EE">
        <w:tc>
          <w:tcPr>
            <w:tcW w:w="1857" w:type="dxa"/>
            <w:shd w:val="clear" w:color="auto" w:fill="auto"/>
          </w:tcPr>
          <w:p w14:paraId="3AEA3CAF" w14:textId="5150976D" w:rsidR="00055A77" w:rsidRPr="00055A77" w:rsidRDefault="00055A77" w:rsidP="00055A77">
            <w:pPr>
              <w:tabs>
                <w:tab w:val="left" w:pos="288"/>
                <w:tab w:val="left" w:pos="576"/>
                <w:tab w:val="left" w:pos="864"/>
                <w:tab w:val="left" w:pos="1152"/>
              </w:tabs>
              <w:spacing w:before="40" w:after="40" w:line="210" w:lineRule="exact"/>
              <w:ind w:right="40"/>
              <w:rPr>
                <w:sz w:val="17"/>
              </w:rPr>
            </w:pPr>
            <w:r w:rsidRPr="007447FF">
              <w:rPr>
                <w:rFonts w:eastAsia="Arial"/>
                <w:sz w:val="18"/>
                <w:lang w:val="es-PY"/>
              </w:rPr>
              <w:t>2022</w:t>
            </w:r>
          </w:p>
        </w:tc>
        <w:tc>
          <w:tcPr>
            <w:tcW w:w="1857" w:type="dxa"/>
            <w:shd w:val="clear" w:color="auto" w:fill="auto"/>
            <w:vAlign w:val="bottom"/>
          </w:tcPr>
          <w:p w14:paraId="4726E6E8" w14:textId="0A021CFA"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4</w:t>
            </w:r>
            <w:r>
              <w:rPr>
                <w:rFonts w:eastAsia="Arial"/>
                <w:sz w:val="18"/>
                <w:lang w:val="es-PY"/>
              </w:rPr>
              <w:t xml:space="preserve"> </w:t>
            </w:r>
            <w:r w:rsidRPr="007447FF">
              <w:rPr>
                <w:rFonts w:eastAsia="Arial"/>
                <w:sz w:val="18"/>
                <w:lang w:val="es-PY"/>
              </w:rPr>
              <w:t>653</w:t>
            </w:r>
          </w:p>
        </w:tc>
        <w:tc>
          <w:tcPr>
            <w:tcW w:w="1857" w:type="dxa"/>
            <w:shd w:val="clear" w:color="auto" w:fill="auto"/>
            <w:vAlign w:val="bottom"/>
          </w:tcPr>
          <w:p w14:paraId="3A752A3F" w14:textId="3B12A81A"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9</w:t>
            </w:r>
            <w:r>
              <w:rPr>
                <w:rFonts w:eastAsia="Arial"/>
                <w:sz w:val="18"/>
                <w:lang w:val="es-PY"/>
              </w:rPr>
              <w:t xml:space="preserve"> </w:t>
            </w:r>
            <w:r w:rsidRPr="007447FF">
              <w:rPr>
                <w:rFonts w:eastAsia="Arial"/>
                <w:sz w:val="18"/>
                <w:lang w:val="es-PY"/>
              </w:rPr>
              <w:t>129</w:t>
            </w:r>
          </w:p>
        </w:tc>
        <w:tc>
          <w:tcPr>
            <w:tcW w:w="1857" w:type="dxa"/>
            <w:shd w:val="clear" w:color="auto" w:fill="auto"/>
            <w:vAlign w:val="bottom"/>
          </w:tcPr>
          <w:p w14:paraId="3BE2962B" w14:textId="6DD5DA70"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13</w:t>
            </w:r>
            <w:r>
              <w:rPr>
                <w:rFonts w:eastAsia="Arial"/>
                <w:sz w:val="18"/>
                <w:lang w:val="es-PY"/>
              </w:rPr>
              <w:t xml:space="preserve"> </w:t>
            </w:r>
            <w:r w:rsidRPr="007447FF">
              <w:rPr>
                <w:rFonts w:eastAsia="Arial"/>
                <w:sz w:val="18"/>
                <w:lang w:val="es-PY"/>
              </w:rPr>
              <w:t>782</w:t>
            </w:r>
          </w:p>
        </w:tc>
      </w:tr>
      <w:tr w:rsidR="00055A77" w:rsidRPr="00055A77" w14:paraId="036ECA14" w14:textId="77777777" w:rsidTr="005820EE">
        <w:tc>
          <w:tcPr>
            <w:tcW w:w="1857" w:type="dxa"/>
            <w:tcBorders>
              <w:bottom w:val="single" w:sz="12" w:space="0" w:color="auto"/>
            </w:tcBorders>
            <w:shd w:val="clear" w:color="auto" w:fill="auto"/>
          </w:tcPr>
          <w:p w14:paraId="04087B24" w14:textId="3173D6BD" w:rsidR="00055A77" w:rsidRPr="00055A77" w:rsidRDefault="00055A77" w:rsidP="00055A77">
            <w:pPr>
              <w:tabs>
                <w:tab w:val="left" w:pos="288"/>
                <w:tab w:val="left" w:pos="576"/>
                <w:tab w:val="left" w:pos="864"/>
                <w:tab w:val="left" w:pos="1152"/>
              </w:tabs>
              <w:spacing w:before="40" w:after="40" w:line="210" w:lineRule="exact"/>
              <w:ind w:right="40"/>
              <w:rPr>
                <w:sz w:val="17"/>
              </w:rPr>
            </w:pPr>
            <w:r w:rsidRPr="007447FF">
              <w:rPr>
                <w:rFonts w:eastAsia="Arial"/>
                <w:sz w:val="18"/>
                <w:lang w:val="es-PY"/>
              </w:rPr>
              <w:t>2023</w:t>
            </w:r>
          </w:p>
        </w:tc>
        <w:tc>
          <w:tcPr>
            <w:tcW w:w="1857" w:type="dxa"/>
            <w:tcBorders>
              <w:bottom w:val="single" w:sz="12" w:space="0" w:color="auto"/>
            </w:tcBorders>
            <w:shd w:val="clear" w:color="auto" w:fill="auto"/>
            <w:vAlign w:val="bottom"/>
          </w:tcPr>
          <w:p w14:paraId="5468C4DB" w14:textId="22299594"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3</w:t>
            </w:r>
            <w:r>
              <w:rPr>
                <w:rFonts w:eastAsia="Arial"/>
                <w:sz w:val="18"/>
                <w:lang w:val="es-PY"/>
              </w:rPr>
              <w:t xml:space="preserve"> </w:t>
            </w:r>
            <w:r w:rsidRPr="007447FF">
              <w:rPr>
                <w:rFonts w:eastAsia="Arial"/>
                <w:sz w:val="18"/>
                <w:lang w:val="es-PY"/>
              </w:rPr>
              <w:t>324</w:t>
            </w:r>
          </w:p>
        </w:tc>
        <w:tc>
          <w:tcPr>
            <w:tcW w:w="1857" w:type="dxa"/>
            <w:tcBorders>
              <w:bottom w:val="single" w:sz="12" w:space="0" w:color="auto"/>
            </w:tcBorders>
            <w:shd w:val="clear" w:color="auto" w:fill="auto"/>
            <w:vAlign w:val="bottom"/>
          </w:tcPr>
          <w:p w14:paraId="5254E8EA" w14:textId="58BFC8CD"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6</w:t>
            </w:r>
            <w:r>
              <w:rPr>
                <w:rFonts w:eastAsia="Arial"/>
                <w:sz w:val="18"/>
                <w:lang w:val="es-PY"/>
              </w:rPr>
              <w:t xml:space="preserve"> </w:t>
            </w:r>
            <w:r w:rsidRPr="007447FF">
              <w:rPr>
                <w:rFonts w:eastAsia="Arial"/>
                <w:sz w:val="18"/>
                <w:lang w:val="es-PY"/>
              </w:rPr>
              <w:t>274</w:t>
            </w:r>
          </w:p>
        </w:tc>
        <w:tc>
          <w:tcPr>
            <w:tcW w:w="1857" w:type="dxa"/>
            <w:tcBorders>
              <w:bottom w:val="single" w:sz="12" w:space="0" w:color="auto"/>
            </w:tcBorders>
            <w:shd w:val="clear" w:color="auto" w:fill="auto"/>
            <w:vAlign w:val="bottom"/>
          </w:tcPr>
          <w:p w14:paraId="1E782D4E" w14:textId="7075ADFB" w:rsidR="00055A77" w:rsidRPr="00055A77" w:rsidRDefault="00055A77" w:rsidP="00055A77">
            <w:pPr>
              <w:tabs>
                <w:tab w:val="left" w:pos="288"/>
                <w:tab w:val="left" w:pos="576"/>
                <w:tab w:val="left" w:pos="864"/>
                <w:tab w:val="left" w:pos="1152"/>
              </w:tabs>
              <w:spacing w:before="40" w:after="40" w:line="210" w:lineRule="exact"/>
              <w:ind w:right="40"/>
              <w:jc w:val="right"/>
              <w:rPr>
                <w:sz w:val="17"/>
              </w:rPr>
            </w:pPr>
            <w:r w:rsidRPr="007447FF">
              <w:rPr>
                <w:rFonts w:eastAsia="Arial"/>
                <w:sz w:val="18"/>
                <w:lang w:val="es-PY"/>
              </w:rPr>
              <w:t>9</w:t>
            </w:r>
            <w:r>
              <w:rPr>
                <w:rFonts w:eastAsia="Arial"/>
                <w:sz w:val="18"/>
                <w:lang w:val="es-PY"/>
              </w:rPr>
              <w:t xml:space="preserve"> </w:t>
            </w:r>
            <w:r w:rsidRPr="007447FF">
              <w:rPr>
                <w:rFonts w:eastAsia="Arial"/>
                <w:sz w:val="18"/>
                <w:lang w:val="es-PY"/>
              </w:rPr>
              <w:t>598</w:t>
            </w:r>
          </w:p>
        </w:tc>
      </w:tr>
    </w:tbl>
    <w:p w14:paraId="25D341B2" w14:textId="77777777" w:rsidR="00583FBD" w:rsidRPr="00055A77" w:rsidRDefault="00583FBD" w:rsidP="00055A77">
      <w:pPr>
        <w:pStyle w:val="SingleTxt"/>
        <w:spacing w:after="0" w:line="120" w:lineRule="exact"/>
        <w:rPr>
          <w:sz w:val="10"/>
          <w:lang w:val="es-PY"/>
        </w:rPr>
      </w:pPr>
    </w:p>
    <w:p w14:paraId="7A50D654" w14:textId="77777777" w:rsidR="00055A77" w:rsidRPr="00055A77" w:rsidRDefault="00055A77" w:rsidP="00055A77">
      <w:pPr>
        <w:pStyle w:val="SingleTxt"/>
        <w:spacing w:after="0" w:line="120" w:lineRule="exact"/>
        <w:rPr>
          <w:sz w:val="10"/>
          <w:lang w:val="es-PY"/>
        </w:rPr>
      </w:pPr>
    </w:p>
    <w:p w14:paraId="348C14AB" w14:textId="623DFDB3" w:rsidR="00583FBD" w:rsidRPr="00B64C1B" w:rsidRDefault="00583FBD" w:rsidP="00055A77">
      <w:pPr>
        <w:pStyle w:val="SingleTxt"/>
        <w:numPr>
          <w:ilvl w:val="0"/>
          <w:numId w:val="49"/>
        </w:numPr>
        <w:tabs>
          <w:tab w:val="clear" w:pos="475"/>
          <w:tab w:val="right" w:pos="1022"/>
        </w:tabs>
        <w:ind w:left="1267" w:right="1260"/>
        <w:rPr>
          <w:lang w:val="es-PY"/>
        </w:rPr>
      </w:pPr>
      <w:r w:rsidRPr="00B64C1B">
        <w:rPr>
          <w:lang w:val="es-PY"/>
        </w:rPr>
        <w:t xml:space="preserve">Se ha implementado un proceso simplificado de adjudicación de tierras para mujeres jefas de familia, lo que ha resultado en un aumento significativo en la titulación de tierras en favor de mujeres rurales. En el último año y medio (2022-2023), el 44% de las titulaciones de tierras se han otorgado a mujeres, en comparación con el 54% otorgado a beneficiarios varones. Esta estrategia se basa en disposiciones de la Ley 1863/2002 </w:t>
      </w:r>
      <w:r w:rsidR="00F019B7">
        <w:rPr>
          <w:lang w:val="es-PY"/>
        </w:rPr>
        <w:t>“</w:t>
      </w:r>
      <w:r w:rsidRPr="00B64C1B">
        <w:rPr>
          <w:lang w:val="es-PY"/>
        </w:rPr>
        <w:t>Del Estatuto Agrario</w:t>
      </w:r>
      <w:r w:rsidR="00F019B7">
        <w:rPr>
          <w:lang w:val="es-PY"/>
        </w:rPr>
        <w:t>”</w:t>
      </w:r>
      <w:r w:rsidRPr="00B64C1B">
        <w:rPr>
          <w:lang w:val="es-PY"/>
        </w:rPr>
        <w:t>, que establece preferencias para las mujeres beneficiarias en el acceso a la titulación de la propiedad de la tierra. El INDI promueve este programa centrado en el fortalecimiento comunitario para mejorar la calidad de vida de hombres y mujeres indígenas, respetando sus derechos y decisiones. Este programa está alineado con el Convenio 169 de la OIT y el Proceso de Consulta y Consentimiento libre, previo e informado con los pueblos indígenas del territorio.</w:t>
      </w:r>
    </w:p>
    <w:p w14:paraId="7D01B723" w14:textId="77F1360F" w:rsidR="00583FBD" w:rsidRDefault="00583FBD" w:rsidP="00055A77">
      <w:pPr>
        <w:pStyle w:val="SingleTxt"/>
        <w:numPr>
          <w:ilvl w:val="0"/>
          <w:numId w:val="49"/>
        </w:numPr>
        <w:tabs>
          <w:tab w:val="num" w:pos="2804"/>
        </w:tabs>
        <w:ind w:left="1267"/>
        <w:rPr>
          <w:lang w:val="es-PY"/>
        </w:rPr>
      </w:pPr>
      <w:r w:rsidRPr="00B64C1B">
        <w:rPr>
          <w:lang w:val="es-PY"/>
        </w:rPr>
        <w:t>En cuanto al derecho a la vivienda, el MUVH contribuye a través varios programas y proyectos que intervienen en áreas rurales dando prioridad a pueblos indígenas y mujeres jefas de hogar para el acceso a la vivienda, así como personas con crónica y personas con discapacidad.</w:t>
      </w:r>
    </w:p>
    <w:p w14:paraId="023D5A6A" w14:textId="0054A08B" w:rsidR="001859DB" w:rsidRDefault="001859DB">
      <w:pPr>
        <w:suppressAutoHyphens w:val="0"/>
        <w:spacing w:after="160" w:line="259" w:lineRule="auto"/>
        <w:rPr>
          <w:kern w:val="14"/>
          <w:lang w:val="es-PY"/>
        </w:rPr>
      </w:pPr>
      <w:r>
        <w:rPr>
          <w:lang w:val="es-PY"/>
        </w:rPr>
        <w:br w:type="page"/>
      </w:r>
    </w:p>
    <w:p w14:paraId="499F9324" w14:textId="0BF2FD24" w:rsidR="00055A77" w:rsidRDefault="001859DB" w:rsidP="00185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lastRenderedPageBreak/>
        <w:tab/>
      </w:r>
      <w:r>
        <w:rPr>
          <w:lang w:val="es-PY"/>
        </w:rPr>
        <w:tab/>
      </w:r>
      <w:r w:rsidRPr="007447FF">
        <w:rPr>
          <w:lang w:val="es-PY"/>
        </w:rPr>
        <w:t>Mujeres con acceso a vivienda - Área Rural</w:t>
      </w:r>
    </w:p>
    <w:p w14:paraId="2B8B629A" w14:textId="77777777" w:rsidR="001859DB" w:rsidRPr="001859DB" w:rsidRDefault="001859DB" w:rsidP="001859DB">
      <w:pPr>
        <w:pStyle w:val="SingleTxt"/>
        <w:spacing w:after="0" w:line="120" w:lineRule="exact"/>
        <w:rPr>
          <w:sz w:val="10"/>
          <w:lang w:val="es-PY"/>
        </w:rPr>
      </w:pPr>
    </w:p>
    <w:p w14:paraId="003BD233" w14:textId="77777777" w:rsidR="001859DB" w:rsidRPr="001859DB" w:rsidRDefault="001859DB" w:rsidP="001859DB">
      <w:pPr>
        <w:pStyle w:val="SingleTxt"/>
        <w:spacing w:after="0" w:line="120" w:lineRule="exact"/>
        <w:rPr>
          <w:sz w:val="10"/>
          <w:lang w:val="es-PY"/>
        </w:rPr>
      </w:pPr>
    </w:p>
    <w:tbl>
      <w:tblPr>
        <w:tblW w:w="0" w:type="auto"/>
        <w:tblInd w:w="1260" w:type="dxa"/>
        <w:tblCellMar>
          <w:left w:w="0" w:type="dxa"/>
          <w:right w:w="0" w:type="dxa"/>
        </w:tblCellMar>
        <w:tblLook w:val="0000" w:firstRow="0" w:lastRow="0" w:firstColumn="0" w:lastColumn="0" w:noHBand="0" w:noVBand="0"/>
      </w:tblPr>
      <w:tblGrid>
        <w:gridCol w:w="1238"/>
        <w:gridCol w:w="1238"/>
        <w:gridCol w:w="1238"/>
        <w:gridCol w:w="1238"/>
        <w:gridCol w:w="1238"/>
        <w:gridCol w:w="1238"/>
      </w:tblGrid>
      <w:tr w:rsidR="001859DB" w:rsidRPr="001859DB" w14:paraId="59F18648" w14:textId="77777777" w:rsidTr="001859DB">
        <w:trPr>
          <w:tblHeader/>
        </w:trPr>
        <w:tc>
          <w:tcPr>
            <w:tcW w:w="1238" w:type="dxa"/>
            <w:tcBorders>
              <w:top w:val="single" w:sz="4" w:space="0" w:color="auto"/>
              <w:bottom w:val="single" w:sz="12" w:space="0" w:color="auto"/>
            </w:tcBorders>
            <w:shd w:val="clear" w:color="auto" w:fill="auto"/>
            <w:vAlign w:val="bottom"/>
          </w:tcPr>
          <w:p w14:paraId="59092FD7" w14:textId="386605DA" w:rsidR="001859DB" w:rsidRPr="001859DB" w:rsidRDefault="001859DB" w:rsidP="001859DB">
            <w:pPr>
              <w:tabs>
                <w:tab w:val="left" w:pos="288"/>
                <w:tab w:val="left" w:pos="576"/>
                <w:tab w:val="left" w:pos="864"/>
                <w:tab w:val="left" w:pos="1152"/>
              </w:tabs>
              <w:spacing w:before="80" w:after="80" w:line="160" w:lineRule="exact"/>
              <w:ind w:right="40"/>
              <w:rPr>
                <w:bCs/>
                <w:i/>
                <w:iCs/>
                <w:sz w:val="14"/>
                <w:szCs w:val="14"/>
                <w:lang w:val="es-PY"/>
              </w:rPr>
            </w:pPr>
            <w:r w:rsidRPr="001859DB">
              <w:rPr>
                <w:bCs/>
                <w:i/>
                <w:iCs/>
                <w:sz w:val="14"/>
                <w:szCs w:val="14"/>
                <w:lang w:val="es-PY"/>
              </w:rPr>
              <w:t>Programa</w:t>
            </w:r>
          </w:p>
        </w:tc>
        <w:tc>
          <w:tcPr>
            <w:tcW w:w="1238" w:type="dxa"/>
            <w:tcBorders>
              <w:top w:val="single" w:sz="4" w:space="0" w:color="auto"/>
              <w:bottom w:val="single" w:sz="12" w:space="0" w:color="auto"/>
            </w:tcBorders>
            <w:shd w:val="clear" w:color="auto" w:fill="auto"/>
            <w:vAlign w:val="bottom"/>
          </w:tcPr>
          <w:p w14:paraId="507D2BBA" w14:textId="707A968B" w:rsidR="001859DB" w:rsidRPr="001859DB" w:rsidRDefault="001859DB" w:rsidP="001859DB">
            <w:pPr>
              <w:tabs>
                <w:tab w:val="left" w:pos="288"/>
                <w:tab w:val="left" w:pos="576"/>
                <w:tab w:val="left" w:pos="864"/>
                <w:tab w:val="left" w:pos="1152"/>
              </w:tabs>
              <w:spacing w:before="80" w:after="80" w:line="160" w:lineRule="exact"/>
              <w:ind w:right="40"/>
              <w:rPr>
                <w:bCs/>
                <w:i/>
                <w:iCs/>
                <w:sz w:val="14"/>
                <w:szCs w:val="14"/>
                <w:lang w:val="es-PY"/>
              </w:rPr>
            </w:pPr>
            <w:r w:rsidRPr="001859DB">
              <w:rPr>
                <w:bCs/>
                <w:i/>
                <w:iCs/>
                <w:sz w:val="14"/>
                <w:szCs w:val="14"/>
                <w:lang w:val="es-PY"/>
              </w:rPr>
              <w:t>Per</w:t>
            </w:r>
            <w:r>
              <w:rPr>
                <w:bCs/>
                <w:i/>
                <w:iCs/>
                <w:sz w:val="14"/>
                <w:szCs w:val="14"/>
                <w:lang w:val="es-PY"/>
              </w:rPr>
              <w:t>í</w:t>
            </w:r>
            <w:r w:rsidRPr="001859DB">
              <w:rPr>
                <w:bCs/>
                <w:i/>
                <w:iCs/>
                <w:sz w:val="14"/>
                <w:szCs w:val="14"/>
                <w:lang w:val="es-PY"/>
              </w:rPr>
              <w:t>odo de tiempo</w:t>
            </w:r>
          </w:p>
        </w:tc>
        <w:tc>
          <w:tcPr>
            <w:tcW w:w="1238" w:type="dxa"/>
            <w:tcBorders>
              <w:top w:val="single" w:sz="4" w:space="0" w:color="auto"/>
              <w:bottom w:val="single" w:sz="12" w:space="0" w:color="auto"/>
            </w:tcBorders>
            <w:shd w:val="clear" w:color="auto" w:fill="auto"/>
            <w:vAlign w:val="bottom"/>
          </w:tcPr>
          <w:p w14:paraId="6D034DD8" w14:textId="0E37EA71" w:rsidR="001859DB" w:rsidRPr="001859DB" w:rsidRDefault="001859DB" w:rsidP="001859DB">
            <w:pPr>
              <w:tabs>
                <w:tab w:val="left" w:pos="288"/>
                <w:tab w:val="left" w:pos="576"/>
                <w:tab w:val="left" w:pos="864"/>
                <w:tab w:val="left" w:pos="1152"/>
              </w:tabs>
              <w:spacing w:before="80" w:after="80" w:line="160" w:lineRule="exact"/>
              <w:ind w:right="40"/>
              <w:jc w:val="right"/>
              <w:rPr>
                <w:bCs/>
                <w:i/>
                <w:iCs/>
                <w:sz w:val="14"/>
                <w:szCs w:val="14"/>
                <w:lang w:val="es-PY"/>
              </w:rPr>
            </w:pPr>
            <w:r w:rsidRPr="001859DB">
              <w:rPr>
                <w:bCs/>
                <w:i/>
                <w:iCs/>
                <w:sz w:val="14"/>
                <w:szCs w:val="14"/>
                <w:lang w:val="es-PY"/>
              </w:rPr>
              <w:t xml:space="preserve">Viviendas culminadas </w:t>
            </w:r>
          </w:p>
        </w:tc>
        <w:tc>
          <w:tcPr>
            <w:tcW w:w="1238" w:type="dxa"/>
            <w:tcBorders>
              <w:top w:val="single" w:sz="4" w:space="0" w:color="auto"/>
              <w:bottom w:val="single" w:sz="12" w:space="0" w:color="auto"/>
            </w:tcBorders>
            <w:shd w:val="clear" w:color="auto" w:fill="auto"/>
            <w:vAlign w:val="bottom"/>
          </w:tcPr>
          <w:p w14:paraId="32CE380D" w14:textId="12299D43" w:rsidR="001859DB" w:rsidRPr="001859DB" w:rsidRDefault="001859DB" w:rsidP="001859DB">
            <w:pPr>
              <w:tabs>
                <w:tab w:val="left" w:pos="288"/>
                <w:tab w:val="left" w:pos="576"/>
                <w:tab w:val="left" w:pos="864"/>
                <w:tab w:val="left" w:pos="1152"/>
              </w:tabs>
              <w:spacing w:before="80" w:after="80" w:line="160" w:lineRule="exact"/>
              <w:ind w:right="40"/>
              <w:jc w:val="right"/>
              <w:rPr>
                <w:bCs/>
                <w:i/>
                <w:iCs/>
                <w:sz w:val="14"/>
                <w:szCs w:val="14"/>
                <w:lang w:val="es-PY"/>
              </w:rPr>
            </w:pPr>
            <w:r w:rsidRPr="001859DB">
              <w:rPr>
                <w:bCs/>
                <w:i/>
                <w:iCs/>
                <w:sz w:val="14"/>
                <w:szCs w:val="14"/>
                <w:lang w:val="es-PY"/>
              </w:rPr>
              <w:t xml:space="preserve">Mujeres que accedieron a la vivienda </w:t>
            </w:r>
          </w:p>
        </w:tc>
        <w:tc>
          <w:tcPr>
            <w:tcW w:w="1238" w:type="dxa"/>
            <w:tcBorders>
              <w:top w:val="single" w:sz="4" w:space="0" w:color="auto"/>
              <w:bottom w:val="single" w:sz="12" w:space="0" w:color="auto"/>
            </w:tcBorders>
            <w:shd w:val="clear" w:color="auto" w:fill="auto"/>
            <w:vAlign w:val="bottom"/>
          </w:tcPr>
          <w:p w14:paraId="2C4929CF" w14:textId="6182CD42" w:rsidR="001859DB" w:rsidRPr="001859DB" w:rsidRDefault="001859DB" w:rsidP="001859DB">
            <w:pPr>
              <w:tabs>
                <w:tab w:val="left" w:pos="288"/>
                <w:tab w:val="left" w:pos="576"/>
                <w:tab w:val="left" w:pos="864"/>
                <w:tab w:val="left" w:pos="1152"/>
              </w:tabs>
              <w:spacing w:before="80" w:after="80" w:line="160" w:lineRule="exact"/>
              <w:ind w:right="40"/>
              <w:jc w:val="right"/>
              <w:rPr>
                <w:bCs/>
                <w:i/>
                <w:iCs/>
                <w:sz w:val="14"/>
                <w:szCs w:val="14"/>
                <w:lang w:val="es-PY"/>
              </w:rPr>
            </w:pPr>
            <w:r w:rsidRPr="001859DB">
              <w:rPr>
                <w:bCs/>
                <w:i/>
                <w:iCs/>
                <w:sz w:val="14"/>
                <w:szCs w:val="14"/>
                <w:lang w:val="es-PY"/>
              </w:rPr>
              <w:t xml:space="preserve">Jefas de hogar que accedieron a la vivienda </w:t>
            </w:r>
          </w:p>
        </w:tc>
        <w:tc>
          <w:tcPr>
            <w:tcW w:w="1238" w:type="dxa"/>
            <w:tcBorders>
              <w:top w:val="single" w:sz="4" w:space="0" w:color="auto"/>
              <w:bottom w:val="single" w:sz="12" w:space="0" w:color="auto"/>
            </w:tcBorders>
            <w:shd w:val="clear" w:color="auto" w:fill="auto"/>
            <w:vAlign w:val="bottom"/>
          </w:tcPr>
          <w:p w14:paraId="0DD5B0EF" w14:textId="72094679" w:rsidR="001859DB" w:rsidRPr="001859DB" w:rsidRDefault="001859DB" w:rsidP="001859DB">
            <w:pPr>
              <w:tabs>
                <w:tab w:val="left" w:pos="288"/>
                <w:tab w:val="left" w:pos="576"/>
                <w:tab w:val="left" w:pos="864"/>
                <w:tab w:val="left" w:pos="1152"/>
              </w:tabs>
              <w:spacing w:before="80" w:after="80" w:line="160" w:lineRule="exact"/>
              <w:ind w:right="40"/>
              <w:jc w:val="right"/>
              <w:rPr>
                <w:bCs/>
                <w:i/>
                <w:iCs/>
                <w:sz w:val="14"/>
                <w:szCs w:val="14"/>
                <w:lang w:val="es-PY"/>
              </w:rPr>
            </w:pPr>
            <w:r w:rsidRPr="001859DB">
              <w:rPr>
                <w:bCs/>
                <w:i/>
                <w:iCs/>
                <w:sz w:val="14"/>
                <w:szCs w:val="14"/>
                <w:lang w:val="es-PY"/>
              </w:rPr>
              <w:t xml:space="preserve">Madres solteras que accedieron a la vivienda </w:t>
            </w:r>
          </w:p>
        </w:tc>
      </w:tr>
      <w:tr w:rsidR="001859DB" w:rsidRPr="001859DB" w14:paraId="1F01AD04" w14:textId="77777777" w:rsidTr="001859DB">
        <w:trPr>
          <w:trHeight w:hRule="exact" w:val="115"/>
          <w:tblHeader/>
        </w:trPr>
        <w:tc>
          <w:tcPr>
            <w:tcW w:w="1238" w:type="dxa"/>
            <w:tcBorders>
              <w:top w:val="single" w:sz="12" w:space="0" w:color="auto"/>
            </w:tcBorders>
            <w:shd w:val="clear" w:color="auto" w:fill="auto"/>
            <w:vAlign w:val="bottom"/>
          </w:tcPr>
          <w:p w14:paraId="2DC0B020" w14:textId="77777777" w:rsidR="001859DB" w:rsidRPr="001859DB" w:rsidRDefault="001859DB" w:rsidP="001859DB">
            <w:pPr>
              <w:tabs>
                <w:tab w:val="left" w:pos="288"/>
                <w:tab w:val="left" w:pos="576"/>
                <w:tab w:val="left" w:pos="864"/>
                <w:tab w:val="left" w:pos="1152"/>
              </w:tabs>
              <w:spacing w:before="40" w:after="40" w:line="210" w:lineRule="exact"/>
              <w:ind w:right="40"/>
              <w:rPr>
                <w:sz w:val="17"/>
                <w:lang w:val="es-PY"/>
              </w:rPr>
            </w:pPr>
          </w:p>
        </w:tc>
        <w:tc>
          <w:tcPr>
            <w:tcW w:w="1238" w:type="dxa"/>
            <w:tcBorders>
              <w:top w:val="single" w:sz="12" w:space="0" w:color="auto"/>
            </w:tcBorders>
            <w:shd w:val="clear" w:color="auto" w:fill="auto"/>
            <w:vAlign w:val="bottom"/>
          </w:tcPr>
          <w:p w14:paraId="543187FA" w14:textId="77777777" w:rsidR="001859DB" w:rsidRPr="001859DB" w:rsidRDefault="001859DB" w:rsidP="001859DB">
            <w:pPr>
              <w:tabs>
                <w:tab w:val="left" w:pos="288"/>
                <w:tab w:val="left" w:pos="576"/>
                <w:tab w:val="left" w:pos="864"/>
                <w:tab w:val="left" w:pos="1152"/>
              </w:tabs>
              <w:spacing w:before="40" w:after="40" w:line="210" w:lineRule="exact"/>
              <w:ind w:right="40"/>
              <w:jc w:val="right"/>
              <w:rPr>
                <w:sz w:val="17"/>
                <w:lang w:val="es-PY"/>
              </w:rPr>
            </w:pPr>
          </w:p>
        </w:tc>
        <w:tc>
          <w:tcPr>
            <w:tcW w:w="1238" w:type="dxa"/>
            <w:tcBorders>
              <w:top w:val="single" w:sz="12" w:space="0" w:color="auto"/>
            </w:tcBorders>
            <w:shd w:val="clear" w:color="auto" w:fill="auto"/>
            <w:vAlign w:val="bottom"/>
          </w:tcPr>
          <w:p w14:paraId="0B3A5F2F" w14:textId="77777777" w:rsidR="001859DB" w:rsidRPr="001859DB" w:rsidRDefault="001859DB" w:rsidP="001859DB">
            <w:pPr>
              <w:tabs>
                <w:tab w:val="left" w:pos="288"/>
                <w:tab w:val="left" w:pos="576"/>
                <w:tab w:val="left" w:pos="864"/>
                <w:tab w:val="left" w:pos="1152"/>
              </w:tabs>
              <w:spacing w:before="40" w:after="40" w:line="210" w:lineRule="exact"/>
              <w:ind w:right="40"/>
              <w:jc w:val="right"/>
              <w:rPr>
                <w:sz w:val="17"/>
                <w:lang w:val="es-PY"/>
              </w:rPr>
            </w:pPr>
          </w:p>
        </w:tc>
        <w:tc>
          <w:tcPr>
            <w:tcW w:w="1238" w:type="dxa"/>
            <w:tcBorders>
              <w:top w:val="single" w:sz="12" w:space="0" w:color="auto"/>
            </w:tcBorders>
            <w:shd w:val="clear" w:color="auto" w:fill="auto"/>
            <w:vAlign w:val="bottom"/>
          </w:tcPr>
          <w:p w14:paraId="59624DFD" w14:textId="77777777" w:rsidR="001859DB" w:rsidRPr="001859DB" w:rsidRDefault="001859DB" w:rsidP="001859DB">
            <w:pPr>
              <w:tabs>
                <w:tab w:val="left" w:pos="288"/>
                <w:tab w:val="left" w:pos="576"/>
                <w:tab w:val="left" w:pos="864"/>
                <w:tab w:val="left" w:pos="1152"/>
              </w:tabs>
              <w:spacing w:before="40" w:after="40" w:line="210" w:lineRule="exact"/>
              <w:ind w:right="40"/>
              <w:jc w:val="right"/>
              <w:rPr>
                <w:sz w:val="17"/>
                <w:lang w:val="es-PY"/>
              </w:rPr>
            </w:pPr>
          </w:p>
        </w:tc>
        <w:tc>
          <w:tcPr>
            <w:tcW w:w="1238" w:type="dxa"/>
            <w:tcBorders>
              <w:top w:val="single" w:sz="12" w:space="0" w:color="auto"/>
            </w:tcBorders>
            <w:shd w:val="clear" w:color="auto" w:fill="auto"/>
            <w:vAlign w:val="bottom"/>
          </w:tcPr>
          <w:p w14:paraId="2B56BA6E" w14:textId="77777777" w:rsidR="001859DB" w:rsidRPr="001859DB" w:rsidRDefault="001859DB" w:rsidP="001859DB">
            <w:pPr>
              <w:tabs>
                <w:tab w:val="left" w:pos="288"/>
                <w:tab w:val="left" w:pos="576"/>
                <w:tab w:val="left" w:pos="864"/>
                <w:tab w:val="left" w:pos="1152"/>
              </w:tabs>
              <w:spacing w:before="40" w:after="40" w:line="210" w:lineRule="exact"/>
              <w:ind w:right="40"/>
              <w:jc w:val="right"/>
              <w:rPr>
                <w:sz w:val="17"/>
                <w:lang w:val="es-PY"/>
              </w:rPr>
            </w:pPr>
          </w:p>
        </w:tc>
        <w:tc>
          <w:tcPr>
            <w:tcW w:w="1238" w:type="dxa"/>
            <w:tcBorders>
              <w:top w:val="single" w:sz="12" w:space="0" w:color="auto"/>
            </w:tcBorders>
            <w:shd w:val="clear" w:color="auto" w:fill="auto"/>
            <w:vAlign w:val="bottom"/>
          </w:tcPr>
          <w:p w14:paraId="393AC76F" w14:textId="77777777" w:rsidR="001859DB" w:rsidRPr="001859DB" w:rsidRDefault="001859DB" w:rsidP="001859DB">
            <w:pPr>
              <w:tabs>
                <w:tab w:val="left" w:pos="288"/>
                <w:tab w:val="left" w:pos="576"/>
                <w:tab w:val="left" w:pos="864"/>
                <w:tab w:val="left" w:pos="1152"/>
              </w:tabs>
              <w:spacing w:before="40" w:after="40" w:line="210" w:lineRule="exact"/>
              <w:ind w:right="40"/>
              <w:jc w:val="right"/>
              <w:rPr>
                <w:sz w:val="17"/>
                <w:lang w:val="es-PY"/>
              </w:rPr>
            </w:pPr>
          </w:p>
        </w:tc>
      </w:tr>
      <w:tr w:rsidR="001859DB" w:rsidRPr="001859DB" w14:paraId="17D49858" w14:textId="77777777" w:rsidTr="00B27D24">
        <w:tc>
          <w:tcPr>
            <w:tcW w:w="1238" w:type="dxa"/>
            <w:shd w:val="clear" w:color="auto" w:fill="auto"/>
          </w:tcPr>
          <w:p w14:paraId="21B9609C" w14:textId="3FD25AE9" w:rsidR="001859DB" w:rsidRPr="001859DB" w:rsidRDefault="001859DB" w:rsidP="001859DB">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FONAVIS</w:t>
            </w:r>
          </w:p>
        </w:tc>
        <w:tc>
          <w:tcPr>
            <w:tcW w:w="1238" w:type="dxa"/>
            <w:vMerge w:val="restart"/>
            <w:shd w:val="clear" w:color="auto" w:fill="auto"/>
            <w:vAlign w:val="center"/>
          </w:tcPr>
          <w:p w14:paraId="5FBBFC17" w14:textId="6CE9E0BC" w:rsidR="001859DB" w:rsidRPr="001859DB" w:rsidRDefault="001859DB" w:rsidP="00B27D24">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Julio 2020 a Julio 2021</w:t>
            </w:r>
          </w:p>
        </w:tc>
        <w:tc>
          <w:tcPr>
            <w:tcW w:w="1238" w:type="dxa"/>
            <w:shd w:val="clear" w:color="auto" w:fill="auto"/>
            <w:vAlign w:val="bottom"/>
          </w:tcPr>
          <w:p w14:paraId="49C2D9C5" w14:textId="1FE49377"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694</w:t>
            </w:r>
          </w:p>
        </w:tc>
        <w:tc>
          <w:tcPr>
            <w:tcW w:w="1238" w:type="dxa"/>
            <w:shd w:val="clear" w:color="auto" w:fill="auto"/>
            <w:vAlign w:val="bottom"/>
          </w:tcPr>
          <w:p w14:paraId="5329251F" w14:textId="1EF9F8B3"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S/D</w:t>
            </w:r>
          </w:p>
        </w:tc>
        <w:tc>
          <w:tcPr>
            <w:tcW w:w="1238" w:type="dxa"/>
            <w:shd w:val="clear" w:color="auto" w:fill="auto"/>
            <w:vAlign w:val="bottom"/>
          </w:tcPr>
          <w:p w14:paraId="6C81E5D5" w14:textId="76C6B4E7"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360</w:t>
            </w:r>
          </w:p>
        </w:tc>
        <w:tc>
          <w:tcPr>
            <w:tcW w:w="1238" w:type="dxa"/>
            <w:shd w:val="clear" w:color="auto" w:fill="auto"/>
            <w:vAlign w:val="bottom"/>
          </w:tcPr>
          <w:p w14:paraId="4E5B18D6" w14:textId="401705DE"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121</w:t>
            </w:r>
          </w:p>
        </w:tc>
      </w:tr>
      <w:tr w:rsidR="001859DB" w:rsidRPr="001859DB" w14:paraId="192D412A" w14:textId="77777777" w:rsidTr="001859DB">
        <w:tc>
          <w:tcPr>
            <w:tcW w:w="1238" w:type="dxa"/>
            <w:shd w:val="clear" w:color="auto" w:fill="auto"/>
          </w:tcPr>
          <w:p w14:paraId="51E53033" w14:textId="4E48EA8B" w:rsidR="001859DB" w:rsidRPr="001859DB" w:rsidRDefault="001859DB" w:rsidP="001859DB">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 xml:space="preserve">Che </w:t>
            </w:r>
            <w:proofErr w:type="spellStart"/>
            <w:r w:rsidRPr="001859DB">
              <w:rPr>
                <w:sz w:val="17"/>
                <w:szCs w:val="17"/>
                <w:lang w:val="es-PY"/>
              </w:rPr>
              <w:t>Tapyi</w:t>
            </w:r>
            <w:proofErr w:type="spellEnd"/>
          </w:p>
        </w:tc>
        <w:tc>
          <w:tcPr>
            <w:tcW w:w="1238" w:type="dxa"/>
            <w:vMerge/>
            <w:shd w:val="clear" w:color="auto" w:fill="auto"/>
          </w:tcPr>
          <w:p w14:paraId="6076F243" w14:textId="77777777"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p>
        </w:tc>
        <w:tc>
          <w:tcPr>
            <w:tcW w:w="1238" w:type="dxa"/>
            <w:shd w:val="clear" w:color="auto" w:fill="auto"/>
            <w:vAlign w:val="bottom"/>
          </w:tcPr>
          <w:p w14:paraId="4E38D718" w14:textId="5E5AA89E"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140</w:t>
            </w:r>
          </w:p>
        </w:tc>
        <w:tc>
          <w:tcPr>
            <w:tcW w:w="1238" w:type="dxa"/>
            <w:shd w:val="clear" w:color="auto" w:fill="auto"/>
            <w:vAlign w:val="bottom"/>
          </w:tcPr>
          <w:p w14:paraId="75A09CFD" w14:textId="5703923C"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S/D</w:t>
            </w:r>
          </w:p>
        </w:tc>
        <w:tc>
          <w:tcPr>
            <w:tcW w:w="1238" w:type="dxa"/>
            <w:shd w:val="clear" w:color="auto" w:fill="auto"/>
            <w:vAlign w:val="bottom"/>
          </w:tcPr>
          <w:p w14:paraId="2DB39DFB" w14:textId="3F0DE3A9"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106</w:t>
            </w:r>
          </w:p>
        </w:tc>
        <w:tc>
          <w:tcPr>
            <w:tcW w:w="1238" w:type="dxa"/>
            <w:shd w:val="clear" w:color="auto" w:fill="auto"/>
            <w:vAlign w:val="bottom"/>
          </w:tcPr>
          <w:p w14:paraId="5EC07AA0" w14:textId="12E39866"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58</w:t>
            </w:r>
          </w:p>
        </w:tc>
      </w:tr>
      <w:tr w:rsidR="001859DB" w:rsidRPr="001859DB" w14:paraId="566206F5" w14:textId="77777777" w:rsidTr="001859DB">
        <w:tc>
          <w:tcPr>
            <w:tcW w:w="1238" w:type="dxa"/>
            <w:shd w:val="clear" w:color="auto" w:fill="auto"/>
          </w:tcPr>
          <w:p w14:paraId="7829B774" w14:textId="405A37E7" w:rsidR="001859DB" w:rsidRPr="001859DB" w:rsidRDefault="001859DB" w:rsidP="001859DB">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Sembrando Oportunidades</w:t>
            </w:r>
          </w:p>
        </w:tc>
        <w:tc>
          <w:tcPr>
            <w:tcW w:w="1238" w:type="dxa"/>
            <w:vMerge/>
            <w:shd w:val="clear" w:color="auto" w:fill="auto"/>
          </w:tcPr>
          <w:p w14:paraId="736FDD1E" w14:textId="77777777"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p>
        </w:tc>
        <w:tc>
          <w:tcPr>
            <w:tcW w:w="1238" w:type="dxa"/>
            <w:shd w:val="clear" w:color="auto" w:fill="auto"/>
            <w:vAlign w:val="bottom"/>
          </w:tcPr>
          <w:p w14:paraId="2582AB08" w14:textId="601F7142"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198</w:t>
            </w:r>
          </w:p>
        </w:tc>
        <w:tc>
          <w:tcPr>
            <w:tcW w:w="1238" w:type="dxa"/>
            <w:shd w:val="clear" w:color="auto" w:fill="auto"/>
            <w:vAlign w:val="bottom"/>
          </w:tcPr>
          <w:p w14:paraId="20E8115F" w14:textId="3148D0BC"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396</w:t>
            </w:r>
          </w:p>
        </w:tc>
        <w:tc>
          <w:tcPr>
            <w:tcW w:w="1238" w:type="dxa"/>
            <w:shd w:val="clear" w:color="auto" w:fill="auto"/>
            <w:vAlign w:val="bottom"/>
          </w:tcPr>
          <w:p w14:paraId="01EF3D96" w14:textId="517C9B61"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S/D</w:t>
            </w:r>
          </w:p>
        </w:tc>
        <w:tc>
          <w:tcPr>
            <w:tcW w:w="1238" w:type="dxa"/>
            <w:shd w:val="clear" w:color="auto" w:fill="auto"/>
            <w:vAlign w:val="bottom"/>
          </w:tcPr>
          <w:p w14:paraId="521A4F53" w14:textId="3461C556" w:rsidR="001859DB" w:rsidRPr="001859DB" w:rsidRDefault="001859DB" w:rsidP="001859DB">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S/D</w:t>
            </w:r>
          </w:p>
        </w:tc>
      </w:tr>
      <w:tr w:rsidR="001859DB" w:rsidRPr="001859DB" w14:paraId="615A0052" w14:textId="77777777" w:rsidTr="00B27D24">
        <w:tc>
          <w:tcPr>
            <w:tcW w:w="1238" w:type="dxa"/>
            <w:shd w:val="clear" w:color="auto" w:fill="auto"/>
            <w:vAlign w:val="bottom"/>
          </w:tcPr>
          <w:p w14:paraId="09B1D3C0" w14:textId="25DC39B4" w:rsidR="001859DB" w:rsidRPr="001859DB" w:rsidRDefault="001859DB" w:rsidP="00B27D24">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FONAVIS</w:t>
            </w:r>
          </w:p>
        </w:tc>
        <w:tc>
          <w:tcPr>
            <w:tcW w:w="1238" w:type="dxa"/>
            <w:shd w:val="clear" w:color="auto" w:fill="auto"/>
            <w:vAlign w:val="bottom"/>
          </w:tcPr>
          <w:p w14:paraId="06153210" w14:textId="0C9E707B" w:rsidR="001859DB" w:rsidRPr="001859DB" w:rsidRDefault="001859DB" w:rsidP="00B27D24">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Julio 2021 a Julio 2022</w:t>
            </w:r>
          </w:p>
        </w:tc>
        <w:tc>
          <w:tcPr>
            <w:tcW w:w="1238" w:type="dxa"/>
            <w:shd w:val="clear" w:color="auto" w:fill="auto"/>
            <w:vAlign w:val="bottom"/>
          </w:tcPr>
          <w:p w14:paraId="762E43F6" w14:textId="65408628"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1</w:t>
            </w:r>
            <w:r>
              <w:rPr>
                <w:sz w:val="17"/>
                <w:szCs w:val="17"/>
                <w:lang w:val="es-PY"/>
              </w:rPr>
              <w:t xml:space="preserve"> </w:t>
            </w:r>
            <w:r w:rsidRPr="001859DB">
              <w:rPr>
                <w:sz w:val="17"/>
                <w:szCs w:val="17"/>
                <w:lang w:val="es-PY"/>
              </w:rPr>
              <w:t>267</w:t>
            </w:r>
          </w:p>
        </w:tc>
        <w:tc>
          <w:tcPr>
            <w:tcW w:w="1238" w:type="dxa"/>
            <w:shd w:val="clear" w:color="auto" w:fill="auto"/>
            <w:vAlign w:val="bottom"/>
          </w:tcPr>
          <w:p w14:paraId="67F21E63" w14:textId="5C695BDA"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2</w:t>
            </w:r>
            <w:r>
              <w:rPr>
                <w:sz w:val="17"/>
                <w:szCs w:val="17"/>
                <w:lang w:val="es-PY"/>
              </w:rPr>
              <w:t xml:space="preserve"> </w:t>
            </w:r>
            <w:r w:rsidRPr="001859DB">
              <w:rPr>
                <w:sz w:val="17"/>
                <w:szCs w:val="17"/>
                <w:lang w:val="es-PY"/>
              </w:rPr>
              <w:t>000</w:t>
            </w:r>
          </w:p>
        </w:tc>
        <w:tc>
          <w:tcPr>
            <w:tcW w:w="1238" w:type="dxa"/>
            <w:shd w:val="clear" w:color="auto" w:fill="auto"/>
            <w:vAlign w:val="bottom"/>
          </w:tcPr>
          <w:p w14:paraId="4E84BD11" w14:textId="66D5AC79"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577</w:t>
            </w:r>
          </w:p>
        </w:tc>
        <w:tc>
          <w:tcPr>
            <w:tcW w:w="1238" w:type="dxa"/>
            <w:shd w:val="clear" w:color="auto" w:fill="auto"/>
            <w:vAlign w:val="bottom"/>
          </w:tcPr>
          <w:p w14:paraId="55560DBD" w14:textId="2E4693E5"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262</w:t>
            </w:r>
          </w:p>
        </w:tc>
      </w:tr>
      <w:tr w:rsidR="001859DB" w:rsidRPr="001859DB" w14:paraId="4C0E5360" w14:textId="77777777" w:rsidTr="00B27D24">
        <w:tc>
          <w:tcPr>
            <w:tcW w:w="1238" w:type="dxa"/>
            <w:shd w:val="clear" w:color="auto" w:fill="auto"/>
            <w:vAlign w:val="bottom"/>
          </w:tcPr>
          <w:p w14:paraId="54CB42DF" w14:textId="64A48E48" w:rsidR="001859DB" w:rsidRPr="001859DB" w:rsidRDefault="001859DB" w:rsidP="00B27D24">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FONAVIS</w:t>
            </w:r>
          </w:p>
        </w:tc>
        <w:tc>
          <w:tcPr>
            <w:tcW w:w="1238" w:type="dxa"/>
            <w:shd w:val="clear" w:color="auto" w:fill="auto"/>
            <w:vAlign w:val="bottom"/>
          </w:tcPr>
          <w:p w14:paraId="14D1533C" w14:textId="17F3550C" w:rsidR="001859DB" w:rsidRPr="001859DB" w:rsidRDefault="001859DB" w:rsidP="00B27D24">
            <w:pPr>
              <w:tabs>
                <w:tab w:val="left" w:pos="288"/>
                <w:tab w:val="left" w:pos="576"/>
                <w:tab w:val="left" w:pos="864"/>
                <w:tab w:val="left" w:pos="1152"/>
              </w:tabs>
              <w:spacing w:before="40" w:after="40" w:line="210" w:lineRule="exact"/>
              <w:ind w:right="43"/>
              <w:rPr>
                <w:sz w:val="17"/>
                <w:szCs w:val="17"/>
                <w:lang w:val="es-PY"/>
              </w:rPr>
            </w:pPr>
            <w:r w:rsidRPr="001859DB">
              <w:rPr>
                <w:sz w:val="17"/>
                <w:szCs w:val="17"/>
                <w:lang w:val="es-PY"/>
              </w:rPr>
              <w:t>Julio 2022 a Julio 2023</w:t>
            </w:r>
          </w:p>
        </w:tc>
        <w:tc>
          <w:tcPr>
            <w:tcW w:w="1238" w:type="dxa"/>
            <w:shd w:val="clear" w:color="auto" w:fill="auto"/>
            <w:vAlign w:val="bottom"/>
          </w:tcPr>
          <w:p w14:paraId="3D72DFB1" w14:textId="79006625"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5</w:t>
            </w:r>
            <w:r>
              <w:rPr>
                <w:sz w:val="17"/>
                <w:szCs w:val="17"/>
                <w:lang w:val="es-PY"/>
              </w:rPr>
              <w:t xml:space="preserve"> </w:t>
            </w:r>
            <w:r w:rsidRPr="001859DB">
              <w:rPr>
                <w:sz w:val="17"/>
                <w:szCs w:val="17"/>
                <w:lang w:val="es-PY"/>
              </w:rPr>
              <w:t>348</w:t>
            </w:r>
          </w:p>
        </w:tc>
        <w:tc>
          <w:tcPr>
            <w:tcW w:w="1238" w:type="dxa"/>
            <w:shd w:val="clear" w:color="auto" w:fill="auto"/>
            <w:vAlign w:val="bottom"/>
          </w:tcPr>
          <w:p w14:paraId="7AFC5A4C" w14:textId="165075A4"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8</w:t>
            </w:r>
            <w:r>
              <w:rPr>
                <w:sz w:val="17"/>
                <w:szCs w:val="17"/>
                <w:lang w:val="es-PY"/>
              </w:rPr>
              <w:t xml:space="preserve"> </w:t>
            </w:r>
            <w:r w:rsidRPr="001859DB">
              <w:rPr>
                <w:sz w:val="17"/>
                <w:szCs w:val="17"/>
                <w:lang w:val="es-PY"/>
              </w:rPr>
              <w:t>245</w:t>
            </w:r>
          </w:p>
        </w:tc>
        <w:tc>
          <w:tcPr>
            <w:tcW w:w="1238" w:type="dxa"/>
            <w:shd w:val="clear" w:color="auto" w:fill="auto"/>
            <w:vAlign w:val="bottom"/>
          </w:tcPr>
          <w:p w14:paraId="3E20FD03" w14:textId="3B06AEEE"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2747</w:t>
            </w:r>
          </w:p>
        </w:tc>
        <w:tc>
          <w:tcPr>
            <w:tcW w:w="1238" w:type="dxa"/>
            <w:shd w:val="clear" w:color="auto" w:fill="auto"/>
            <w:vAlign w:val="bottom"/>
          </w:tcPr>
          <w:p w14:paraId="1297290B" w14:textId="39FACCDE" w:rsidR="001859DB" w:rsidRPr="001859DB" w:rsidRDefault="001859DB" w:rsidP="00B27D24">
            <w:pPr>
              <w:tabs>
                <w:tab w:val="left" w:pos="288"/>
                <w:tab w:val="left" w:pos="576"/>
                <w:tab w:val="left" w:pos="864"/>
                <w:tab w:val="left" w:pos="1152"/>
              </w:tabs>
              <w:spacing w:before="40" w:after="40" w:line="210" w:lineRule="exact"/>
              <w:ind w:right="43"/>
              <w:jc w:val="right"/>
              <w:rPr>
                <w:sz w:val="17"/>
                <w:szCs w:val="17"/>
                <w:lang w:val="es-PY"/>
              </w:rPr>
            </w:pPr>
            <w:r w:rsidRPr="001859DB">
              <w:rPr>
                <w:sz w:val="17"/>
                <w:szCs w:val="17"/>
                <w:lang w:val="es-PY"/>
              </w:rPr>
              <w:t>1</w:t>
            </w:r>
            <w:r>
              <w:rPr>
                <w:sz w:val="17"/>
                <w:szCs w:val="17"/>
                <w:lang w:val="es-PY"/>
              </w:rPr>
              <w:t xml:space="preserve"> </w:t>
            </w:r>
            <w:r w:rsidRPr="001859DB">
              <w:rPr>
                <w:sz w:val="17"/>
                <w:szCs w:val="17"/>
                <w:lang w:val="es-PY"/>
              </w:rPr>
              <w:t>501</w:t>
            </w:r>
          </w:p>
        </w:tc>
      </w:tr>
      <w:tr w:rsidR="001859DB" w:rsidRPr="001859DB" w14:paraId="67F819E0" w14:textId="77777777" w:rsidTr="00B27D24">
        <w:tc>
          <w:tcPr>
            <w:tcW w:w="1238" w:type="dxa"/>
            <w:tcBorders>
              <w:bottom w:val="single" w:sz="4" w:space="0" w:color="auto"/>
            </w:tcBorders>
            <w:shd w:val="clear" w:color="auto" w:fill="auto"/>
            <w:vAlign w:val="bottom"/>
          </w:tcPr>
          <w:p w14:paraId="5CA1758C" w14:textId="4735F6F5" w:rsidR="001859DB" w:rsidRPr="001859DB" w:rsidRDefault="001859DB" w:rsidP="00B27D24">
            <w:pPr>
              <w:tabs>
                <w:tab w:val="left" w:pos="288"/>
                <w:tab w:val="left" w:pos="576"/>
                <w:tab w:val="left" w:pos="864"/>
                <w:tab w:val="left" w:pos="1152"/>
              </w:tabs>
              <w:spacing w:before="40" w:after="81" w:line="210" w:lineRule="exact"/>
              <w:ind w:right="43"/>
              <w:rPr>
                <w:sz w:val="17"/>
                <w:szCs w:val="17"/>
                <w:lang w:val="es-PY"/>
              </w:rPr>
            </w:pPr>
            <w:r w:rsidRPr="001859DB">
              <w:rPr>
                <w:sz w:val="17"/>
                <w:szCs w:val="17"/>
                <w:lang w:val="es-PY"/>
              </w:rPr>
              <w:t>FONAVIS</w:t>
            </w:r>
          </w:p>
        </w:tc>
        <w:tc>
          <w:tcPr>
            <w:tcW w:w="1238" w:type="dxa"/>
            <w:tcBorders>
              <w:bottom w:val="single" w:sz="4" w:space="0" w:color="auto"/>
            </w:tcBorders>
            <w:shd w:val="clear" w:color="auto" w:fill="auto"/>
            <w:vAlign w:val="bottom"/>
          </w:tcPr>
          <w:p w14:paraId="39275660" w14:textId="7C4FE433" w:rsidR="001859DB" w:rsidRPr="001859DB" w:rsidRDefault="001859DB" w:rsidP="00B27D24">
            <w:pPr>
              <w:tabs>
                <w:tab w:val="left" w:pos="288"/>
                <w:tab w:val="left" w:pos="576"/>
                <w:tab w:val="left" w:pos="864"/>
                <w:tab w:val="left" w:pos="1152"/>
              </w:tabs>
              <w:spacing w:before="40" w:after="81" w:line="210" w:lineRule="exact"/>
              <w:ind w:right="43"/>
              <w:rPr>
                <w:sz w:val="17"/>
                <w:szCs w:val="17"/>
                <w:lang w:val="es-PY"/>
              </w:rPr>
            </w:pPr>
            <w:r w:rsidRPr="001859DB">
              <w:rPr>
                <w:sz w:val="17"/>
                <w:szCs w:val="17"/>
                <w:lang w:val="es-PY"/>
              </w:rPr>
              <w:t>Agosto 2023 a Diciembre 2023</w:t>
            </w:r>
          </w:p>
        </w:tc>
        <w:tc>
          <w:tcPr>
            <w:tcW w:w="1238" w:type="dxa"/>
            <w:tcBorders>
              <w:bottom w:val="single" w:sz="4" w:space="0" w:color="auto"/>
            </w:tcBorders>
            <w:shd w:val="clear" w:color="auto" w:fill="auto"/>
            <w:vAlign w:val="bottom"/>
          </w:tcPr>
          <w:p w14:paraId="35296489" w14:textId="330EDF49" w:rsidR="001859DB" w:rsidRPr="001859DB" w:rsidRDefault="001859DB" w:rsidP="00B27D24">
            <w:pPr>
              <w:tabs>
                <w:tab w:val="left" w:pos="288"/>
                <w:tab w:val="left" w:pos="576"/>
                <w:tab w:val="left" w:pos="864"/>
                <w:tab w:val="left" w:pos="1152"/>
              </w:tabs>
              <w:spacing w:before="40" w:after="81" w:line="210" w:lineRule="exact"/>
              <w:ind w:right="43"/>
              <w:jc w:val="right"/>
              <w:rPr>
                <w:sz w:val="17"/>
                <w:szCs w:val="17"/>
                <w:lang w:val="es-PY"/>
              </w:rPr>
            </w:pPr>
            <w:r w:rsidRPr="001859DB">
              <w:rPr>
                <w:sz w:val="17"/>
                <w:szCs w:val="17"/>
                <w:lang w:val="es-PY"/>
              </w:rPr>
              <w:t>1</w:t>
            </w:r>
            <w:r>
              <w:rPr>
                <w:sz w:val="17"/>
                <w:szCs w:val="17"/>
                <w:lang w:val="es-PY"/>
              </w:rPr>
              <w:t xml:space="preserve"> </w:t>
            </w:r>
            <w:r w:rsidRPr="001859DB">
              <w:rPr>
                <w:sz w:val="17"/>
                <w:szCs w:val="17"/>
                <w:lang w:val="es-PY"/>
              </w:rPr>
              <w:t>658</w:t>
            </w:r>
          </w:p>
        </w:tc>
        <w:tc>
          <w:tcPr>
            <w:tcW w:w="1238" w:type="dxa"/>
            <w:tcBorders>
              <w:bottom w:val="single" w:sz="4" w:space="0" w:color="auto"/>
            </w:tcBorders>
            <w:shd w:val="clear" w:color="auto" w:fill="auto"/>
            <w:vAlign w:val="bottom"/>
          </w:tcPr>
          <w:p w14:paraId="1002B670" w14:textId="6B87058D" w:rsidR="001859DB" w:rsidRPr="001859DB" w:rsidRDefault="001859DB" w:rsidP="00B27D24">
            <w:pPr>
              <w:tabs>
                <w:tab w:val="left" w:pos="288"/>
                <w:tab w:val="left" w:pos="576"/>
                <w:tab w:val="left" w:pos="864"/>
                <w:tab w:val="left" w:pos="1152"/>
              </w:tabs>
              <w:spacing w:before="40" w:after="81" w:line="210" w:lineRule="exact"/>
              <w:ind w:right="43"/>
              <w:jc w:val="right"/>
              <w:rPr>
                <w:sz w:val="17"/>
                <w:szCs w:val="17"/>
                <w:lang w:val="es-PY"/>
              </w:rPr>
            </w:pPr>
            <w:r w:rsidRPr="001859DB">
              <w:rPr>
                <w:sz w:val="17"/>
                <w:szCs w:val="17"/>
                <w:lang w:val="es-PY"/>
              </w:rPr>
              <w:t>2</w:t>
            </w:r>
            <w:r>
              <w:rPr>
                <w:sz w:val="17"/>
                <w:szCs w:val="17"/>
                <w:lang w:val="es-PY"/>
              </w:rPr>
              <w:t xml:space="preserve"> </w:t>
            </w:r>
            <w:r w:rsidRPr="001859DB">
              <w:rPr>
                <w:sz w:val="17"/>
                <w:szCs w:val="17"/>
                <w:lang w:val="es-PY"/>
              </w:rPr>
              <w:t>426</w:t>
            </w:r>
          </w:p>
        </w:tc>
        <w:tc>
          <w:tcPr>
            <w:tcW w:w="1238" w:type="dxa"/>
            <w:tcBorders>
              <w:bottom w:val="single" w:sz="4" w:space="0" w:color="auto"/>
            </w:tcBorders>
            <w:shd w:val="clear" w:color="auto" w:fill="auto"/>
            <w:vAlign w:val="bottom"/>
          </w:tcPr>
          <w:p w14:paraId="531D91EC" w14:textId="5E092906" w:rsidR="001859DB" w:rsidRPr="001859DB" w:rsidRDefault="001859DB" w:rsidP="00B27D24">
            <w:pPr>
              <w:tabs>
                <w:tab w:val="left" w:pos="288"/>
                <w:tab w:val="left" w:pos="576"/>
                <w:tab w:val="left" w:pos="864"/>
                <w:tab w:val="left" w:pos="1152"/>
              </w:tabs>
              <w:spacing w:before="40" w:after="81" w:line="210" w:lineRule="exact"/>
              <w:ind w:right="43"/>
              <w:jc w:val="right"/>
              <w:rPr>
                <w:sz w:val="17"/>
                <w:szCs w:val="17"/>
                <w:lang w:val="es-PY"/>
              </w:rPr>
            </w:pPr>
            <w:r w:rsidRPr="001859DB">
              <w:rPr>
                <w:sz w:val="17"/>
                <w:szCs w:val="17"/>
                <w:lang w:val="es-PY"/>
              </w:rPr>
              <w:t>922</w:t>
            </w:r>
          </w:p>
        </w:tc>
        <w:tc>
          <w:tcPr>
            <w:tcW w:w="1238" w:type="dxa"/>
            <w:tcBorders>
              <w:bottom w:val="single" w:sz="4" w:space="0" w:color="auto"/>
            </w:tcBorders>
            <w:shd w:val="clear" w:color="auto" w:fill="auto"/>
            <w:vAlign w:val="bottom"/>
          </w:tcPr>
          <w:p w14:paraId="3073DD28" w14:textId="2077BEA5" w:rsidR="001859DB" w:rsidRPr="001859DB" w:rsidRDefault="001859DB" w:rsidP="00B27D24">
            <w:pPr>
              <w:tabs>
                <w:tab w:val="left" w:pos="288"/>
                <w:tab w:val="left" w:pos="576"/>
                <w:tab w:val="left" w:pos="864"/>
                <w:tab w:val="left" w:pos="1152"/>
              </w:tabs>
              <w:spacing w:before="40" w:after="81" w:line="210" w:lineRule="exact"/>
              <w:ind w:right="43"/>
              <w:jc w:val="right"/>
              <w:rPr>
                <w:sz w:val="17"/>
                <w:szCs w:val="17"/>
                <w:lang w:val="es-PY"/>
              </w:rPr>
            </w:pPr>
            <w:r w:rsidRPr="001859DB">
              <w:rPr>
                <w:sz w:val="17"/>
                <w:szCs w:val="17"/>
                <w:lang w:val="es-PY"/>
              </w:rPr>
              <w:t>452</w:t>
            </w:r>
          </w:p>
        </w:tc>
      </w:tr>
      <w:tr w:rsidR="001859DB" w:rsidRPr="001859DB" w14:paraId="430A8714" w14:textId="77777777" w:rsidTr="000360F1">
        <w:tc>
          <w:tcPr>
            <w:tcW w:w="1238" w:type="dxa"/>
            <w:tcBorders>
              <w:top w:val="single" w:sz="4" w:space="0" w:color="auto"/>
              <w:bottom w:val="single" w:sz="12" w:space="0" w:color="auto"/>
            </w:tcBorders>
            <w:shd w:val="clear" w:color="auto" w:fill="auto"/>
          </w:tcPr>
          <w:p w14:paraId="43FD2563" w14:textId="64CDCA72" w:rsidR="001859DB" w:rsidRPr="001859DB" w:rsidRDefault="001859DB" w:rsidP="001859DB">
            <w:pPr>
              <w:tabs>
                <w:tab w:val="left" w:pos="288"/>
                <w:tab w:val="left" w:pos="576"/>
                <w:tab w:val="left" w:pos="864"/>
                <w:tab w:val="left" w:pos="1152"/>
              </w:tabs>
              <w:spacing w:before="81" w:after="81" w:line="210" w:lineRule="exact"/>
              <w:ind w:right="40"/>
              <w:rPr>
                <w:b/>
                <w:sz w:val="17"/>
                <w:lang w:val="es-PY"/>
              </w:rPr>
            </w:pPr>
            <w:r w:rsidRPr="001859DB">
              <w:rPr>
                <w:b/>
                <w:sz w:val="17"/>
                <w:szCs w:val="17"/>
                <w:lang w:val="es-PY"/>
              </w:rPr>
              <w:tab/>
              <w:t>Total</w:t>
            </w:r>
          </w:p>
        </w:tc>
        <w:tc>
          <w:tcPr>
            <w:tcW w:w="1238" w:type="dxa"/>
            <w:tcBorders>
              <w:top w:val="single" w:sz="4" w:space="0" w:color="auto"/>
              <w:bottom w:val="single" w:sz="12" w:space="0" w:color="auto"/>
            </w:tcBorders>
            <w:shd w:val="clear" w:color="auto" w:fill="auto"/>
          </w:tcPr>
          <w:p w14:paraId="61902885" w14:textId="63280E18" w:rsidR="001859DB" w:rsidRPr="001859DB" w:rsidRDefault="001859DB" w:rsidP="001859DB">
            <w:pPr>
              <w:tabs>
                <w:tab w:val="left" w:pos="288"/>
                <w:tab w:val="left" w:pos="576"/>
                <w:tab w:val="left" w:pos="864"/>
                <w:tab w:val="left" w:pos="1152"/>
              </w:tabs>
              <w:spacing w:before="81" w:after="81" w:line="210" w:lineRule="exact"/>
              <w:ind w:right="40"/>
              <w:jc w:val="right"/>
              <w:rPr>
                <w:b/>
                <w:sz w:val="17"/>
                <w:lang w:val="es-PY"/>
              </w:rPr>
            </w:pPr>
          </w:p>
        </w:tc>
        <w:tc>
          <w:tcPr>
            <w:tcW w:w="1238" w:type="dxa"/>
            <w:tcBorders>
              <w:top w:val="single" w:sz="4" w:space="0" w:color="auto"/>
              <w:bottom w:val="single" w:sz="12" w:space="0" w:color="auto"/>
            </w:tcBorders>
            <w:shd w:val="clear" w:color="auto" w:fill="auto"/>
          </w:tcPr>
          <w:p w14:paraId="726F632F" w14:textId="47022FFD" w:rsidR="001859DB" w:rsidRPr="001859DB" w:rsidRDefault="001859DB" w:rsidP="001859DB">
            <w:pPr>
              <w:tabs>
                <w:tab w:val="left" w:pos="288"/>
                <w:tab w:val="left" w:pos="576"/>
                <w:tab w:val="left" w:pos="864"/>
                <w:tab w:val="left" w:pos="1152"/>
              </w:tabs>
              <w:spacing w:before="81" w:after="81" w:line="210" w:lineRule="exact"/>
              <w:ind w:right="40"/>
              <w:jc w:val="right"/>
              <w:rPr>
                <w:b/>
                <w:sz w:val="17"/>
                <w:lang w:val="es-PY"/>
              </w:rPr>
            </w:pPr>
            <w:r w:rsidRPr="001859DB">
              <w:rPr>
                <w:b/>
                <w:sz w:val="17"/>
                <w:szCs w:val="17"/>
                <w:lang w:val="es-PY"/>
              </w:rPr>
              <w:t>9</w:t>
            </w:r>
            <w:r>
              <w:rPr>
                <w:b/>
                <w:sz w:val="17"/>
                <w:szCs w:val="17"/>
                <w:lang w:val="es-PY"/>
              </w:rPr>
              <w:t xml:space="preserve"> </w:t>
            </w:r>
            <w:r w:rsidRPr="001859DB">
              <w:rPr>
                <w:b/>
                <w:sz w:val="17"/>
                <w:szCs w:val="17"/>
                <w:lang w:val="es-PY"/>
              </w:rPr>
              <w:t>305</w:t>
            </w:r>
          </w:p>
        </w:tc>
        <w:tc>
          <w:tcPr>
            <w:tcW w:w="1238" w:type="dxa"/>
            <w:tcBorders>
              <w:top w:val="single" w:sz="4" w:space="0" w:color="auto"/>
              <w:bottom w:val="single" w:sz="12" w:space="0" w:color="auto"/>
            </w:tcBorders>
            <w:shd w:val="clear" w:color="auto" w:fill="auto"/>
          </w:tcPr>
          <w:p w14:paraId="363CFF5B" w14:textId="5152E4EA" w:rsidR="001859DB" w:rsidRPr="001859DB" w:rsidRDefault="001859DB" w:rsidP="001859DB">
            <w:pPr>
              <w:tabs>
                <w:tab w:val="left" w:pos="288"/>
                <w:tab w:val="left" w:pos="576"/>
                <w:tab w:val="left" w:pos="864"/>
                <w:tab w:val="left" w:pos="1152"/>
              </w:tabs>
              <w:spacing w:before="81" w:after="81" w:line="210" w:lineRule="exact"/>
              <w:ind w:right="40"/>
              <w:jc w:val="right"/>
              <w:rPr>
                <w:b/>
                <w:sz w:val="17"/>
                <w:lang w:val="es-PY"/>
              </w:rPr>
            </w:pPr>
            <w:r w:rsidRPr="001859DB">
              <w:rPr>
                <w:b/>
                <w:sz w:val="17"/>
                <w:szCs w:val="17"/>
                <w:lang w:val="es-PY"/>
              </w:rPr>
              <w:t>13 067</w:t>
            </w:r>
          </w:p>
        </w:tc>
        <w:tc>
          <w:tcPr>
            <w:tcW w:w="1238" w:type="dxa"/>
            <w:tcBorders>
              <w:top w:val="single" w:sz="4" w:space="0" w:color="auto"/>
              <w:bottom w:val="single" w:sz="12" w:space="0" w:color="auto"/>
            </w:tcBorders>
            <w:shd w:val="clear" w:color="auto" w:fill="auto"/>
          </w:tcPr>
          <w:p w14:paraId="5D1D1482" w14:textId="7424CDD4" w:rsidR="001859DB" w:rsidRPr="001859DB" w:rsidRDefault="001859DB" w:rsidP="001859DB">
            <w:pPr>
              <w:tabs>
                <w:tab w:val="left" w:pos="288"/>
                <w:tab w:val="left" w:pos="576"/>
                <w:tab w:val="left" w:pos="864"/>
                <w:tab w:val="left" w:pos="1152"/>
              </w:tabs>
              <w:spacing w:before="81" w:after="81" w:line="210" w:lineRule="exact"/>
              <w:ind w:right="40"/>
              <w:jc w:val="right"/>
              <w:rPr>
                <w:b/>
                <w:sz w:val="17"/>
                <w:lang w:val="es-PY"/>
              </w:rPr>
            </w:pPr>
            <w:r w:rsidRPr="001859DB">
              <w:rPr>
                <w:b/>
                <w:sz w:val="17"/>
                <w:szCs w:val="17"/>
                <w:lang w:val="es-PY"/>
              </w:rPr>
              <w:t>4 712</w:t>
            </w:r>
          </w:p>
        </w:tc>
        <w:tc>
          <w:tcPr>
            <w:tcW w:w="1238" w:type="dxa"/>
            <w:tcBorders>
              <w:top w:val="single" w:sz="4" w:space="0" w:color="auto"/>
              <w:bottom w:val="single" w:sz="12" w:space="0" w:color="auto"/>
            </w:tcBorders>
            <w:shd w:val="clear" w:color="auto" w:fill="auto"/>
          </w:tcPr>
          <w:p w14:paraId="3FA89FE2" w14:textId="42F942A4" w:rsidR="001859DB" w:rsidRPr="001859DB" w:rsidRDefault="001859DB" w:rsidP="001859DB">
            <w:pPr>
              <w:tabs>
                <w:tab w:val="left" w:pos="288"/>
                <w:tab w:val="left" w:pos="576"/>
                <w:tab w:val="left" w:pos="864"/>
                <w:tab w:val="left" w:pos="1152"/>
              </w:tabs>
              <w:spacing w:before="81" w:after="81" w:line="210" w:lineRule="exact"/>
              <w:ind w:right="40"/>
              <w:jc w:val="right"/>
              <w:rPr>
                <w:b/>
                <w:sz w:val="17"/>
                <w:lang w:val="es-PY"/>
              </w:rPr>
            </w:pPr>
            <w:r w:rsidRPr="001859DB">
              <w:rPr>
                <w:b/>
                <w:sz w:val="17"/>
                <w:szCs w:val="17"/>
                <w:lang w:val="es-PY"/>
              </w:rPr>
              <w:t>2 394</w:t>
            </w:r>
          </w:p>
        </w:tc>
      </w:tr>
    </w:tbl>
    <w:p w14:paraId="71E76F40" w14:textId="77777777" w:rsidR="001859DB" w:rsidRPr="001859DB" w:rsidRDefault="001859DB" w:rsidP="001859DB">
      <w:pPr>
        <w:pStyle w:val="SingleTxt"/>
        <w:spacing w:after="0" w:line="120" w:lineRule="exact"/>
        <w:rPr>
          <w:sz w:val="10"/>
          <w:lang w:val="es-PY"/>
        </w:rPr>
      </w:pPr>
    </w:p>
    <w:p w14:paraId="63141479" w14:textId="77777777" w:rsidR="001859DB" w:rsidRPr="001859DB" w:rsidRDefault="001859DB" w:rsidP="001859DB">
      <w:pPr>
        <w:pStyle w:val="SingleTxt"/>
        <w:spacing w:after="0" w:line="120" w:lineRule="exact"/>
        <w:rPr>
          <w:sz w:val="10"/>
          <w:lang w:val="es-PY"/>
        </w:rPr>
      </w:pPr>
    </w:p>
    <w:p w14:paraId="344C6B7F" w14:textId="079EC177" w:rsidR="00583FBD" w:rsidRPr="00B64C1B" w:rsidRDefault="00583FBD" w:rsidP="001859DB">
      <w:pPr>
        <w:pStyle w:val="SingleTxt"/>
        <w:numPr>
          <w:ilvl w:val="0"/>
          <w:numId w:val="49"/>
        </w:numPr>
        <w:ind w:left="1267"/>
        <w:rPr>
          <w:lang w:val="es-PY"/>
        </w:rPr>
      </w:pPr>
      <w:r w:rsidRPr="00B64C1B">
        <w:rPr>
          <w:lang w:val="es-PY"/>
        </w:rPr>
        <w:t>Se han incorporado indicadores de género en el Censo Agropecuario Nacional, lo que permitirá un análisis más detallado de la situación de las mujeres en el sector agrario y rural.</w:t>
      </w:r>
    </w:p>
    <w:p w14:paraId="72C4B3C9" w14:textId="02EF25B0" w:rsidR="00583FBD" w:rsidRPr="00B64C1B" w:rsidRDefault="00583FBD" w:rsidP="001859DB">
      <w:pPr>
        <w:pStyle w:val="SingleTxt"/>
        <w:numPr>
          <w:ilvl w:val="0"/>
          <w:numId w:val="49"/>
        </w:numPr>
        <w:ind w:left="1267"/>
        <w:rPr>
          <w:lang w:val="es-PY"/>
        </w:rPr>
      </w:pPr>
      <w:r w:rsidRPr="00B64C1B">
        <w:rPr>
          <w:lang w:val="es-PY"/>
        </w:rPr>
        <w:t xml:space="preserve">El Ministerio del Ambiente y Desarrollo Sostenible (MADES) ha implementado una estrategia que incorpora el enfoque de género en la planificación de políticas y acciones para abordar el cambio climático. Esto incluye la evaluación de igualdad de oportunidades entre hombres y mujeres, con un enfoque de interculturalidad, en los proyectos diseñados por el ministerio. En ese marco, implementa la </w:t>
      </w:r>
      <w:r w:rsidR="00F019B7">
        <w:rPr>
          <w:lang w:val="es-PY"/>
        </w:rPr>
        <w:t>“</w:t>
      </w:r>
      <w:r w:rsidRPr="00B64C1B">
        <w:rPr>
          <w:lang w:val="es-PY"/>
        </w:rPr>
        <w:t xml:space="preserve">Plataforma de Mujeres Líderes de la Cadena Productiva de </w:t>
      </w:r>
      <w:proofErr w:type="spellStart"/>
      <w:r w:rsidRPr="00B64C1B">
        <w:rPr>
          <w:lang w:val="es-PY"/>
        </w:rPr>
        <w:t>Commodities</w:t>
      </w:r>
      <w:proofErr w:type="spellEnd"/>
      <w:r w:rsidRPr="00B64C1B">
        <w:rPr>
          <w:lang w:val="es-PY"/>
        </w:rPr>
        <w:t xml:space="preserve"> Sustentables</w:t>
      </w:r>
      <w:r w:rsidR="00F019B7">
        <w:rPr>
          <w:lang w:val="es-PY"/>
        </w:rPr>
        <w:t>”</w:t>
      </w:r>
      <w:r w:rsidRPr="00B64C1B">
        <w:rPr>
          <w:lang w:val="es-PY"/>
        </w:rPr>
        <w:t xml:space="preserve"> con el objetivo de promover la participación efectiva de mujeres líderes en espacios de diálogo, planificación y toma de decisiones en la cadena productiva de la soja y la carne.</w:t>
      </w:r>
    </w:p>
    <w:p w14:paraId="7F321F40" w14:textId="57257484" w:rsidR="00583FBD" w:rsidRPr="00B64C1B" w:rsidRDefault="00583FBD" w:rsidP="001859DB">
      <w:pPr>
        <w:pStyle w:val="SingleTxt"/>
        <w:numPr>
          <w:ilvl w:val="0"/>
          <w:numId w:val="49"/>
        </w:numPr>
        <w:ind w:left="1267"/>
        <w:rPr>
          <w:lang w:val="es-PY"/>
        </w:rPr>
      </w:pPr>
      <w:r w:rsidRPr="00B64C1B">
        <w:rPr>
          <w:lang w:val="es-PY"/>
        </w:rPr>
        <w:t>El MADES implementa el Plan Nacional de Género ante el Cambio Climático del Paraguay (PNGCC) al 2030, que establece medidas y acciones para abordar las cuestiones de género en el contexto del cambio climático, incluyendo aspectos relacionados con la agricultura y el uso de productos fitosanitarios.</w:t>
      </w:r>
    </w:p>
    <w:p w14:paraId="40E5D68E" w14:textId="52F3C830" w:rsidR="00583FBD" w:rsidRPr="00B64C1B" w:rsidRDefault="00583FBD" w:rsidP="001859DB">
      <w:pPr>
        <w:pStyle w:val="SingleTxt"/>
        <w:numPr>
          <w:ilvl w:val="0"/>
          <w:numId w:val="49"/>
        </w:numPr>
        <w:ind w:left="1267"/>
        <w:rPr>
          <w:lang w:val="es-PY"/>
        </w:rPr>
      </w:pPr>
      <w:r w:rsidRPr="00B64C1B">
        <w:rPr>
          <w:lang w:val="es-PY"/>
        </w:rPr>
        <w:t>El MP, desarrolla trabajos coordinados entre la Fiscalía Adjunta y agentes fiscales Especializados de Delitos Ambientales y la Dirección de Delitos Ambientales. Las Unidades Especializadas trabajan principalmente sobre 5 ejes: agua, suelo, bosque, biodiversidad y aire, e intervienen fundamentalmente en hechos punibles tipificados como: Procesamiento ilícito de desechos, Contaminación del aire, Ensuciamiento y alteración de las aguas, Obras hidráulicas que alteren fuentes o cursos de agua, Maltrato de suelos, Infracción a la Ley de Pesca, Infracción a la Ley de Vida Silvestre, Tala o quema de bosques, Tráfico o comercialización ilegal de productos forestales y polución sonora. Durante el año 2023, la Unidad Especializada recaudó más de 585 millones de guaraníes en concepto de reparación del daño social.</w:t>
      </w:r>
    </w:p>
    <w:p w14:paraId="4C64EC9D" w14:textId="5DD448A9" w:rsidR="001859DB" w:rsidRDefault="00583FBD" w:rsidP="001859DB">
      <w:pPr>
        <w:pStyle w:val="SingleTxt"/>
        <w:numPr>
          <w:ilvl w:val="0"/>
          <w:numId w:val="49"/>
        </w:numPr>
        <w:ind w:left="1267"/>
        <w:rPr>
          <w:lang w:val="es-PY"/>
        </w:rPr>
      </w:pPr>
      <w:r w:rsidRPr="00B64C1B">
        <w:rPr>
          <w:lang w:val="es-PY"/>
        </w:rPr>
        <w:t>El MEC cuenta con el Protocolo para protección de instituciones educativas ante riesgo de fumigación e intoxicación por pesticidas. El documento establece cuatro fases: de prevención, preparatoria, de respuesta y de comunicación-intervención y cuenta, además con formularios de evaluación de riesgo y de reporte de evento</w:t>
      </w:r>
      <w:r w:rsidRPr="00B64C1B">
        <w:rPr>
          <w:vertAlign w:val="superscript"/>
          <w:lang w:val="es-PY"/>
        </w:rPr>
        <w:footnoteReference w:id="111"/>
      </w:r>
      <w:r w:rsidRPr="00B64C1B">
        <w:rPr>
          <w:lang w:val="es-PY"/>
        </w:rPr>
        <w:t>.</w:t>
      </w:r>
    </w:p>
    <w:p w14:paraId="1F89B0E3" w14:textId="77777777" w:rsidR="001859DB" w:rsidRDefault="001859DB" w:rsidP="001859DB">
      <w:pPr>
        <w:pStyle w:val="SingleTxt"/>
        <w:rPr>
          <w:lang w:val="es-PY"/>
        </w:rPr>
      </w:pPr>
    </w:p>
    <w:p w14:paraId="56D61382" w14:textId="55031E30" w:rsidR="00583FBD" w:rsidRPr="00B64C1B" w:rsidRDefault="00583FBD" w:rsidP="0018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lastRenderedPageBreak/>
        <w:tab/>
      </w:r>
      <w:r>
        <w:rPr>
          <w:lang w:val="es-PY"/>
        </w:rPr>
        <w:tab/>
      </w:r>
      <w:r w:rsidRPr="00B64C1B">
        <w:rPr>
          <w:lang w:val="es-PY"/>
        </w:rPr>
        <w:t>Adolescentes</w:t>
      </w:r>
    </w:p>
    <w:p w14:paraId="3C12AF25" w14:textId="77777777" w:rsidR="001859DB" w:rsidRPr="001859DB" w:rsidRDefault="001859DB" w:rsidP="001859DB">
      <w:pPr>
        <w:pStyle w:val="SingleTxtG"/>
        <w:spacing w:after="0" w:line="120" w:lineRule="exact"/>
        <w:rPr>
          <w:bCs/>
          <w:sz w:val="10"/>
          <w:lang w:val="es-PY"/>
        </w:rPr>
      </w:pPr>
    </w:p>
    <w:p w14:paraId="30F0A75C" w14:textId="77777777" w:rsidR="001859DB" w:rsidRPr="001859DB" w:rsidRDefault="001859DB" w:rsidP="001859DB">
      <w:pPr>
        <w:pStyle w:val="SingleTxtG"/>
        <w:spacing w:after="0" w:line="120" w:lineRule="exact"/>
        <w:rPr>
          <w:bCs/>
          <w:sz w:val="10"/>
          <w:lang w:val="es-PY"/>
        </w:rPr>
      </w:pPr>
    </w:p>
    <w:p w14:paraId="6DB73F36" w14:textId="5309E206" w:rsidR="00583FBD" w:rsidRPr="00B64C1B" w:rsidRDefault="00583FBD" w:rsidP="001859DB">
      <w:pPr>
        <w:pStyle w:val="SingleTxt"/>
        <w:numPr>
          <w:ilvl w:val="0"/>
          <w:numId w:val="49"/>
        </w:numPr>
        <w:tabs>
          <w:tab w:val="num" w:pos="2804"/>
        </w:tabs>
        <w:ind w:left="1267"/>
        <w:rPr>
          <w:lang w:val="es-PY"/>
        </w:rPr>
      </w:pPr>
      <w:r w:rsidRPr="00B64C1B">
        <w:rPr>
          <w:lang w:val="es-PY"/>
        </w:rPr>
        <w:t>El Día Mundial de Prevención del Embarazo no Intencional en Adolescentes es una campaña educativa que tiene como objetivo principal crear conciencia entre los jóvenes, de tal manera que conozcan los cuidados de su salud y puedan tomar decisiones informadas sobre la misma, con énfasis en la salud sexual y reproductiva, con el fin de prevenir el embarazo no intencional y las infecciones de transmisión sexual.</w:t>
      </w:r>
    </w:p>
    <w:p w14:paraId="2A00E46B" w14:textId="45632F6C" w:rsidR="00583FBD" w:rsidRPr="00B64C1B" w:rsidRDefault="00583FBD" w:rsidP="001859DB">
      <w:pPr>
        <w:pStyle w:val="SingleTxt"/>
        <w:numPr>
          <w:ilvl w:val="0"/>
          <w:numId w:val="49"/>
        </w:numPr>
        <w:tabs>
          <w:tab w:val="num" w:pos="2804"/>
        </w:tabs>
        <w:ind w:left="1267"/>
        <w:rPr>
          <w:lang w:val="es-PY"/>
        </w:rPr>
      </w:pPr>
      <w:r w:rsidRPr="00B64C1B">
        <w:rPr>
          <w:lang w:val="es-PY"/>
        </w:rPr>
        <w:t>El Sistema de Salud Pública cuenta actualmente con espacios de Atención de Salud Integral del Adolescente, donde se ofrecen servicios exclusivos a personas de entre 10 a 19 años de edad, además de los establecimientos que también implementan este modelo de atención para los casos que así lo requieren. El servicio para adolescentes en las USF y hospitales busca optimizar los trabajos enfocados en la población joven, abordando proyectos de vida, salud mental, prevención de enfermedades y promoción de hábitos saludables. Igualmente, se brindan atenciones en pediatría, psicología, nutrición, vacunación, consejería, asesoría jurídica, ginecología, obstetricia y otros más. Los servicios de salud para adolescentes, como los consultorios de atención integral, proponen un mecanismo para lograr una atención multidisciplinaria, con un fuerte énfasis en estrategias de promoción de la salud y prevención de enfermedades. Con este mecanismo, se concreta una evaluación más integral, donde el ambiente, el trato amigable y la confidencialidad son condiciones esenciales.</w:t>
      </w:r>
    </w:p>
    <w:p w14:paraId="7F47A2A0" w14:textId="091F1961" w:rsidR="00583FBD" w:rsidRPr="00B64C1B" w:rsidRDefault="00583FBD" w:rsidP="001859DB">
      <w:pPr>
        <w:pStyle w:val="SingleTxt"/>
        <w:numPr>
          <w:ilvl w:val="0"/>
          <w:numId w:val="49"/>
        </w:numPr>
        <w:tabs>
          <w:tab w:val="num" w:pos="2804"/>
        </w:tabs>
        <w:ind w:left="1267"/>
        <w:rPr>
          <w:lang w:val="es-PY"/>
        </w:rPr>
      </w:pPr>
      <w:r w:rsidRPr="00B64C1B">
        <w:rPr>
          <w:lang w:val="es-PY"/>
        </w:rPr>
        <w:t>La reorganización de los establecimientos de salud, a través de servicios para adolescentes, es parte de la política de salud, enmarcada en el Plan Nacional de Salud del Adolescente, para ofrecer una atención más integral y específica.</w:t>
      </w:r>
      <w:r w:rsidRPr="00B64C1B">
        <w:rPr>
          <w:lang w:val="es-PY"/>
        </w:rPr>
        <w:t> </w:t>
      </w:r>
      <w:r w:rsidRPr="00B64C1B">
        <w:rPr>
          <w:lang w:val="es-PY"/>
        </w:rPr>
        <w:t>Ver Directorio de Servicio de Atención Integral para Adolescentes</w:t>
      </w:r>
      <w:r w:rsidRPr="00B64C1B">
        <w:rPr>
          <w:vertAlign w:val="superscript"/>
          <w:lang w:val="es-PY"/>
        </w:rPr>
        <w:footnoteReference w:id="112"/>
      </w:r>
      <w:r w:rsidRPr="00B64C1B">
        <w:rPr>
          <w:lang w:val="es-PY"/>
        </w:rPr>
        <w:t>.</w:t>
      </w:r>
    </w:p>
    <w:p w14:paraId="7A36D872" w14:textId="091D5B3C" w:rsidR="00583FBD" w:rsidRPr="00B64C1B" w:rsidRDefault="00583FBD" w:rsidP="001859DB">
      <w:pPr>
        <w:pStyle w:val="SingleTxt"/>
        <w:numPr>
          <w:ilvl w:val="0"/>
          <w:numId w:val="49"/>
        </w:numPr>
        <w:tabs>
          <w:tab w:val="num" w:pos="2804"/>
        </w:tabs>
        <w:ind w:left="1267"/>
        <w:rPr>
          <w:lang w:val="es-PY"/>
        </w:rPr>
      </w:pPr>
      <w:r w:rsidRPr="00B64C1B">
        <w:rPr>
          <w:lang w:val="es-PY"/>
        </w:rPr>
        <w:t>La Unidad Especializada en la Lucha Contra la Trata de Personas y Explotación Sexual de Niños, Niñas y Adolescentes del MP, en coordinación con el Centro de Entrenamiento y las Fiscalías Adjuntas, realizó talleres de capacitación y sensibilización a funcionarios del MP. Asimismo, realiza charlas y talleres de sensibilización en escuelas y colegios sobre pornografía infantil y trata de personas.</w:t>
      </w:r>
    </w:p>
    <w:p w14:paraId="10046766" w14:textId="77777777" w:rsidR="001859DB" w:rsidRPr="001859DB" w:rsidRDefault="001859DB" w:rsidP="001859DB">
      <w:pPr>
        <w:pStyle w:val="SingleTxt"/>
        <w:spacing w:after="0" w:line="120" w:lineRule="exact"/>
        <w:rPr>
          <w:sz w:val="10"/>
          <w:lang w:val="es-PY"/>
        </w:rPr>
      </w:pPr>
    </w:p>
    <w:p w14:paraId="4A5005C4" w14:textId="77777777" w:rsidR="001859DB" w:rsidRPr="001859DB" w:rsidRDefault="001859DB" w:rsidP="001859DB">
      <w:pPr>
        <w:pStyle w:val="SingleTxt"/>
        <w:spacing w:after="0" w:line="120" w:lineRule="exact"/>
        <w:rPr>
          <w:sz w:val="10"/>
          <w:lang w:val="es-PY"/>
        </w:rPr>
      </w:pPr>
    </w:p>
    <w:p w14:paraId="251A853A" w14:textId="13FF759F" w:rsidR="00583FBD" w:rsidRPr="00B64C1B" w:rsidRDefault="00583FBD" w:rsidP="0018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Mujeres reclusas</w:t>
      </w:r>
    </w:p>
    <w:p w14:paraId="5B0A8707" w14:textId="77777777" w:rsidR="001859DB" w:rsidRPr="001859DB" w:rsidRDefault="001859DB" w:rsidP="001859DB">
      <w:pPr>
        <w:pStyle w:val="SingleTxtG"/>
        <w:spacing w:after="0" w:line="120" w:lineRule="exact"/>
        <w:ind w:left="1267"/>
        <w:rPr>
          <w:bCs/>
          <w:sz w:val="10"/>
          <w:lang w:val="es-PY"/>
        </w:rPr>
      </w:pPr>
    </w:p>
    <w:p w14:paraId="79C7E7EF" w14:textId="77777777" w:rsidR="001859DB" w:rsidRPr="001859DB" w:rsidRDefault="001859DB" w:rsidP="001859DB">
      <w:pPr>
        <w:pStyle w:val="SingleTxtG"/>
        <w:spacing w:after="0" w:line="120" w:lineRule="exact"/>
        <w:ind w:left="1267"/>
        <w:rPr>
          <w:bCs/>
          <w:sz w:val="10"/>
          <w:lang w:val="es-PY"/>
        </w:rPr>
      </w:pPr>
    </w:p>
    <w:p w14:paraId="0575C6A2" w14:textId="07643FC1" w:rsidR="00583FBD" w:rsidRPr="00B64C1B" w:rsidRDefault="00583FBD" w:rsidP="001859DB">
      <w:pPr>
        <w:pStyle w:val="SingleTxt"/>
        <w:numPr>
          <w:ilvl w:val="0"/>
          <w:numId w:val="49"/>
        </w:numPr>
        <w:ind w:left="1267"/>
        <w:rPr>
          <w:lang w:val="es-PY"/>
        </w:rPr>
      </w:pPr>
      <w:r w:rsidRPr="00B64C1B">
        <w:rPr>
          <w:lang w:val="es-PY"/>
        </w:rPr>
        <w:t xml:space="preserve">El MJ cuenta un total de 998 mujeres privadas de libertad de las cuales 627 son procesadas y 371 poseen condena. El MJ cuenta con tres Centros Penitenciarios de Mujeres: Casa del Buen Pastor, Serafina Dávalos (Coronel Oviedo), y el Centro de Rehabilitación y Reinserción Laboral Juana María de Lara de </w:t>
      </w:r>
      <w:r w:rsidRPr="003632B0">
        <w:rPr>
          <w:lang w:val="es-PY"/>
        </w:rPr>
        <w:t>Ciudad</w:t>
      </w:r>
      <w:r w:rsidRPr="00B64C1B">
        <w:rPr>
          <w:lang w:val="es-PY"/>
        </w:rPr>
        <w:t xml:space="preserve"> del Este. Posee pabellones de Mujeres habilitados en los Centros Penitenciarios Regionales de Encarnación, Misiones, Pedro Juan Caballero, Concepción, San Pedro y Villarrica. Se prevé la construcción de un pabellón en el Centro Penitenciario de Mujeres Serafina Dávalos de Coronel Oviedo, con capacidad aproximada para albergar a 150 mujeres.</w:t>
      </w:r>
    </w:p>
    <w:p w14:paraId="1251F00C" w14:textId="27B8CEA7" w:rsidR="00583FBD" w:rsidRPr="00B64C1B" w:rsidRDefault="00583FBD" w:rsidP="001859DB">
      <w:pPr>
        <w:pStyle w:val="SingleTxt"/>
        <w:numPr>
          <w:ilvl w:val="0"/>
          <w:numId w:val="49"/>
        </w:numPr>
        <w:ind w:left="1267"/>
        <w:rPr>
          <w:lang w:val="es-PY"/>
        </w:rPr>
      </w:pPr>
      <w:r w:rsidRPr="00B64C1B">
        <w:rPr>
          <w:lang w:val="es-PY"/>
        </w:rPr>
        <w:t xml:space="preserve">El MJ realiza el seguimiento y control de la situación procesal de las Mujeres privadas de libertad, con el objetivo de descongestionar el hacinamiento en los Centros Penitenciarios de Mujeres, mediante la actuación intersectorial articulada en mesas de trabajo con la Defensoría Pública, Poder Judicial y el Ministerio Público. En esta línea se implementa Junto al PJ el </w:t>
      </w:r>
      <w:r w:rsidR="00F019B7">
        <w:rPr>
          <w:lang w:val="es-PY"/>
        </w:rPr>
        <w:t>“</w:t>
      </w:r>
      <w:r w:rsidRPr="00B64C1B">
        <w:rPr>
          <w:lang w:val="es-PY"/>
        </w:rPr>
        <w:t>Plan de Descongestionamiento</w:t>
      </w:r>
      <w:r w:rsidR="00F019B7">
        <w:rPr>
          <w:lang w:val="es-PY"/>
        </w:rPr>
        <w:t>”</w:t>
      </w:r>
      <w:r w:rsidRPr="00B64C1B">
        <w:rPr>
          <w:lang w:val="es-PY"/>
        </w:rPr>
        <w:t xml:space="preserve"> que tiene como objeto agilizar procesos judiciales, a través de audiencias por sistema de videoconferencia en nueve centros penitenciarios, que incluye audiencias </w:t>
      </w:r>
      <w:r w:rsidRPr="00B64C1B">
        <w:rPr>
          <w:lang w:val="es-PY"/>
        </w:rPr>
        <w:lastRenderedPageBreak/>
        <w:t xml:space="preserve">preliminares y de revisión en centros penitenciarios, así como un Plan Piloto de Agilización de Procesos en la Penitenciaría de Mujeres </w:t>
      </w:r>
      <w:r w:rsidR="00F019B7">
        <w:rPr>
          <w:lang w:val="es-PY"/>
        </w:rPr>
        <w:t>“</w:t>
      </w:r>
      <w:r w:rsidRPr="00B64C1B">
        <w:rPr>
          <w:lang w:val="es-PY"/>
        </w:rPr>
        <w:t>Casa del Buen Pastor</w:t>
      </w:r>
      <w:r w:rsidR="00F019B7">
        <w:rPr>
          <w:lang w:val="es-PY"/>
        </w:rPr>
        <w:t>”</w:t>
      </w:r>
      <w:r w:rsidRPr="00B64C1B">
        <w:rPr>
          <w:lang w:val="es-PY"/>
        </w:rPr>
        <w:t xml:space="preserve">. </w:t>
      </w:r>
    </w:p>
    <w:p w14:paraId="6C72C2DD" w14:textId="14E7F914" w:rsidR="00583FBD" w:rsidRPr="00B64C1B" w:rsidRDefault="00583FBD" w:rsidP="00AF0BA1">
      <w:pPr>
        <w:pStyle w:val="SingleTxt"/>
        <w:numPr>
          <w:ilvl w:val="0"/>
          <w:numId w:val="49"/>
        </w:numPr>
        <w:ind w:left="1267"/>
        <w:rPr>
          <w:bCs/>
          <w:lang w:val="es-PY"/>
        </w:rPr>
      </w:pPr>
      <w:r w:rsidRPr="00B64C1B">
        <w:rPr>
          <w:lang w:val="es-PY"/>
        </w:rPr>
        <w:t xml:space="preserve">También que se encuentra en vigencia el </w:t>
      </w:r>
      <w:r w:rsidR="00F019B7">
        <w:rPr>
          <w:lang w:val="es-PY"/>
        </w:rPr>
        <w:t>“</w:t>
      </w:r>
      <w:r w:rsidRPr="00B64C1B">
        <w:rPr>
          <w:lang w:val="es-PY"/>
        </w:rPr>
        <w:t xml:space="preserve">Convenio de Cooperación Interinstitucional entre el </w:t>
      </w:r>
      <w:proofErr w:type="spellStart"/>
      <w:r w:rsidRPr="00B64C1B">
        <w:rPr>
          <w:lang w:val="es-PY"/>
        </w:rPr>
        <w:t>MSPyBS</w:t>
      </w:r>
      <w:proofErr w:type="spellEnd"/>
      <w:r w:rsidRPr="00B64C1B">
        <w:rPr>
          <w:lang w:val="es-PY"/>
        </w:rPr>
        <w:t xml:space="preserve"> y el MJ en materia sanitaria</w:t>
      </w:r>
      <w:r w:rsidR="00F019B7">
        <w:rPr>
          <w:lang w:val="es-PY"/>
        </w:rPr>
        <w:t>”</w:t>
      </w:r>
      <w:r w:rsidRPr="00B64C1B">
        <w:rPr>
          <w:lang w:val="es-PY"/>
        </w:rPr>
        <w:t xml:space="preserve">. </w:t>
      </w:r>
    </w:p>
    <w:p w14:paraId="09AA9592" w14:textId="224B238C" w:rsidR="00583FBD" w:rsidRPr="00B64C1B" w:rsidRDefault="00583FBD" w:rsidP="00AF0BA1">
      <w:pPr>
        <w:pStyle w:val="SingleTxt"/>
        <w:numPr>
          <w:ilvl w:val="0"/>
          <w:numId w:val="49"/>
        </w:numPr>
        <w:tabs>
          <w:tab w:val="num" w:pos="2804"/>
        </w:tabs>
        <w:ind w:left="1267"/>
        <w:rPr>
          <w:bCs/>
          <w:lang w:val="es-PY"/>
        </w:rPr>
      </w:pPr>
      <w:r w:rsidRPr="00B64C1B">
        <w:rPr>
          <w:lang w:val="es-PY"/>
        </w:rPr>
        <w:t>En el año 2019, el PJ y el MDP iniciaron un proceso de depuración de causas, a fin de considerar medidas menos gravosas a personas privadas de libertad enfermas, mayores de 60</w:t>
      </w:r>
      <w:r w:rsidR="00055A77">
        <w:rPr>
          <w:lang w:val="es-PY"/>
        </w:rPr>
        <w:t> </w:t>
      </w:r>
      <w:r w:rsidRPr="00B64C1B">
        <w:rPr>
          <w:lang w:val="es-PY"/>
        </w:rPr>
        <w:t>años, mujeres embarazadas y en periodo de lactancia, o indulto a quienes cumplieron la mitad de la condena.</w:t>
      </w:r>
    </w:p>
    <w:p w14:paraId="7038AA20" w14:textId="379F7CF0" w:rsidR="00583FBD" w:rsidRPr="00B64C1B" w:rsidRDefault="00583FBD" w:rsidP="00AF0BA1">
      <w:pPr>
        <w:pStyle w:val="SingleTxt"/>
        <w:numPr>
          <w:ilvl w:val="0"/>
          <w:numId w:val="49"/>
        </w:numPr>
        <w:tabs>
          <w:tab w:val="num" w:pos="2804"/>
        </w:tabs>
        <w:ind w:left="1267"/>
        <w:rPr>
          <w:bCs/>
          <w:lang w:val="es-PY"/>
        </w:rPr>
      </w:pPr>
      <w:r w:rsidRPr="00B64C1B">
        <w:rPr>
          <w:lang w:val="es-PY"/>
        </w:rPr>
        <w:t xml:space="preserve">En el año 2021, la CSJ instaló la Oficina Técnica Penal (OTP) y emitió la Acordada </w:t>
      </w:r>
      <w:proofErr w:type="spellStart"/>
      <w:r w:rsidRPr="00B64C1B">
        <w:rPr>
          <w:lang w:val="es-PY"/>
        </w:rPr>
        <w:t>N°</w:t>
      </w:r>
      <w:proofErr w:type="spellEnd"/>
      <w:r w:rsidRPr="00B64C1B">
        <w:rPr>
          <w:lang w:val="es-PY"/>
        </w:rPr>
        <w:t xml:space="preserve"> 1.511/21</w:t>
      </w:r>
      <w:r w:rsidRPr="00B64C1B">
        <w:rPr>
          <w:vertAlign w:val="superscript"/>
          <w:lang w:val="es-PY"/>
        </w:rPr>
        <w:footnoteReference w:id="113"/>
      </w:r>
      <w:r>
        <w:rPr>
          <w:lang w:val="es-PY"/>
        </w:rPr>
        <w:t xml:space="preserve"> </w:t>
      </w:r>
      <w:r w:rsidRPr="00B64C1B">
        <w:rPr>
          <w:lang w:val="es-PY"/>
        </w:rPr>
        <w:t>por la que, partiendo del principio de aplicación excepcional de la prisión preventiva, proporciona una guía para el efecto y promueve la aplicación de la revisión de oficio de las medidas cautelares como instrumento de descongestión penitenciaria.</w:t>
      </w:r>
    </w:p>
    <w:p w14:paraId="48E36E48" w14:textId="46DC394C" w:rsidR="00583FBD" w:rsidRPr="00B64C1B" w:rsidRDefault="00583FBD" w:rsidP="00AF0BA1">
      <w:pPr>
        <w:pStyle w:val="SingleTxt"/>
        <w:numPr>
          <w:ilvl w:val="0"/>
          <w:numId w:val="49"/>
        </w:numPr>
        <w:tabs>
          <w:tab w:val="num" w:pos="2804"/>
        </w:tabs>
        <w:ind w:left="1267"/>
        <w:rPr>
          <w:bCs/>
          <w:lang w:val="es-PY"/>
        </w:rPr>
      </w:pPr>
      <w:r w:rsidRPr="00B64C1B">
        <w:rPr>
          <w:lang w:val="es-PY"/>
        </w:rPr>
        <w:t xml:space="preserve">En la esfera legislativa fue promulgada la Ley Nº6350 /2019 que modifica el artículo 245 de la Ley N°1286/1998 </w:t>
      </w:r>
      <w:r w:rsidR="00F019B7">
        <w:rPr>
          <w:lang w:val="es-PY"/>
        </w:rPr>
        <w:t>“</w:t>
      </w:r>
      <w:r w:rsidRPr="00B64C1B">
        <w:rPr>
          <w:lang w:val="es-PY"/>
        </w:rPr>
        <w:t>Código Procesal Penal</w:t>
      </w:r>
      <w:r w:rsidR="00F019B7">
        <w:rPr>
          <w:lang w:val="es-PY"/>
        </w:rPr>
        <w:t>”</w:t>
      </w:r>
      <w:r w:rsidRPr="00B64C1B">
        <w:rPr>
          <w:vertAlign w:val="superscript"/>
          <w:lang w:val="es-PY"/>
        </w:rPr>
        <w:footnoteReference w:id="114"/>
      </w:r>
      <w:r w:rsidRPr="00B64C1B">
        <w:rPr>
          <w:lang w:val="es-PY"/>
        </w:rPr>
        <w:t xml:space="preserve">, y sus modificatorias, entre ellas las leyes 4.431/2011 y </w:t>
      </w:r>
      <w:hyperlink r:id="rId23" w:history="1">
        <w:r w:rsidRPr="00E67B58">
          <w:rPr>
            <w:rStyle w:val="Hyperlink"/>
            <w:color w:val="auto"/>
            <w:lang w:val="es-PY"/>
          </w:rPr>
          <w:t>2493/2004</w:t>
        </w:r>
      </w:hyperlink>
      <w:r w:rsidRPr="00B64C1B">
        <w:rPr>
          <w:lang w:val="es-PY"/>
        </w:rPr>
        <w:t>. En este sentido, se modifica el Código Procesal Penal sobre prisión preventiva, y se faculta a jueces para aplicar medidas menos gravosas como alternativas a la prisión.</w:t>
      </w:r>
    </w:p>
    <w:p w14:paraId="580AA648" w14:textId="2999E6F5" w:rsidR="00583FBD" w:rsidRPr="00B64C1B" w:rsidRDefault="00583FBD" w:rsidP="00AF0BA1">
      <w:pPr>
        <w:pStyle w:val="SingleTxt"/>
        <w:numPr>
          <w:ilvl w:val="0"/>
          <w:numId w:val="49"/>
        </w:numPr>
        <w:tabs>
          <w:tab w:val="num" w:pos="2804"/>
        </w:tabs>
        <w:ind w:left="1267"/>
        <w:rPr>
          <w:bCs/>
          <w:lang w:val="es-PY"/>
        </w:rPr>
      </w:pPr>
      <w:r w:rsidRPr="00B64C1B">
        <w:rPr>
          <w:lang w:val="es-PY"/>
        </w:rPr>
        <w:t xml:space="preserve">En el marco del </w:t>
      </w:r>
      <w:r w:rsidR="00F019B7">
        <w:rPr>
          <w:lang w:val="es-PY"/>
        </w:rPr>
        <w:t>“</w:t>
      </w:r>
      <w:r w:rsidRPr="00B64C1B">
        <w:rPr>
          <w:lang w:val="es-PY"/>
        </w:rPr>
        <w:t>Plan de Descongestionamiento</w:t>
      </w:r>
      <w:r w:rsidR="00F019B7">
        <w:rPr>
          <w:lang w:val="es-PY"/>
        </w:rPr>
        <w:t>”</w:t>
      </w:r>
      <w:r w:rsidRPr="00B64C1B">
        <w:rPr>
          <w:lang w:val="es-PY"/>
        </w:rPr>
        <w:t xml:space="preserve"> entre el Ministerio de Justicia y el Poder Judicial se da celeridad a los procesos judiciales, en 9 centros penitenciarios. La Oficina Interinstitucional del PJ se enfoca en disminuir la mora judicial mediante supervisión de audiencias en etapa preparatoria e intermedia y la Corte Suprema de Justicia realiza visitas penitenciarias para control de duración de procedimientos penales, informando sobre casos que han excedido el límite de tiempo. Asimismo, se aprobó la implementación de los trámites judiciales electrónicos. </w:t>
      </w:r>
    </w:p>
    <w:p w14:paraId="2B9A081A" w14:textId="103E1628" w:rsidR="00583FBD" w:rsidRDefault="00583FBD" w:rsidP="00AF0BA1">
      <w:pPr>
        <w:pStyle w:val="SingleTxt"/>
        <w:numPr>
          <w:ilvl w:val="0"/>
          <w:numId w:val="49"/>
        </w:numPr>
        <w:tabs>
          <w:tab w:val="num" w:pos="2804"/>
        </w:tabs>
        <w:ind w:left="1267"/>
        <w:rPr>
          <w:lang w:val="es-PY"/>
        </w:rPr>
      </w:pPr>
      <w:r w:rsidRPr="00B64C1B">
        <w:rPr>
          <w:lang w:val="es-PY"/>
        </w:rPr>
        <w:t>El MDP impulsa medidas para reducir el número de personas privadas de libertad, dirigidas a personas en situación de mayor vulnerabilidad, incluidas personas mayores, indígenas, personas con discapacidad y adolescentes, a través de Defensores Públicos especializados en los diferentes fueros. Durante el periodo 2021 al 2023 se obtuvo un total de 572 libertades de mujeres que se detalla a continuación por año</w:t>
      </w:r>
      <w:r>
        <w:rPr>
          <w:lang w:val="es-PY"/>
        </w:rPr>
        <w:t>.</w:t>
      </w:r>
    </w:p>
    <w:p w14:paraId="6413699B" w14:textId="77777777" w:rsidR="00E67B58" w:rsidRPr="00AF0BA1" w:rsidRDefault="00E67B58" w:rsidP="00AF0BA1">
      <w:pPr>
        <w:pStyle w:val="SingleTxt"/>
        <w:spacing w:after="0" w:line="120" w:lineRule="exact"/>
        <w:rPr>
          <w:sz w:val="10"/>
          <w:lang w:val="es-PY"/>
        </w:rPr>
      </w:pPr>
    </w:p>
    <w:p w14:paraId="4F358F28" w14:textId="1BF9305E" w:rsidR="00583FBD" w:rsidRDefault="00E67B58" w:rsidP="00E67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83FBD" w:rsidRPr="00490448">
        <w:t>Libertades de mujeres obtenidas</w:t>
      </w:r>
    </w:p>
    <w:p w14:paraId="2C5985F9" w14:textId="77777777" w:rsidR="00E67B58" w:rsidRDefault="00E67B58" w:rsidP="00E67B58">
      <w:pPr>
        <w:pStyle w:val="SingleTxt"/>
        <w:spacing w:after="0" w:line="120" w:lineRule="exact"/>
        <w:rPr>
          <w:sz w:val="10"/>
        </w:rPr>
      </w:pPr>
    </w:p>
    <w:p w14:paraId="179D74E0" w14:textId="77777777" w:rsidR="00AF0BA1" w:rsidRDefault="00AF0BA1" w:rsidP="00E67B58">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714"/>
        <w:gridCol w:w="3714"/>
      </w:tblGrid>
      <w:tr w:rsidR="00AF0BA1" w:rsidRPr="00AF0BA1" w14:paraId="08D02915" w14:textId="77777777" w:rsidTr="003D50AC">
        <w:tc>
          <w:tcPr>
            <w:tcW w:w="3714" w:type="dxa"/>
            <w:tcBorders>
              <w:top w:val="single" w:sz="4" w:space="0" w:color="auto"/>
            </w:tcBorders>
            <w:shd w:val="clear" w:color="auto" w:fill="auto"/>
          </w:tcPr>
          <w:p w14:paraId="1497C92D" w14:textId="40273492" w:rsidR="00AF0BA1" w:rsidRPr="00AF0BA1" w:rsidRDefault="00AF0BA1" w:rsidP="00AF0BA1">
            <w:pPr>
              <w:tabs>
                <w:tab w:val="left" w:pos="288"/>
                <w:tab w:val="left" w:pos="576"/>
                <w:tab w:val="left" w:pos="864"/>
                <w:tab w:val="left" w:pos="1152"/>
              </w:tabs>
              <w:spacing w:before="80" w:after="80" w:line="160" w:lineRule="exact"/>
              <w:ind w:right="40"/>
              <w:rPr>
                <w:i/>
                <w:sz w:val="17"/>
                <w:szCs w:val="17"/>
              </w:rPr>
            </w:pPr>
            <w:r w:rsidRPr="00AF0BA1">
              <w:rPr>
                <w:sz w:val="17"/>
                <w:szCs w:val="17"/>
                <w:lang w:val="es-PY"/>
              </w:rPr>
              <w:t>2021</w:t>
            </w:r>
          </w:p>
        </w:tc>
        <w:tc>
          <w:tcPr>
            <w:tcW w:w="3714" w:type="dxa"/>
            <w:tcBorders>
              <w:top w:val="single" w:sz="4" w:space="0" w:color="auto"/>
            </w:tcBorders>
            <w:shd w:val="clear" w:color="auto" w:fill="auto"/>
            <w:vAlign w:val="bottom"/>
          </w:tcPr>
          <w:p w14:paraId="1E0D8C68" w14:textId="46F9728B" w:rsidR="00AF0BA1" w:rsidRPr="00AF0BA1" w:rsidRDefault="00AF0BA1" w:rsidP="00AF0BA1">
            <w:pPr>
              <w:tabs>
                <w:tab w:val="left" w:pos="288"/>
                <w:tab w:val="left" w:pos="576"/>
                <w:tab w:val="left" w:pos="864"/>
                <w:tab w:val="left" w:pos="1152"/>
              </w:tabs>
              <w:spacing w:before="80" w:after="80" w:line="160" w:lineRule="exact"/>
              <w:ind w:right="40"/>
              <w:jc w:val="right"/>
              <w:rPr>
                <w:i/>
                <w:sz w:val="17"/>
                <w:szCs w:val="17"/>
              </w:rPr>
            </w:pPr>
            <w:r w:rsidRPr="00AF0BA1">
              <w:rPr>
                <w:sz w:val="17"/>
                <w:szCs w:val="17"/>
                <w:lang w:val="es-PY"/>
              </w:rPr>
              <w:t>201</w:t>
            </w:r>
            <w:r w:rsidRPr="00AF0BA1">
              <w:rPr>
                <w:rStyle w:val="FootnoteReference"/>
                <w:sz w:val="17"/>
                <w:szCs w:val="17"/>
                <w:lang w:val="es-PY"/>
              </w:rPr>
              <w:footnoteReference w:id="115"/>
            </w:r>
          </w:p>
        </w:tc>
      </w:tr>
      <w:tr w:rsidR="00AF0BA1" w:rsidRPr="00AF0BA1" w14:paraId="14F3803C" w14:textId="77777777" w:rsidTr="00AF0BA1">
        <w:tc>
          <w:tcPr>
            <w:tcW w:w="3714" w:type="dxa"/>
            <w:shd w:val="clear" w:color="auto" w:fill="auto"/>
          </w:tcPr>
          <w:p w14:paraId="34C4C00E" w14:textId="3B1890F1" w:rsidR="00AF0BA1" w:rsidRPr="00AF0BA1" w:rsidRDefault="00AF0BA1" w:rsidP="00AF0BA1">
            <w:pPr>
              <w:tabs>
                <w:tab w:val="left" w:pos="288"/>
                <w:tab w:val="left" w:pos="576"/>
                <w:tab w:val="left" w:pos="864"/>
                <w:tab w:val="left" w:pos="1152"/>
              </w:tabs>
              <w:spacing w:before="80" w:after="80" w:line="160" w:lineRule="exact"/>
              <w:ind w:right="40"/>
              <w:rPr>
                <w:i/>
                <w:sz w:val="17"/>
                <w:szCs w:val="17"/>
              </w:rPr>
            </w:pPr>
            <w:r w:rsidRPr="00AF0BA1">
              <w:rPr>
                <w:sz w:val="17"/>
                <w:szCs w:val="17"/>
                <w:lang w:val="es-PY"/>
              </w:rPr>
              <w:t>2022</w:t>
            </w:r>
          </w:p>
        </w:tc>
        <w:tc>
          <w:tcPr>
            <w:tcW w:w="3714" w:type="dxa"/>
            <w:shd w:val="clear" w:color="auto" w:fill="auto"/>
            <w:vAlign w:val="bottom"/>
          </w:tcPr>
          <w:p w14:paraId="7B08A01D" w14:textId="695933F4" w:rsidR="00AF0BA1" w:rsidRPr="00AF0BA1" w:rsidRDefault="00AF0BA1" w:rsidP="00AF0BA1">
            <w:pPr>
              <w:tabs>
                <w:tab w:val="left" w:pos="288"/>
                <w:tab w:val="left" w:pos="576"/>
                <w:tab w:val="left" w:pos="864"/>
                <w:tab w:val="left" w:pos="1152"/>
              </w:tabs>
              <w:spacing w:before="80" w:after="80" w:line="160" w:lineRule="exact"/>
              <w:ind w:right="40"/>
              <w:jc w:val="right"/>
              <w:rPr>
                <w:i/>
                <w:sz w:val="17"/>
                <w:szCs w:val="17"/>
              </w:rPr>
            </w:pPr>
            <w:r w:rsidRPr="00AF0BA1">
              <w:rPr>
                <w:sz w:val="17"/>
                <w:szCs w:val="17"/>
                <w:lang w:val="es-PY"/>
              </w:rPr>
              <w:t>192</w:t>
            </w:r>
            <w:r w:rsidRPr="00AF0BA1">
              <w:rPr>
                <w:rStyle w:val="FootnoteReference"/>
                <w:sz w:val="17"/>
                <w:szCs w:val="17"/>
                <w:lang w:val="es-PY"/>
              </w:rPr>
              <w:footnoteReference w:id="116"/>
            </w:r>
          </w:p>
        </w:tc>
      </w:tr>
      <w:tr w:rsidR="00AF0BA1" w:rsidRPr="00AF0BA1" w14:paraId="0CD92C78" w14:textId="77777777" w:rsidTr="00AF0BA1">
        <w:tc>
          <w:tcPr>
            <w:tcW w:w="3714" w:type="dxa"/>
            <w:tcBorders>
              <w:bottom w:val="single" w:sz="12" w:space="0" w:color="auto"/>
            </w:tcBorders>
            <w:shd w:val="clear" w:color="auto" w:fill="auto"/>
            <w:vAlign w:val="bottom"/>
          </w:tcPr>
          <w:p w14:paraId="4415BA99" w14:textId="5B1E10C1" w:rsidR="00AF0BA1" w:rsidRPr="00AF0BA1" w:rsidRDefault="00AF0BA1" w:rsidP="00AF0BA1">
            <w:pPr>
              <w:tabs>
                <w:tab w:val="left" w:pos="288"/>
                <w:tab w:val="left" w:pos="576"/>
                <w:tab w:val="left" w:pos="864"/>
                <w:tab w:val="left" w:pos="1152"/>
              </w:tabs>
              <w:spacing w:before="80" w:after="80" w:line="160" w:lineRule="exact"/>
              <w:ind w:right="40"/>
              <w:rPr>
                <w:iCs/>
                <w:sz w:val="17"/>
                <w:szCs w:val="17"/>
              </w:rPr>
            </w:pPr>
            <w:r w:rsidRPr="00AF0BA1">
              <w:rPr>
                <w:iCs/>
                <w:sz w:val="17"/>
                <w:szCs w:val="17"/>
              </w:rPr>
              <w:t>2023</w:t>
            </w:r>
          </w:p>
        </w:tc>
        <w:tc>
          <w:tcPr>
            <w:tcW w:w="3714" w:type="dxa"/>
            <w:tcBorders>
              <w:bottom w:val="single" w:sz="12" w:space="0" w:color="auto"/>
            </w:tcBorders>
            <w:shd w:val="clear" w:color="auto" w:fill="auto"/>
            <w:vAlign w:val="bottom"/>
          </w:tcPr>
          <w:p w14:paraId="10A45EE5" w14:textId="71F75C69" w:rsidR="00AF0BA1" w:rsidRPr="00AF0BA1" w:rsidRDefault="00AF0BA1" w:rsidP="00AF0BA1">
            <w:pPr>
              <w:tabs>
                <w:tab w:val="left" w:pos="288"/>
                <w:tab w:val="left" w:pos="576"/>
                <w:tab w:val="left" w:pos="864"/>
                <w:tab w:val="left" w:pos="1152"/>
              </w:tabs>
              <w:spacing w:before="80" w:after="80" w:line="160" w:lineRule="exact"/>
              <w:ind w:right="40"/>
              <w:jc w:val="right"/>
              <w:rPr>
                <w:sz w:val="17"/>
                <w:szCs w:val="17"/>
                <w:lang w:val="es-PY"/>
              </w:rPr>
            </w:pPr>
            <w:r w:rsidRPr="00AF0BA1">
              <w:rPr>
                <w:sz w:val="17"/>
                <w:szCs w:val="17"/>
                <w:lang w:val="es-PY"/>
              </w:rPr>
              <w:t>179</w:t>
            </w:r>
            <w:r w:rsidRPr="00AF0BA1">
              <w:rPr>
                <w:rStyle w:val="FootnoteReference"/>
                <w:sz w:val="17"/>
                <w:szCs w:val="17"/>
                <w:lang w:val="es-PY"/>
              </w:rPr>
              <w:footnoteReference w:id="117"/>
            </w:r>
          </w:p>
        </w:tc>
      </w:tr>
    </w:tbl>
    <w:p w14:paraId="24B2091C" w14:textId="77777777" w:rsidR="00AF0BA1" w:rsidRPr="00E67B58" w:rsidRDefault="00AF0BA1" w:rsidP="00E67B58">
      <w:pPr>
        <w:pStyle w:val="SingleTxt"/>
        <w:spacing w:after="0" w:line="120" w:lineRule="exact"/>
        <w:rPr>
          <w:sz w:val="10"/>
        </w:rPr>
      </w:pPr>
    </w:p>
    <w:p w14:paraId="338177A2" w14:textId="77777777" w:rsidR="00E67B58" w:rsidRPr="00E67B58" w:rsidRDefault="00E67B58" w:rsidP="00E67B58">
      <w:pPr>
        <w:pStyle w:val="SingleTxt"/>
        <w:spacing w:after="0" w:line="120" w:lineRule="exact"/>
        <w:rPr>
          <w:sz w:val="10"/>
        </w:rPr>
      </w:pPr>
    </w:p>
    <w:p w14:paraId="6EBE16CD" w14:textId="6635853E" w:rsidR="00583FBD" w:rsidRPr="00B64C1B" w:rsidRDefault="00583FBD" w:rsidP="00AF0BA1">
      <w:pPr>
        <w:pStyle w:val="SingleTxt"/>
        <w:numPr>
          <w:ilvl w:val="0"/>
          <w:numId w:val="49"/>
        </w:numPr>
        <w:ind w:left="1267"/>
        <w:rPr>
          <w:lang w:val="es-PY"/>
        </w:rPr>
      </w:pPr>
      <w:r w:rsidRPr="00B64C1B">
        <w:rPr>
          <w:lang w:val="es-PY"/>
        </w:rPr>
        <w:t xml:space="preserve">El MP cuenta con Instructivos Generales para la aplicación de prisión preventiva, conforme a principios de necesidad, excepcionalidad, proporcionalidad y presunción de inocencia, y realiza visitas de monitoreo a centros de privación de libertad. </w:t>
      </w:r>
    </w:p>
    <w:p w14:paraId="0D7D9BB4" w14:textId="7CB5872A" w:rsidR="00583FBD" w:rsidRPr="00B64C1B" w:rsidRDefault="00583FBD" w:rsidP="00AF0BA1">
      <w:pPr>
        <w:pStyle w:val="SingleTxt"/>
        <w:numPr>
          <w:ilvl w:val="0"/>
          <w:numId w:val="49"/>
        </w:numPr>
        <w:ind w:left="1267"/>
        <w:rPr>
          <w:lang w:val="es-PY"/>
        </w:rPr>
      </w:pPr>
      <w:r w:rsidRPr="00B64C1B">
        <w:rPr>
          <w:lang w:val="es-PY"/>
        </w:rPr>
        <w:lastRenderedPageBreak/>
        <w:t>Durante el periodo 2018-2023, el Ministerio de Justicia (MJ) realizó jornadas de capacitación dirigidas a un total de 745 servidores penitenciarios con la finalidad de familiarizar al personal con las Reglas de Bangkok y los Protocolos de atención en el sistema penitenciario, así como en las Reglas de Mandela y la Ley N°</w:t>
      </w:r>
      <w:r w:rsidRPr="00E67B58">
        <w:rPr>
          <w:lang w:val="es-PY"/>
        </w:rPr>
        <w:t>5777/16</w:t>
      </w:r>
      <w:r w:rsidRPr="00B64C1B">
        <w:rPr>
          <w:lang w:val="es-PY"/>
        </w:rPr>
        <w:t xml:space="preserve">, </w:t>
      </w:r>
      <w:r w:rsidR="00F019B7">
        <w:rPr>
          <w:lang w:val="es-PY"/>
        </w:rPr>
        <w:t>“</w:t>
      </w:r>
      <w:r w:rsidRPr="00B64C1B">
        <w:rPr>
          <w:lang w:val="es-PY"/>
        </w:rPr>
        <w:t>De Protección Integral a las Mujeres contra toda forma de violencia</w:t>
      </w:r>
      <w:r w:rsidR="00F019B7">
        <w:rPr>
          <w:lang w:val="es-PY"/>
        </w:rPr>
        <w:t>”</w:t>
      </w:r>
      <w:r w:rsidRPr="00B64C1B">
        <w:rPr>
          <w:lang w:val="es-PY"/>
        </w:rPr>
        <w:t>. Además, se han difundido compendios de instrumentos internacionales en derechos humanos y principios humanitarios.</w:t>
      </w:r>
    </w:p>
    <w:p w14:paraId="26CB0B27" w14:textId="208872A6" w:rsidR="00583FBD" w:rsidRPr="00B64C1B" w:rsidRDefault="00583FBD" w:rsidP="00AF0BA1">
      <w:pPr>
        <w:pStyle w:val="SingleTxt"/>
        <w:numPr>
          <w:ilvl w:val="0"/>
          <w:numId w:val="49"/>
        </w:numPr>
        <w:ind w:left="1267"/>
        <w:rPr>
          <w:lang w:val="es-PY"/>
        </w:rPr>
      </w:pPr>
      <w:r w:rsidRPr="00B64C1B">
        <w:rPr>
          <w:lang w:val="es-PY"/>
        </w:rPr>
        <w:t>El MJ ha implementado programas de atención médica integral en los establecimientos penitenciarios, asegurando la disponibilidad de un equipo de salud multidisciplinario. Este equipo brinda atención con una perspectiva biopsicosocial, abordando patologías prevalentes entre las mujeres privadas de libertad, como trastornos ginecológicos, enfermedades de transmisión sexual, seguimiento del embarazo y salud mental. Además, se proporciona atención médica a las madres privadas de libertad que viven con sus hijas e hijos pequeños, asegurando que reciban los controles de salud necesarios. Se cuenta con una Jefatura de Apoyo Logístico encargada de distribuir y controlar los insumos y artículos de higiene personal necesarios para las mujeres privadas de libertad. Esto incluye garantizar la disponibilidad de artículos básicos de higiene para las internas y sus hijos e hijas.</w:t>
      </w:r>
    </w:p>
    <w:p w14:paraId="5677AAF0" w14:textId="2DA30C9C" w:rsidR="00583FBD" w:rsidRPr="00B64C1B" w:rsidRDefault="00583FBD" w:rsidP="00AF0BA1">
      <w:pPr>
        <w:pStyle w:val="SingleTxt"/>
        <w:numPr>
          <w:ilvl w:val="0"/>
          <w:numId w:val="49"/>
        </w:numPr>
        <w:tabs>
          <w:tab w:val="num" w:pos="2804"/>
        </w:tabs>
        <w:ind w:left="1267"/>
        <w:rPr>
          <w:lang w:val="es-PY"/>
        </w:rPr>
      </w:pPr>
      <w:r w:rsidRPr="00B64C1B">
        <w:rPr>
          <w:lang w:val="es-PY"/>
        </w:rPr>
        <w:t xml:space="preserve">Se encuentra en vigor la Resolución N°121/2004 del MJ, que reglamenta las visitas a personas internas en las </w:t>
      </w:r>
      <w:r w:rsidRPr="003632B0">
        <w:rPr>
          <w:lang w:val="es-PY"/>
        </w:rPr>
        <w:t>penitenciarías</w:t>
      </w:r>
      <w:r w:rsidRPr="00B64C1B">
        <w:rPr>
          <w:lang w:val="es-PY"/>
        </w:rPr>
        <w:t xml:space="preserve"> y correccionales del país. Esta resolución establece los procedimientos y requisitos para las visitas sociales, asegurando que todas las personas privadas de libertad, incluidas las mujeres, tengan acceso a visitas de sus parejas y miembros de la familia. Para los casos de visitas privadas íntimas, tanto para mujeres privadas de libertad como para todas las personas privadas de libertad en general, se aplica la Resolución </w:t>
      </w:r>
      <w:proofErr w:type="spellStart"/>
      <w:r w:rsidRPr="00B64C1B">
        <w:rPr>
          <w:lang w:val="es-PY"/>
        </w:rPr>
        <w:t>N°</w:t>
      </w:r>
      <w:proofErr w:type="spellEnd"/>
      <w:r w:rsidRPr="00B64C1B">
        <w:rPr>
          <w:lang w:val="es-PY"/>
        </w:rPr>
        <w:t xml:space="preserve"> 72/2012. </w:t>
      </w:r>
    </w:p>
    <w:p w14:paraId="47E595E0" w14:textId="56AA0FA4" w:rsidR="00583FBD" w:rsidRPr="00B64C1B" w:rsidRDefault="00583FBD" w:rsidP="00AF0BA1">
      <w:pPr>
        <w:pStyle w:val="SingleTxt"/>
        <w:numPr>
          <w:ilvl w:val="0"/>
          <w:numId w:val="49"/>
        </w:numPr>
        <w:ind w:left="1267"/>
        <w:rPr>
          <w:lang w:val="es-PY"/>
        </w:rPr>
      </w:pPr>
      <w:r w:rsidRPr="00B64C1B">
        <w:rPr>
          <w:lang w:val="es-PY"/>
        </w:rPr>
        <w:t xml:space="preserve">A fin de reforzar los mecanismos de control, el MJ lanzó en 2020 </w:t>
      </w:r>
      <w:r w:rsidR="00F019B7">
        <w:rPr>
          <w:lang w:val="es-PY"/>
        </w:rPr>
        <w:t>“</w:t>
      </w:r>
      <w:r w:rsidRPr="00B64C1B">
        <w:rPr>
          <w:lang w:val="es-PY"/>
        </w:rPr>
        <w:t>Derechos Humanos en línea</w:t>
      </w:r>
      <w:r w:rsidR="00F019B7">
        <w:rPr>
          <w:lang w:val="es-PY"/>
        </w:rPr>
        <w:t>”</w:t>
      </w:r>
      <w:r w:rsidRPr="00B64C1B">
        <w:rPr>
          <w:lang w:val="es-PY"/>
        </w:rPr>
        <w:t xml:space="preserve"> un sistema vía web con un formulario en línea, mensajería WhatsApp, en un número habilitado al efecto para recepción de quejas, denuncias y solicitudes, a fin de que los familiares de personas privadas de </w:t>
      </w:r>
      <w:r w:rsidRPr="003632B0">
        <w:rPr>
          <w:lang w:val="es-PY"/>
        </w:rPr>
        <w:t>libertad</w:t>
      </w:r>
      <w:r w:rsidRPr="00B64C1B">
        <w:rPr>
          <w:lang w:val="es-PY"/>
        </w:rPr>
        <w:t xml:space="preserve"> puedan tener un canal de comunicación para realizar denuncias de eventuales violaciones de DDHH dentro del sistema penitenciario o en los centros educativos. Dicha iniciativa permitió que todas las personas privadas de libertad pudieran tener acceso a la protección de sus derechos fundamentales en tiempos de pandemia. Desde el 2020 hasta agosto 2023, este sistema un total de 431 denuncias.</w:t>
      </w:r>
    </w:p>
    <w:p w14:paraId="4DB3804D" w14:textId="4F989823" w:rsidR="00583FBD" w:rsidRPr="00B64C1B" w:rsidRDefault="00583FBD" w:rsidP="00AF0BA1">
      <w:pPr>
        <w:pStyle w:val="SingleTxt"/>
        <w:numPr>
          <w:ilvl w:val="0"/>
          <w:numId w:val="49"/>
        </w:numPr>
        <w:ind w:left="1267"/>
        <w:rPr>
          <w:lang w:val="es-PY"/>
        </w:rPr>
      </w:pPr>
      <w:r w:rsidRPr="00B64C1B">
        <w:rPr>
          <w:lang w:val="es-PY"/>
        </w:rPr>
        <w:t xml:space="preserve">El MJ cuenta con un Protocolo de Denuncias para casos de Tortura aprobado por Resolución Ministerial Nº871/15 y en ese sentido la Dirección General de Derechos Humanos a través del Departamento de </w:t>
      </w:r>
      <w:r w:rsidRPr="003632B0">
        <w:rPr>
          <w:lang w:val="es-PY"/>
        </w:rPr>
        <w:t>Recepción</w:t>
      </w:r>
      <w:r w:rsidRPr="00B64C1B">
        <w:rPr>
          <w:lang w:val="es-PY"/>
        </w:rPr>
        <w:t xml:space="preserve"> e Información de Denuncias y el Departamento de Monitoreo a Centros de Privación de Libertad y Centros Educativos, mediante consentimiento informado de los privados de libertad </w:t>
      </w:r>
      <w:proofErr w:type="spellStart"/>
      <w:r w:rsidRPr="00B64C1B">
        <w:rPr>
          <w:lang w:val="es-PY"/>
        </w:rPr>
        <w:t>recepciona</w:t>
      </w:r>
      <w:proofErr w:type="spellEnd"/>
      <w:r w:rsidRPr="00B64C1B">
        <w:rPr>
          <w:lang w:val="es-PY"/>
        </w:rPr>
        <w:t xml:space="preserve"> denuncias de tortura y/o violaciones de Derechos Humanos, las cuales en cumplimiento al Protocolo mencionado son remitidas a la Dirección de Asuntos Internos y Anticorrupción (DAIA).</w:t>
      </w:r>
    </w:p>
    <w:p w14:paraId="7A4DE036" w14:textId="2C115E1E" w:rsidR="00583FBD" w:rsidRPr="00B64C1B" w:rsidRDefault="00583FBD" w:rsidP="00AF0BA1">
      <w:pPr>
        <w:pStyle w:val="SingleTxt"/>
        <w:numPr>
          <w:ilvl w:val="0"/>
          <w:numId w:val="49"/>
        </w:numPr>
        <w:ind w:left="1267"/>
        <w:rPr>
          <w:lang w:val="es-PY"/>
        </w:rPr>
      </w:pPr>
      <w:r w:rsidRPr="00B64C1B">
        <w:rPr>
          <w:lang w:val="es-PY"/>
        </w:rPr>
        <w:t>El MP a través de la Dirección de Derechos Humanos, realiza visitas de monitoreo a los centros de reclusión de todo el país, para verificar las condiciones en las que se encuentran las personas privadas de libertad, y si se constatan casos de violación de derechos humanos da intervención a la Unidad Especializada de Hechos Punibles contra los Derechos Humanos del MP.</w:t>
      </w:r>
    </w:p>
    <w:p w14:paraId="189F7A72" w14:textId="315471DA" w:rsidR="00583FBD" w:rsidRPr="00B64C1B" w:rsidRDefault="00583FBD" w:rsidP="00AF0BA1">
      <w:pPr>
        <w:pStyle w:val="SingleTxt"/>
        <w:numPr>
          <w:ilvl w:val="0"/>
          <w:numId w:val="49"/>
        </w:numPr>
        <w:ind w:left="1267"/>
        <w:rPr>
          <w:lang w:val="es-PY"/>
        </w:rPr>
      </w:pPr>
      <w:r w:rsidRPr="00B64C1B">
        <w:rPr>
          <w:lang w:val="es-PY"/>
        </w:rPr>
        <w:t xml:space="preserve">En el ámbito del MDP, por Resolución D.G. Nº620/2021 se aprueba y dispone la obligatoriedad para los defensores/as públicos/as de los fueros penal, penal adolescente y de ejecución, referente al uso de la aplicación para teléfonos móviles y página web del sistema de denuncia denominado </w:t>
      </w:r>
      <w:r w:rsidR="00F019B7">
        <w:rPr>
          <w:lang w:val="es-PY"/>
        </w:rPr>
        <w:t>“</w:t>
      </w:r>
      <w:r w:rsidRPr="00B64C1B">
        <w:rPr>
          <w:lang w:val="es-PY"/>
        </w:rPr>
        <w:t>Defensores</w:t>
      </w:r>
      <w:r w:rsidR="00F019B7">
        <w:rPr>
          <w:lang w:val="es-PY"/>
        </w:rPr>
        <w:t>”</w:t>
      </w:r>
      <w:r w:rsidRPr="00B64C1B">
        <w:rPr>
          <w:lang w:val="es-PY"/>
        </w:rPr>
        <w:t xml:space="preserve">, para el registro de </w:t>
      </w:r>
      <w:r w:rsidRPr="00B64C1B">
        <w:rPr>
          <w:lang w:val="es-PY"/>
        </w:rPr>
        <w:lastRenderedPageBreak/>
        <w:t>supuestos hechos de torturas, tratos crueles e inhumanos y degradantes. Por Resolución D.G. N°351/2022, se establece los mecanismos de acción en casos de denuncias por supuestos hechos de tortura, tratos crueles e inhumanos y degradantes Como resultado de dichos mecanismos entre 2018 y 2023, el MDP ha presentado ante la Unidad Especializada de DDHH del Ministerio Público 251 denuncias por hechos de torturas, y otros.</w:t>
      </w:r>
    </w:p>
    <w:p w14:paraId="56F8E232" w14:textId="77777777" w:rsidR="00E67B58" w:rsidRPr="00E67B58" w:rsidRDefault="00E67B58" w:rsidP="00E67B58">
      <w:pPr>
        <w:pStyle w:val="SingleTxt"/>
        <w:spacing w:after="0" w:line="120" w:lineRule="exact"/>
        <w:rPr>
          <w:sz w:val="10"/>
          <w:lang w:val="es-PY"/>
        </w:rPr>
      </w:pPr>
    </w:p>
    <w:p w14:paraId="1F0EC7A8" w14:textId="77777777" w:rsidR="00E67B58" w:rsidRPr="00E67B58" w:rsidRDefault="00E67B58" w:rsidP="00E67B58">
      <w:pPr>
        <w:pStyle w:val="SingleTxt"/>
        <w:spacing w:after="0" w:line="120" w:lineRule="exact"/>
        <w:rPr>
          <w:sz w:val="10"/>
          <w:lang w:val="es-PY"/>
        </w:rPr>
      </w:pPr>
    </w:p>
    <w:p w14:paraId="39292096" w14:textId="250A814A" w:rsidR="00583FBD" w:rsidRPr="00B64C1B" w:rsidRDefault="00583FBD" w:rsidP="00AF0B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t>VI.</w:t>
      </w:r>
      <w:r>
        <w:rPr>
          <w:lang w:val="es-PY"/>
        </w:rPr>
        <w:tab/>
      </w:r>
      <w:r w:rsidRPr="00B64C1B">
        <w:rPr>
          <w:lang w:val="es-PY"/>
        </w:rPr>
        <w:t>Parte IV (artículos 15 y 16)</w:t>
      </w:r>
    </w:p>
    <w:p w14:paraId="15E4125B" w14:textId="77777777" w:rsidR="00E67B58" w:rsidRPr="00E67B58" w:rsidRDefault="00E67B58" w:rsidP="00E67B58">
      <w:pPr>
        <w:pStyle w:val="SingleTxt"/>
        <w:spacing w:after="0" w:line="120" w:lineRule="exact"/>
        <w:rPr>
          <w:sz w:val="10"/>
          <w:lang w:val="es-PY"/>
        </w:rPr>
      </w:pPr>
    </w:p>
    <w:p w14:paraId="5E569C79" w14:textId="77777777" w:rsidR="00E67B58" w:rsidRPr="00E67B58" w:rsidRDefault="00E67B58" w:rsidP="00E67B58">
      <w:pPr>
        <w:pStyle w:val="SingleTxt"/>
        <w:spacing w:after="0" w:line="120" w:lineRule="exact"/>
        <w:rPr>
          <w:sz w:val="10"/>
          <w:lang w:val="es-PY"/>
        </w:rPr>
      </w:pPr>
    </w:p>
    <w:p w14:paraId="79D3E4AB" w14:textId="69A0F151" w:rsidR="00583FBD" w:rsidRPr="00B64C1B" w:rsidRDefault="00583FBD" w:rsidP="00E67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PY"/>
        </w:rPr>
      </w:pPr>
      <w:r>
        <w:rPr>
          <w:lang w:val="es-PY"/>
        </w:rPr>
        <w:tab/>
      </w:r>
      <w:r>
        <w:rPr>
          <w:lang w:val="es-PY"/>
        </w:rPr>
        <w:tab/>
      </w:r>
      <w:r w:rsidRPr="00B64C1B">
        <w:rPr>
          <w:lang w:val="es-PY"/>
        </w:rPr>
        <w:t>Acceso a la justicia (art. 15)</w:t>
      </w:r>
      <w:r w:rsidRPr="00E67B58">
        <w:rPr>
          <w:b w:val="0"/>
          <w:bCs/>
          <w:sz w:val="20"/>
          <w:szCs w:val="20"/>
          <w:vertAlign w:val="superscript"/>
          <w:lang w:val="es-PY"/>
        </w:rPr>
        <w:footnoteReference w:id="118"/>
      </w:r>
    </w:p>
    <w:p w14:paraId="4DF21526" w14:textId="77777777" w:rsidR="00E67B58" w:rsidRPr="00E67B58" w:rsidRDefault="00E67B58" w:rsidP="00E67B58">
      <w:pPr>
        <w:pStyle w:val="SingleTxtG"/>
        <w:spacing w:after="0" w:line="120" w:lineRule="exact"/>
        <w:rPr>
          <w:bCs/>
          <w:sz w:val="10"/>
          <w:lang w:val="es-PY"/>
        </w:rPr>
      </w:pPr>
    </w:p>
    <w:p w14:paraId="47657B24" w14:textId="77777777" w:rsidR="00E67B58" w:rsidRPr="00E67B58" w:rsidRDefault="00E67B58" w:rsidP="00E67B58">
      <w:pPr>
        <w:pStyle w:val="SingleTxtG"/>
        <w:spacing w:after="0" w:line="120" w:lineRule="exact"/>
        <w:rPr>
          <w:bCs/>
          <w:sz w:val="10"/>
          <w:lang w:val="es-PY"/>
        </w:rPr>
      </w:pPr>
    </w:p>
    <w:p w14:paraId="50F86D94" w14:textId="581D7758" w:rsidR="00583FBD" w:rsidRPr="00B64C1B" w:rsidRDefault="00583FBD" w:rsidP="00AF0BA1">
      <w:pPr>
        <w:pStyle w:val="SingleTxt"/>
        <w:numPr>
          <w:ilvl w:val="0"/>
          <w:numId w:val="49"/>
        </w:numPr>
        <w:tabs>
          <w:tab w:val="num" w:pos="2804"/>
        </w:tabs>
        <w:ind w:left="1267"/>
        <w:rPr>
          <w:lang w:val="es-PY"/>
        </w:rPr>
      </w:pPr>
      <w:r w:rsidRPr="00B64C1B">
        <w:rPr>
          <w:lang w:val="es-PY"/>
        </w:rPr>
        <w:t>Desde la Secretaría Nacional Anticorrupción (SENAC) se han propiciado importantes avances en la lucha contra la corrupción, promoción de transparencia y rendición de cuentas, entre ellos el Portal de Denuncias Anticorrupción</w:t>
      </w:r>
      <w:r w:rsidRPr="00B64C1B">
        <w:rPr>
          <w:vertAlign w:val="superscript"/>
          <w:lang w:val="es-PY"/>
        </w:rPr>
        <w:footnoteReference w:id="119"/>
      </w:r>
      <w:r w:rsidRPr="00B64C1B">
        <w:rPr>
          <w:lang w:val="es-PY"/>
        </w:rPr>
        <w:t>, con un Sistema de Registro y Seguimiento de Causas Penales, Sumarios e Investigaciones</w:t>
      </w:r>
      <w:r w:rsidRPr="00B64C1B">
        <w:rPr>
          <w:vertAlign w:val="superscript"/>
          <w:lang w:val="es-PY"/>
        </w:rPr>
        <w:footnoteReference w:id="120"/>
      </w:r>
      <w:r w:rsidRPr="00B64C1B">
        <w:rPr>
          <w:lang w:val="es-PY"/>
        </w:rPr>
        <w:t>; la Plataforma</w:t>
      </w:r>
      <w:r w:rsidRPr="00B64C1B">
        <w:rPr>
          <w:vertAlign w:val="superscript"/>
          <w:lang w:val="es-PY"/>
        </w:rPr>
        <w:footnoteReference w:id="121"/>
      </w:r>
      <w:r w:rsidRPr="00B64C1B">
        <w:rPr>
          <w:lang w:val="es-PY"/>
        </w:rPr>
        <w:t xml:space="preserve"> de monitoreo del cumplimiento de las obligaciones de transparencia activa en el sector público; la aprobación del Plan Nacional de Integridad, Transparencia y Anticorrupción 2021-2025</w:t>
      </w:r>
      <w:r w:rsidRPr="00B64C1B">
        <w:rPr>
          <w:vertAlign w:val="superscript"/>
          <w:lang w:val="es-PY"/>
        </w:rPr>
        <w:footnoteReference w:id="122"/>
      </w:r>
      <w:r w:rsidRPr="00B64C1B">
        <w:rPr>
          <w:lang w:val="es-PY"/>
        </w:rPr>
        <w:t xml:space="preserve"> (Decreto </w:t>
      </w:r>
      <w:r w:rsidRPr="00E67B58">
        <w:rPr>
          <w:lang w:val="es-PY"/>
        </w:rPr>
        <w:t>4458/20</w:t>
      </w:r>
      <w:r w:rsidRPr="00B64C1B">
        <w:rPr>
          <w:lang w:val="es-PY"/>
        </w:rPr>
        <w:t xml:space="preserve">), impulsado por el Equipo Nacional de Integridad y Transparencia (ENIT), creado por Decreto </w:t>
      </w:r>
      <w:r w:rsidRPr="00E67B58">
        <w:rPr>
          <w:lang w:val="es-PY"/>
        </w:rPr>
        <w:t>3003/19</w:t>
      </w:r>
      <w:r w:rsidRPr="00B64C1B">
        <w:rPr>
          <w:lang w:val="es-PY"/>
        </w:rPr>
        <w:t>.</w:t>
      </w:r>
    </w:p>
    <w:p w14:paraId="6590B189" w14:textId="737C9D1C" w:rsidR="00583FBD" w:rsidRPr="00B64C1B" w:rsidRDefault="00583FBD" w:rsidP="00AF0BA1">
      <w:pPr>
        <w:pStyle w:val="SingleTxt"/>
        <w:numPr>
          <w:ilvl w:val="0"/>
          <w:numId w:val="49"/>
        </w:numPr>
        <w:ind w:left="1267"/>
        <w:rPr>
          <w:lang w:val="es-PY"/>
        </w:rPr>
      </w:pPr>
      <w:r w:rsidRPr="00B64C1B">
        <w:rPr>
          <w:lang w:val="es-PY"/>
        </w:rPr>
        <w:t>Como plataforma de denuncia de irregularidades, la Oficina de Quejas y Denuncias del PJ propicia la transparencia para reducir la corrupción y la impunidad, a través de procedimientos de investigación que involucran a la Superintendencia General de Justicia y al Consejo de Superintendencia. Desde 2006 hasta la actualidad, las denuncias han aumentado en 5.000%, demostrando que el programa de transparencia y anticorrupción ha permeado en los usuarios.</w:t>
      </w:r>
    </w:p>
    <w:p w14:paraId="7AF7CEC0" w14:textId="0EA441E5" w:rsidR="00583FBD" w:rsidRPr="00B64C1B" w:rsidRDefault="00583FBD" w:rsidP="00AF0BA1">
      <w:pPr>
        <w:pStyle w:val="SingleTxt"/>
        <w:numPr>
          <w:ilvl w:val="0"/>
          <w:numId w:val="49"/>
        </w:numPr>
        <w:tabs>
          <w:tab w:val="num" w:pos="2804"/>
        </w:tabs>
        <w:ind w:left="1267"/>
        <w:rPr>
          <w:lang w:val="es-PY"/>
        </w:rPr>
      </w:pPr>
      <w:r w:rsidRPr="00B64C1B">
        <w:rPr>
          <w:lang w:val="es-PY"/>
        </w:rPr>
        <w:t>La Oficina de Ética Judicial promueve y supervisa la aplicación del Código de Ética Judicial, y brinda soporte técnico al Tribunal y al Consejo Consultivo de Ética Judicial, dictando resoluciones sobre denuncias que llegan a su conocimiento</w:t>
      </w:r>
      <w:r w:rsidRPr="00B64C1B">
        <w:rPr>
          <w:vertAlign w:val="superscript"/>
          <w:lang w:val="es-PY"/>
        </w:rPr>
        <w:footnoteReference w:id="123"/>
      </w:r>
      <w:r w:rsidRPr="00B64C1B">
        <w:rPr>
          <w:lang w:val="es-PY"/>
        </w:rPr>
        <w:t xml:space="preserve">. Además, realiza campañas de socialización y sensibilización, entre ellas, </w:t>
      </w:r>
      <w:r w:rsidR="00F019B7">
        <w:rPr>
          <w:lang w:val="es-PY"/>
        </w:rPr>
        <w:t>“</w:t>
      </w:r>
      <w:r w:rsidRPr="00B64C1B">
        <w:rPr>
          <w:lang w:val="es-PY"/>
        </w:rPr>
        <w:t>Judicialmente Éticos</w:t>
      </w:r>
      <w:r w:rsidR="00F019B7">
        <w:rPr>
          <w:lang w:val="es-PY"/>
        </w:rPr>
        <w:t>”</w:t>
      </w:r>
      <w:r w:rsidRPr="00B64C1B">
        <w:rPr>
          <w:lang w:val="es-PY"/>
        </w:rPr>
        <w:t xml:space="preserve"> dirigida a Magistrados. </w:t>
      </w:r>
    </w:p>
    <w:p w14:paraId="0FC390DE" w14:textId="5922202C" w:rsidR="00583FBD" w:rsidRPr="00B64C1B" w:rsidRDefault="00583FBD" w:rsidP="00AF0BA1">
      <w:pPr>
        <w:pStyle w:val="SingleTxt"/>
        <w:numPr>
          <w:ilvl w:val="0"/>
          <w:numId w:val="49"/>
        </w:numPr>
        <w:tabs>
          <w:tab w:val="num" w:pos="2804"/>
        </w:tabs>
        <w:ind w:left="1267"/>
        <w:rPr>
          <w:lang w:val="es-PY"/>
        </w:rPr>
      </w:pPr>
      <w:r w:rsidRPr="00B64C1B">
        <w:rPr>
          <w:lang w:val="es-PY"/>
        </w:rPr>
        <w:t xml:space="preserve">La creación de juzgados especializados en delitos económicos y corrupción, con potestad de conocer, decidir y ejecutar lo decidido en procesos de cohecho, soborno, prevaricato y otros, a través de la </w:t>
      </w:r>
      <w:proofErr w:type="spellStart"/>
      <w:r w:rsidRPr="00B64C1B">
        <w:rPr>
          <w:lang w:val="es-PY"/>
        </w:rPr>
        <w:t>la</w:t>
      </w:r>
      <w:proofErr w:type="spellEnd"/>
      <w:r w:rsidRPr="00B64C1B">
        <w:rPr>
          <w:lang w:val="es-PY"/>
        </w:rPr>
        <w:t xml:space="preserve"> Ley </w:t>
      </w:r>
      <w:r w:rsidRPr="00E67B58">
        <w:rPr>
          <w:lang w:val="es-PY"/>
        </w:rPr>
        <w:t>6379/19</w:t>
      </w:r>
      <w:r w:rsidRPr="00B64C1B">
        <w:rPr>
          <w:vertAlign w:val="superscript"/>
          <w:lang w:val="es-PY"/>
        </w:rPr>
        <w:footnoteReference w:id="124"/>
      </w:r>
      <w:r w:rsidRPr="00B64C1B">
        <w:rPr>
          <w:lang w:val="es-PY"/>
        </w:rPr>
        <w:t>,</w:t>
      </w:r>
      <w:r w:rsidR="007E06AB">
        <w:rPr>
          <w:lang w:val="es-PY"/>
        </w:rPr>
        <w:t xml:space="preserve"> </w:t>
      </w:r>
      <w:r w:rsidRPr="00B64C1B">
        <w:rPr>
          <w:lang w:val="es-PY"/>
        </w:rPr>
        <w:t xml:space="preserve">se vio fortalecida con la Ley 6.430/19 </w:t>
      </w:r>
      <w:r w:rsidR="00F019B7">
        <w:rPr>
          <w:lang w:val="es-PY"/>
        </w:rPr>
        <w:t>“</w:t>
      </w:r>
      <w:r w:rsidRPr="00B64C1B">
        <w:rPr>
          <w:lang w:val="es-PY"/>
        </w:rPr>
        <w:t>Que previene, tipifica y sanciona el cohecho y el soborno transnacional</w:t>
      </w:r>
      <w:r w:rsidR="00F019B7">
        <w:rPr>
          <w:lang w:val="es-PY"/>
        </w:rPr>
        <w:t>”</w:t>
      </w:r>
      <w:r w:rsidRPr="00B64C1B">
        <w:rPr>
          <w:vertAlign w:val="superscript"/>
          <w:lang w:val="es-PY"/>
        </w:rPr>
        <w:footnoteReference w:id="125"/>
      </w:r>
      <w:r w:rsidRPr="00B64C1B">
        <w:rPr>
          <w:lang w:val="es-PY"/>
        </w:rPr>
        <w:t xml:space="preserve">. Además, desde 2019, el Sistema de Información Policial incorporó criterios de recolección de datos sobre </w:t>
      </w:r>
      <w:r w:rsidR="00F019B7">
        <w:rPr>
          <w:lang w:val="es-PY"/>
        </w:rPr>
        <w:t>“</w:t>
      </w:r>
      <w:r w:rsidRPr="00B64C1B">
        <w:rPr>
          <w:lang w:val="es-PY"/>
        </w:rPr>
        <w:t>actos que conllevan fraude, engaño o corrupción</w:t>
      </w:r>
      <w:r w:rsidR="00F019B7">
        <w:rPr>
          <w:lang w:val="es-PY"/>
        </w:rPr>
        <w:t>”</w:t>
      </w:r>
      <w:r w:rsidRPr="00B64C1B">
        <w:rPr>
          <w:lang w:val="es-PY"/>
        </w:rPr>
        <w:t>, desagregados por presuntos hechos de usura, cohecho pasivo, fraude, enriquecimiento ilícito, tráfico de influencias, soborno, corrupción, etc.</w:t>
      </w:r>
    </w:p>
    <w:p w14:paraId="5C994487" w14:textId="3B30C77A" w:rsidR="00583FBD" w:rsidRPr="00B64C1B" w:rsidRDefault="00583FBD" w:rsidP="00AF0BA1">
      <w:pPr>
        <w:pStyle w:val="SingleTxt"/>
        <w:numPr>
          <w:ilvl w:val="0"/>
          <w:numId w:val="49"/>
        </w:numPr>
        <w:tabs>
          <w:tab w:val="num" w:pos="2804"/>
        </w:tabs>
        <w:ind w:left="1267"/>
        <w:rPr>
          <w:lang w:val="es-PY"/>
        </w:rPr>
      </w:pPr>
      <w:r w:rsidRPr="00B64C1B">
        <w:rPr>
          <w:lang w:val="es-PY"/>
        </w:rPr>
        <w:t xml:space="preserve">La Ley </w:t>
      </w:r>
      <w:r w:rsidRPr="00E67B58">
        <w:rPr>
          <w:lang w:val="es-PY"/>
        </w:rPr>
        <w:t>6814/21</w:t>
      </w:r>
      <w:r w:rsidRPr="00B64C1B">
        <w:rPr>
          <w:lang w:val="es-PY"/>
        </w:rPr>
        <w:t xml:space="preserve">, </w:t>
      </w:r>
      <w:r w:rsidR="00F019B7">
        <w:rPr>
          <w:lang w:val="es-PY"/>
        </w:rPr>
        <w:t>“</w:t>
      </w:r>
      <w:r w:rsidRPr="00B64C1B">
        <w:rPr>
          <w:lang w:val="es-PY"/>
        </w:rPr>
        <w:t xml:space="preserve">Que regula el procedimiento para el enjuiciamiento y remoción de magistrados judiciales, agentes fiscales, defensores públicos y síndicos </w:t>
      </w:r>
      <w:r w:rsidRPr="00B64C1B">
        <w:rPr>
          <w:lang w:val="es-PY"/>
        </w:rPr>
        <w:lastRenderedPageBreak/>
        <w:t>de quiebra</w:t>
      </w:r>
      <w:r w:rsidR="00F019B7">
        <w:rPr>
          <w:lang w:val="es-PY"/>
        </w:rPr>
        <w:t>”</w:t>
      </w:r>
      <w:r w:rsidRPr="00B64C1B">
        <w:rPr>
          <w:vertAlign w:val="superscript"/>
          <w:lang w:val="es-PY"/>
        </w:rPr>
        <w:footnoteReference w:id="126"/>
      </w:r>
      <w:r w:rsidRPr="00B64C1B">
        <w:rPr>
          <w:lang w:val="es-PY"/>
        </w:rPr>
        <w:t xml:space="preserve"> establece el proceso de enjuiciamiento y eventual remoción del cargo de los miembros de Tribunales de Apelación, Jueces, Fiscales Adjuntos, Agentes Fiscales, Defensor General, Defensores Adjuntos y Defensores Públicos. </w:t>
      </w:r>
      <w:bookmarkStart w:id="4" w:name="_heading=h.1fob9te" w:colFirst="0" w:colLast="0"/>
      <w:bookmarkEnd w:id="4"/>
    </w:p>
    <w:p w14:paraId="7EE6CB80" w14:textId="6676000F" w:rsidR="00583FBD" w:rsidRPr="00B64C1B" w:rsidRDefault="00583FBD" w:rsidP="00AF0BA1">
      <w:pPr>
        <w:pStyle w:val="SingleTxt"/>
        <w:numPr>
          <w:ilvl w:val="0"/>
          <w:numId w:val="49"/>
        </w:numPr>
        <w:ind w:left="1267"/>
        <w:rPr>
          <w:lang w:val="es-PY"/>
        </w:rPr>
      </w:pPr>
      <w:r w:rsidRPr="00B64C1B">
        <w:rPr>
          <w:lang w:val="es-PY"/>
        </w:rPr>
        <w:t xml:space="preserve">La Secretaría de Género del PJ (SEG-PJ) trabaja en estrecha colaboración con la Política Institucional de Transversalidad de Género del PJ para garantizar la igualdad y no discriminación en el sistema judicial. En ese marco, se han implementado diversas medidas para mejorar el acceso a la justicia, como la Política de Acceso a la Justicia para personas mayores y con discapacidad, el Protocolo de Actuación para una Justicia Intercultural, la aplicación digital </w:t>
      </w:r>
      <w:r w:rsidR="00F019B7">
        <w:rPr>
          <w:lang w:val="es-PY"/>
        </w:rPr>
        <w:t>“</w:t>
      </w:r>
      <w:r w:rsidRPr="00B64C1B">
        <w:rPr>
          <w:lang w:val="es-PY"/>
        </w:rPr>
        <w:t>Guía Legal</w:t>
      </w:r>
      <w:r w:rsidR="00F019B7">
        <w:rPr>
          <w:lang w:val="es-PY"/>
        </w:rPr>
        <w:t>”</w:t>
      </w:r>
      <w:r w:rsidRPr="00B64C1B">
        <w:rPr>
          <w:lang w:val="es-PY"/>
        </w:rPr>
        <w:t>, la Oficina de Información y Orientación Judicial, el Programa de Facilitadores Judiciales y la Guía para garantizar el acceso a la justicia para todas las personas sin distinción.</w:t>
      </w:r>
    </w:p>
    <w:p w14:paraId="7719F33E" w14:textId="57ED2B1F" w:rsidR="00583FBD" w:rsidRPr="00B64C1B" w:rsidRDefault="00583FBD" w:rsidP="00AF0BA1">
      <w:pPr>
        <w:pStyle w:val="SingleTxt"/>
        <w:numPr>
          <w:ilvl w:val="0"/>
          <w:numId w:val="49"/>
        </w:numPr>
        <w:tabs>
          <w:tab w:val="num" w:pos="2804"/>
        </w:tabs>
        <w:ind w:left="1267"/>
        <w:rPr>
          <w:lang w:val="es-PY"/>
        </w:rPr>
      </w:pPr>
      <w:r w:rsidRPr="00B64C1B">
        <w:rPr>
          <w:lang w:val="es-PY"/>
        </w:rPr>
        <w:t>Se ha establecido una Oficina de Género en el Ministerio Público (MP) para promover el acceso a la justicia de las mujeres víctimas de violencia, brindar orientación y acompañamiento durante el proceso judicial, e impulsar campañas de sensibilización.</w:t>
      </w:r>
    </w:p>
    <w:p w14:paraId="39959A91" w14:textId="409C1EC6" w:rsidR="00583FBD" w:rsidRPr="00B64C1B" w:rsidRDefault="00583FBD" w:rsidP="00AF0BA1">
      <w:pPr>
        <w:pStyle w:val="SingleTxt"/>
        <w:numPr>
          <w:ilvl w:val="0"/>
          <w:numId w:val="49"/>
        </w:numPr>
        <w:tabs>
          <w:tab w:val="num" w:pos="2804"/>
        </w:tabs>
        <w:ind w:left="1267"/>
        <w:rPr>
          <w:lang w:val="es-PY"/>
        </w:rPr>
      </w:pPr>
      <w:r w:rsidRPr="00B64C1B">
        <w:rPr>
          <w:lang w:val="es-PY"/>
        </w:rPr>
        <w:t>El MDP brinda asistencia jurídica gratuita a personas que carecen de recursos suficientes para acceder a la justicia, especialmente en casos de violencia contra las mujeres. El MJ ejecuta el Programa Nacional de Casas de Justicia, que busca facilitar el acceso a la justicia a comunidades vulnerables, indígenas, rurales y en establecimientos penitenciarios, incluyendo la implementación de la Casa de Justicia Móvil para llegar a zonas remotas.</w:t>
      </w:r>
    </w:p>
    <w:p w14:paraId="3B578F0F" w14:textId="40557BF4" w:rsidR="00583FBD" w:rsidRPr="00B64C1B" w:rsidRDefault="00583FBD" w:rsidP="00AF0BA1">
      <w:pPr>
        <w:pStyle w:val="SingleTxt"/>
        <w:numPr>
          <w:ilvl w:val="0"/>
          <w:numId w:val="49"/>
        </w:numPr>
        <w:tabs>
          <w:tab w:val="num" w:pos="2804"/>
        </w:tabs>
        <w:ind w:left="1267"/>
        <w:rPr>
          <w:lang w:val="es-PY"/>
        </w:rPr>
      </w:pPr>
      <w:r w:rsidRPr="00B64C1B">
        <w:rPr>
          <w:lang w:val="es-PY"/>
        </w:rPr>
        <w:t>Durante el periodo 2020-2023, en el marco del Plan Nacional de Casas de Justicia, el Ministerio de Justicia impulsó jornadas de capacitación dirigidas a las Fuerzas Armadas, gobiernos locales y departamentales, con un total de 721 participantes.</w:t>
      </w:r>
    </w:p>
    <w:p w14:paraId="2917F8E2" w14:textId="2A811A4E" w:rsidR="00583FBD" w:rsidRPr="00B64C1B" w:rsidRDefault="00583FBD" w:rsidP="00AF0BA1">
      <w:pPr>
        <w:pStyle w:val="SingleTxt"/>
        <w:numPr>
          <w:ilvl w:val="0"/>
          <w:numId w:val="49"/>
        </w:numPr>
        <w:tabs>
          <w:tab w:val="num" w:pos="2804"/>
        </w:tabs>
        <w:ind w:left="1267"/>
        <w:rPr>
          <w:lang w:val="es-PY"/>
        </w:rPr>
      </w:pPr>
      <w:r w:rsidRPr="00B64C1B">
        <w:rPr>
          <w:lang w:val="es-PY"/>
        </w:rPr>
        <w:t xml:space="preserve">Entre los años 2019 y 2023 se desarrollaron capacitaciones en el Fuero Especializado en la Ley Nº5.777, </w:t>
      </w:r>
      <w:r w:rsidR="00F019B7">
        <w:rPr>
          <w:lang w:val="es-PY"/>
        </w:rPr>
        <w:t>“</w:t>
      </w:r>
      <w:r w:rsidRPr="00B64C1B">
        <w:rPr>
          <w:lang w:val="es-PY"/>
        </w:rPr>
        <w:t>De Protección Integral a las Mujeres contra toda forma de violencia</w:t>
      </w:r>
      <w:r w:rsidR="00F019B7">
        <w:rPr>
          <w:lang w:val="es-PY"/>
        </w:rPr>
        <w:t>”</w:t>
      </w:r>
      <w:r w:rsidRPr="00B64C1B">
        <w:rPr>
          <w:lang w:val="es-PY"/>
        </w:rPr>
        <w:t>, con un total de 575 horas cátedras impartidas. Estas capacitaciones se enfocaron en mejorar la atención y defensa de personas en situación de vulnerabilidad, incluyendo mujeres víctimas de violencia.</w:t>
      </w:r>
    </w:p>
    <w:p w14:paraId="17B3C60E" w14:textId="35DAF3EF" w:rsidR="00583FBD" w:rsidRPr="00B64C1B" w:rsidRDefault="00583FBD" w:rsidP="00AF0BA1">
      <w:pPr>
        <w:pStyle w:val="SingleTxt"/>
        <w:numPr>
          <w:ilvl w:val="0"/>
          <w:numId w:val="49"/>
        </w:numPr>
        <w:tabs>
          <w:tab w:val="num" w:pos="2804"/>
        </w:tabs>
        <w:ind w:left="1267"/>
        <w:rPr>
          <w:lang w:val="es-PY"/>
        </w:rPr>
      </w:pPr>
      <w:r w:rsidRPr="00B64C1B">
        <w:rPr>
          <w:lang w:val="es-PY"/>
        </w:rPr>
        <w:t xml:space="preserve">La CSJ implementó el Programa Sello de Igualdad de Género en las Instituciones Públicas (SIG), obteniendo el nivel de PLATA en la certificación. También se estableció un Convenio de Cooperación Educativa para prácticas externas en la SEG-JP, así como consultorías para apoyar la transversalización del enfoque de género en la administración de justicia. Desde 2011, la SEG-PJ monitorea las resoluciones judiciales en las que se incorpora la perspectiva de género y se aplican las Convenciones Internacionales de Derechos Humanos, especialmente la Convención CEDAW y la Ley </w:t>
      </w:r>
      <w:r w:rsidRPr="00E67B58">
        <w:rPr>
          <w:lang w:val="es-PY"/>
        </w:rPr>
        <w:t>5777/16</w:t>
      </w:r>
      <w:r w:rsidRPr="00B64C1B">
        <w:rPr>
          <w:lang w:val="es-PY"/>
        </w:rPr>
        <w:t xml:space="preserve">, </w:t>
      </w:r>
      <w:r w:rsidR="00F019B7">
        <w:rPr>
          <w:lang w:val="es-PY"/>
        </w:rPr>
        <w:t>“</w:t>
      </w:r>
      <w:r w:rsidRPr="00B64C1B">
        <w:rPr>
          <w:lang w:val="es-PY"/>
        </w:rPr>
        <w:t>De protección integral a las mujeres, contra toda forma de violencia</w:t>
      </w:r>
      <w:r w:rsidR="00F019B7">
        <w:rPr>
          <w:lang w:val="es-PY"/>
        </w:rPr>
        <w:t>”</w:t>
      </w:r>
      <w:r w:rsidRPr="00B64C1B">
        <w:rPr>
          <w:lang w:val="es-PY"/>
        </w:rPr>
        <w:t xml:space="preserve">. Además, impulsó el </w:t>
      </w:r>
      <w:r w:rsidR="00F019B7">
        <w:rPr>
          <w:lang w:val="es-PY"/>
        </w:rPr>
        <w:t>“</w:t>
      </w:r>
      <w:r w:rsidRPr="00B64C1B">
        <w:rPr>
          <w:lang w:val="es-PY"/>
        </w:rPr>
        <w:t>Premio de Excelencia a la Incorporación del Derecho a la Igualdad y No Discriminación en las Resoluciones Judiciales</w:t>
      </w:r>
      <w:r w:rsidR="00F019B7">
        <w:rPr>
          <w:lang w:val="es-PY"/>
        </w:rPr>
        <w:t>”</w:t>
      </w:r>
      <w:r w:rsidRPr="00B64C1B">
        <w:rPr>
          <w:lang w:val="es-PY"/>
        </w:rPr>
        <w:t>.</w:t>
      </w:r>
    </w:p>
    <w:p w14:paraId="66C1B34B" w14:textId="411EDE06" w:rsidR="00583FBD" w:rsidRDefault="00583FBD" w:rsidP="00AF0BA1">
      <w:pPr>
        <w:pStyle w:val="SingleTxt"/>
        <w:numPr>
          <w:ilvl w:val="0"/>
          <w:numId w:val="49"/>
        </w:numPr>
        <w:ind w:left="1267"/>
        <w:rPr>
          <w:lang w:val="es-PY"/>
        </w:rPr>
      </w:pPr>
      <w:r w:rsidRPr="00B64C1B">
        <w:rPr>
          <w:lang w:val="es-PY"/>
        </w:rPr>
        <w:t xml:space="preserve">La Secretaría de Emergencia Nacional (SEN) ha realizado acciones de prevención y sensibilización contra la violencia de género en situaciones de emergencia y desastres, y ha elaborado la Estrategia de Prevención de la Violencia </w:t>
      </w:r>
      <w:r w:rsidRPr="00B64C1B">
        <w:rPr>
          <w:lang w:val="es-PY"/>
        </w:rPr>
        <w:lastRenderedPageBreak/>
        <w:t>Sexual en Albergues en contexto de emergencias, participado en diversas campañas de prevención del abuso y la explotación sexual, así como en campañas de sensibilización contra la violencia de género.</w:t>
      </w:r>
    </w:p>
    <w:p w14:paraId="078355EC" w14:textId="77777777" w:rsidR="00AF0BA1" w:rsidRPr="00AF0BA1" w:rsidRDefault="00AF0BA1" w:rsidP="00AF0BA1">
      <w:pPr>
        <w:pStyle w:val="SingleTxt"/>
        <w:spacing w:after="0" w:line="120" w:lineRule="exact"/>
        <w:rPr>
          <w:sz w:val="10"/>
          <w:lang w:val="es-PY"/>
        </w:rPr>
      </w:pPr>
    </w:p>
    <w:p w14:paraId="652950B3" w14:textId="77777777" w:rsidR="00AF0BA1" w:rsidRPr="00AF0BA1" w:rsidRDefault="00AF0BA1" w:rsidP="00AF0BA1">
      <w:pPr>
        <w:pStyle w:val="SingleTxt"/>
        <w:spacing w:after="0" w:line="120" w:lineRule="exact"/>
        <w:rPr>
          <w:sz w:val="10"/>
          <w:lang w:val="es-PY"/>
        </w:rPr>
      </w:pPr>
    </w:p>
    <w:p w14:paraId="30082488" w14:textId="77777777" w:rsidR="00583FBD" w:rsidRPr="00B64C1B" w:rsidRDefault="00583FBD" w:rsidP="00AF0B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Matrimonio y relaciones familiares (art. 16)</w:t>
      </w:r>
      <w:r w:rsidRPr="00AF0BA1">
        <w:rPr>
          <w:b w:val="0"/>
          <w:bCs/>
          <w:sz w:val="20"/>
          <w:szCs w:val="20"/>
          <w:vertAlign w:val="superscript"/>
          <w:lang w:val="es-PY"/>
        </w:rPr>
        <w:footnoteReference w:id="127"/>
      </w:r>
    </w:p>
    <w:p w14:paraId="6B8D5D8E" w14:textId="77777777" w:rsidR="00AF0BA1" w:rsidRPr="00AF0BA1" w:rsidRDefault="00AF0BA1" w:rsidP="00AF0BA1">
      <w:pPr>
        <w:pStyle w:val="SingleTxt"/>
        <w:spacing w:after="0" w:line="120" w:lineRule="exact"/>
        <w:rPr>
          <w:bCs/>
          <w:sz w:val="10"/>
          <w:lang w:val="es-PY"/>
        </w:rPr>
      </w:pPr>
    </w:p>
    <w:p w14:paraId="3F79AB02" w14:textId="77777777" w:rsidR="00AF0BA1" w:rsidRPr="00AF0BA1" w:rsidRDefault="00AF0BA1" w:rsidP="00AF0BA1">
      <w:pPr>
        <w:pStyle w:val="SingleTxt"/>
        <w:spacing w:after="0" w:line="120" w:lineRule="exact"/>
        <w:rPr>
          <w:bCs/>
          <w:sz w:val="10"/>
          <w:lang w:val="es-PY"/>
        </w:rPr>
      </w:pPr>
    </w:p>
    <w:p w14:paraId="436E388B" w14:textId="1F2591F4" w:rsidR="00583FBD" w:rsidRPr="00B64C1B" w:rsidRDefault="00583FBD" w:rsidP="00AF0BA1">
      <w:pPr>
        <w:pStyle w:val="SingleTxt"/>
        <w:numPr>
          <w:ilvl w:val="0"/>
          <w:numId w:val="49"/>
        </w:numPr>
        <w:ind w:left="1267"/>
        <w:rPr>
          <w:lang w:val="es-PY"/>
        </w:rPr>
      </w:pPr>
      <w:r w:rsidRPr="00B64C1B">
        <w:rPr>
          <w:lang w:val="es-PY"/>
        </w:rPr>
        <w:t>En el año 2021, se presentó un estudio realizado por UNFPA y Plan Internacional Paraguay, con el apoyo de la Facultad Latinoamericana de Ciencias Sociales (FLACSO) y la asesoría técnica del Ministerio de la Niñez y la Adolescencia (MINNA)</w:t>
      </w:r>
      <w:r w:rsidRPr="00B64C1B">
        <w:rPr>
          <w:vertAlign w:val="superscript"/>
          <w:lang w:val="es-PY"/>
        </w:rPr>
        <w:footnoteReference w:id="128"/>
      </w:r>
      <w:r w:rsidRPr="00B64C1B">
        <w:rPr>
          <w:lang w:val="es-PY"/>
        </w:rPr>
        <w:t xml:space="preserve">. Este estudio proporciona evidencia y hallazgos que orientan las políticas públicas para abordar el matrimonio infantil y las uniones tempranas y forzadas en Paraguay. </w:t>
      </w:r>
    </w:p>
    <w:p w14:paraId="767BFCBE" w14:textId="1287074E" w:rsidR="00583FBD" w:rsidRPr="00B64C1B" w:rsidRDefault="00583FBD" w:rsidP="00AF0BA1">
      <w:pPr>
        <w:pStyle w:val="SingleTxt"/>
        <w:numPr>
          <w:ilvl w:val="0"/>
          <w:numId w:val="49"/>
        </w:numPr>
        <w:ind w:left="1267"/>
        <w:rPr>
          <w:lang w:val="es-PY"/>
        </w:rPr>
      </w:pPr>
      <w:r w:rsidRPr="00B64C1B">
        <w:rPr>
          <w:lang w:val="es-PY"/>
        </w:rPr>
        <w:t>En 2020 se aprobó la Ley Nº6506, que modifica varios artículos de la Ley N°</w:t>
      </w:r>
      <w:r w:rsidRPr="00E67B58">
        <w:rPr>
          <w:lang w:val="es-PY"/>
        </w:rPr>
        <w:t>5415/2015</w:t>
      </w:r>
      <w:r w:rsidRPr="00B64C1B">
        <w:rPr>
          <w:lang w:val="es-PY"/>
        </w:rPr>
        <w:t>, que crea el Registro de Deudores Alimentarios Morosos (REDAM)</w:t>
      </w:r>
      <w:r w:rsidRPr="00B64C1B">
        <w:rPr>
          <w:vertAlign w:val="superscript"/>
          <w:lang w:val="es-PY"/>
        </w:rPr>
        <w:footnoteReference w:id="129"/>
      </w:r>
      <w:r w:rsidRPr="00B64C1B">
        <w:rPr>
          <w:lang w:val="es-PY"/>
        </w:rPr>
        <w:t>. Esta modificación legal busca fortalecer los mecanismos para garantizar el cumplimiento de las obligaciones alimentarias y proteger los derechos de los niños y las niñas.</w:t>
      </w:r>
    </w:p>
    <w:p w14:paraId="0D9BF379" w14:textId="61300537" w:rsidR="00583FBD" w:rsidRPr="00B64C1B" w:rsidRDefault="00583FBD" w:rsidP="00AF0BA1">
      <w:pPr>
        <w:pStyle w:val="SingleTxt"/>
        <w:numPr>
          <w:ilvl w:val="0"/>
          <w:numId w:val="49"/>
        </w:numPr>
        <w:tabs>
          <w:tab w:val="num" w:pos="2804"/>
        </w:tabs>
        <w:ind w:left="1267"/>
        <w:rPr>
          <w:lang w:val="es-PY"/>
        </w:rPr>
      </w:pPr>
      <w:r w:rsidRPr="00B64C1B">
        <w:rPr>
          <w:lang w:val="es-PY"/>
        </w:rPr>
        <w:t>El MDP brinda asistencia y representación gratuita para la realización de pruebas de ADN a personas que no cuentan con los medios financieros para cubrir los gastos del examen. En el marco de la Ley Nº</w:t>
      </w:r>
      <w:r w:rsidRPr="00E67B58">
        <w:rPr>
          <w:lang w:val="es-PY"/>
        </w:rPr>
        <w:t>1914/02</w:t>
      </w:r>
      <w:r w:rsidRPr="00B64C1B">
        <w:rPr>
          <w:lang w:val="es-PY"/>
        </w:rPr>
        <w:t>, se ofrece el beneficio para litigar sin gastos, permitiendo a las personas acceder a este servicio a través de la Defensoría Pública. Desde marzo de 2019 hasta marzo de 2024, se solicitaron 946 pruebas de ADN en el contexto de juicios de filiación, en los cuales se ha solicitado la exoneración de pago de la prueba pericial de ADN.</w:t>
      </w:r>
    </w:p>
    <w:p w14:paraId="32D8128B" w14:textId="0A44EC92" w:rsidR="00583FBD" w:rsidRPr="00B64C1B" w:rsidRDefault="00583FBD" w:rsidP="00AF0BA1">
      <w:pPr>
        <w:pStyle w:val="SingleTxt"/>
        <w:numPr>
          <w:ilvl w:val="0"/>
          <w:numId w:val="49"/>
        </w:numPr>
        <w:tabs>
          <w:tab w:val="num" w:pos="2804"/>
        </w:tabs>
        <w:ind w:left="1267"/>
        <w:rPr>
          <w:lang w:val="es-PY"/>
        </w:rPr>
      </w:pPr>
      <w:r w:rsidRPr="00B64C1B">
        <w:rPr>
          <w:lang w:val="es-PY"/>
        </w:rPr>
        <w:t>La CSJ también dispone de un presupuesto regular para solventar las pruebas de ADN para aquellas personas que no pueden cubrir los costos del examen. La Acordada N°1668/2022</w:t>
      </w:r>
      <w:r w:rsidRPr="00B64C1B">
        <w:rPr>
          <w:vertAlign w:val="superscript"/>
          <w:lang w:val="es-PY"/>
        </w:rPr>
        <w:footnoteReference w:id="130"/>
      </w:r>
      <w:r w:rsidRPr="00B64C1B">
        <w:rPr>
          <w:lang w:val="es-PY"/>
        </w:rPr>
        <w:t xml:space="preserve"> autoriza la implementación de procedimientos para la solicitud, autorización, control y pago de estudios de ADN en el marco de juicios de filiación con beneficio para litigar sin gastos. Esta medida facilita el acceso a la justicia y garantiza el derecho a la identidad de los niños.</w:t>
      </w:r>
    </w:p>
    <w:p w14:paraId="264C3112" w14:textId="11344B7F" w:rsidR="00583FBD" w:rsidRDefault="00583FBD" w:rsidP="00AF0BA1">
      <w:pPr>
        <w:pStyle w:val="SingleTxt"/>
        <w:numPr>
          <w:ilvl w:val="0"/>
          <w:numId w:val="49"/>
        </w:numPr>
        <w:tabs>
          <w:tab w:val="num" w:pos="2804"/>
        </w:tabs>
        <w:ind w:left="1267"/>
        <w:rPr>
          <w:lang w:val="es-PY"/>
        </w:rPr>
      </w:pPr>
      <w:r w:rsidRPr="00C4065C">
        <w:rPr>
          <w:lang w:val="es-PY"/>
        </w:rPr>
        <w:t>En el PJ existen resoluciones judiciales que reconocen los derechos de las cónyuges herederas los bienes matrimoniales considerados intangibles como lo son las pensiones y jubilaciones. En dicho marco, el observatorio de género del Poder Judicial cuenta con resoluciones judiciales</w:t>
      </w:r>
      <w:r w:rsidRPr="00B64C1B">
        <w:rPr>
          <w:vertAlign w:val="superscript"/>
          <w:lang w:val="es-PY"/>
        </w:rPr>
        <w:footnoteReference w:id="131"/>
      </w:r>
      <w:r w:rsidRPr="00C4065C">
        <w:rPr>
          <w:lang w:val="es-PY"/>
        </w:rPr>
        <w:t xml:space="preserve"> en materia civil que contemplan dicha recomendación.</w:t>
      </w:r>
    </w:p>
    <w:p w14:paraId="6351A3DA" w14:textId="77777777" w:rsidR="00AF0BA1" w:rsidRPr="00AF0BA1" w:rsidRDefault="00AF0BA1" w:rsidP="00AF0BA1">
      <w:pPr>
        <w:pStyle w:val="SingleTxt"/>
        <w:spacing w:after="0" w:line="120" w:lineRule="exact"/>
        <w:rPr>
          <w:sz w:val="10"/>
          <w:lang w:val="es-PY"/>
        </w:rPr>
      </w:pPr>
    </w:p>
    <w:p w14:paraId="1CA275F7" w14:textId="77777777" w:rsidR="00AF0BA1" w:rsidRPr="00AF0BA1" w:rsidRDefault="00AF0BA1" w:rsidP="00AF0BA1">
      <w:pPr>
        <w:pStyle w:val="SingleTxt"/>
        <w:spacing w:after="0" w:line="120" w:lineRule="exact"/>
        <w:rPr>
          <w:sz w:val="10"/>
          <w:lang w:val="es-PY"/>
        </w:rPr>
      </w:pPr>
    </w:p>
    <w:p w14:paraId="54033975" w14:textId="77777777" w:rsidR="00583FBD" w:rsidRPr="00B64C1B" w:rsidRDefault="00583FBD" w:rsidP="00223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tab/>
      </w:r>
      <w:r>
        <w:rPr>
          <w:lang w:val="es-PY"/>
        </w:rPr>
        <w:tab/>
      </w:r>
      <w:r w:rsidRPr="00B64C1B">
        <w:rPr>
          <w:lang w:val="es-PY"/>
        </w:rPr>
        <w:t>Enmienda del artículo 20 1) de la Convención</w:t>
      </w:r>
      <w:r w:rsidRPr="0022319A">
        <w:rPr>
          <w:b w:val="0"/>
          <w:bCs/>
          <w:sz w:val="20"/>
          <w:szCs w:val="20"/>
          <w:vertAlign w:val="superscript"/>
          <w:lang w:val="es-PY"/>
        </w:rPr>
        <w:footnoteReference w:id="132"/>
      </w:r>
    </w:p>
    <w:p w14:paraId="418B6115" w14:textId="77777777" w:rsidR="0022319A" w:rsidRPr="0022319A" w:rsidRDefault="0022319A" w:rsidP="0022319A">
      <w:pPr>
        <w:pStyle w:val="SingleTxt"/>
        <w:spacing w:after="0" w:line="120" w:lineRule="exact"/>
        <w:rPr>
          <w:bCs/>
          <w:sz w:val="10"/>
          <w:lang w:val="es-PY"/>
        </w:rPr>
      </w:pPr>
    </w:p>
    <w:p w14:paraId="0CAC2F92" w14:textId="77777777" w:rsidR="0022319A" w:rsidRPr="0022319A" w:rsidRDefault="0022319A" w:rsidP="0022319A">
      <w:pPr>
        <w:pStyle w:val="SingleTxt"/>
        <w:spacing w:after="0" w:line="120" w:lineRule="exact"/>
        <w:rPr>
          <w:bCs/>
          <w:sz w:val="10"/>
          <w:lang w:val="es-PY"/>
        </w:rPr>
      </w:pPr>
    </w:p>
    <w:p w14:paraId="1AC02701" w14:textId="2BE82F99" w:rsidR="00583FBD" w:rsidRPr="00B64C1B" w:rsidRDefault="00583FBD" w:rsidP="0022319A">
      <w:pPr>
        <w:pStyle w:val="SingleTxt"/>
        <w:numPr>
          <w:ilvl w:val="0"/>
          <w:numId w:val="49"/>
        </w:numPr>
        <w:ind w:left="1267"/>
        <w:rPr>
          <w:lang w:val="es-PY"/>
        </w:rPr>
      </w:pPr>
      <w:r w:rsidRPr="00B64C1B">
        <w:rPr>
          <w:lang w:val="es-PY"/>
        </w:rPr>
        <w:t>La enmienda del artículo 20, párrafo 1 de la Convención ha sido aprobada por Ley N.°</w:t>
      </w:r>
      <w:r w:rsidRPr="00E67B58">
        <w:rPr>
          <w:lang w:val="es-PY"/>
        </w:rPr>
        <w:t>6047/2018</w:t>
      </w:r>
      <w:r w:rsidRPr="00B64C1B">
        <w:rPr>
          <w:vertAlign w:val="superscript"/>
          <w:lang w:val="es-PY"/>
        </w:rPr>
        <w:footnoteReference w:id="133"/>
      </w:r>
      <w:r w:rsidRPr="00B64C1B">
        <w:rPr>
          <w:lang w:val="es-PY"/>
        </w:rPr>
        <w:t xml:space="preserve">. </w:t>
      </w:r>
    </w:p>
    <w:p w14:paraId="58A5219C" w14:textId="77777777" w:rsidR="00583FBD" w:rsidRPr="00B64C1B" w:rsidRDefault="00583FBD" w:rsidP="00223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PY"/>
        </w:rPr>
      </w:pPr>
      <w:r>
        <w:rPr>
          <w:lang w:val="es-PY"/>
        </w:rPr>
        <w:lastRenderedPageBreak/>
        <w:tab/>
      </w:r>
      <w:r>
        <w:rPr>
          <w:lang w:val="es-PY"/>
        </w:rPr>
        <w:tab/>
      </w:r>
      <w:r w:rsidRPr="00B64C1B">
        <w:rPr>
          <w:lang w:val="es-PY"/>
        </w:rPr>
        <w:t>Declaración y Plataforma de Acción de Beijing (art. 2)</w:t>
      </w:r>
      <w:r w:rsidRPr="0022319A">
        <w:rPr>
          <w:b w:val="0"/>
          <w:bCs/>
          <w:sz w:val="20"/>
          <w:szCs w:val="20"/>
          <w:vertAlign w:val="superscript"/>
          <w:lang w:val="es-PY"/>
        </w:rPr>
        <w:footnoteReference w:id="134"/>
      </w:r>
    </w:p>
    <w:p w14:paraId="71A1496A" w14:textId="77777777" w:rsidR="0022319A" w:rsidRPr="0022319A" w:rsidRDefault="0022319A" w:rsidP="0022319A">
      <w:pPr>
        <w:pStyle w:val="SingleTxt"/>
        <w:spacing w:after="0" w:line="120" w:lineRule="exact"/>
        <w:rPr>
          <w:bCs/>
          <w:sz w:val="10"/>
          <w:lang w:val="es-PY"/>
        </w:rPr>
      </w:pPr>
    </w:p>
    <w:p w14:paraId="7E8310D4" w14:textId="77777777" w:rsidR="0022319A" w:rsidRPr="0022319A" w:rsidRDefault="0022319A" w:rsidP="0022319A">
      <w:pPr>
        <w:pStyle w:val="SingleTxt"/>
        <w:spacing w:after="0" w:line="120" w:lineRule="exact"/>
        <w:rPr>
          <w:bCs/>
          <w:sz w:val="10"/>
          <w:lang w:val="es-PY"/>
        </w:rPr>
      </w:pPr>
    </w:p>
    <w:p w14:paraId="52074C1E" w14:textId="0F0E37FD" w:rsidR="00583FBD" w:rsidRPr="00B64C1B" w:rsidRDefault="00583FBD" w:rsidP="0022319A">
      <w:pPr>
        <w:pStyle w:val="SingleTxt"/>
        <w:numPr>
          <w:ilvl w:val="0"/>
          <w:numId w:val="49"/>
        </w:numPr>
        <w:ind w:left="1267"/>
        <w:rPr>
          <w:lang w:val="es-PY"/>
        </w:rPr>
      </w:pPr>
      <w:r w:rsidRPr="00B64C1B">
        <w:rPr>
          <w:lang w:val="es-PY"/>
        </w:rPr>
        <w:t xml:space="preserve">El IV PLANI se enfoca en avanzar hacia la igualdad legal, la igualdad de oportunidades, la igualdad sustantiva y la igualdad de resultados. Establece metas claras y objetivos a alcanzar, así como obstáculos a superar para su cumplimiento y aplicación en las distintas políticas y competencias sectoriales. Este plan se alinea con los cinco ejes de derechos (no discriminación, empoderamiento en la toma de decisiones, autonomía física, empoderamiento económico y acceso a la justicia) y los cuatro ejes transversales (igualdad entre hombres y mujeres, enfoque de derechos humanos, eliminación de estereotipos discriminatorios y enfoque intercultural y bilingüe) establecidos en la Declaración y Plataforma de Acción de Beijing. El Ministerio de la Mujer posee la rectoría estatal del plan y trabaja por la transversalización de la perspectiva de género en todas las esferas de la sociedad, incluyendo aspectos relativos a pobreza, educación y capacitación, salud, violencia, economía, poder y toma de decisiones, derechos humanos, medios de comunicación, medio ambiente, entre otros. </w:t>
      </w:r>
    </w:p>
    <w:p w14:paraId="7CFFEAB2" w14:textId="27852B52" w:rsidR="00583FBD" w:rsidRPr="00B64C1B" w:rsidRDefault="00583FBD" w:rsidP="0022319A">
      <w:pPr>
        <w:pStyle w:val="SingleTxt"/>
        <w:numPr>
          <w:ilvl w:val="0"/>
          <w:numId w:val="49"/>
        </w:numPr>
        <w:ind w:left="1267"/>
        <w:rPr>
          <w:lang w:val="es-PY"/>
        </w:rPr>
      </w:pPr>
      <w:r w:rsidRPr="00B64C1B">
        <w:rPr>
          <w:lang w:val="es-PY"/>
        </w:rPr>
        <w:t xml:space="preserve">El Plan Nacional de Desarrollo se alinea en un 92% con los ODS. Para garantizar la efectiva implementación de la Agenda 2030, se estableció en 2016 la Comisión Interinstitucional ODS Paraguay, encargada del seguimiento y monitoreo de los ODS, reestructurada en 2020 mediante el Decreto N°3581, fortaleciendo la participación del Ministerio de la Mujer en las instancias directiva, operativa y técnica. Específicamente, se creó el subcomité ODS 5 </w:t>
      </w:r>
      <w:r w:rsidR="00F019B7">
        <w:rPr>
          <w:lang w:val="es-PY"/>
        </w:rPr>
        <w:t>“</w:t>
      </w:r>
      <w:r w:rsidRPr="00B64C1B">
        <w:rPr>
          <w:lang w:val="es-PY"/>
        </w:rPr>
        <w:t>Igualdad de género/Mujer</w:t>
      </w:r>
      <w:r w:rsidR="00F019B7">
        <w:rPr>
          <w:lang w:val="es-PY"/>
        </w:rPr>
        <w:t>”</w:t>
      </w:r>
      <w:r w:rsidRPr="00B64C1B">
        <w:rPr>
          <w:lang w:val="es-PY"/>
        </w:rPr>
        <w:t>, liderado por el Ministerio de la Mujer, con la participación de otros organismos del Estado vinculados a la temática de género. Entre las funciones del subcomité ODS 5 se encuentran la articulación con otros sectores para compilar información sobre acciones relacionadas con la igualdad de género, la colaboración con el Instituto Nacional de Estadística, (INE) para la construcción de indicadores nacionales, la promoción y coordinación de actividades relacionadas con el ODS 5, entre otras. El Informe Temático Multisectorial (ITM) ODS 5 es un importante trabajo realizado por el subcomité, que sirve como línea de base para evaluar el desempeño del país en relación con las metas del ODS 5 y buscar alternativas para avanzar hacia su cumplimiento.</w:t>
      </w:r>
    </w:p>
    <w:p w14:paraId="600C2E04" w14:textId="1F47A00C" w:rsidR="00583FBD" w:rsidRPr="0022319A" w:rsidRDefault="00583FBD" w:rsidP="0022319A">
      <w:pPr>
        <w:pStyle w:val="SingleTxt"/>
        <w:numPr>
          <w:ilvl w:val="0"/>
          <w:numId w:val="49"/>
        </w:numPr>
        <w:ind w:left="1267"/>
      </w:pPr>
      <w:r w:rsidRPr="00B64C1B">
        <w:rPr>
          <w:lang w:val="es-PY"/>
        </w:rPr>
        <w:t xml:space="preserve">En el marco del Objetivo 5 de Desarrollo Sostenible, referido a la igualdad de género, se han realizado los </w:t>
      </w:r>
      <w:r w:rsidR="00F019B7">
        <w:rPr>
          <w:lang w:val="es-PY"/>
        </w:rPr>
        <w:t>“</w:t>
      </w:r>
      <w:r w:rsidRPr="00B64C1B">
        <w:rPr>
          <w:lang w:val="es-PY"/>
        </w:rPr>
        <w:t xml:space="preserve">Diálogos para la Igualdad </w:t>
      </w:r>
      <w:r w:rsidR="00F019B7">
        <w:rPr>
          <w:lang w:val="es-PY"/>
        </w:rPr>
        <w:t>“</w:t>
      </w:r>
      <w:r w:rsidRPr="00B64C1B">
        <w:rPr>
          <w:lang w:val="es-PY"/>
        </w:rPr>
        <w:t>con el objetivo de promover el intercambio de conocimientos, experiencias y lecciones aprendidas entre las administraciones públicas de Paraguay, España y otros países, para el avance de la agenda 2030 de desarrollo sostenible.</w:t>
      </w:r>
    </w:p>
    <w:p w14:paraId="69C3E297" w14:textId="032352F3" w:rsidR="0022319A" w:rsidRPr="00055A77" w:rsidRDefault="0022319A" w:rsidP="0022319A">
      <w:pPr>
        <w:pStyle w:val="SingleTxt"/>
      </w:pPr>
      <w:r>
        <w:rPr>
          <w:noProof/>
          <w:w w:val="100"/>
        </w:rPr>
        <mc:AlternateContent>
          <mc:Choice Requires="wps">
            <w:drawing>
              <wp:anchor distT="0" distB="0" distL="114300" distR="114300" simplePos="0" relativeHeight="251660288" behindDoc="0" locked="0" layoutInCell="1" allowOverlap="1" wp14:anchorId="7D31EF9E" wp14:editId="71BDBFCF">
                <wp:simplePos x="0" y="0"/>
                <wp:positionH relativeFrom="column">
                  <wp:posOffset>2669540</wp:posOffset>
                </wp:positionH>
                <wp:positionV relativeFrom="paragraph">
                  <wp:posOffset>304800</wp:posOffset>
                </wp:positionV>
                <wp:extent cx="914400" cy="0"/>
                <wp:effectExtent l="0" t="0" r="0" b="0"/>
                <wp:wrapNone/>
                <wp:docPr id="158276267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096041"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2319A" w:rsidRPr="00055A77" w:rsidSect="00583FB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4-11-20T16:05:00Z" w:initials="Start">
    <w:p w14:paraId="51A69FFE" w14:textId="77777777" w:rsidR="00A92D23" w:rsidRDefault="00A92D23">
      <w:pPr>
        <w:pStyle w:val="CommentText"/>
      </w:pPr>
      <w:r>
        <w:rPr>
          <w:rStyle w:val="CommentReference"/>
        </w:rPr>
        <w:annotationRef/>
      </w:r>
      <w:r>
        <w:t>&lt;&lt;ODS JOB NO&gt;&gt;N2429574S&lt;&lt;ODS JOB NO&gt;&gt;</w:t>
      </w:r>
    </w:p>
    <w:p w14:paraId="4EFA3B3F" w14:textId="77777777" w:rsidR="00A92D23" w:rsidRDefault="00A92D23">
      <w:pPr>
        <w:pStyle w:val="CommentText"/>
      </w:pPr>
      <w:r>
        <w:t>&lt;&lt;ODS DOC SYMBOL1&gt;&gt;CEDAW/C/PRY/8&lt;&lt;ODS DOC SYMBOL1&gt;&gt;</w:t>
      </w:r>
    </w:p>
    <w:p w14:paraId="39C3CB9D" w14:textId="70BFB1DB" w:rsidR="00A92D23" w:rsidRDefault="00A92D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C3CB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D6EE73" w16cex:dateUtc="2024-11-20T2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C3CB9D" w16cid:durableId="6ED6EE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7E47F" w14:textId="77777777" w:rsidR="003F49EA" w:rsidRDefault="003F49EA" w:rsidP="00331D20">
      <w:r>
        <w:separator/>
      </w:r>
    </w:p>
  </w:endnote>
  <w:endnote w:type="continuationSeparator" w:id="0">
    <w:p w14:paraId="0E7B3908" w14:textId="77777777" w:rsidR="003F49EA" w:rsidRDefault="003F49E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panose1 w:val="00000000000000000000"/>
    <w:charset w:val="00"/>
    <w:family w:val="roman"/>
    <w:notTrueType/>
    <w:pitch w:val="default"/>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92D23" w14:paraId="04ACDBE5" w14:textId="77777777" w:rsidTr="00A92D23">
      <w:tc>
        <w:tcPr>
          <w:tcW w:w="4920" w:type="dxa"/>
          <w:shd w:val="clear" w:color="auto" w:fill="auto"/>
          <w:vAlign w:val="bottom"/>
        </w:tcPr>
        <w:p w14:paraId="2C431216" w14:textId="6D0BE948" w:rsidR="00A92D23" w:rsidRPr="00A92D23" w:rsidRDefault="00A92D23" w:rsidP="00A92D23">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2419966F" w14:textId="4274F392" w:rsidR="00A92D23" w:rsidRPr="00A92D23" w:rsidRDefault="00A92D23" w:rsidP="00A92D2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A3D25">
            <w:rPr>
              <w:b w:val="0"/>
              <w:color w:val="000000"/>
              <w:sz w:val="14"/>
            </w:rPr>
            <w:t>24-18847</w:t>
          </w:r>
          <w:r>
            <w:rPr>
              <w:b w:val="0"/>
              <w:color w:val="000000"/>
              <w:sz w:val="14"/>
            </w:rPr>
            <w:fldChar w:fldCharType="end"/>
          </w:r>
        </w:p>
      </w:tc>
    </w:tr>
  </w:tbl>
  <w:p w14:paraId="2FF3A728" w14:textId="77777777" w:rsidR="00A92D23" w:rsidRPr="00A92D23" w:rsidRDefault="00A92D23" w:rsidP="00A92D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92D23" w14:paraId="66E015BE" w14:textId="77777777" w:rsidTr="00A92D23">
      <w:tc>
        <w:tcPr>
          <w:tcW w:w="4920" w:type="dxa"/>
          <w:shd w:val="clear" w:color="auto" w:fill="auto"/>
          <w:vAlign w:val="bottom"/>
        </w:tcPr>
        <w:p w14:paraId="0CB9CF2B" w14:textId="72FD8B40" w:rsidR="00A92D23" w:rsidRPr="00A92D23" w:rsidRDefault="00A92D23" w:rsidP="00A92D2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A3D25">
            <w:rPr>
              <w:b w:val="0"/>
              <w:color w:val="000000"/>
              <w:sz w:val="14"/>
            </w:rPr>
            <w:t>24-18847</w:t>
          </w:r>
          <w:r>
            <w:rPr>
              <w:b w:val="0"/>
              <w:color w:val="000000"/>
              <w:sz w:val="14"/>
            </w:rPr>
            <w:fldChar w:fldCharType="end"/>
          </w:r>
        </w:p>
      </w:tc>
      <w:tc>
        <w:tcPr>
          <w:tcW w:w="4920" w:type="dxa"/>
          <w:shd w:val="clear" w:color="auto" w:fill="auto"/>
          <w:vAlign w:val="bottom"/>
        </w:tcPr>
        <w:p w14:paraId="4F4D631C" w14:textId="1A845740" w:rsidR="00A92D23" w:rsidRPr="00A92D23" w:rsidRDefault="00A92D23" w:rsidP="00A92D2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D217C3E" w14:textId="77777777" w:rsidR="00A92D23" w:rsidRPr="00A92D23" w:rsidRDefault="00A92D23" w:rsidP="00A92D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D167" w14:textId="5402B147" w:rsidR="00A92D23" w:rsidRPr="00A92D23" w:rsidRDefault="00A92D23" w:rsidP="00A92D23">
    <w:pPr>
      <w:pStyle w:val="Footer"/>
      <w:spacing w:line="120" w:lineRule="exact"/>
      <w:rPr>
        <w:b w:val="0"/>
        <w:sz w:val="10"/>
      </w:rPr>
    </w:pPr>
    <w:r>
      <w:rPr>
        <w:b w:val="0"/>
        <w:sz w:val="10"/>
      </w:rPr>
      <w:drawing>
        <wp:anchor distT="0" distB="0" distL="114300" distR="114300" simplePos="0" relativeHeight="251658240" behindDoc="0" locked="0" layoutInCell="1" allowOverlap="1" wp14:anchorId="1C6CBBAA" wp14:editId="741A8DEE">
          <wp:simplePos x="0" y="0"/>
          <wp:positionH relativeFrom="column">
            <wp:posOffset>5568315</wp:posOffset>
          </wp:positionH>
          <wp:positionV relativeFrom="paragraph">
            <wp:posOffset>-283210</wp:posOffset>
          </wp:positionV>
          <wp:extent cx="694690" cy="694690"/>
          <wp:effectExtent l="0" t="0" r="0" b="0"/>
          <wp:wrapNone/>
          <wp:docPr id="329872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92D23" w14:paraId="03722B6B" w14:textId="77777777" w:rsidTr="00A92D23">
      <w:tc>
        <w:tcPr>
          <w:tcW w:w="3830" w:type="dxa"/>
          <w:shd w:val="clear" w:color="auto" w:fill="auto"/>
        </w:tcPr>
        <w:p w14:paraId="57B3ABF3" w14:textId="43C82AEB" w:rsidR="00A92D23" w:rsidRDefault="00A92D23" w:rsidP="00A92D23">
          <w:pPr>
            <w:pStyle w:val="ReleaseDate"/>
          </w:pPr>
          <w:r>
            <w:t xml:space="preserve">24-18847 (S)    </w:t>
          </w:r>
          <w:r w:rsidR="00293AD7">
            <w:t>13</w:t>
          </w:r>
          <w:r>
            <w:t>1124    2</w:t>
          </w:r>
          <w:r w:rsidR="00293AD7">
            <w:t>8</w:t>
          </w:r>
          <w:r>
            <w:t>1124</w:t>
          </w:r>
        </w:p>
        <w:p w14:paraId="57E35A60" w14:textId="22D878D9" w:rsidR="00A92D23" w:rsidRPr="00A92D23" w:rsidRDefault="00A92D23" w:rsidP="00A92D2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*2418847*</w:t>
          </w:r>
        </w:p>
      </w:tc>
      <w:tc>
        <w:tcPr>
          <w:tcW w:w="4920" w:type="dxa"/>
          <w:shd w:val="clear" w:color="auto" w:fill="auto"/>
          <w:vAlign w:val="bottom"/>
        </w:tcPr>
        <w:p w14:paraId="480F0651" w14:textId="680D79B8" w:rsidR="00A92D23" w:rsidRDefault="00A92D23" w:rsidP="00A92D23">
          <w:pPr>
            <w:pStyle w:val="Footer"/>
            <w:ind w:right="115"/>
            <w:jc w:val="right"/>
            <w:rPr>
              <w:b w:val="0"/>
              <w:sz w:val="20"/>
            </w:rPr>
          </w:pPr>
          <w:r>
            <w:rPr>
              <w:b w:val="0"/>
              <w:sz w:val="20"/>
            </w:rPr>
            <w:drawing>
              <wp:inline distT="0" distB="0" distL="0" distR="0" wp14:anchorId="680375FC" wp14:editId="3794C2F8">
                <wp:extent cx="1082042" cy="231648"/>
                <wp:effectExtent l="0" t="0" r="3810" b="0"/>
                <wp:docPr id="463373746" name="Picture 2"/>
                <wp:cNvGraphicFramePr/>
                <a:graphic xmlns:a="http://schemas.openxmlformats.org/drawingml/2006/main">
                  <a:graphicData uri="http://schemas.openxmlformats.org/drawingml/2006/picture">
                    <pic:pic xmlns:pic="http://schemas.openxmlformats.org/drawingml/2006/picture">
                      <pic:nvPicPr>
                        <pic:cNvPr id="46337374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58ED965" w14:textId="77777777" w:rsidR="00A92D23" w:rsidRPr="00A92D23" w:rsidRDefault="00A92D23" w:rsidP="00A92D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F6EDB" w14:textId="77777777" w:rsidR="003F49EA" w:rsidRPr="00485C85" w:rsidRDefault="003F49EA" w:rsidP="00485C85">
      <w:pPr>
        <w:pStyle w:val="Footer"/>
        <w:spacing w:after="80"/>
        <w:ind w:left="792"/>
        <w:rPr>
          <w:sz w:val="16"/>
        </w:rPr>
      </w:pPr>
      <w:r w:rsidRPr="00485C85">
        <w:rPr>
          <w:sz w:val="16"/>
        </w:rPr>
        <w:t>__________________</w:t>
      </w:r>
    </w:p>
  </w:footnote>
  <w:footnote w:type="continuationSeparator" w:id="0">
    <w:p w14:paraId="52FECDB2" w14:textId="77777777" w:rsidR="003F49EA" w:rsidRPr="00485C85" w:rsidRDefault="003F49EA" w:rsidP="00485C85">
      <w:pPr>
        <w:pStyle w:val="Footer"/>
        <w:spacing w:after="80"/>
        <w:ind w:left="792"/>
        <w:rPr>
          <w:sz w:val="16"/>
        </w:rPr>
      </w:pPr>
      <w:r w:rsidRPr="00485C85">
        <w:rPr>
          <w:sz w:val="16"/>
        </w:rPr>
        <w:t>__________________</w:t>
      </w:r>
    </w:p>
  </w:footnote>
  <w:footnote w:id="1">
    <w:p w14:paraId="03A2D0EC" w14:textId="77777777"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Pr>
          <w:sz w:val="16"/>
          <w:szCs w:val="16"/>
        </w:rPr>
        <w:tab/>
      </w:r>
      <w:r w:rsidRPr="0041439F">
        <w:rPr>
          <w:szCs w:val="18"/>
          <w:vertAlign w:val="superscript"/>
        </w:rPr>
        <w:footnoteRef/>
      </w:r>
      <w:r w:rsidRPr="0041439F">
        <w:rPr>
          <w:szCs w:val="18"/>
        </w:rPr>
        <w:tab/>
        <w:t>El Comité́ examinó el séptimo informe periódico del Paraguay en sus sesiones 1536ª y 1537ª, celebradas el 26 de octubre de 2017.</w:t>
      </w:r>
    </w:p>
  </w:footnote>
  <w:footnote w:id="2">
    <w:p w14:paraId="1835B020" w14:textId="4DCF623D"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sidRPr="0041439F">
        <w:rPr>
          <w:szCs w:val="18"/>
        </w:rPr>
        <w:tab/>
      </w:r>
      <w:r w:rsidRPr="0041439F">
        <w:rPr>
          <w:szCs w:val="18"/>
          <w:vertAlign w:val="superscript"/>
        </w:rPr>
        <w:footnoteRef/>
      </w:r>
      <w:r w:rsidRPr="0041439F">
        <w:rPr>
          <w:szCs w:val="18"/>
        </w:rPr>
        <w:tab/>
      </w:r>
      <w:hyperlink r:id="rId1" w:history="1">
        <w:r w:rsidRPr="0041439F">
          <w:rPr>
            <w:rStyle w:val="Hyperlink"/>
            <w:szCs w:val="18"/>
          </w:rPr>
          <w:t>https://www.mre.gov.py/simoreplus/</w:t>
        </w:r>
      </w:hyperlink>
      <w:r w:rsidRPr="0041439F">
        <w:rPr>
          <w:szCs w:val="18"/>
        </w:rPr>
        <w:t>.</w:t>
      </w:r>
    </w:p>
  </w:footnote>
  <w:footnote w:id="3">
    <w:p w14:paraId="5EB2780C" w14:textId="090E311B" w:rsidR="00583FBD" w:rsidRPr="00055A77" w:rsidRDefault="00583FBD" w:rsidP="00485C85">
      <w:pPr>
        <w:pStyle w:val="FootnoteText"/>
        <w:tabs>
          <w:tab w:val="clear" w:pos="418"/>
          <w:tab w:val="right" w:pos="1195"/>
          <w:tab w:val="left" w:pos="1267"/>
          <w:tab w:val="left" w:pos="1742"/>
          <w:tab w:val="left" w:pos="2218"/>
          <w:tab w:val="left" w:pos="2693"/>
        </w:tabs>
        <w:ind w:left="1267" w:right="1267" w:hanging="432"/>
        <w:rPr>
          <w:sz w:val="16"/>
          <w:szCs w:val="16"/>
        </w:rPr>
      </w:pPr>
      <w:r w:rsidRPr="005F2B46">
        <w:rPr>
          <w:szCs w:val="18"/>
        </w:rPr>
        <w:tab/>
      </w:r>
      <w:r w:rsidRPr="0041439F">
        <w:rPr>
          <w:szCs w:val="18"/>
          <w:vertAlign w:val="superscript"/>
        </w:rPr>
        <w:footnoteRef/>
      </w:r>
      <w:r w:rsidRPr="0041439F">
        <w:rPr>
          <w:szCs w:val="18"/>
          <w:lang w:val="en-US"/>
        </w:rPr>
        <w:tab/>
      </w:r>
      <w:hyperlink r:id="rId2" w:history="1">
        <w:r w:rsidRPr="005A582B">
          <w:rPr>
            <w:rStyle w:val="Hyperlink"/>
            <w:szCs w:val="18"/>
            <w:lang w:val="en-US"/>
          </w:rPr>
          <w:t>CEDAW/C/PRY/CO/7</w:t>
        </w:r>
      </w:hyperlink>
      <w:r w:rsidRPr="0041439F">
        <w:rPr>
          <w:szCs w:val="18"/>
          <w:lang w:val="en-US"/>
        </w:rPr>
        <w:t xml:space="preserve">, párr. </w:t>
      </w:r>
      <w:r w:rsidRPr="00055A77">
        <w:rPr>
          <w:szCs w:val="18"/>
        </w:rPr>
        <w:t>11.</w:t>
      </w:r>
    </w:p>
  </w:footnote>
  <w:footnote w:id="4">
    <w:p w14:paraId="7FB45CAC" w14:textId="0F6BBA21" w:rsidR="00583FBD" w:rsidRPr="00055A77"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sidRPr="00055A77">
        <w:rPr>
          <w:szCs w:val="18"/>
        </w:rPr>
        <w:tab/>
      </w:r>
      <w:r w:rsidRPr="0041439F">
        <w:rPr>
          <w:szCs w:val="18"/>
          <w:vertAlign w:val="superscript"/>
        </w:rPr>
        <w:footnoteRef/>
      </w:r>
      <w:r w:rsidRPr="00055A77">
        <w:rPr>
          <w:szCs w:val="18"/>
        </w:rPr>
        <w:tab/>
      </w:r>
      <w:hyperlink r:id="rId3" w:history="1">
        <w:r w:rsidRPr="00817A34">
          <w:rPr>
            <w:rStyle w:val="Hyperlink"/>
            <w:szCs w:val="18"/>
          </w:rPr>
          <w:t>https://www.bacn.gov.py/leyes-paraguayas/9580/constitucion-nacional</w:t>
        </w:r>
      </w:hyperlink>
      <w:r w:rsidRPr="00055A77">
        <w:rPr>
          <w:szCs w:val="18"/>
        </w:rPr>
        <w:t>.</w:t>
      </w:r>
    </w:p>
  </w:footnote>
  <w:footnote w:id="5">
    <w:p w14:paraId="45542F9D" w14:textId="77777777"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sidRPr="00055A77">
        <w:rPr>
          <w:szCs w:val="18"/>
        </w:rPr>
        <w:tab/>
      </w:r>
      <w:r w:rsidRPr="0041439F">
        <w:rPr>
          <w:szCs w:val="18"/>
          <w:vertAlign w:val="superscript"/>
        </w:rPr>
        <w:footnoteRef/>
      </w:r>
      <w:r>
        <w:rPr>
          <w:szCs w:val="18"/>
        </w:rPr>
        <w:tab/>
      </w:r>
      <w:r w:rsidRPr="0041439F">
        <w:rPr>
          <w:szCs w:val="18"/>
        </w:rPr>
        <w:t>Artículo 46 - DE LA IGUALDAD DE LAS PERSONAS. 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 sino igualitarios.</w:t>
      </w:r>
    </w:p>
  </w:footnote>
  <w:footnote w:id="6">
    <w:p w14:paraId="49B38110" w14:textId="77777777"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iCs/>
          <w:szCs w:val="18"/>
        </w:rPr>
      </w:pPr>
      <w:r>
        <w:rPr>
          <w:i/>
          <w:szCs w:val="18"/>
        </w:rPr>
        <w:tab/>
      </w:r>
      <w:r w:rsidRPr="0041439F">
        <w:rPr>
          <w:szCs w:val="18"/>
          <w:vertAlign w:val="superscript"/>
        </w:rPr>
        <w:footnoteRef/>
      </w:r>
      <w:r>
        <w:rPr>
          <w:i/>
          <w:szCs w:val="18"/>
        </w:rPr>
        <w:tab/>
      </w:r>
      <w:r w:rsidRPr="0041439F">
        <w:rPr>
          <w:i/>
          <w:szCs w:val="18"/>
        </w:rPr>
        <w:t xml:space="preserve">Artículo 48 - DE LA IGUALDAD DE DERECHOS DEL HOMBRE Y DE LA MUJER. </w:t>
      </w:r>
      <w:r w:rsidRPr="0041439F">
        <w:rPr>
          <w:iCs/>
          <w:szCs w:val="18"/>
        </w:rPr>
        <w:t xml:space="preserve">El hombre y la mujer tienen iguales derechos civiles, políticos, sociales, económicos y culturales. El Estado promoverá las condiciones y creará los mecanismos adecuados para que la igualdad sea real y efectiva, allanando los obstáculos que impidan o dificulten su ejercicio y facilitando la participación de la mujer en todos los ámbitos de la vida nacional. </w:t>
      </w:r>
    </w:p>
  </w:footnote>
  <w:footnote w:id="7">
    <w:p w14:paraId="066B134A" w14:textId="77777777"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41439F">
        <w:rPr>
          <w:szCs w:val="18"/>
          <w:vertAlign w:val="superscript"/>
        </w:rPr>
        <w:footnoteRef/>
      </w:r>
      <w:r>
        <w:rPr>
          <w:szCs w:val="18"/>
        </w:rPr>
        <w:tab/>
      </w:r>
      <w:r w:rsidRPr="0041439F">
        <w:rPr>
          <w:szCs w:val="18"/>
        </w:rPr>
        <w:t>Artículo 45 - DE LOS DERECHOS Y GARANTÍAS NO ENUNCIADOS. La enunciación de los derechos y garantías contenidos en esta Constitución no debe entenderse como negación de otros que, siendo inherentes a la personalidad humana, no figuren expresamente en ella. La falta de ley reglamentaria no podrá ser invocada para negar ni para menoscabar algún derecho o garantía.</w:t>
      </w:r>
    </w:p>
  </w:footnote>
  <w:footnote w:id="8">
    <w:p w14:paraId="03CDA18E" w14:textId="23880044" w:rsidR="00664A86" w:rsidRPr="0041439F" w:rsidRDefault="00583FBD" w:rsidP="00C9615E">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41439F">
        <w:rPr>
          <w:szCs w:val="18"/>
          <w:vertAlign w:val="superscript"/>
        </w:rPr>
        <w:footnoteRef/>
      </w:r>
      <w:r>
        <w:rPr>
          <w:szCs w:val="18"/>
        </w:rPr>
        <w:tab/>
      </w:r>
      <w:r w:rsidRPr="0041439F">
        <w:rPr>
          <w:szCs w:val="18"/>
        </w:rPr>
        <w:t xml:space="preserve">Proyecto de Ley </w:t>
      </w:r>
      <w:r w:rsidR="00F019B7">
        <w:rPr>
          <w:szCs w:val="18"/>
        </w:rPr>
        <w:t>“</w:t>
      </w:r>
      <w:r w:rsidRPr="0041439F">
        <w:rPr>
          <w:szCs w:val="18"/>
        </w:rPr>
        <w:t>CONTRA TODA FORMA DE DISCRIMINACIÓN</w:t>
      </w:r>
      <w:r w:rsidR="00F019B7">
        <w:rPr>
          <w:szCs w:val="18"/>
        </w:rPr>
        <w:t>”</w:t>
      </w:r>
      <w:r w:rsidRPr="0041439F">
        <w:rPr>
          <w:szCs w:val="18"/>
        </w:rPr>
        <w:t xml:space="preserve">, presentado el 23/11/2015 (Expediente </w:t>
      </w:r>
      <w:r w:rsidR="006B40E9" w:rsidRPr="00D849F6">
        <w:t>S-157013</w:t>
      </w:r>
      <w:r w:rsidRPr="0041439F">
        <w:rPr>
          <w:szCs w:val="18"/>
        </w:rPr>
        <w:t>-</w:t>
      </w:r>
      <w:hyperlink r:id="rId4">
        <w:r w:rsidRPr="0041439F">
          <w:rPr>
            <w:szCs w:val="18"/>
          </w:rPr>
          <w:t xml:space="preserve"> </w:t>
        </w:r>
      </w:hyperlink>
      <w:hyperlink r:id="rId5" w:history="1">
        <w:r w:rsidRPr="00DB6CB8">
          <w:rPr>
            <w:rStyle w:val="Hyperlink"/>
            <w:szCs w:val="18"/>
          </w:rPr>
          <w:t>http://silpy.congreso.gov.py/expediente/106146</w:t>
        </w:r>
      </w:hyperlink>
      <w:r w:rsidRPr="0041439F">
        <w:rPr>
          <w:szCs w:val="18"/>
        </w:rPr>
        <w:t xml:space="preserve">) y Proyecto de Ley </w:t>
      </w:r>
      <w:r w:rsidR="00F019B7">
        <w:rPr>
          <w:szCs w:val="18"/>
        </w:rPr>
        <w:t>“</w:t>
      </w:r>
      <w:r w:rsidRPr="0041439F">
        <w:rPr>
          <w:szCs w:val="18"/>
        </w:rPr>
        <w:t>QUE ESTABLECE MECANISMOS PARA GARANTIZAR LA IGUALDAD DE DERECHOS DE TODOS LOS HABITANTES DE LA REPUBLICA</w:t>
      </w:r>
      <w:r w:rsidR="00F019B7">
        <w:rPr>
          <w:szCs w:val="18"/>
        </w:rPr>
        <w:t>”</w:t>
      </w:r>
      <w:r w:rsidRPr="0041439F">
        <w:rPr>
          <w:szCs w:val="18"/>
        </w:rPr>
        <w:t xml:space="preserve">, presentado el 5/11/2015 (Expediente </w:t>
      </w:r>
      <w:r w:rsidR="006B40E9" w:rsidRPr="00D849F6">
        <w:t>S-156997</w:t>
      </w:r>
      <w:r w:rsidRPr="0041439F">
        <w:rPr>
          <w:szCs w:val="18"/>
        </w:rPr>
        <w:t>-</w:t>
      </w:r>
      <w:hyperlink r:id="rId6">
        <w:r w:rsidRPr="0041439F">
          <w:rPr>
            <w:szCs w:val="18"/>
          </w:rPr>
          <w:t xml:space="preserve"> </w:t>
        </w:r>
      </w:hyperlink>
      <w:hyperlink r:id="rId7">
        <w:r w:rsidRPr="00D849F6">
          <w:rPr>
            <w:color w:val="0000FF"/>
            <w:szCs w:val="18"/>
          </w:rPr>
          <w:t>http://silpy.congreso.gov.py/expediente/106088</w:t>
        </w:r>
      </w:hyperlink>
      <w:r w:rsidRPr="0041439F">
        <w:rPr>
          <w:szCs w:val="18"/>
        </w:rPr>
        <w:t>).</w:t>
      </w:r>
    </w:p>
  </w:footnote>
  <w:footnote w:id="9">
    <w:p w14:paraId="3F4CA2AA" w14:textId="2AD892C6"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41439F">
        <w:rPr>
          <w:szCs w:val="18"/>
          <w:vertAlign w:val="superscript"/>
        </w:rPr>
        <w:footnoteRef/>
      </w:r>
      <w:r w:rsidR="00664A86">
        <w:rPr>
          <w:szCs w:val="18"/>
        </w:rPr>
        <w:tab/>
      </w:r>
      <w:hyperlink r:id="rId8" w:history="1">
        <w:r w:rsidRPr="00C9615E">
          <w:rPr>
            <w:rStyle w:val="Hyperlink"/>
            <w:szCs w:val="18"/>
          </w:rPr>
          <w:t>https://historico.mujer.gov.py/application/files/8315/5239/9481/IV_Plan_de_Igualdad12febrero-final.pdf</w:t>
        </w:r>
      </w:hyperlink>
      <w:r>
        <w:rPr>
          <w:szCs w:val="18"/>
        </w:rPr>
        <w:t>.</w:t>
      </w:r>
    </w:p>
  </w:footnote>
  <w:footnote w:id="10">
    <w:p w14:paraId="7A091983" w14:textId="3E0457B0"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color w:val="000000"/>
          <w:szCs w:val="18"/>
        </w:rPr>
      </w:pPr>
      <w:r>
        <w:rPr>
          <w:szCs w:val="18"/>
        </w:rPr>
        <w:tab/>
      </w:r>
      <w:r w:rsidRPr="0041439F">
        <w:rPr>
          <w:szCs w:val="18"/>
          <w:vertAlign w:val="superscript"/>
        </w:rPr>
        <w:footnoteRef/>
      </w:r>
      <w:r>
        <w:rPr>
          <w:szCs w:val="18"/>
        </w:rPr>
        <w:tab/>
      </w:r>
      <w:hyperlink r:id="rId9" w:history="1">
        <w:r w:rsidRPr="00DF2E3C">
          <w:rPr>
            <w:rStyle w:val="Hyperlink"/>
            <w:szCs w:val="18"/>
          </w:rPr>
          <w:t>http://www.ciudadmujer.gov.py/</w:t>
        </w:r>
      </w:hyperlink>
      <w:r>
        <w:rPr>
          <w:szCs w:val="18"/>
        </w:rPr>
        <w:t>.</w:t>
      </w:r>
    </w:p>
  </w:footnote>
  <w:footnote w:id="11">
    <w:p w14:paraId="4A24BAEA" w14:textId="1A6F5D5D"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41439F">
        <w:rPr>
          <w:szCs w:val="18"/>
          <w:vertAlign w:val="superscript"/>
        </w:rPr>
        <w:footnoteRef/>
      </w:r>
      <w:r>
        <w:rPr>
          <w:szCs w:val="18"/>
        </w:rPr>
        <w:tab/>
      </w:r>
      <w:r w:rsidRPr="0041439F">
        <w:rPr>
          <w:szCs w:val="18"/>
        </w:rPr>
        <w:t>Decreto N°</w:t>
      </w:r>
      <w:r w:rsidRPr="00664A86">
        <w:rPr>
          <w:szCs w:val="18"/>
        </w:rPr>
        <w:t>4775/2021</w:t>
      </w:r>
      <w:r w:rsidRPr="0041439F">
        <w:rPr>
          <w:szCs w:val="18"/>
        </w:rPr>
        <w:t xml:space="preserve"> POR EL CUAL SE ESTABLECE EL «SISTEMA DE PROTECCIÓN SOCIAL DEL PARAGUAY </w:t>
      </w:r>
      <w:r w:rsidR="00F019B7">
        <w:rPr>
          <w:szCs w:val="18"/>
        </w:rPr>
        <w:t>“</w:t>
      </w:r>
      <w:r w:rsidRPr="0041439F">
        <w:rPr>
          <w:szCs w:val="18"/>
        </w:rPr>
        <w:t>VAMOS</w:t>
      </w:r>
      <w:r w:rsidR="00F019B7">
        <w:rPr>
          <w:szCs w:val="18"/>
        </w:rPr>
        <w:t>”</w:t>
      </w:r>
      <w:r w:rsidRPr="0041439F">
        <w:rPr>
          <w:szCs w:val="18"/>
        </w:rPr>
        <w:t xml:space="preserve">», SE APRUEBAN EL «MARCO ESTRATÉGICO DE OBJETIVOS Y ACCIONES» Y LA «PRIORIZACIÓN DE ACCIONES ESTRATÉGICAS PARA LA PLANIFICACIÓN PLURIANUAL 2019-2023», SE LO DECLARA DE INTERÉS NACIONAL Y SE DISPONE SU IMPLEMENTACIÓN. </w:t>
      </w:r>
      <w:hyperlink r:id="rId10" w:history="1">
        <w:r w:rsidRPr="00DB6CB8">
          <w:rPr>
            <w:rStyle w:val="Hyperlink"/>
            <w:szCs w:val="18"/>
          </w:rPr>
          <w:t>https://decretos.presidencia.gov.py/#/home</w:t>
        </w:r>
      </w:hyperlink>
      <w:r>
        <w:rPr>
          <w:szCs w:val="18"/>
        </w:rPr>
        <w:t>.</w:t>
      </w:r>
    </w:p>
  </w:footnote>
  <w:footnote w:id="12">
    <w:p w14:paraId="7E237474" w14:textId="77777777" w:rsidR="00583FBD" w:rsidRPr="0041439F" w:rsidRDefault="00583FBD" w:rsidP="00485C85">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41439F">
        <w:rPr>
          <w:szCs w:val="18"/>
          <w:vertAlign w:val="superscript"/>
        </w:rPr>
        <w:footnoteRef/>
      </w:r>
      <w:r>
        <w:rPr>
          <w:szCs w:val="18"/>
        </w:rPr>
        <w:tab/>
      </w:r>
      <w:r w:rsidRPr="0041439F">
        <w:rPr>
          <w:szCs w:val="18"/>
        </w:rPr>
        <w:t>Este hito significó la formalización de un proceso de diseño iniciado en el año 2017, que se materializó en la primera Nota sectorial de Protección Social (Unidad Técnica del Gabinete Social, 2017); y avanzó con la concurrencia progresiva de las instituciones componentes del Gabinete Social y la definición conceptual, instancias de gobernanza e instrumental. En ese marco, se han institucionalizado dos documentos fundamentales para el funcionamiento de ¡Vamos!: el referido a su Modelo de gestión (Gabinete Social, 2021a) y el que define al Sistema de Monitoreo, Seguimiento y Evaluación (Gabinete Social, 2021b).</w:t>
      </w:r>
    </w:p>
  </w:footnote>
  <w:footnote w:id="13">
    <w:p w14:paraId="313770FD" w14:textId="45178C1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tab/>
      </w:r>
      <w:r w:rsidRPr="006F483D">
        <w:rPr>
          <w:rFonts w:asciiTheme="majorBidi" w:hAnsiTheme="majorBidi" w:cstheme="majorBidi"/>
          <w:szCs w:val="18"/>
          <w:vertAlign w:val="superscript"/>
        </w:rPr>
        <w:footnoteRef/>
      </w:r>
      <w:r w:rsidRPr="006F483D">
        <w:rPr>
          <w:rFonts w:asciiTheme="majorBidi" w:hAnsiTheme="majorBidi" w:cstheme="majorBidi"/>
          <w:szCs w:val="18"/>
        </w:rPr>
        <w:tab/>
      </w:r>
      <w:hyperlink r:id="rId11" w:history="1">
        <w:r w:rsidRPr="00DF2E3C">
          <w:rPr>
            <w:rStyle w:val="Hyperlink"/>
            <w:rFonts w:asciiTheme="majorBidi" w:hAnsiTheme="majorBidi" w:cstheme="majorBidi"/>
            <w:szCs w:val="18"/>
          </w:rPr>
          <w:t>https://gabinetesocial.gov.py/wp-content/uploads/2023/10/normativa.pdf</w:t>
        </w:r>
      </w:hyperlink>
      <w:r w:rsidRPr="006F483D">
        <w:rPr>
          <w:rFonts w:asciiTheme="majorBidi" w:hAnsiTheme="majorBidi" w:cstheme="majorBidi"/>
          <w:szCs w:val="18"/>
        </w:rPr>
        <w:t>.</w:t>
      </w:r>
    </w:p>
  </w:footnote>
  <w:footnote w:id="14">
    <w:p w14:paraId="36F674A6" w14:textId="143A8391"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6F483D">
        <w:rPr>
          <w:rFonts w:asciiTheme="majorBidi" w:hAnsiTheme="majorBidi" w:cstheme="majorBidi"/>
          <w:szCs w:val="18"/>
        </w:rPr>
        <w:tab/>
      </w:r>
      <w:r w:rsidRPr="006F483D">
        <w:rPr>
          <w:rFonts w:asciiTheme="majorBidi" w:hAnsiTheme="majorBidi" w:cstheme="majorBidi"/>
          <w:szCs w:val="18"/>
          <w:vertAlign w:val="superscript"/>
        </w:rPr>
        <w:footnoteRef/>
      </w:r>
      <w:r w:rsidRPr="006F483D">
        <w:rPr>
          <w:rFonts w:asciiTheme="majorBidi" w:hAnsiTheme="majorBidi" w:cstheme="majorBidi"/>
          <w:szCs w:val="18"/>
          <w:lang w:val="en-US"/>
        </w:rPr>
        <w:tab/>
      </w:r>
      <w:hyperlink r:id="rId12"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szCs w:val="18"/>
          <w:lang w:val="en-US"/>
        </w:rPr>
        <w:t xml:space="preserve">, párr. </w:t>
      </w:r>
      <w:r w:rsidRPr="006F483D">
        <w:rPr>
          <w:rFonts w:asciiTheme="majorBidi" w:hAnsiTheme="majorBidi" w:cstheme="majorBidi"/>
          <w:szCs w:val="18"/>
        </w:rPr>
        <w:t>9, a, b, c.</w:t>
      </w:r>
    </w:p>
  </w:footnote>
  <w:footnote w:id="15">
    <w:p w14:paraId="27E5DCDF"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6F483D">
        <w:rPr>
          <w:rFonts w:asciiTheme="majorBidi" w:hAnsiTheme="majorBidi" w:cstheme="majorBidi"/>
          <w:szCs w:val="18"/>
        </w:rPr>
        <w:tab/>
      </w:r>
      <w:r w:rsidRPr="006F483D">
        <w:rPr>
          <w:rStyle w:val="FootnoteReference"/>
          <w:rFonts w:asciiTheme="majorBidi" w:hAnsiTheme="majorBidi" w:cstheme="majorBidi"/>
          <w:szCs w:val="18"/>
        </w:rPr>
        <w:footnoteRef/>
      </w:r>
      <w:r w:rsidRPr="006F483D">
        <w:rPr>
          <w:rFonts w:asciiTheme="majorBidi" w:hAnsiTheme="majorBidi" w:cstheme="majorBidi"/>
          <w:szCs w:val="18"/>
        </w:rPr>
        <w:tab/>
        <w:t>Dicho diplomado es el resultado de la articulación con la Universidad Autónoma de Encarnación (UNAE), la Fundación Internacional y para Iberoamérica de Administración y Políticas Públicas (FIIAPP), la Facultad Latinoamericana de Ciencias Sociales (FLACSO), el Instituto Interamericano de Cooperación para la Agricultura</w:t>
      </w:r>
      <w:r w:rsidRPr="006F483D">
        <w:rPr>
          <w:rFonts w:asciiTheme="majorBidi" w:hAnsiTheme="majorBidi" w:cstheme="majorBidi"/>
          <w:b/>
          <w:szCs w:val="18"/>
        </w:rPr>
        <w:t xml:space="preserve"> </w:t>
      </w:r>
      <w:r w:rsidRPr="006F483D">
        <w:rPr>
          <w:rFonts w:asciiTheme="majorBidi" w:hAnsiTheme="majorBidi" w:cstheme="majorBidi"/>
          <w:szCs w:val="18"/>
        </w:rPr>
        <w:t>(IICA); y, el Programa de las Naciones Unidas para el Desarrollo (PNUD).</w:t>
      </w:r>
    </w:p>
  </w:footnote>
  <w:footnote w:id="16">
    <w:p w14:paraId="38572550"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6F483D">
        <w:rPr>
          <w:rFonts w:asciiTheme="majorBidi" w:hAnsiTheme="majorBidi" w:cstheme="majorBidi"/>
          <w:szCs w:val="18"/>
        </w:rPr>
        <w:tab/>
      </w:r>
      <w:r w:rsidRPr="006F483D">
        <w:rPr>
          <w:rStyle w:val="FootnoteReference"/>
          <w:rFonts w:asciiTheme="majorBidi" w:hAnsiTheme="majorBidi" w:cstheme="majorBidi"/>
          <w:szCs w:val="18"/>
        </w:rPr>
        <w:footnoteRef/>
      </w:r>
      <w:r w:rsidRPr="006F483D">
        <w:rPr>
          <w:rFonts w:asciiTheme="majorBidi" w:hAnsiTheme="majorBidi" w:cstheme="majorBidi"/>
          <w:szCs w:val="18"/>
        </w:rPr>
        <w:tab/>
        <w:t>Artículo 48 - DE LA IGUALDAD DE DERECHOS DEL HOMBRE Y DE LA MUJER. El hombre y la mujer tienen iguales derechos civiles, políticos, sociales, económicos y culturales. El Estado promoverá las condiciones y creará los mecanismos adecuados para que la igualdad sea real y efectiva, allanando los obstáculos que impidan o dificulten su ejercicio y facilitando la participación de la mujer en todos los ámbitos de la vida nacional.</w:t>
      </w:r>
    </w:p>
  </w:footnote>
  <w:footnote w:id="17">
    <w:p w14:paraId="023F40CA" w14:textId="65A46E6C"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6F483D">
        <w:rPr>
          <w:rFonts w:asciiTheme="majorBidi" w:hAnsiTheme="majorBidi" w:cstheme="majorBidi"/>
          <w:szCs w:val="18"/>
        </w:rPr>
        <w:tab/>
      </w:r>
      <w:r w:rsidRPr="006F483D">
        <w:rPr>
          <w:rFonts w:asciiTheme="majorBidi" w:hAnsiTheme="majorBidi" w:cstheme="majorBidi"/>
          <w:szCs w:val="18"/>
          <w:vertAlign w:val="superscript"/>
        </w:rPr>
        <w:footnoteRef/>
      </w:r>
      <w:r w:rsidRPr="006F483D">
        <w:rPr>
          <w:rFonts w:asciiTheme="majorBidi" w:hAnsiTheme="majorBidi" w:cstheme="majorBidi"/>
          <w:szCs w:val="18"/>
        </w:rPr>
        <w:tab/>
        <w:t xml:space="preserve">Acceder a la ley en: </w:t>
      </w:r>
      <w:hyperlink r:id="rId13">
        <w:r w:rsidRPr="00F019B7">
          <w:rPr>
            <w:rFonts w:asciiTheme="majorBidi" w:hAnsiTheme="majorBidi" w:cstheme="majorBidi"/>
            <w:color w:val="0000FF"/>
            <w:szCs w:val="18"/>
          </w:rPr>
          <w:t>https://www.bacn.gov.py/leyes-paraguayas/10547/ley-n-6940-establece-mecanismos-y-procedimientos-para-prevenir-y-sancionar-actos-de-racismo-y-discriminacion-hacia-las-personas-afrodescendientes</w:t>
        </w:r>
      </w:hyperlink>
      <w:r w:rsidRPr="009842A7">
        <w:rPr>
          <w:rFonts w:asciiTheme="majorBidi" w:hAnsiTheme="majorBidi" w:cstheme="majorBidi"/>
          <w:color w:val="3366FF"/>
          <w:szCs w:val="18"/>
        </w:rPr>
        <w:t>.</w:t>
      </w:r>
      <w:r w:rsidRPr="006F483D">
        <w:rPr>
          <w:rFonts w:asciiTheme="majorBidi" w:hAnsiTheme="majorBidi" w:cstheme="majorBidi"/>
          <w:szCs w:val="18"/>
        </w:rPr>
        <w:t xml:space="preserve"> </w:t>
      </w:r>
    </w:p>
  </w:footnote>
  <w:footnote w:id="18">
    <w:p w14:paraId="4FA526E0" w14:textId="0D24E0D5"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themeColor="text1"/>
          <w:szCs w:val="18"/>
        </w:rPr>
      </w:pPr>
      <w:r w:rsidRPr="006F483D">
        <w:rPr>
          <w:rFonts w:asciiTheme="majorBidi" w:hAnsiTheme="majorBidi" w:cstheme="majorBidi"/>
          <w:szCs w:val="18"/>
        </w:rPr>
        <w:tab/>
      </w:r>
      <w:r w:rsidRPr="006F483D">
        <w:rPr>
          <w:rStyle w:val="FootnoteReference"/>
          <w:rFonts w:asciiTheme="majorBidi" w:hAnsiTheme="majorBidi" w:cstheme="majorBidi"/>
          <w:color w:val="000000" w:themeColor="text1"/>
          <w:szCs w:val="18"/>
        </w:rPr>
        <w:footnoteRef/>
      </w:r>
      <w:r w:rsidRPr="006F483D">
        <w:rPr>
          <w:rFonts w:asciiTheme="majorBidi" w:hAnsiTheme="majorBidi" w:cstheme="majorBidi"/>
          <w:szCs w:val="18"/>
        </w:rPr>
        <w:tab/>
      </w:r>
      <w:hyperlink r:id="rId14" w:history="1">
        <w:r w:rsidRPr="006F483D">
          <w:rPr>
            <w:rStyle w:val="Hyperlink"/>
            <w:rFonts w:asciiTheme="majorBidi" w:hAnsiTheme="majorBidi" w:cstheme="majorBidi"/>
            <w:szCs w:val="18"/>
          </w:rPr>
          <w:t>https://www.mspbs.gov.py/dependencias/portal/adjunto/9753ad-POLITICANACIONALDESALUD.pdf</w:t>
        </w:r>
      </w:hyperlink>
      <w:r>
        <w:rPr>
          <w:rStyle w:val="Hyperlink"/>
          <w:rFonts w:asciiTheme="majorBidi" w:hAnsiTheme="majorBidi" w:cstheme="majorBidi"/>
          <w:szCs w:val="18"/>
        </w:rPr>
        <w:t>.</w:t>
      </w:r>
    </w:p>
  </w:footnote>
  <w:footnote w:id="19">
    <w:p w14:paraId="0DD140A3" w14:textId="44227521" w:rsidR="00583FBD" w:rsidRPr="00F019B7"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FF"/>
          <w:szCs w:val="18"/>
          <w:lang w:val="es-MX"/>
        </w:rPr>
      </w:pPr>
      <w:r w:rsidRPr="006F483D">
        <w:rPr>
          <w:rFonts w:asciiTheme="majorBidi" w:hAnsiTheme="majorBidi" w:cstheme="majorBidi"/>
          <w:szCs w:val="18"/>
        </w:rPr>
        <w:tab/>
      </w:r>
      <w:r w:rsidRPr="006F483D">
        <w:rPr>
          <w:rStyle w:val="FootnoteReference"/>
          <w:rFonts w:asciiTheme="majorBidi" w:hAnsiTheme="majorBidi" w:cstheme="majorBidi"/>
          <w:color w:val="000000" w:themeColor="text1"/>
          <w:szCs w:val="18"/>
        </w:rPr>
        <w:footnoteRef/>
      </w:r>
      <w:r w:rsidRPr="006F483D">
        <w:rPr>
          <w:rFonts w:asciiTheme="majorBidi" w:hAnsiTheme="majorBidi" w:cstheme="majorBidi"/>
          <w:szCs w:val="18"/>
        </w:rPr>
        <w:tab/>
      </w:r>
      <w:hyperlink r:id="rId15" w:history="1">
        <w:r w:rsidRPr="00F019B7">
          <w:rPr>
            <w:rStyle w:val="Hyperlink"/>
            <w:rFonts w:asciiTheme="majorBidi" w:hAnsiTheme="majorBidi" w:cstheme="majorBidi"/>
            <w:szCs w:val="18"/>
          </w:rPr>
          <w:t>https://www.mspbs.gov.py/dependencias/portal/adjunto/2d822f-POLITICANACIONALDEPROMOCIONDELASALUD.pdf</w:t>
        </w:r>
      </w:hyperlink>
      <w:r w:rsidRPr="00F019B7">
        <w:rPr>
          <w:rStyle w:val="Hyperlink"/>
          <w:rFonts w:asciiTheme="majorBidi" w:hAnsiTheme="majorBidi" w:cstheme="majorBidi"/>
          <w:szCs w:val="18"/>
        </w:rPr>
        <w:t>.</w:t>
      </w:r>
    </w:p>
  </w:footnote>
  <w:footnote w:id="20">
    <w:p w14:paraId="2FA96EDA" w14:textId="4E767B39"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6F483D">
        <w:rPr>
          <w:rFonts w:asciiTheme="majorBidi" w:hAnsiTheme="majorBidi" w:cstheme="majorBidi"/>
          <w:szCs w:val="18"/>
          <w:lang w:val="es-MX"/>
        </w:rPr>
        <w:tab/>
      </w:r>
      <w:r w:rsidRPr="006F483D">
        <w:rPr>
          <w:rStyle w:val="FootnoteReference"/>
          <w:rFonts w:asciiTheme="majorBidi" w:hAnsiTheme="majorBidi" w:cstheme="majorBidi"/>
          <w:szCs w:val="18"/>
        </w:rPr>
        <w:footnoteRef/>
      </w:r>
      <w:r w:rsidRPr="006F483D">
        <w:rPr>
          <w:rFonts w:asciiTheme="majorBidi" w:hAnsiTheme="majorBidi" w:cstheme="majorBidi"/>
          <w:szCs w:val="18"/>
          <w:lang w:val="es-MX"/>
        </w:rPr>
        <w:tab/>
      </w:r>
      <w:hyperlink r:id="rId16" w:history="1">
        <w:r w:rsidRPr="006F483D">
          <w:rPr>
            <w:rStyle w:val="Hyperlink"/>
            <w:rFonts w:asciiTheme="majorBidi" w:hAnsiTheme="majorBidi" w:cstheme="majorBidi"/>
            <w:szCs w:val="18"/>
          </w:rPr>
          <w:t>https://www.ministeriopublico.gov.py/denuncia/index.html</w:t>
        </w:r>
      </w:hyperlink>
      <w:r>
        <w:rPr>
          <w:rStyle w:val="Hyperlink"/>
          <w:rFonts w:asciiTheme="majorBidi" w:hAnsiTheme="majorBidi" w:cstheme="majorBidi"/>
          <w:szCs w:val="18"/>
        </w:rPr>
        <w:t>.</w:t>
      </w:r>
    </w:p>
  </w:footnote>
  <w:footnote w:id="21">
    <w:p w14:paraId="120E7F88" w14:textId="7807AE5B"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6F483D">
        <w:rPr>
          <w:rFonts w:asciiTheme="majorBidi" w:hAnsiTheme="majorBidi" w:cstheme="majorBidi"/>
          <w:szCs w:val="18"/>
        </w:rPr>
        <w:tab/>
      </w:r>
      <w:r w:rsidRPr="006F483D">
        <w:rPr>
          <w:rStyle w:val="FootnoteReference"/>
          <w:rFonts w:asciiTheme="majorBidi" w:hAnsiTheme="majorBidi" w:cstheme="majorBidi"/>
          <w:szCs w:val="18"/>
        </w:rPr>
        <w:footnoteRef/>
      </w:r>
      <w:r w:rsidRPr="006F483D">
        <w:rPr>
          <w:rFonts w:asciiTheme="majorBidi" w:hAnsiTheme="majorBidi" w:cstheme="majorBidi"/>
          <w:szCs w:val="18"/>
        </w:rPr>
        <w:tab/>
      </w:r>
      <w:hyperlink r:id="rId17" w:history="1">
        <w:r w:rsidRPr="006F483D">
          <w:rPr>
            <w:rStyle w:val="Hyperlink"/>
            <w:rFonts w:asciiTheme="majorBidi" w:hAnsiTheme="majorBidi" w:cstheme="majorBidi"/>
            <w:szCs w:val="18"/>
          </w:rPr>
          <w:t>https://www.bacn.gov.py/leyes-paraguayas/9680/ley-n-6806-declara-emergencia-nacional-por-feminicidios</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22">
    <w:p w14:paraId="513F522E" w14:textId="21AD858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6F483D">
        <w:rPr>
          <w:rFonts w:asciiTheme="majorBidi" w:hAnsiTheme="majorBidi" w:cstheme="majorBidi"/>
          <w:szCs w:val="18"/>
        </w:rPr>
        <w:tab/>
      </w:r>
      <w:r w:rsidRPr="006F483D">
        <w:rPr>
          <w:rStyle w:val="FootnoteReference"/>
          <w:rFonts w:asciiTheme="majorBidi" w:hAnsiTheme="majorBidi" w:cstheme="majorBidi"/>
          <w:szCs w:val="18"/>
        </w:rPr>
        <w:footnoteRef/>
      </w:r>
      <w:r w:rsidRPr="006F483D">
        <w:rPr>
          <w:rFonts w:asciiTheme="majorBidi" w:hAnsiTheme="majorBidi" w:cstheme="majorBidi"/>
          <w:szCs w:val="18"/>
        </w:rPr>
        <w:tab/>
      </w:r>
      <w:hyperlink r:id="rId18" w:history="1">
        <w:r w:rsidRPr="006F483D">
          <w:rPr>
            <w:rStyle w:val="Hyperlink"/>
            <w:rFonts w:asciiTheme="majorBidi" w:hAnsiTheme="majorBidi" w:cstheme="majorBidi"/>
            <w:szCs w:val="18"/>
          </w:rPr>
          <w:t>https://silpy.congreso.gov.py/web/expediente/123379</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23">
    <w:p w14:paraId="05409D62" w14:textId="1BEBBBC4"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6F483D">
        <w:rPr>
          <w:rFonts w:asciiTheme="majorBidi" w:hAnsiTheme="majorBidi" w:cstheme="majorBidi"/>
          <w:szCs w:val="18"/>
        </w:rPr>
        <w:tab/>
      </w:r>
      <w:r w:rsidRPr="006F483D">
        <w:rPr>
          <w:rStyle w:val="FootnoteReference"/>
          <w:rFonts w:asciiTheme="majorBidi" w:hAnsiTheme="majorBidi" w:cstheme="majorBidi"/>
          <w:szCs w:val="18"/>
        </w:rPr>
        <w:footnoteRef/>
      </w:r>
      <w:r w:rsidRPr="006F483D">
        <w:rPr>
          <w:rFonts w:asciiTheme="majorBidi" w:hAnsiTheme="majorBidi" w:cstheme="majorBidi"/>
          <w:szCs w:val="18"/>
        </w:rPr>
        <w:tab/>
      </w:r>
      <w:hyperlink r:id="rId19" w:history="1">
        <w:r w:rsidRPr="006F483D">
          <w:rPr>
            <w:rStyle w:val="Hyperlink"/>
            <w:rFonts w:asciiTheme="majorBidi" w:hAnsiTheme="majorBidi" w:cstheme="majorBidi"/>
            <w:szCs w:val="18"/>
          </w:rPr>
          <w:t>https://www.bacn.gov.py/leyes-paraguayas/10525/ley-n-6934-modifica-el-articulo-229-de-la-ley-n-11601997-codigo-penal-modificado-por-las-leyes-ns-34402008-46282012-y-53782014</w:t>
        </w:r>
      </w:hyperlink>
      <w:r>
        <w:rPr>
          <w:rStyle w:val="Hyperlink"/>
          <w:rFonts w:asciiTheme="majorBidi" w:hAnsiTheme="majorBidi" w:cstheme="majorBidi"/>
          <w:szCs w:val="18"/>
        </w:rPr>
        <w:t>.</w:t>
      </w:r>
    </w:p>
  </w:footnote>
  <w:footnote w:id="24">
    <w:p w14:paraId="1AE276F2" w14:textId="3317D82F" w:rsidR="00583FBD" w:rsidRPr="00055A77"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5F2B46">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20"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xml:space="preserve">, párr. </w:t>
      </w:r>
      <w:r w:rsidRPr="00055A77">
        <w:rPr>
          <w:rFonts w:asciiTheme="majorBidi" w:hAnsiTheme="majorBidi" w:cstheme="majorBidi"/>
          <w:color w:val="000000"/>
          <w:szCs w:val="18"/>
        </w:rPr>
        <w:t>15 a, b, c.</w:t>
      </w:r>
    </w:p>
  </w:footnote>
  <w:footnote w:id="25">
    <w:p w14:paraId="7CF9DA2F" w14:textId="450DB335"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055A77">
        <w:rPr>
          <w:rFonts w:asciiTheme="majorBidi" w:hAnsiTheme="majorBidi" w:cstheme="majorBidi"/>
          <w:color w:val="000000"/>
          <w:szCs w:val="18"/>
        </w:rPr>
        <w:tab/>
      </w:r>
      <w:r w:rsidRPr="006F483D">
        <w:rPr>
          <w:rFonts w:asciiTheme="majorBidi" w:hAnsiTheme="majorBidi" w:cstheme="majorBidi"/>
          <w:szCs w:val="18"/>
          <w:vertAlign w:val="superscript"/>
        </w:rPr>
        <w:footnoteRef/>
      </w:r>
      <w:r w:rsidRPr="00AA3D25">
        <w:rPr>
          <w:rFonts w:asciiTheme="majorBidi" w:hAnsiTheme="majorBidi" w:cstheme="majorBidi"/>
          <w:color w:val="000000"/>
          <w:szCs w:val="18"/>
          <w:lang w:val="en-US"/>
        </w:rPr>
        <w:tab/>
      </w:r>
      <w:r>
        <w:fldChar w:fldCharType="begin"/>
      </w:r>
      <w:r w:rsidRPr="00AA3D25">
        <w:rPr>
          <w:lang w:val="en-US"/>
        </w:rPr>
        <w:instrText>HYPERLINK "https://undocs.org/es/CEDAW/C/PRY/CO/7"</w:instrText>
      </w:r>
      <w:r>
        <w:fldChar w:fldCharType="separate"/>
      </w:r>
      <w:r w:rsidRPr="00AA3D25">
        <w:rPr>
          <w:rStyle w:val="Hyperlink"/>
          <w:rFonts w:asciiTheme="majorBidi" w:hAnsiTheme="majorBidi" w:cstheme="majorBidi"/>
          <w:szCs w:val="18"/>
          <w:lang w:val="en-US"/>
        </w:rPr>
        <w:t>CEDAW/C/PRY/CO/7</w:t>
      </w:r>
      <w:r>
        <w:rPr>
          <w:rStyle w:val="Hyperlink"/>
          <w:rFonts w:asciiTheme="majorBidi" w:hAnsiTheme="majorBidi" w:cstheme="majorBidi"/>
          <w:szCs w:val="18"/>
        </w:rPr>
        <w:fldChar w:fldCharType="end"/>
      </w:r>
      <w:r w:rsidRPr="00AA3D25">
        <w:rPr>
          <w:rFonts w:asciiTheme="majorBidi" w:hAnsiTheme="majorBidi" w:cstheme="majorBidi"/>
          <w:color w:val="000000"/>
          <w:szCs w:val="18"/>
          <w:lang w:val="en-US"/>
        </w:rPr>
        <w:t xml:space="preserve">, párr. </w:t>
      </w:r>
      <w:r w:rsidRPr="006F483D">
        <w:rPr>
          <w:rFonts w:asciiTheme="majorBidi" w:hAnsiTheme="majorBidi" w:cstheme="majorBidi"/>
          <w:color w:val="000000"/>
          <w:szCs w:val="18"/>
        </w:rPr>
        <w:t>17.</w:t>
      </w:r>
    </w:p>
  </w:footnote>
  <w:footnote w:id="26">
    <w:p w14:paraId="183426BA"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color w:val="000000"/>
          <w:szCs w:val="18"/>
        </w:rPr>
        <w:tab/>
      </w:r>
      <w:r w:rsidRPr="006F483D">
        <w:rPr>
          <w:rStyle w:val="FootnoteReference"/>
          <w:rFonts w:asciiTheme="majorBidi" w:hAnsiTheme="majorBidi" w:cstheme="majorBidi"/>
          <w:szCs w:val="18"/>
        </w:rPr>
        <w:footnoteRef/>
      </w:r>
      <w:r>
        <w:rPr>
          <w:rFonts w:asciiTheme="majorBidi" w:hAnsiTheme="majorBidi" w:cstheme="majorBidi"/>
          <w:color w:val="000000"/>
          <w:szCs w:val="18"/>
        </w:rPr>
        <w:tab/>
      </w:r>
      <w:r w:rsidRPr="006F483D">
        <w:rPr>
          <w:rFonts w:asciiTheme="majorBidi" w:hAnsiTheme="majorBidi" w:cstheme="majorBidi"/>
          <w:color w:val="000000"/>
          <w:szCs w:val="18"/>
        </w:rPr>
        <w:t>Se trata del Proyecto Mejoramiento de la Agricultura Familiar Campesina e Indígena de la Región Oriental (PROMAFI), el Proyecto Restauración de los Sistemas de Producción de la Agricultura Familiar (RECIPROAF) y el Proyecto Mejoramiento de la Inserción a Mercados en la Región Oriental (PIMA).</w:t>
      </w:r>
    </w:p>
  </w:footnote>
  <w:footnote w:id="27">
    <w:p w14:paraId="23BE658B"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r w:rsidRPr="006F483D">
        <w:rPr>
          <w:rFonts w:asciiTheme="majorBidi" w:hAnsiTheme="majorBidi" w:cstheme="majorBidi"/>
          <w:szCs w:val="18"/>
        </w:rPr>
        <w:t>Ref. 7mo Informe de Aplicación de la Ley de Mujer Rural Ley 5446.</w:t>
      </w:r>
    </w:p>
  </w:footnote>
  <w:footnote w:id="28">
    <w:p w14:paraId="5A4A5345" w14:textId="6835E512"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hyperlink r:id="rId21" w:history="1">
        <w:r w:rsidRPr="00F52864">
          <w:rPr>
            <w:rStyle w:val="Hyperlink"/>
            <w:rFonts w:asciiTheme="majorBidi" w:hAnsiTheme="majorBidi" w:cstheme="majorBidi"/>
            <w:szCs w:val="18"/>
          </w:rPr>
          <w:t>https://www.indert.gov.py/indert/index.php/noticias/titulacion-de-tierras-en-favor-de-las-mujeres-llega-al-51</w:t>
        </w:r>
      </w:hyperlink>
      <w:r>
        <w:rPr>
          <w:rStyle w:val="Hyperlink"/>
          <w:rFonts w:asciiTheme="majorBidi" w:hAnsiTheme="majorBidi" w:cstheme="majorBidi"/>
          <w:szCs w:val="18"/>
        </w:rPr>
        <w:t>.</w:t>
      </w:r>
    </w:p>
  </w:footnote>
  <w:footnote w:id="29">
    <w:p w14:paraId="70696CBC" w14:textId="3AC7ABEA"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 xml:space="preserve">Proyecto de Ley </w:t>
      </w:r>
      <w:r w:rsidR="00F019B7">
        <w:rPr>
          <w:rFonts w:asciiTheme="majorBidi" w:hAnsiTheme="majorBidi" w:cstheme="majorBidi"/>
          <w:szCs w:val="18"/>
        </w:rPr>
        <w:t>“</w:t>
      </w:r>
      <w:r w:rsidRPr="006F483D">
        <w:rPr>
          <w:rFonts w:asciiTheme="majorBidi" w:hAnsiTheme="majorBidi" w:cstheme="majorBidi"/>
          <w:szCs w:val="18"/>
        </w:rPr>
        <w:t>Que establece la igualdad salarial entre hombres y mujeres en el sector público y privado</w:t>
      </w:r>
      <w:r w:rsidR="00F019B7">
        <w:rPr>
          <w:rFonts w:asciiTheme="majorBidi" w:hAnsiTheme="majorBidi" w:cstheme="majorBidi"/>
          <w:szCs w:val="18"/>
        </w:rPr>
        <w:t>”</w:t>
      </w:r>
      <w:r w:rsidRPr="006F483D">
        <w:rPr>
          <w:rFonts w:asciiTheme="majorBidi" w:hAnsiTheme="majorBidi" w:cstheme="majorBidi"/>
          <w:szCs w:val="18"/>
        </w:rPr>
        <w:t xml:space="preserve">, presentado el 28 de noviembre de 2019. Consultar en: </w:t>
      </w:r>
      <w:hyperlink r:id="rId22" w:history="1">
        <w:r w:rsidRPr="006F483D">
          <w:rPr>
            <w:rStyle w:val="Hyperlink"/>
            <w:rFonts w:asciiTheme="majorBidi" w:hAnsiTheme="majorBidi" w:cstheme="majorBidi"/>
            <w:szCs w:val="18"/>
          </w:rPr>
          <w:t>https://silpy.congreso.gov.py/web/expediente/119393</w:t>
        </w:r>
      </w:hyperlink>
      <w:r>
        <w:rPr>
          <w:rStyle w:val="Hyperlink"/>
          <w:rFonts w:asciiTheme="majorBidi" w:hAnsiTheme="majorBidi" w:cstheme="majorBidi"/>
          <w:szCs w:val="18"/>
        </w:rPr>
        <w:t>.</w:t>
      </w:r>
    </w:p>
  </w:footnote>
  <w:footnote w:id="30">
    <w:p w14:paraId="177D4D01" w14:textId="3A533E2A"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 xml:space="preserve">Proyecto de Ley </w:t>
      </w:r>
      <w:r w:rsidR="00F019B7">
        <w:rPr>
          <w:rFonts w:asciiTheme="majorBidi" w:hAnsiTheme="majorBidi" w:cstheme="majorBidi"/>
          <w:szCs w:val="18"/>
        </w:rPr>
        <w:t>“</w:t>
      </w:r>
      <w:r w:rsidRPr="006F483D">
        <w:rPr>
          <w:rFonts w:asciiTheme="majorBidi" w:hAnsiTheme="majorBidi" w:cstheme="majorBidi"/>
          <w:szCs w:val="18"/>
        </w:rPr>
        <w:t>Que establece la igualdad salarial entre hombres y mujeres en el sector público y privado</w:t>
      </w:r>
      <w:r w:rsidR="00F019B7">
        <w:rPr>
          <w:rFonts w:asciiTheme="majorBidi" w:hAnsiTheme="majorBidi" w:cstheme="majorBidi"/>
          <w:szCs w:val="18"/>
        </w:rPr>
        <w:t>”</w:t>
      </w:r>
      <w:r w:rsidRPr="006F483D">
        <w:rPr>
          <w:rFonts w:asciiTheme="majorBidi" w:hAnsiTheme="majorBidi" w:cstheme="majorBidi"/>
          <w:szCs w:val="18"/>
        </w:rPr>
        <w:t xml:space="preserve">, presentado el 4 de agosto de 2022. Consultar en: </w:t>
      </w:r>
      <w:hyperlink r:id="rId23" w:history="1">
        <w:r w:rsidRPr="006F483D">
          <w:rPr>
            <w:rStyle w:val="Hyperlink"/>
            <w:rFonts w:asciiTheme="majorBidi" w:hAnsiTheme="majorBidi" w:cstheme="majorBidi"/>
            <w:szCs w:val="18"/>
          </w:rPr>
          <w:t>https://silpy.congreso.gov.py/web/expediente/126328</w:t>
        </w:r>
      </w:hyperlink>
      <w:r>
        <w:rPr>
          <w:rStyle w:val="Hyperlink"/>
          <w:rFonts w:asciiTheme="majorBidi" w:hAnsiTheme="majorBidi" w:cstheme="majorBidi"/>
          <w:szCs w:val="18"/>
        </w:rPr>
        <w:t>.</w:t>
      </w:r>
    </w:p>
  </w:footnote>
  <w:footnote w:id="31">
    <w:p w14:paraId="3CFFD7A3"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Este proyecto tiene un Comité Técnico Operativo con funciones específicas, establecidas según Resolución S.G. N° 890/2023 del MSPyBS.</w:t>
      </w:r>
    </w:p>
  </w:footnote>
  <w:footnote w:id="32">
    <w:p w14:paraId="3E004B80" w14:textId="495CFE7F"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5F2B46">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24"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párr. 19 a, b, c.</w:t>
      </w:r>
    </w:p>
  </w:footnote>
  <w:footnote w:id="33">
    <w:p w14:paraId="2C5D4BB0" w14:textId="760F63F8" w:rsidR="00583FBD" w:rsidRPr="005F2B46"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themeColor="text1"/>
          <w:szCs w:val="18"/>
          <w:lang w:val="en-US"/>
        </w:rPr>
      </w:pPr>
      <w:r w:rsidRPr="005F2B46">
        <w:rPr>
          <w:rFonts w:asciiTheme="majorBidi" w:hAnsiTheme="majorBidi" w:cstheme="majorBidi"/>
          <w:szCs w:val="18"/>
          <w:lang w:val="en-US"/>
        </w:rPr>
        <w:tab/>
      </w:r>
      <w:r w:rsidRPr="006F483D">
        <w:rPr>
          <w:rStyle w:val="FootnoteReference"/>
          <w:rFonts w:asciiTheme="majorBidi" w:hAnsiTheme="majorBidi" w:cstheme="majorBidi"/>
          <w:color w:val="000000" w:themeColor="text1"/>
          <w:szCs w:val="18"/>
        </w:rPr>
        <w:footnoteRef/>
      </w:r>
      <w:r w:rsidRPr="005F2B46">
        <w:rPr>
          <w:rFonts w:asciiTheme="majorBidi" w:hAnsiTheme="majorBidi" w:cstheme="majorBidi"/>
          <w:szCs w:val="18"/>
          <w:lang w:val="en-US"/>
        </w:rPr>
        <w:tab/>
      </w:r>
      <w:hyperlink r:id="rId25" w:history="1">
        <w:r w:rsidRPr="005F2B46">
          <w:rPr>
            <w:rStyle w:val="Hyperlink"/>
            <w:rFonts w:asciiTheme="majorBidi" w:hAnsiTheme="majorBidi" w:cstheme="majorBidi"/>
            <w:szCs w:val="18"/>
            <w:lang w:val="en-US"/>
          </w:rPr>
          <w:t>https://www.mspbs.gov.py/dependencias/portal/adjunto/397b0e-gabineteef4eeaRESOLUCIONSG.N02712023.pdf</w:t>
        </w:r>
      </w:hyperlink>
      <w:r w:rsidRPr="005F2B46">
        <w:rPr>
          <w:rStyle w:val="Hyperlink"/>
          <w:rFonts w:asciiTheme="majorBidi" w:hAnsiTheme="majorBidi" w:cstheme="majorBidi"/>
          <w:color w:val="000000" w:themeColor="text1"/>
          <w:szCs w:val="18"/>
          <w:lang w:val="en-US"/>
        </w:rPr>
        <w:t>.</w:t>
      </w:r>
    </w:p>
  </w:footnote>
  <w:footnote w:id="34">
    <w:p w14:paraId="122D5EC8" w14:textId="5A48EBE3" w:rsidR="00583FBD" w:rsidRPr="004724E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Pr>
          <w:rFonts w:asciiTheme="majorBidi" w:hAnsiTheme="majorBidi" w:cstheme="majorBidi"/>
          <w:szCs w:val="18"/>
          <w:lang w:val="en-US"/>
        </w:rPr>
        <w:tab/>
      </w:r>
      <w:r w:rsidRPr="006F483D">
        <w:rPr>
          <w:rStyle w:val="FootnoteReference"/>
          <w:rFonts w:asciiTheme="majorBidi" w:hAnsiTheme="majorBidi" w:cstheme="majorBidi"/>
          <w:szCs w:val="18"/>
        </w:rPr>
        <w:footnoteRef/>
      </w:r>
      <w:r>
        <w:rPr>
          <w:rFonts w:asciiTheme="majorBidi" w:hAnsiTheme="majorBidi" w:cstheme="majorBidi"/>
          <w:szCs w:val="18"/>
          <w:lang w:val="en-US"/>
        </w:rPr>
        <w:tab/>
      </w:r>
      <w:hyperlink r:id="rId26" w:history="1">
        <w:r w:rsidRPr="004724ED">
          <w:rPr>
            <w:rStyle w:val="Hyperlink"/>
            <w:rFonts w:asciiTheme="majorBidi" w:hAnsiTheme="majorBidi" w:cstheme="majorBidi"/>
            <w:szCs w:val="18"/>
            <w:lang w:val="en-US"/>
          </w:rPr>
          <w:t>https://silpy.congreso.gov.py/web/expediente/121865</w:t>
        </w:r>
      </w:hyperlink>
      <w:r w:rsidRPr="004724ED">
        <w:rPr>
          <w:rStyle w:val="Hyperlink"/>
          <w:rFonts w:asciiTheme="majorBidi" w:hAnsiTheme="majorBidi" w:cstheme="majorBidi"/>
          <w:szCs w:val="18"/>
          <w:lang w:val="en-US"/>
        </w:rPr>
        <w:t>.</w:t>
      </w:r>
    </w:p>
  </w:footnote>
  <w:footnote w:id="35">
    <w:p w14:paraId="7199C8D7" w14:textId="026A561E"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Pr>
          <w:rFonts w:asciiTheme="majorBidi" w:hAnsiTheme="majorBidi" w:cstheme="majorBidi"/>
          <w:color w:val="000000"/>
          <w:szCs w:val="18"/>
          <w:lang w:val="en-US"/>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27"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xml:space="preserve">, párr. </w:t>
      </w:r>
      <w:r w:rsidRPr="006F483D">
        <w:rPr>
          <w:rFonts w:asciiTheme="majorBidi" w:hAnsiTheme="majorBidi" w:cstheme="majorBidi"/>
          <w:color w:val="000000"/>
          <w:szCs w:val="18"/>
        </w:rPr>
        <w:t>21 a, b, c, d, e; 43 b.</w:t>
      </w:r>
    </w:p>
  </w:footnote>
  <w:footnote w:id="36">
    <w:p w14:paraId="33BAC410" w14:textId="0F0F8110"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28" w:history="1">
        <w:r w:rsidRPr="00F52864">
          <w:rPr>
            <w:rStyle w:val="Hyperlink"/>
            <w:rFonts w:asciiTheme="majorBidi" w:hAnsiTheme="majorBidi" w:cstheme="majorBidi"/>
            <w:szCs w:val="18"/>
          </w:rPr>
          <w:t>https://www.cde.org.py/wp-content/uploads/2017/08/2015-PLAN-NACIONAL-CONTRA-LA-VIOLENCIA-HACIA-LAS-MUJERES-2015-2020.pdf</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37">
    <w:p w14:paraId="1F005947" w14:textId="2FE75B40"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hyperlink r:id="rId29" w:history="1">
        <w:r w:rsidRPr="00F019B7">
          <w:rPr>
            <w:rStyle w:val="Hyperlink"/>
            <w:rFonts w:asciiTheme="majorBidi" w:hAnsiTheme="majorBidi" w:cstheme="majorBidi"/>
            <w:szCs w:val="18"/>
          </w:rPr>
          <w:t>https://www.pj.gov.py/descargas/ID2-625_acordada_aprobar_protocolo_violencia.pdf</w:t>
        </w:r>
      </w:hyperlink>
      <w:r>
        <w:rPr>
          <w:rFonts w:asciiTheme="majorBidi" w:hAnsiTheme="majorBidi" w:cstheme="majorBidi"/>
          <w:szCs w:val="18"/>
        </w:rPr>
        <w:t>.</w:t>
      </w:r>
    </w:p>
  </w:footnote>
  <w:footnote w:id="38">
    <w:p w14:paraId="6B6DCCDC"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Fuente: Estadísticas del MDP.</w:t>
      </w:r>
    </w:p>
  </w:footnote>
  <w:footnote w:id="39">
    <w:p w14:paraId="6E590C7B" w14:textId="1215BA9B"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hyperlink r:id="rId30" w:history="1">
        <w:r w:rsidRPr="00F52864">
          <w:rPr>
            <w:rStyle w:val="Hyperlink"/>
            <w:rFonts w:asciiTheme="majorBidi" w:hAnsiTheme="majorBidi" w:cstheme="majorBidi"/>
            <w:szCs w:val="18"/>
          </w:rPr>
          <w:t>https://www.pj.gov.py/notas/18778-oficina-de-atencion-permanente-a-victimas-de-violencia-en-circunscripcion-de-central</w:t>
        </w:r>
      </w:hyperlink>
      <w:r>
        <w:rPr>
          <w:rFonts w:asciiTheme="majorBidi" w:hAnsiTheme="majorBidi" w:cstheme="majorBidi"/>
          <w:szCs w:val="18"/>
        </w:rPr>
        <w:t>.</w:t>
      </w:r>
    </w:p>
  </w:footnote>
  <w:footnote w:id="40">
    <w:p w14:paraId="6940AE90" w14:textId="519E7E7B"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D849F6">
        <w:rPr>
          <w:rFonts w:asciiTheme="majorBidi" w:hAnsiTheme="majorBidi" w:cstheme="majorBidi"/>
          <w:szCs w:val="18"/>
        </w:rPr>
        <w:tab/>
      </w:r>
      <w:r w:rsidRPr="00216321">
        <w:rPr>
          <w:rFonts w:asciiTheme="majorBidi" w:hAnsiTheme="majorBidi" w:cstheme="majorBidi"/>
          <w:szCs w:val="18"/>
          <w:vertAlign w:val="superscript"/>
        </w:rPr>
        <w:footnoteRef/>
      </w:r>
      <w:r w:rsidRPr="00D849F6">
        <w:rPr>
          <w:rFonts w:asciiTheme="majorBidi" w:hAnsiTheme="majorBidi" w:cstheme="majorBidi"/>
          <w:szCs w:val="18"/>
        </w:rPr>
        <w:tab/>
      </w:r>
      <w:hyperlink r:id="rId31" w:history="1">
        <w:r w:rsidRPr="00C43199">
          <w:rPr>
            <w:rStyle w:val="Hyperlink"/>
            <w:rFonts w:asciiTheme="majorBidi" w:hAnsiTheme="majorBidi" w:cstheme="majorBidi"/>
            <w:szCs w:val="18"/>
          </w:rPr>
          <w:t>http://www.mujer.gov.py/index.php/ciudad-mujer-movil</w:t>
        </w:r>
      </w:hyperlink>
      <w:r w:rsidRPr="00F658B9">
        <w:rPr>
          <w:rFonts w:asciiTheme="majorBidi" w:hAnsiTheme="majorBidi" w:cstheme="majorBidi"/>
          <w:color w:val="0563C1"/>
          <w:szCs w:val="18"/>
        </w:rPr>
        <w:t>.</w:t>
      </w:r>
    </w:p>
  </w:footnote>
  <w:footnote w:id="41">
    <w:p w14:paraId="7175A918" w14:textId="36C723C8"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00F019B7">
        <w:rPr>
          <w:rFonts w:asciiTheme="majorBidi" w:hAnsiTheme="majorBidi" w:cstheme="majorBidi"/>
          <w:szCs w:val="18"/>
        </w:rPr>
        <w:t>“</w:t>
      </w:r>
      <w:r w:rsidRPr="006F483D">
        <w:rPr>
          <w:rFonts w:asciiTheme="majorBidi" w:hAnsiTheme="majorBidi" w:cstheme="majorBidi"/>
          <w:szCs w:val="18"/>
        </w:rPr>
        <w:t>Protocolo para la investigación de la violencia contra la mujer en el ámbito familiar, desde una perspectiva de género, del Ministerio Público en coordinación con el Ministerio del Interior, la Policía Nacional y el Ministerio de la Mujer</w:t>
      </w:r>
      <w:r w:rsidR="00F019B7">
        <w:rPr>
          <w:rFonts w:asciiTheme="majorBidi" w:hAnsiTheme="majorBidi" w:cstheme="majorBidi"/>
          <w:szCs w:val="18"/>
        </w:rPr>
        <w:t>”</w:t>
      </w:r>
      <w:r w:rsidRPr="006F483D">
        <w:rPr>
          <w:rFonts w:asciiTheme="majorBidi" w:hAnsiTheme="majorBidi" w:cstheme="majorBidi"/>
          <w:szCs w:val="18"/>
        </w:rPr>
        <w:t xml:space="preserve">, en </w:t>
      </w:r>
      <w:hyperlink r:id="rId32" w:history="1">
        <w:r w:rsidRPr="006F483D">
          <w:rPr>
            <w:rStyle w:val="Hyperlink"/>
            <w:rFonts w:asciiTheme="majorBidi" w:hAnsiTheme="majorBidi" w:cstheme="majorBidi"/>
            <w:szCs w:val="18"/>
          </w:rPr>
          <w:t>https://informacionpublica.paraguay.gov.py/public/1646697-escanear0128pdf-escanear0128.pdf&amp;ved=2ahUKEwiqmbzolNaFAxU3pZUCHWxgDuAQFnoECBAQAQ&amp;usg=AOvVaw1FAFeiAzeHH6idzxVCl1wu</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42">
    <w:p w14:paraId="49E4F54E"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Aprobado por Resolución S.G. N° 784/2020 del MSPyBS.</w:t>
      </w:r>
    </w:p>
  </w:footnote>
  <w:footnote w:id="43">
    <w:p w14:paraId="6FA38747"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color w:val="000000" w:themeColor="text1"/>
          <w:szCs w:val="18"/>
          <w:lang w:val="es-MX"/>
        </w:rPr>
        <w:tab/>
      </w:r>
      <w:r w:rsidRPr="006F483D">
        <w:rPr>
          <w:rStyle w:val="FootnoteReference"/>
          <w:rFonts w:asciiTheme="majorBidi" w:hAnsiTheme="majorBidi" w:cstheme="majorBidi"/>
          <w:szCs w:val="18"/>
        </w:rPr>
        <w:footnoteRef/>
      </w:r>
      <w:r>
        <w:rPr>
          <w:rFonts w:asciiTheme="majorBidi" w:hAnsiTheme="majorBidi" w:cstheme="majorBidi"/>
          <w:color w:val="000000" w:themeColor="text1"/>
          <w:szCs w:val="18"/>
          <w:lang w:val="es-MX"/>
        </w:rPr>
        <w:tab/>
      </w:r>
      <w:r w:rsidRPr="006F483D">
        <w:rPr>
          <w:rFonts w:asciiTheme="majorBidi" w:hAnsiTheme="majorBidi" w:cstheme="majorBidi"/>
          <w:color w:val="000000" w:themeColor="text1"/>
          <w:szCs w:val="18"/>
          <w:lang w:val="es-MX"/>
        </w:rPr>
        <w:t>Aprobado por Resolución S.G. N° 638/2021 del MSPyBS.</w:t>
      </w:r>
    </w:p>
  </w:footnote>
  <w:footnote w:id="44">
    <w:p w14:paraId="6F8995BE" w14:textId="769EBAB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r w:rsidRPr="006F483D">
        <w:rPr>
          <w:rFonts w:asciiTheme="majorBidi" w:hAnsiTheme="majorBidi" w:cstheme="majorBidi"/>
          <w:szCs w:val="18"/>
        </w:rPr>
        <w:t xml:space="preserve">Se puede acceder a la Encuesta en: </w:t>
      </w:r>
      <w:hyperlink r:id="rId33">
        <w:r w:rsidRPr="00F019B7">
          <w:rPr>
            <w:rFonts w:asciiTheme="majorBidi" w:hAnsiTheme="majorBidi" w:cstheme="majorBidi"/>
            <w:color w:val="0000FF"/>
            <w:szCs w:val="18"/>
          </w:rPr>
          <w:t>https://www.datos.gov.py/dataset/encuesta-nacional-sobre-situaci%C3%B3n-de-las-mujeres-en-paraguay-ensimup-2021</w:t>
        </w:r>
      </w:hyperlink>
      <w:r w:rsidRPr="00C3429C">
        <w:rPr>
          <w:rFonts w:asciiTheme="majorBidi" w:hAnsiTheme="majorBidi" w:cstheme="majorBidi"/>
          <w:color w:val="1155CC"/>
          <w:szCs w:val="18"/>
        </w:rPr>
        <w:t>.</w:t>
      </w:r>
    </w:p>
  </w:footnote>
  <w:footnote w:id="45">
    <w:p w14:paraId="0C428A0B" w14:textId="3468775C"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34" w:history="1">
        <w:r w:rsidRPr="00F52864">
          <w:rPr>
            <w:rStyle w:val="Hyperlink"/>
            <w:rFonts w:asciiTheme="majorBidi" w:hAnsiTheme="majorBidi" w:cstheme="majorBidi"/>
            <w:szCs w:val="18"/>
          </w:rPr>
          <w:t>https://dirgen.mspbs.gov.py/wp-content/uploads/2022/07/Violencia-de-genero_V4.pdf</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46">
    <w:p w14:paraId="6FB690C0" w14:textId="74C879A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35" w:history="1">
        <w:r w:rsidRPr="00F52864">
          <w:rPr>
            <w:rStyle w:val="Hyperlink"/>
            <w:rFonts w:asciiTheme="majorBidi" w:eastAsia="Calibri" w:hAnsiTheme="majorBidi" w:cstheme="majorBidi"/>
            <w:szCs w:val="18"/>
            <w:lang w:val="es-ES_tradnl"/>
          </w:rPr>
          <w:t>https://dirgen.mspbs.gov.py/wp-content/uploads/2022/06/Manual-de-Violencia_WEB.pdf</w:t>
        </w:r>
      </w:hyperlink>
      <w:r>
        <w:rPr>
          <w:rStyle w:val="Hyperlink"/>
          <w:rFonts w:asciiTheme="majorBidi" w:eastAsia="Calibri" w:hAnsiTheme="majorBidi" w:cstheme="majorBidi"/>
          <w:szCs w:val="18"/>
          <w:lang w:val="es-ES_tradnl"/>
        </w:rPr>
        <w:t>.</w:t>
      </w:r>
    </w:p>
  </w:footnote>
  <w:footnote w:id="47">
    <w:p w14:paraId="49DBFDE6" w14:textId="371495F4"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36" w:history="1">
        <w:r w:rsidRPr="00F52864">
          <w:rPr>
            <w:rStyle w:val="Hyperlink"/>
            <w:rFonts w:asciiTheme="majorBidi" w:hAnsiTheme="majorBidi" w:cstheme="majorBidi"/>
            <w:szCs w:val="18"/>
          </w:rPr>
          <w:t>https://www.bacn.gov.py/leyes-paraguayas/8887/ley-n-6281-establece-la-obligatoriedad-de-incluir-sobre-violencia-contra-la-mujer-en-las-boletas-de-servicios-publicos-de-energia-electrica-y-agua-potable</w:t>
        </w:r>
      </w:hyperlink>
      <w:r>
        <w:rPr>
          <w:rFonts w:asciiTheme="majorBidi" w:hAnsiTheme="majorBidi" w:cstheme="majorBidi"/>
          <w:szCs w:val="18"/>
        </w:rPr>
        <w:t>.</w:t>
      </w:r>
    </w:p>
  </w:footnote>
  <w:footnote w:id="48">
    <w:p w14:paraId="17A84CFB" w14:textId="6CCAECEF" w:rsidR="00583FBD" w:rsidRPr="005F2B46" w:rsidRDefault="00583FBD" w:rsidP="00485C85">
      <w:pPr>
        <w:pStyle w:val="FootnoteText"/>
        <w:tabs>
          <w:tab w:val="clear" w:pos="418"/>
          <w:tab w:val="right" w:pos="1195"/>
          <w:tab w:val="left" w:pos="1267"/>
          <w:tab w:val="left" w:pos="1742"/>
          <w:tab w:val="left" w:pos="2218"/>
          <w:tab w:val="left" w:pos="2693"/>
        </w:tabs>
        <w:ind w:left="1267" w:right="1267" w:hanging="432"/>
      </w:pPr>
      <w:r>
        <w:rPr>
          <w:rFonts w:asciiTheme="majorBidi" w:hAnsiTheme="majorBidi" w:cstheme="majorBidi"/>
          <w:szCs w:val="18"/>
        </w:rPr>
        <w:tab/>
      </w:r>
      <w:r w:rsidRPr="005F2B46">
        <w:rPr>
          <w:vertAlign w:val="superscript"/>
        </w:rPr>
        <w:footnoteRef/>
      </w:r>
      <w:r>
        <w:rPr>
          <w:rFonts w:asciiTheme="majorBidi" w:hAnsiTheme="majorBidi" w:cstheme="majorBidi"/>
          <w:szCs w:val="18"/>
        </w:rPr>
        <w:tab/>
      </w:r>
      <w:hyperlink r:id="rId37" w:history="1">
        <w:r w:rsidRPr="00C43199">
          <w:rPr>
            <w:rStyle w:val="Hyperlink"/>
          </w:rPr>
          <w:t>http://www.minna.gov.py/archivos/documentos/RUTA%20INTERINSTITUCIONAL%</w:t>
        </w:r>
        <w:r w:rsidRPr="00C43199">
          <w:rPr>
            <w:rStyle w:val="Hyperlink"/>
          </w:rPr>
          <w:br/>
          <w:t>20DE%20ATENCION%20INTEGRAL%20VICTIMAS%20DE%20ABUSO_lugavv6d.pdf</w:t>
        </w:r>
      </w:hyperlink>
      <w:r w:rsidRPr="005F2B46">
        <w:t xml:space="preserve">. </w:t>
      </w:r>
    </w:p>
  </w:footnote>
  <w:footnote w:id="49">
    <w:p w14:paraId="2E9DE64B" w14:textId="062927B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38" w:history="1">
        <w:r w:rsidRPr="00F019B7">
          <w:rPr>
            <w:rStyle w:val="Hyperlink"/>
            <w:rFonts w:asciiTheme="majorBidi" w:hAnsiTheme="majorBidi" w:cstheme="majorBidi"/>
            <w:szCs w:val="18"/>
          </w:rPr>
          <w:t>https://www.senado.gov.py/index.php/noticias/noticias-comisiones/10733-mesa-multisectorial-considera-situacion-de-los-derechos-humanos-de-personas-trans-2022-10-19-16-47-13</w:t>
        </w:r>
      </w:hyperlink>
      <w:r>
        <w:rPr>
          <w:rFonts w:asciiTheme="majorBidi" w:hAnsiTheme="majorBidi" w:cstheme="majorBidi"/>
          <w:szCs w:val="18"/>
        </w:rPr>
        <w:t>.</w:t>
      </w:r>
    </w:p>
  </w:footnote>
  <w:footnote w:id="50">
    <w:p w14:paraId="7A988C0E" w14:textId="4008F8B3"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39" w:history="1">
        <w:r w:rsidRPr="00F019B7">
          <w:rPr>
            <w:rStyle w:val="Hyperlink"/>
            <w:rFonts w:asciiTheme="majorBidi" w:hAnsiTheme="majorBidi" w:cstheme="majorBidi"/>
            <w:szCs w:val="18"/>
          </w:rPr>
          <w:t>https://www.senado.gov.py/index.php/noticias/noticias-comisiones/11581-en-mesa-multisectorial-abordaron-situacion-de-los-derechos-humanos-de-personas-trans-2023-06-07-17-08-56</w:t>
        </w:r>
      </w:hyperlink>
      <w:r>
        <w:rPr>
          <w:rFonts w:asciiTheme="majorBidi" w:hAnsiTheme="majorBidi" w:cstheme="majorBidi"/>
          <w:szCs w:val="18"/>
        </w:rPr>
        <w:t>.</w:t>
      </w:r>
    </w:p>
  </w:footnote>
  <w:footnote w:id="51">
    <w:p w14:paraId="4941F9DC" w14:textId="4A988671"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A608CC">
        <w:rPr>
          <w:rFonts w:asciiTheme="majorBidi" w:hAnsiTheme="majorBidi" w:cstheme="majorBidi"/>
          <w:color w:val="1155CC"/>
          <w:szCs w:val="18"/>
        </w:rPr>
        <w:tab/>
      </w:r>
      <w:r w:rsidRPr="005F2B46">
        <w:rPr>
          <w:rFonts w:asciiTheme="majorBidi" w:hAnsiTheme="majorBidi" w:cstheme="majorBidi"/>
          <w:szCs w:val="18"/>
          <w:vertAlign w:val="superscript"/>
        </w:rPr>
        <w:footnoteRef/>
      </w:r>
      <w:r w:rsidRPr="005F2B46">
        <w:rPr>
          <w:rFonts w:asciiTheme="majorBidi" w:hAnsiTheme="majorBidi" w:cstheme="majorBidi"/>
          <w:color w:val="1155CC"/>
          <w:szCs w:val="18"/>
        </w:rPr>
        <w:tab/>
      </w:r>
      <w:hyperlink r:id="rId40" w:history="1">
        <w:r w:rsidRPr="00F52864">
          <w:rPr>
            <w:rStyle w:val="Hyperlink"/>
            <w:rFonts w:asciiTheme="majorBidi" w:hAnsiTheme="majorBidi" w:cstheme="majorBidi"/>
            <w:szCs w:val="18"/>
          </w:rPr>
          <w:t>https://www.pj.gov.py/contenido/537-observatorio-de-genero/2793</w:t>
        </w:r>
      </w:hyperlink>
      <w:r w:rsidRPr="00C3429C">
        <w:rPr>
          <w:rFonts w:asciiTheme="majorBidi" w:hAnsiTheme="majorBidi" w:cstheme="majorBidi"/>
          <w:color w:val="1155CC"/>
          <w:szCs w:val="18"/>
        </w:rPr>
        <w:t>.</w:t>
      </w:r>
      <w:r w:rsidRPr="006F483D">
        <w:rPr>
          <w:rFonts w:asciiTheme="majorBidi" w:hAnsiTheme="majorBidi" w:cstheme="majorBidi"/>
          <w:szCs w:val="18"/>
        </w:rPr>
        <w:t xml:space="preserve"> </w:t>
      </w:r>
    </w:p>
  </w:footnote>
  <w:footnote w:id="52">
    <w:p w14:paraId="031B41AB" w14:textId="0606EA0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41" w:history="1">
        <w:r w:rsidRPr="002743B0">
          <w:rPr>
            <w:rStyle w:val="Hyperlink"/>
            <w:rFonts w:asciiTheme="majorBidi" w:hAnsiTheme="majorBidi" w:cstheme="majorBidi"/>
            <w:szCs w:val="18"/>
          </w:rPr>
          <w:t>https://observatorio.mujer.gov.py/index.php/red-de-observatorios-formulariosprueba</w:t>
        </w:r>
      </w:hyperlink>
      <w:r>
        <w:rPr>
          <w:rFonts w:asciiTheme="majorBidi" w:hAnsiTheme="majorBidi" w:cstheme="majorBidi"/>
          <w:szCs w:val="18"/>
        </w:rPr>
        <w:t>.</w:t>
      </w:r>
    </w:p>
  </w:footnote>
  <w:footnote w:id="53">
    <w:p w14:paraId="47B3014E" w14:textId="5F4A15B8"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bookmarkStart w:id="2" w:name="_Hlk172826731"/>
      <w:r>
        <w:rPr>
          <w:rFonts w:asciiTheme="majorBidi" w:hAnsiTheme="majorBidi" w:cstheme="majorBidi"/>
          <w:szCs w:val="18"/>
        </w:rPr>
        <w:tab/>
      </w:r>
      <w:hyperlink r:id="rId42" w:history="1">
        <w:r w:rsidRPr="00C43199">
          <w:rPr>
            <w:rStyle w:val="Hyperlink"/>
            <w:rFonts w:asciiTheme="majorBidi" w:hAnsiTheme="majorBidi" w:cstheme="majorBidi"/>
            <w:szCs w:val="18"/>
          </w:rPr>
          <w:t>http://observatorio.sinafocal.gov.py/application/files/8515/6751/4896/RedObs_2019_</w:t>
        </w:r>
        <w:r w:rsidRPr="00C43199">
          <w:rPr>
            <w:rStyle w:val="Hyperlink"/>
            <w:rFonts w:asciiTheme="majorBidi" w:hAnsiTheme="majorBidi" w:cstheme="majorBidi"/>
            <w:szCs w:val="18"/>
          </w:rPr>
          <w:br/>
          <w:t>PRES_10._Observatorio_Politica_Criminal.pdf</w:t>
        </w:r>
      </w:hyperlink>
      <w:r w:rsidRPr="00F658B9">
        <w:rPr>
          <w:rFonts w:asciiTheme="majorBidi" w:hAnsiTheme="majorBidi" w:cstheme="majorBidi"/>
          <w:color w:val="0563C1"/>
          <w:szCs w:val="18"/>
        </w:rPr>
        <w:t>.</w:t>
      </w:r>
    </w:p>
    <w:bookmarkEnd w:id="2"/>
  </w:footnote>
  <w:footnote w:id="54">
    <w:p w14:paraId="3945F26B" w14:textId="2A441950"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A608CC">
        <w:rPr>
          <w:rFonts w:asciiTheme="majorBidi" w:hAnsiTheme="majorBidi" w:cstheme="majorBidi"/>
          <w:color w:val="0563C1"/>
          <w:szCs w:val="18"/>
        </w:rPr>
        <w:tab/>
      </w:r>
      <w:r w:rsidRPr="006F483D">
        <w:rPr>
          <w:rFonts w:asciiTheme="majorBidi" w:hAnsiTheme="majorBidi" w:cstheme="majorBidi"/>
          <w:szCs w:val="18"/>
          <w:vertAlign w:val="superscript"/>
        </w:rPr>
        <w:footnoteRef/>
      </w:r>
      <w:r w:rsidRPr="00CC4932">
        <w:rPr>
          <w:rFonts w:asciiTheme="majorBidi" w:hAnsiTheme="majorBidi" w:cstheme="majorBidi"/>
          <w:color w:val="0563C1"/>
          <w:szCs w:val="18"/>
        </w:rPr>
        <w:tab/>
      </w:r>
      <w:hyperlink r:id="rId43" w:history="1">
        <w:r w:rsidRPr="00F52864">
          <w:rPr>
            <w:rStyle w:val="Hyperlink"/>
            <w:rFonts w:asciiTheme="majorBidi" w:hAnsiTheme="majorBidi" w:cstheme="majorBidi"/>
            <w:szCs w:val="18"/>
          </w:rPr>
          <w:t>https://www.pj.gov.py/contenido/537-observatorio-de-genero/537</w:t>
        </w:r>
      </w:hyperlink>
      <w:r w:rsidRPr="00CC4932">
        <w:rPr>
          <w:rFonts w:asciiTheme="majorBidi" w:hAnsiTheme="majorBidi" w:cstheme="majorBidi"/>
          <w:color w:val="0563C1"/>
          <w:szCs w:val="18"/>
        </w:rPr>
        <w:t>.</w:t>
      </w:r>
    </w:p>
  </w:footnote>
  <w:footnote w:id="55">
    <w:p w14:paraId="4B71BEA0" w14:textId="171861D9"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color w:val="000000"/>
          <w:szCs w:val="18"/>
        </w:rPr>
        <w:tab/>
      </w:r>
      <w:r w:rsidRPr="006F483D">
        <w:rPr>
          <w:rStyle w:val="FootnoteReference"/>
          <w:rFonts w:asciiTheme="majorBidi" w:hAnsiTheme="majorBidi" w:cstheme="majorBidi"/>
          <w:szCs w:val="18"/>
        </w:rPr>
        <w:footnoteRef/>
      </w:r>
      <w:r>
        <w:rPr>
          <w:rFonts w:asciiTheme="majorBidi" w:hAnsiTheme="majorBidi" w:cstheme="majorBidi"/>
          <w:color w:val="000000"/>
          <w:szCs w:val="18"/>
        </w:rPr>
        <w:tab/>
      </w:r>
      <w:r w:rsidRPr="006F483D">
        <w:rPr>
          <w:rFonts w:asciiTheme="majorBidi" w:hAnsiTheme="majorBidi" w:cstheme="majorBidi"/>
          <w:color w:val="000000"/>
          <w:szCs w:val="18"/>
        </w:rPr>
        <w:t>Aprobado mediante Resolución D.G. N°</w:t>
      </w:r>
      <w:r w:rsidRPr="00521F74">
        <w:rPr>
          <w:rFonts w:asciiTheme="majorBidi" w:hAnsiTheme="majorBidi" w:cstheme="majorBidi"/>
          <w:color w:val="000000"/>
          <w:szCs w:val="18"/>
        </w:rPr>
        <w:t>1287/20</w:t>
      </w:r>
      <w:r w:rsidRPr="006F483D">
        <w:rPr>
          <w:rFonts w:asciiTheme="majorBidi" w:hAnsiTheme="majorBidi" w:cstheme="majorBidi"/>
          <w:color w:val="000000"/>
          <w:szCs w:val="18"/>
        </w:rPr>
        <w:t>.</w:t>
      </w:r>
    </w:p>
  </w:footnote>
  <w:footnote w:id="56">
    <w:p w14:paraId="65AACC1A"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Fuente: Estadísticas del MDP.</w:t>
      </w:r>
    </w:p>
  </w:footnote>
  <w:footnote w:id="57">
    <w:p w14:paraId="6464E253" w14:textId="3C033B56" w:rsidR="00583FBD" w:rsidRPr="00A608CC"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A608CC">
        <w:rPr>
          <w:rFonts w:asciiTheme="majorBidi" w:hAnsiTheme="majorBidi" w:cstheme="majorBidi"/>
          <w:color w:val="000000"/>
          <w:szCs w:val="18"/>
        </w:rPr>
        <w:tab/>
      </w:r>
      <w:r w:rsidRPr="006F483D">
        <w:rPr>
          <w:rFonts w:asciiTheme="majorBidi" w:hAnsiTheme="majorBidi" w:cstheme="majorBidi"/>
          <w:szCs w:val="18"/>
          <w:vertAlign w:val="superscript"/>
        </w:rPr>
        <w:footnoteRef/>
      </w:r>
      <w:r w:rsidRPr="00AA3D25">
        <w:rPr>
          <w:rFonts w:asciiTheme="majorBidi" w:hAnsiTheme="majorBidi" w:cstheme="majorBidi"/>
          <w:color w:val="000000"/>
          <w:szCs w:val="18"/>
          <w:lang w:val="en-US"/>
        </w:rPr>
        <w:tab/>
      </w:r>
      <w:r>
        <w:fldChar w:fldCharType="begin"/>
      </w:r>
      <w:r w:rsidRPr="00AA3D25">
        <w:rPr>
          <w:lang w:val="en-US"/>
        </w:rPr>
        <w:instrText>HYPERLINK "https://undocs.org/es/CEDAW/C/PRY/CO/7"</w:instrText>
      </w:r>
      <w:r>
        <w:fldChar w:fldCharType="separate"/>
      </w:r>
      <w:r w:rsidRPr="00AA3D25">
        <w:rPr>
          <w:rStyle w:val="Hyperlink"/>
          <w:rFonts w:asciiTheme="majorBidi" w:hAnsiTheme="majorBidi" w:cstheme="majorBidi"/>
          <w:szCs w:val="18"/>
          <w:lang w:val="en-US"/>
        </w:rPr>
        <w:t>CEDAW/C/PRY/CO/7</w:t>
      </w:r>
      <w:r>
        <w:rPr>
          <w:rStyle w:val="Hyperlink"/>
          <w:rFonts w:asciiTheme="majorBidi" w:hAnsiTheme="majorBidi" w:cstheme="majorBidi"/>
          <w:szCs w:val="18"/>
        </w:rPr>
        <w:fldChar w:fldCharType="end"/>
      </w:r>
      <w:r w:rsidRPr="00AA3D25">
        <w:rPr>
          <w:rFonts w:asciiTheme="majorBidi" w:hAnsiTheme="majorBidi" w:cstheme="majorBidi"/>
          <w:color w:val="000000"/>
          <w:szCs w:val="18"/>
          <w:lang w:val="en-US"/>
        </w:rPr>
        <w:t xml:space="preserve">, párr. </w:t>
      </w:r>
      <w:r w:rsidRPr="00A608CC">
        <w:rPr>
          <w:rFonts w:asciiTheme="majorBidi" w:hAnsiTheme="majorBidi" w:cstheme="majorBidi"/>
          <w:color w:val="000000"/>
          <w:szCs w:val="18"/>
        </w:rPr>
        <w:t>23 a, b, c, d; 25.</w:t>
      </w:r>
    </w:p>
  </w:footnote>
  <w:footnote w:id="58">
    <w:p w14:paraId="0D4B850A" w14:textId="4C75E8F4" w:rsidR="00583FBD" w:rsidRPr="001D390A" w:rsidRDefault="00583FBD" w:rsidP="00485C85">
      <w:pPr>
        <w:pStyle w:val="FootnoteText"/>
        <w:tabs>
          <w:tab w:val="clear" w:pos="418"/>
          <w:tab w:val="right" w:pos="1195"/>
          <w:tab w:val="left" w:pos="1267"/>
          <w:tab w:val="left" w:pos="1742"/>
          <w:tab w:val="left" w:pos="2218"/>
          <w:tab w:val="left" w:pos="2693"/>
        </w:tabs>
        <w:ind w:left="1267" w:right="1267" w:hanging="432"/>
      </w:pPr>
      <w:r>
        <w:rPr>
          <w:rFonts w:asciiTheme="majorBidi" w:hAnsiTheme="majorBidi" w:cstheme="majorBidi"/>
          <w:szCs w:val="18"/>
        </w:rPr>
        <w:tab/>
      </w:r>
      <w:r w:rsidRPr="001D390A">
        <w:rPr>
          <w:vertAlign w:val="superscript"/>
        </w:rPr>
        <w:footnoteRef/>
      </w:r>
      <w:r w:rsidRPr="001D390A">
        <w:rPr>
          <w:rFonts w:asciiTheme="majorBidi" w:hAnsiTheme="majorBidi" w:cstheme="majorBidi"/>
          <w:szCs w:val="18"/>
        </w:rPr>
        <w:tab/>
      </w:r>
      <w:hyperlink r:id="rId44" w:history="1">
        <w:r w:rsidRPr="00C43199">
          <w:rPr>
            <w:rStyle w:val="Hyperlink"/>
            <w:rFonts w:asciiTheme="majorBidi" w:hAnsiTheme="majorBidi" w:cstheme="majorBidi"/>
            <w:szCs w:val="18"/>
          </w:rPr>
          <w:t>http://biblioteca.mds.gov.py:8080/bitstream/handle/123456789/835/ANEXO%20DE</w:t>
        </w:r>
        <w:r w:rsidRPr="00C43199">
          <w:rPr>
            <w:rStyle w:val="Hyperlink"/>
            <w:rFonts w:asciiTheme="majorBidi" w:hAnsiTheme="majorBidi" w:cstheme="majorBidi"/>
            <w:szCs w:val="18"/>
          </w:rPr>
          <w:br/>
          <w:t>%20LA%20NOTA%20MDS%201280%20-%20MRE.pdf?sequence=2&amp;isAllowed=y</w:t>
        </w:r>
      </w:hyperlink>
      <w:r w:rsidRPr="001D390A">
        <w:t xml:space="preserve">. </w:t>
      </w:r>
    </w:p>
  </w:footnote>
  <w:footnote w:id="59">
    <w:p w14:paraId="253B7FEA" w14:textId="00EE903C"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45" w:history="1">
        <w:r w:rsidRPr="00F52864">
          <w:rPr>
            <w:rStyle w:val="Hyperlink"/>
            <w:rFonts w:asciiTheme="majorBidi" w:hAnsiTheme="majorBidi" w:cstheme="majorBidi"/>
            <w:szCs w:val="18"/>
          </w:rPr>
          <w:t>https://programaeurofront.eu/0/novedad/oficiales-de-instancias-estatales-de-paraguay-son-capacitados-en-materia-de-prevencion-y-respuesta-a-la-trata-de-personas-en-la</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60">
    <w:p w14:paraId="76A6FF15"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Fuente: Estadísticas del MINNA.</w:t>
      </w:r>
    </w:p>
  </w:footnote>
  <w:footnote w:id="61">
    <w:p w14:paraId="7F94C8FA" w14:textId="778718F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themeColor="text1"/>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hyperlink r:id="rId46" w:history="1">
        <w:r w:rsidRPr="00F52864">
          <w:rPr>
            <w:rStyle w:val="Hyperlink"/>
            <w:rFonts w:asciiTheme="majorBidi" w:hAnsiTheme="majorBidi" w:cstheme="majorBidi"/>
            <w:szCs w:val="18"/>
          </w:rPr>
          <w:t>https://www.bacn.gov.py/leyes-paraguayas/3192/establece-derechos-obligaciones-y-medidas-preventivas-con-relacion-a-los-efectos-producidos-por-el-virus-de-inmunodeficiencia-humana-vih-y-el-sindrome-de-inmunodeficiencia-adquirida-sida</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62">
    <w:p w14:paraId="09EF24DF" w14:textId="5D541C5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themeColor="text1"/>
          <w:szCs w:val="18"/>
        </w:rPr>
      </w:pPr>
      <w:r>
        <w:rPr>
          <w:rFonts w:asciiTheme="majorBidi" w:hAnsiTheme="majorBidi" w:cstheme="majorBidi"/>
          <w:szCs w:val="18"/>
        </w:rPr>
        <w:tab/>
      </w:r>
      <w:r w:rsidRPr="006F483D">
        <w:rPr>
          <w:rStyle w:val="FootnoteReference"/>
          <w:rFonts w:asciiTheme="majorBidi" w:hAnsiTheme="majorBidi" w:cstheme="majorBidi"/>
          <w:color w:val="000000" w:themeColor="text1"/>
          <w:szCs w:val="18"/>
        </w:rPr>
        <w:footnoteRef/>
      </w:r>
      <w:r>
        <w:rPr>
          <w:rFonts w:asciiTheme="majorBidi" w:hAnsiTheme="majorBidi" w:cstheme="majorBidi"/>
          <w:szCs w:val="18"/>
        </w:rPr>
        <w:tab/>
      </w:r>
      <w:hyperlink r:id="rId47" w:history="1">
        <w:r w:rsidRPr="00F52864">
          <w:rPr>
            <w:rStyle w:val="Hyperlink"/>
            <w:rFonts w:asciiTheme="majorBidi" w:hAnsiTheme="majorBidi" w:cstheme="majorBidi"/>
            <w:szCs w:val="18"/>
          </w:rPr>
          <w:t>https://mcp.org.py/mcp</w:t>
        </w:r>
      </w:hyperlink>
      <w:r>
        <w:rPr>
          <w:rStyle w:val="Hyperlink"/>
          <w:rFonts w:asciiTheme="majorBidi" w:hAnsiTheme="majorBidi" w:cstheme="majorBidi"/>
          <w:color w:val="000000" w:themeColor="text1"/>
          <w:szCs w:val="18"/>
        </w:rPr>
        <w:t>.</w:t>
      </w:r>
      <w:r w:rsidRPr="006F483D">
        <w:rPr>
          <w:rStyle w:val="Hyperlink"/>
          <w:rFonts w:asciiTheme="majorBidi" w:hAnsiTheme="majorBidi" w:cstheme="majorBidi"/>
          <w:color w:val="000000" w:themeColor="text1"/>
          <w:szCs w:val="18"/>
        </w:rPr>
        <w:t xml:space="preserve"> </w:t>
      </w:r>
    </w:p>
  </w:footnote>
  <w:footnote w:id="63">
    <w:p w14:paraId="366630D7" w14:textId="0EC7FBC5"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themeColor="text1"/>
          <w:szCs w:val="18"/>
        </w:rPr>
      </w:pPr>
      <w:r>
        <w:rPr>
          <w:rFonts w:asciiTheme="majorBidi" w:hAnsiTheme="majorBidi" w:cstheme="majorBidi"/>
          <w:szCs w:val="18"/>
        </w:rPr>
        <w:tab/>
      </w:r>
      <w:r w:rsidRPr="006F483D">
        <w:rPr>
          <w:rStyle w:val="FootnoteReference"/>
          <w:rFonts w:asciiTheme="majorBidi" w:hAnsiTheme="majorBidi" w:cstheme="majorBidi"/>
          <w:color w:val="000000" w:themeColor="text1"/>
          <w:szCs w:val="18"/>
        </w:rPr>
        <w:footnoteRef/>
      </w:r>
      <w:r>
        <w:rPr>
          <w:rFonts w:asciiTheme="majorBidi" w:hAnsiTheme="majorBidi" w:cstheme="majorBidi"/>
          <w:szCs w:val="18"/>
        </w:rPr>
        <w:tab/>
      </w:r>
      <w:hyperlink r:id="rId48" w:history="1">
        <w:r w:rsidRPr="00F52864">
          <w:rPr>
            <w:rStyle w:val="Hyperlink"/>
            <w:rFonts w:asciiTheme="majorBidi" w:hAnsiTheme="majorBidi" w:cstheme="majorBidi"/>
            <w:szCs w:val="18"/>
          </w:rPr>
          <w:t>https://drive.google.com/file/d/1pMwhOIM8AcwSQpch2uoJSh6vkk6t1j_i/view</w:t>
        </w:r>
      </w:hyperlink>
      <w:r>
        <w:rPr>
          <w:rStyle w:val="Hyperlink"/>
          <w:rFonts w:asciiTheme="majorBidi" w:hAnsiTheme="majorBidi" w:cstheme="majorBidi"/>
          <w:color w:val="000000" w:themeColor="text1"/>
          <w:szCs w:val="18"/>
        </w:rPr>
        <w:t>.</w:t>
      </w:r>
    </w:p>
  </w:footnote>
  <w:footnote w:id="64">
    <w:p w14:paraId="096C79EE" w14:textId="44676610" w:rsidR="00583FBD" w:rsidRPr="005A582B"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color w:val="000000" w:themeColor="text1"/>
          <w:szCs w:val="18"/>
        </w:rPr>
        <w:footnoteRef/>
      </w:r>
      <w:r>
        <w:rPr>
          <w:rFonts w:asciiTheme="majorBidi" w:hAnsiTheme="majorBidi" w:cstheme="majorBidi"/>
          <w:szCs w:val="18"/>
        </w:rPr>
        <w:tab/>
      </w:r>
      <w:hyperlink r:id="rId49" w:history="1">
        <w:r w:rsidRPr="00F52864">
          <w:rPr>
            <w:rStyle w:val="Hyperlink"/>
            <w:rFonts w:asciiTheme="majorBidi" w:hAnsiTheme="majorBidi" w:cstheme="majorBidi"/>
            <w:szCs w:val="18"/>
          </w:rPr>
          <w:t>https://mcp.org.py/proyectos/1/vih</w:t>
        </w:r>
      </w:hyperlink>
      <w:r>
        <w:rPr>
          <w:rStyle w:val="Hyperlink"/>
          <w:rFonts w:asciiTheme="majorBidi" w:hAnsiTheme="majorBidi" w:cstheme="majorBidi"/>
          <w:color w:val="000000" w:themeColor="text1"/>
          <w:szCs w:val="18"/>
        </w:rPr>
        <w:t>.</w:t>
      </w:r>
      <w:r w:rsidRPr="006F483D">
        <w:rPr>
          <w:rStyle w:val="Hyperlink"/>
          <w:rFonts w:asciiTheme="majorBidi" w:hAnsiTheme="majorBidi" w:cstheme="majorBidi"/>
          <w:color w:val="000000" w:themeColor="text1"/>
          <w:szCs w:val="18"/>
        </w:rPr>
        <w:t xml:space="preserve"> </w:t>
      </w:r>
    </w:p>
  </w:footnote>
  <w:footnote w:id="65">
    <w:p w14:paraId="218E606D" w14:textId="56E8E3F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lang w:val="en-US"/>
        </w:rPr>
      </w:pPr>
      <w:r w:rsidRPr="00F23CEA">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50"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párr. 27 a, b.</w:t>
      </w:r>
    </w:p>
  </w:footnote>
  <w:footnote w:id="66">
    <w:p w14:paraId="6E15FB94" w14:textId="69601AA9"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Pr>
          <w:rFonts w:asciiTheme="majorBidi" w:hAnsiTheme="majorBidi" w:cstheme="majorBidi"/>
          <w:szCs w:val="18"/>
          <w:lang w:val="en-US"/>
        </w:rPr>
        <w:tab/>
      </w:r>
      <w:r w:rsidRPr="006F483D">
        <w:rPr>
          <w:rStyle w:val="FootnoteReference"/>
          <w:rFonts w:asciiTheme="majorBidi" w:hAnsiTheme="majorBidi" w:cstheme="majorBidi"/>
          <w:szCs w:val="18"/>
        </w:rPr>
        <w:footnoteRef/>
      </w:r>
      <w:r>
        <w:rPr>
          <w:rFonts w:asciiTheme="majorBidi" w:hAnsiTheme="majorBidi" w:cstheme="majorBidi"/>
          <w:szCs w:val="18"/>
          <w:lang w:val="en-US"/>
        </w:rPr>
        <w:tab/>
      </w:r>
      <w:hyperlink r:id="rId51" w:history="1">
        <w:r w:rsidRPr="00F52864">
          <w:rPr>
            <w:rStyle w:val="Hyperlink"/>
            <w:rFonts w:asciiTheme="majorBidi" w:hAnsiTheme="majorBidi" w:cstheme="majorBidi"/>
            <w:szCs w:val="18"/>
            <w:lang w:val="en-US"/>
          </w:rPr>
          <w:t>https://silpy.congreso.gov.py/web/expediente/106491</w:t>
        </w:r>
      </w:hyperlink>
      <w:r>
        <w:rPr>
          <w:rStyle w:val="Hyperlink"/>
          <w:rFonts w:asciiTheme="majorBidi" w:hAnsiTheme="majorBidi" w:cstheme="majorBidi"/>
          <w:szCs w:val="18"/>
          <w:lang w:val="en-US"/>
        </w:rPr>
        <w:t>.</w:t>
      </w:r>
      <w:r w:rsidRPr="006F483D">
        <w:rPr>
          <w:rFonts w:asciiTheme="majorBidi" w:hAnsiTheme="majorBidi" w:cstheme="majorBidi"/>
          <w:szCs w:val="18"/>
          <w:lang w:val="en-US"/>
        </w:rPr>
        <w:t xml:space="preserve"> </w:t>
      </w:r>
    </w:p>
  </w:footnote>
  <w:footnote w:id="67">
    <w:p w14:paraId="5C614FA1" w14:textId="3D2DDA15" w:rsidR="00583FBD" w:rsidRPr="00946E90"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lang w:val="en-US"/>
        </w:rPr>
      </w:pPr>
      <w:r w:rsidRPr="00A608CC">
        <w:rPr>
          <w:rFonts w:asciiTheme="majorBidi" w:hAnsiTheme="majorBidi" w:cstheme="majorBidi"/>
          <w:color w:val="0563C1"/>
          <w:szCs w:val="18"/>
          <w:lang w:val="en-US"/>
        </w:rPr>
        <w:tab/>
      </w:r>
      <w:r w:rsidRPr="006F483D">
        <w:rPr>
          <w:rFonts w:asciiTheme="majorBidi" w:hAnsiTheme="majorBidi" w:cstheme="majorBidi"/>
          <w:szCs w:val="18"/>
          <w:vertAlign w:val="superscript"/>
        </w:rPr>
        <w:footnoteRef/>
      </w:r>
      <w:r w:rsidRPr="00946E90">
        <w:rPr>
          <w:rFonts w:asciiTheme="majorBidi" w:hAnsiTheme="majorBidi" w:cstheme="majorBidi"/>
          <w:color w:val="0563C1"/>
          <w:szCs w:val="18"/>
          <w:lang w:val="en-US"/>
        </w:rPr>
        <w:tab/>
      </w:r>
      <w:hyperlink r:id="rId52" w:history="1">
        <w:r w:rsidRPr="00946E90">
          <w:rPr>
            <w:rStyle w:val="Hyperlink"/>
            <w:rFonts w:asciiTheme="majorBidi" w:hAnsiTheme="majorBidi" w:cstheme="majorBidi"/>
            <w:szCs w:val="18"/>
            <w:lang w:val="en-US"/>
          </w:rPr>
          <w:t>https://tsje.gov.py/unidad-de-participacion-politica.html</w:t>
        </w:r>
      </w:hyperlink>
      <w:r w:rsidRPr="00946E90">
        <w:rPr>
          <w:rFonts w:asciiTheme="majorBidi" w:hAnsiTheme="majorBidi" w:cstheme="majorBidi"/>
          <w:color w:val="0563C1"/>
          <w:szCs w:val="18"/>
          <w:lang w:val="en-US"/>
        </w:rPr>
        <w:t>.</w:t>
      </w:r>
    </w:p>
  </w:footnote>
  <w:footnote w:id="68">
    <w:p w14:paraId="1C38BEDD" w14:textId="599AD02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946E90">
        <w:rPr>
          <w:rFonts w:asciiTheme="majorBidi" w:hAnsiTheme="majorBidi" w:cstheme="majorBidi"/>
          <w:color w:val="0563C1"/>
          <w:szCs w:val="18"/>
          <w:lang w:val="en-US"/>
        </w:rPr>
        <w:tab/>
      </w:r>
      <w:r w:rsidRPr="00946E90">
        <w:rPr>
          <w:rFonts w:asciiTheme="majorBidi" w:hAnsiTheme="majorBidi" w:cstheme="majorBidi"/>
          <w:szCs w:val="18"/>
          <w:vertAlign w:val="superscript"/>
        </w:rPr>
        <w:footnoteRef/>
      </w:r>
      <w:r w:rsidRPr="00946E90">
        <w:rPr>
          <w:rFonts w:asciiTheme="majorBidi" w:hAnsiTheme="majorBidi" w:cstheme="majorBidi"/>
          <w:color w:val="0563C1"/>
          <w:szCs w:val="18"/>
          <w:lang w:val="en-US"/>
        </w:rPr>
        <w:tab/>
      </w:r>
      <w:hyperlink r:id="rId53" w:history="1">
        <w:r w:rsidRPr="00946E90">
          <w:rPr>
            <w:rStyle w:val="Hyperlink"/>
            <w:rFonts w:asciiTheme="majorBidi" w:hAnsiTheme="majorBidi" w:cstheme="majorBidi"/>
            <w:szCs w:val="18"/>
            <w:lang w:val="en-US"/>
          </w:rPr>
          <w:t>https://tsje.gov.py/unidad-de-politicas-de-genero.html</w:t>
        </w:r>
      </w:hyperlink>
      <w:r w:rsidRPr="00946E90">
        <w:rPr>
          <w:rFonts w:asciiTheme="majorBidi" w:hAnsiTheme="majorBidi" w:cstheme="majorBidi"/>
          <w:color w:val="0563C1"/>
          <w:szCs w:val="18"/>
          <w:lang w:val="en-US"/>
        </w:rPr>
        <w:t>.</w:t>
      </w:r>
      <w:r w:rsidRPr="006F483D">
        <w:rPr>
          <w:rFonts w:asciiTheme="majorBidi" w:hAnsiTheme="majorBidi" w:cstheme="majorBidi"/>
          <w:szCs w:val="18"/>
          <w:lang w:val="en-US"/>
        </w:rPr>
        <w:t xml:space="preserve"> </w:t>
      </w:r>
    </w:p>
  </w:footnote>
  <w:footnote w:id="69">
    <w:p w14:paraId="47FEE2ED" w14:textId="336062C3"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Pr>
          <w:rFonts w:asciiTheme="majorBidi" w:hAnsiTheme="majorBidi" w:cstheme="majorBidi"/>
          <w:color w:val="000000"/>
          <w:szCs w:val="18"/>
          <w:lang w:val="en-US"/>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54"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xml:space="preserve">, párr. </w:t>
      </w:r>
      <w:r w:rsidRPr="006F483D">
        <w:rPr>
          <w:rFonts w:asciiTheme="majorBidi" w:hAnsiTheme="majorBidi" w:cstheme="majorBidi"/>
          <w:color w:val="000000"/>
          <w:szCs w:val="18"/>
        </w:rPr>
        <w:t>29 a, b, c.</w:t>
      </w:r>
    </w:p>
  </w:footnote>
  <w:footnote w:id="70">
    <w:p w14:paraId="1854723F"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Resolución F.G.E. N.°1712/2021.</w:t>
      </w:r>
    </w:p>
  </w:footnote>
  <w:footnote w:id="71">
    <w:p w14:paraId="7AAF8DAF"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Instructivo F.A.DD.HH. N.º 01/22.</w:t>
      </w:r>
    </w:p>
  </w:footnote>
  <w:footnote w:id="72">
    <w:p w14:paraId="3BDB789F"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rPr>
        <w:tab/>
      </w:r>
      <w:r w:rsidRPr="006F483D">
        <w:rPr>
          <w:rFonts w:asciiTheme="majorBidi" w:hAnsiTheme="majorBidi" w:cstheme="majorBidi"/>
          <w:color w:val="000000"/>
          <w:szCs w:val="18"/>
        </w:rPr>
        <w:t>Foro de Periodistas Paraguayos (FOPEP); Sindicato de Periodistas del Paraguay (SPP); Asociación de Reporteros Gráficos del Paraguay (ARGP)</w:t>
      </w:r>
      <w:r>
        <w:rPr>
          <w:rFonts w:asciiTheme="majorBidi" w:hAnsiTheme="majorBidi" w:cstheme="majorBidi"/>
          <w:color w:val="000000"/>
          <w:szCs w:val="18"/>
        </w:rPr>
        <w:t>.</w:t>
      </w:r>
    </w:p>
  </w:footnote>
  <w:footnote w:id="73">
    <w:p w14:paraId="6DAF43F3" w14:textId="521A43C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A608CC">
        <w:rPr>
          <w:rFonts w:asciiTheme="majorBidi" w:hAnsiTheme="majorBidi" w:cstheme="majorBidi"/>
          <w:color w:val="0563C1"/>
          <w:szCs w:val="18"/>
        </w:rPr>
        <w:tab/>
      </w:r>
      <w:r w:rsidRPr="006F483D">
        <w:rPr>
          <w:rFonts w:asciiTheme="majorBidi" w:hAnsiTheme="majorBidi" w:cstheme="majorBidi"/>
          <w:szCs w:val="18"/>
          <w:vertAlign w:val="superscript"/>
        </w:rPr>
        <w:footnoteRef/>
      </w:r>
      <w:r w:rsidRPr="00946E90">
        <w:rPr>
          <w:rFonts w:asciiTheme="majorBidi" w:hAnsiTheme="majorBidi" w:cstheme="majorBidi"/>
          <w:color w:val="0563C1"/>
          <w:szCs w:val="18"/>
        </w:rPr>
        <w:tab/>
      </w:r>
      <w:hyperlink r:id="rId55" w:history="1">
        <w:r w:rsidRPr="00F52864">
          <w:rPr>
            <w:rStyle w:val="Hyperlink"/>
            <w:rFonts w:asciiTheme="majorBidi" w:hAnsiTheme="majorBidi" w:cstheme="majorBidi"/>
            <w:szCs w:val="18"/>
          </w:rPr>
          <w:t>https://seguridadperiodistas.org.py/wp-content/uploads/2020/11/CARTA-INTENCION-2016_page-0002.pdf</w:t>
        </w:r>
      </w:hyperlink>
      <w:r>
        <w:rPr>
          <w:rStyle w:val="Hyperlink"/>
          <w:rFonts w:asciiTheme="majorBidi" w:hAnsiTheme="majorBidi" w:cstheme="majorBidi"/>
          <w:szCs w:val="18"/>
        </w:rPr>
        <w:t>.</w:t>
      </w:r>
      <w:r w:rsidRPr="006F483D">
        <w:rPr>
          <w:rFonts w:asciiTheme="majorBidi" w:hAnsiTheme="majorBidi" w:cstheme="majorBidi"/>
          <w:color w:val="000000"/>
          <w:szCs w:val="18"/>
        </w:rPr>
        <w:t xml:space="preserve"> </w:t>
      </w:r>
    </w:p>
  </w:footnote>
  <w:footnote w:id="74">
    <w:p w14:paraId="77CEB976" w14:textId="48A2F440"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hyperlink r:id="rId56" w:history="1">
        <w:r w:rsidRPr="00F52864">
          <w:rPr>
            <w:rStyle w:val="Hyperlink"/>
            <w:rFonts w:asciiTheme="majorBidi" w:hAnsiTheme="majorBidi" w:cstheme="majorBidi"/>
            <w:szCs w:val="18"/>
          </w:rPr>
          <w:t>https://www.ohchr.org/sites/default/files/lib-docs/HRBodies/UPR/Documents/Session38/PY/A_HRC_WG.6_38_PRY_1_Paraguay_AnnexV_S.pdf</w:t>
        </w:r>
      </w:hyperlink>
      <w:r>
        <w:rPr>
          <w:rStyle w:val="Hyperlink"/>
          <w:rFonts w:asciiTheme="majorBidi" w:hAnsiTheme="majorBidi" w:cstheme="majorBidi"/>
          <w:szCs w:val="18"/>
        </w:rPr>
        <w:t>.</w:t>
      </w:r>
      <w:r w:rsidRPr="006F483D">
        <w:rPr>
          <w:rFonts w:asciiTheme="majorBidi" w:hAnsiTheme="majorBidi" w:cstheme="majorBidi"/>
          <w:color w:val="000000"/>
          <w:szCs w:val="18"/>
        </w:rPr>
        <w:t xml:space="preserve"> </w:t>
      </w:r>
    </w:p>
  </w:footnote>
  <w:footnote w:id="75">
    <w:p w14:paraId="50ADCB31" w14:textId="2B7A095A"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hyperlink r:id="rId57" w:history="1">
        <w:r w:rsidRPr="00F52864">
          <w:rPr>
            <w:rStyle w:val="Hyperlink"/>
            <w:rFonts w:asciiTheme="majorBidi" w:hAnsiTheme="majorBidi" w:cstheme="majorBidi"/>
            <w:szCs w:val="18"/>
          </w:rPr>
          <w:t>https://www.ohchr.org/sites/default/files/lib-docs/HRBodies/UPR/Documents/Session38/PY/A_HRC_WG.6_38_PRY_1_Paraguay_AnnexVI_S.pdf</w:t>
        </w:r>
      </w:hyperlink>
      <w:r w:rsidRPr="00B61C96">
        <w:rPr>
          <w:rFonts w:asciiTheme="majorBidi" w:hAnsiTheme="majorBidi" w:cstheme="majorBidi"/>
          <w:color w:val="0563C1"/>
          <w:szCs w:val="18"/>
        </w:rPr>
        <w:t>.</w:t>
      </w:r>
      <w:r w:rsidRPr="006F483D">
        <w:rPr>
          <w:rFonts w:asciiTheme="majorBidi" w:hAnsiTheme="majorBidi" w:cstheme="majorBidi"/>
          <w:color w:val="000000"/>
          <w:szCs w:val="18"/>
        </w:rPr>
        <w:t xml:space="preserve"> </w:t>
      </w:r>
    </w:p>
  </w:footnote>
  <w:footnote w:id="76">
    <w:p w14:paraId="36590339" w14:textId="68774D4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 xml:space="preserve">Se trata del proyecto de ley </w:t>
      </w:r>
      <w:r w:rsidR="00F019B7">
        <w:rPr>
          <w:rFonts w:asciiTheme="majorBidi" w:hAnsiTheme="majorBidi" w:cstheme="majorBidi"/>
          <w:szCs w:val="18"/>
        </w:rPr>
        <w:t>“</w:t>
      </w:r>
      <w:r w:rsidRPr="006F483D">
        <w:rPr>
          <w:rFonts w:asciiTheme="majorBidi" w:hAnsiTheme="majorBidi" w:cstheme="majorBidi"/>
          <w:szCs w:val="18"/>
        </w:rPr>
        <w:t>De protección a periodistas, comunicadores y defensores de derechos humanos</w:t>
      </w:r>
      <w:r w:rsidR="00F019B7">
        <w:rPr>
          <w:rFonts w:asciiTheme="majorBidi" w:hAnsiTheme="majorBidi" w:cstheme="majorBidi"/>
          <w:szCs w:val="18"/>
        </w:rPr>
        <w:t>”</w:t>
      </w:r>
      <w:r w:rsidRPr="006F483D">
        <w:rPr>
          <w:rFonts w:asciiTheme="majorBidi" w:hAnsiTheme="majorBidi" w:cstheme="majorBidi"/>
          <w:szCs w:val="18"/>
        </w:rPr>
        <w:t xml:space="preserve">, presentado en 2021: </w:t>
      </w:r>
      <w:hyperlink r:id="rId58" w:history="1">
        <w:r w:rsidRPr="006F483D">
          <w:rPr>
            <w:rStyle w:val="Hyperlink"/>
            <w:rFonts w:asciiTheme="majorBidi" w:hAnsiTheme="majorBidi" w:cstheme="majorBidi"/>
            <w:szCs w:val="18"/>
          </w:rPr>
          <w:t>https://silpy.congreso.gov.py/web/expediente/124598</w:t>
        </w:r>
      </w:hyperlink>
      <w:r w:rsidRPr="006F483D">
        <w:rPr>
          <w:rFonts w:asciiTheme="majorBidi" w:hAnsiTheme="majorBidi" w:cstheme="majorBidi"/>
          <w:szCs w:val="18"/>
        </w:rPr>
        <w:t xml:space="preserve">  y el proyecto de ley </w:t>
      </w:r>
      <w:r w:rsidR="00F019B7">
        <w:rPr>
          <w:rFonts w:asciiTheme="majorBidi" w:hAnsiTheme="majorBidi" w:cstheme="majorBidi"/>
          <w:szCs w:val="18"/>
        </w:rPr>
        <w:t>“</w:t>
      </w:r>
      <w:r w:rsidRPr="006F483D">
        <w:rPr>
          <w:rFonts w:asciiTheme="majorBidi" w:hAnsiTheme="majorBidi" w:cstheme="majorBidi"/>
          <w:szCs w:val="18"/>
        </w:rPr>
        <w:t>De protección a periodistas y personas defensoras de derechos humanos</w:t>
      </w:r>
      <w:r w:rsidR="00F019B7">
        <w:rPr>
          <w:rFonts w:asciiTheme="majorBidi" w:hAnsiTheme="majorBidi" w:cstheme="majorBidi"/>
          <w:szCs w:val="18"/>
        </w:rPr>
        <w:t>”</w:t>
      </w:r>
      <w:r w:rsidRPr="006F483D">
        <w:rPr>
          <w:rFonts w:asciiTheme="majorBidi" w:hAnsiTheme="majorBidi" w:cstheme="majorBidi"/>
          <w:szCs w:val="18"/>
        </w:rPr>
        <w:t xml:space="preserve"> presentado en 2023: </w:t>
      </w:r>
      <w:hyperlink r:id="rId59" w:history="1">
        <w:r w:rsidRPr="006F483D">
          <w:rPr>
            <w:rStyle w:val="Hyperlink"/>
            <w:rFonts w:asciiTheme="majorBidi" w:hAnsiTheme="majorBidi" w:cstheme="majorBidi"/>
            <w:szCs w:val="18"/>
          </w:rPr>
          <w:t>https://silpy.congreso.gov.py/web/expediente/128109</w:t>
        </w:r>
      </w:hyperlink>
      <w:r>
        <w:rPr>
          <w:rStyle w:val="Hyperlink"/>
          <w:rFonts w:asciiTheme="majorBidi" w:hAnsiTheme="majorBidi" w:cstheme="majorBidi"/>
          <w:szCs w:val="18"/>
        </w:rPr>
        <w:t>.</w:t>
      </w:r>
    </w:p>
  </w:footnote>
  <w:footnote w:id="77">
    <w:p w14:paraId="0FDD752E" w14:textId="79A38ED5"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5F2B46">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60"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xml:space="preserve">, párr. </w:t>
      </w:r>
      <w:r w:rsidRPr="006F483D">
        <w:rPr>
          <w:rFonts w:asciiTheme="majorBidi" w:hAnsiTheme="majorBidi" w:cstheme="majorBidi"/>
          <w:color w:val="000000"/>
          <w:szCs w:val="18"/>
        </w:rPr>
        <w:t>33 a, b, c; 43 c.</w:t>
      </w:r>
    </w:p>
  </w:footnote>
  <w:footnote w:id="78">
    <w:p w14:paraId="3DE52686"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Fuente: Estadísticas del MEC.</w:t>
      </w:r>
    </w:p>
  </w:footnote>
  <w:footnote w:id="79">
    <w:p w14:paraId="1B03C118" w14:textId="59A536B8"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61" w:history="1">
        <w:r w:rsidRPr="00F52864">
          <w:rPr>
            <w:rStyle w:val="Hyperlink"/>
            <w:rFonts w:asciiTheme="majorBidi" w:hAnsiTheme="majorBidi" w:cstheme="majorBidi"/>
            <w:szCs w:val="18"/>
          </w:rPr>
          <w:t>http://www.bacn.gov.py/leyes-paraguayas/3566/ley-n-4084-de-proteccion-a-las-estudiantes-en-estado-de-gravidez-y-maternidad</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80">
    <w:p w14:paraId="7A136419" w14:textId="1EDE08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62" w:history="1">
        <w:r w:rsidRPr="00F52864">
          <w:rPr>
            <w:rStyle w:val="Hyperlink"/>
            <w:rFonts w:asciiTheme="majorBidi" w:hAnsiTheme="majorBidi" w:cstheme="majorBidi"/>
            <w:szCs w:val="18"/>
          </w:rPr>
          <w:t>https://www.mec.gov.py/cms_v4/documentos/ver_documento/?titulo=288-2023-ZARATE2</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81">
    <w:p w14:paraId="54F3FDA1" w14:textId="1DBFC08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lang w:val="en-US"/>
        </w:rPr>
      </w:pPr>
      <w:r w:rsidRPr="00F23CEA">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63"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párr. 35 a, b, c, d, e.</w:t>
      </w:r>
    </w:p>
  </w:footnote>
  <w:footnote w:id="82">
    <w:p w14:paraId="2F55EEB8" w14:textId="0155088F"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Pr>
          <w:rFonts w:asciiTheme="majorBidi" w:hAnsiTheme="majorBidi" w:cstheme="majorBidi"/>
          <w:szCs w:val="18"/>
          <w:lang w:val="en-US"/>
        </w:rPr>
        <w:tab/>
      </w:r>
      <w:r w:rsidRPr="006F483D">
        <w:rPr>
          <w:rStyle w:val="FootnoteReference"/>
          <w:rFonts w:asciiTheme="majorBidi" w:hAnsiTheme="majorBidi" w:cstheme="majorBidi"/>
          <w:szCs w:val="18"/>
        </w:rPr>
        <w:footnoteRef/>
      </w:r>
      <w:r>
        <w:rPr>
          <w:rFonts w:asciiTheme="majorBidi" w:hAnsiTheme="majorBidi" w:cstheme="majorBidi"/>
          <w:szCs w:val="18"/>
          <w:lang w:val="en-US"/>
        </w:rPr>
        <w:tab/>
      </w:r>
      <w:hyperlink r:id="rId64" w:history="1">
        <w:r w:rsidRPr="00F52864">
          <w:rPr>
            <w:rStyle w:val="Hyperlink"/>
            <w:rFonts w:asciiTheme="majorBidi" w:hAnsiTheme="majorBidi" w:cstheme="majorBidi"/>
            <w:szCs w:val="18"/>
            <w:lang w:val="en-US"/>
          </w:rPr>
          <w:t>https://www.bacn.gov.py/leyes-paraguayas/8840/ley-n-6338-modifica-el-articulo-10-de-la-ley-n-540715-</w:t>
        </w:r>
      </w:hyperlink>
      <w:r>
        <w:rPr>
          <w:rFonts w:asciiTheme="majorBidi" w:hAnsiTheme="majorBidi" w:cstheme="majorBidi"/>
          <w:szCs w:val="18"/>
          <w:lang w:val="en-US"/>
        </w:rPr>
        <w:t>.</w:t>
      </w:r>
    </w:p>
  </w:footnote>
  <w:footnote w:id="83">
    <w:p w14:paraId="0EB3CB89" w14:textId="52060CEB"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2B2B2B"/>
          <w:szCs w:val="18"/>
          <w:highlight w:val="white"/>
        </w:rPr>
      </w:pPr>
      <w:r w:rsidRPr="00F23CEA">
        <w:rPr>
          <w:rFonts w:asciiTheme="majorBidi" w:hAnsiTheme="majorBidi" w:cstheme="majorBidi"/>
          <w:szCs w:val="18"/>
          <w:lang w:val="en-US"/>
        </w:rPr>
        <w:tab/>
      </w:r>
      <w:r w:rsidRPr="006F483D">
        <w:rPr>
          <w:rFonts w:asciiTheme="majorBidi" w:hAnsiTheme="majorBidi" w:cstheme="majorBidi"/>
          <w:szCs w:val="18"/>
          <w:vertAlign w:val="superscript"/>
        </w:rPr>
        <w:footnoteRef/>
      </w:r>
      <w:r>
        <w:rPr>
          <w:rFonts w:asciiTheme="majorBidi" w:hAnsiTheme="majorBidi" w:cstheme="majorBidi"/>
          <w:szCs w:val="18"/>
        </w:rPr>
        <w:tab/>
      </w:r>
      <w:r w:rsidRPr="006F483D">
        <w:rPr>
          <w:rFonts w:asciiTheme="majorBidi" w:hAnsiTheme="majorBidi" w:cstheme="majorBidi"/>
          <w:szCs w:val="18"/>
        </w:rPr>
        <w:t xml:space="preserve">Ley </w:t>
      </w:r>
      <w:r w:rsidR="005F64C3" w:rsidRPr="00D849F6">
        <w:t>3585/2008</w:t>
      </w:r>
      <w:r w:rsidRPr="006F483D">
        <w:rPr>
          <w:rFonts w:asciiTheme="majorBidi" w:hAnsiTheme="majorBidi" w:cstheme="majorBidi"/>
          <w:szCs w:val="18"/>
        </w:rPr>
        <w:t xml:space="preserve"> </w:t>
      </w:r>
      <w:r w:rsidR="00F019B7">
        <w:rPr>
          <w:rFonts w:asciiTheme="majorBidi" w:hAnsiTheme="majorBidi" w:cstheme="majorBidi"/>
          <w:szCs w:val="18"/>
        </w:rPr>
        <w:t>“</w:t>
      </w:r>
      <w:r w:rsidRPr="006F483D">
        <w:rPr>
          <w:rFonts w:asciiTheme="majorBidi" w:hAnsiTheme="majorBidi" w:cstheme="majorBidi"/>
          <w:szCs w:val="18"/>
        </w:rPr>
        <w:t xml:space="preserve">Que modifica los artículos 1, 4 y 6 de la Ley </w:t>
      </w:r>
      <w:hyperlink r:id="rId65" w:history="1">
        <w:r w:rsidRPr="005A582B">
          <w:rPr>
            <w:rStyle w:val="Hyperlink"/>
            <w:rFonts w:asciiTheme="majorBidi" w:hAnsiTheme="majorBidi" w:cstheme="majorBidi"/>
            <w:szCs w:val="18"/>
          </w:rPr>
          <w:t>2479/2004</w:t>
        </w:r>
      </w:hyperlink>
      <w:r w:rsidRPr="006F483D">
        <w:rPr>
          <w:rFonts w:asciiTheme="majorBidi" w:hAnsiTheme="majorBidi" w:cstheme="majorBidi"/>
          <w:szCs w:val="18"/>
        </w:rPr>
        <w:t xml:space="preserve"> </w:t>
      </w:r>
      <w:r w:rsidR="00F019B7">
        <w:rPr>
          <w:rFonts w:asciiTheme="majorBidi" w:hAnsiTheme="majorBidi" w:cstheme="majorBidi"/>
          <w:szCs w:val="18"/>
        </w:rPr>
        <w:t>“</w:t>
      </w:r>
      <w:r w:rsidRPr="006F483D">
        <w:rPr>
          <w:rFonts w:asciiTheme="majorBidi" w:hAnsiTheme="majorBidi" w:cstheme="majorBidi"/>
          <w:szCs w:val="18"/>
        </w:rPr>
        <w:t>Que establece la obligatoriedad de la incorporación de personas con discapacidad en las instituciones públicas</w:t>
      </w:r>
      <w:r w:rsidR="00F019B7">
        <w:rPr>
          <w:rFonts w:asciiTheme="majorBidi" w:hAnsiTheme="majorBidi" w:cstheme="majorBidi"/>
          <w:szCs w:val="18"/>
        </w:rPr>
        <w:t>”</w:t>
      </w:r>
      <w:r w:rsidRPr="006F483D">
        <w:rPr>
          <w:rFonts w:asciiTheme="majorBidi" w:hAnsiTheme="majorBidi" w:cstheme="majorBidi"/>
          <w:szCs w:val="18"/>
        </w:rPr>
        <w:t>.</w:t>
      </w:r>
    </w:p>
    <w:p w14:paraId="2293ED36" w14:textId="6EA9CDE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2B2B2B"/>
          <w:szCs w:val="18"/>
          <w:highlight w:val="white"/>
        </w:rPr>
      </w:pPr>
      <w:r>
        <w:tab/>
      </w:r>
      <w:r>
        <w:tab/>
      </w:r>
      <w:hyperlink r:id="rId66" w:history="1">
        <w:r w:rsidRPr="004E46CD">
          <w:rPr>
            <w:rStyle w:val="Hyperlink"/>
            <w:rFonts w:asciiTheme="majorBidi" w:hAnsiTheme="majorBidi" w:cstheme="majorBidi"/>
            <w:szCs w:val="18"/>
            <w:highlight w:val="white"/>
          </w:rPr>
          <w:t>https://www.bacn.gov.py/leyes-paraguayas/1111/modifica-los-articulos-1-4-y-6-de-la-ley-n-247904-que-establece-la-obligatoriedad-de-la-incorporacion-de-personas-con-discapacidad-en-las-instituciones-publicas</w:t>
        </w:r>
      </w:hyperlink>
      <w:r>
        <w:rPr>
          <w:rStyle w:val="Hyperlink"/>
          <w:rFonts w:asciiTheme="majorBidi" w:hAnsiTheme="majorBidi" w:cstheme="majorBidi"/>
          <w:szCs w:val="18"/>
          <w:highlight w:val="white"/>
        </w:rPr>
        <w:t>.</w:t>
      </w:r>
      <w:r w:rsidRPr="006F483D">
        <w:rPr>
          <w:rFonts w:asciiTheme="majorBidi" w:hAnsiTheme="majorBidi" w:cstheme="majorBidi"/>
          <w:color w:val="2B2B2B"/>
          <w:szCs w:val="18"/>
          <w:highlight w:val="white"/>
        </w:rPr>
        <w:t xml:space="preserve"> </w:t>
      </w:r>
    </w:p>
    <w:p w14:paraId="1FFFEB10" w14:textId="417E9DDC"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2B2B2B"/>
          <w:szCs w:val="18"/>
          <w:highlight w:val="white"/>
        </w:rPr>
      </w:pPr>
      <w:r>
        <w:rPr>
          <w:rFonts w:asciiTheme="majorBidi" w:hAnsiTheme="majorBidi" w:cstheme="majorBidi"/>
          <w:color w:val="2B2B2B"/>
          <w:szCs w:val="18"/>
          <w:highlight w:val="white"/>
        </w:rPr>
        <w:tab/>
      </w:r>
      <w:r>
        <w:rPr>
          <w:rFonts w:asciiTheme="majorBidi" w:hAnsiTheme="majorBidi" w:cstheme="majorBidi"/>
          <w:color w:val="2B2B2B"/>
          <w:szCs w:val="18"/>
          <w:highlight w:val="white"/>
        </w:rPr>
        <w:tab/>
      </w:r>
      <w:r w:rsidRPr="006F483D">
        <w:rPr>
          <w:rFonts w:asciiTheme="majorBidi" w:hAnsiTheme="majorBidi" w:cstheme="majorBidi"/>
          <w:color w:val="2B2B2B"/>
          <w:szCs w:val="18"/>
          <w:highlight w:val="white"/>
        </w:rPr>
        <w:t xml:space="preserve">Ley </w:t>
      </w:r>
      <w:r w:rsidR="005F64C3" w:rsidRPr="00D849F6">
        <w:rPr>
          <w:highlight w:val="white"/>
        </w:rPr>
        <w:t>6279/2019</w:t>
      </w:r>
      <w:r w:rsidRPr="006F483D">
        <w:rPr>
          <w:rFonts w:asciiTheme="majorBidi" w:hAnsiTheme="majorBidi" w:cstheme="majorBidi"/>
          <w:color w:val="2B2B2B"/>
          <w:szCs w:val="18"/>
          <w:highlight w:val="white"/>
        </w:rPr>
        <w:t xml:space="preserve"> </w:t>
      </w:r>
      <w:r w:rsidR="00F019B7">
        <w:rPr>
          <w:rFonts w:asciiTheme="majorBidi" w:hAnsiTheme="majorBidi" w:cstheme="majorBidi"/>
          <w:color w:val="2B2B2B"/>
          <w:szCs w:val="18"/>
          <w:highlight w:val="white"/>
        </w:rPr>
        <w:t>“</w:t>
      </w:r>
      <w:r w:rsidRPr="006F483D">
        <w:rPr>
          <w:rFonts w:asciiTheme="majorBidi" w:hAnsiTheme="majorBidi" w:cstheme="majorBidi"/>
          <w:color w:val="2B2B2B"/>
          <w:szCs w:val="18"/>
          <w:highlight w:val="white"/>
        </w:rPr>
        <w:t>Que establece la obligatoriedad de la incorporación de las personas pertenecientes a las comunidades indígenas en las instituciones públicas</w:t>
      </w:r>
      <w:r w:rsidR="00F019B7">
        <w:rPr>
          <w:rFonts w:asciiTheme="majorBidi" w:hAnsiTheme="majorBidi" w:cstheme="majorBidi"/>
          <w:color w:val="2B2B2B"/>
          <w:szCs w:val="18"/>
          <w:highlight w:val="white"/>
        </w:rPr>
        <w:t>”</w:t>
      </w:r>
      <w:r>
        <w:rPr>
          <w:rFonts w:asciiTheme="majorBidi" w:hAnsiTheme="majorBidi" w:cstheme="majorBidi"/>
          <w:color w:val="2B2B2B"/>
          <w:szCs w:val="18"/>
          <w:highlight w:val="white"/>
        </w:rPr>
        <w:t>.</w:t>
      </w:r>
    </w:p>
    <w:p w14:paraId="37E9925D" w14:textId="60015B7B"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2B2B2B"/>
          <w:szCs w:val="18"/>
          <w:highlight w:val="white"/>
        </w:rPr>
      </w:pPr>
      <w:r>
        <w:tab/>
      </w:r>
      <w:r>
        <w:tab/>
      </w:r>
      <w:hyperlink r:id="rId67" w:history="1">
        <w:r w:rsidRPr="004E46CD">
          <w:rPr>
            <w:rStyle w:val="Hyperlink"/>
            <w:rFonts w:asciiTheme="majorBidi" w:hAnsiTheme="majorBidi" w:cstheme="majorBidi"/>
            <w:szCs w:val="18"/>
            <w:highlight w:val="white"/>
          </w:rPr>
          <w:t>https://www.bacn.gov.py/leyes-paraguayas/8691/ley-n-6279-establece-la-obligatoriedad-de-la-incorporacion-de-las-personas-pertenecientes-a-las-comunidades-indigenas-en-las-instituciones-publicas</w:t>
        </w:r>
      </w:hyperlink>
      <w:r w:rsidRPr="00B61C96">
        <w:rPr>
          <w:rFonts w:asciiTheme="majorBidi" w:hAnsiTheme="majorBidi" w:cstheme="majorBidi"/>
          <w:color w:val="1155CC"/>
          <w:szCs w:val="18"/>
          <w:highlight w:val="white"/>
        </w:rPr>
        <w:t>.</w:t>
      </w:r>
    </w:p>
  </w:footnote>
  <w:footnote w:id="84">
    <w:p w14:paraId="16A0D38D" w14:textId="60DDB34F"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color w:val="2B2B2B"/>
          <w:szCs w:val="18"/>
        </w:rPr>
        <w:tab/>
      </w:r>
      <w:r w:rsidRPr="006F483D">
        <w:rPr>
          <w:rStyle w:val="FootnoteReference"/>
          <w:rFonts w:asciiTheme="majorBidi" w:hAnsiTheme="majorBidi" w:cstheme="majorBidi"/>
          <w:szCs w:val="18"/>
        </w:rPr>
        <w:footnoteRef/>
      </w:r>
      <w:r>
        <w:rPr>
          <w:rFonts w:asciiTheme="majorBidi" w:hAnsiTheme="majorBidi" w:cstheme="majorBidi"/>
          <w:color w:val="2B2B2B"/>
          <w:szCs w:val="18"/>
        </w:rPr>
        <w:tab/>
      </w:r>
      <w:r w:rsidRPr="006F483D">
        <w:rPr>
          <w:rFonts w:asciiTheme="majorBidi" w:hAnsiTheme="majorBidi" w:cstheme="majorBidi"/>
          <w:color w:val="2B2B2B"/>
          <w:szCs w:val="18"/>
          <w:highlight w:val="white"/>
        </w:rPr>
        <w:t xml:space="preserve">Fuente: Portal de Datos Abiertos del VCHGO, consultar en: </w:t>
      </w:r>
      <w:hyperlink r:id="rId68" w:history="1">
        <w:r w:rsidRPr="00D849F6">
          <w:rPr>
            <w:rFonts w:asciiTheme="majorBidi" w:hAnsiTheme="majorBidi" w:cstheme="majorBidi"/>
            <w:color w:val="0000FF"/>
            <w:szCs w:val="18"/>
            <w:highlight w:val="white"/>
          </w:rPr>
          <w:t>https://datos.sfp.gov.py/visualizaciones/resumen</w:t>
        </w:r>
      </w:hyperlink>
      <w:r>
        <w:rPr>
          <w:rFonts w:asciiTheme="majorBidi" w:hAnsiTheme="majorBidi" w:cstheme="majorBidi"/>
          <w:color w:val="2B2B2B"/>
          <w:szCs w:val="18"/>
        </w:rPr>
        <w:t>.</w:t>
      </w:r>
      <w:r w:rsidRPr="006F483D">
        <w:rPr>
          <w:rFonts w:asciiTheme="majorBidi" w:hAnsiTheme="majorBidi" w:cstheme="majorBidi"/>
          <w:color w:val="2B2B2B"/>
          <w:szCs w:val="18"/>
        </w:rPr>
        <w:t xml:space="preserve"> </w:t>
      </w:r>
    </w:p>
  </w:footnote>
  <w:footnote w:id="85">
    <w:p w14:paraId="32E092ED" w14:textId="68ADD58F"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69" w:history="1">
        <w:r w:rsidRPr="00F52864">
          <w:rPr>
            <w:rStyle w:val="Hyperlink"/>
            <w:rFonts w:asciiTheme="majorBidi" w:hAnsiTheme="majorBidi" w:cstheme="majorBidi"/>
            <w:szCs w:val="18"/>
          </w:rPr>
          <w:t>https://www.sfp.gov.py/sfp/articulo/15524-resolucin-n-342022.html</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86">
    <w:p w14:paraId="6C716B9B" w14:textId="7F30DBB0"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0" w:history="1">
        <w:r w:rsidRPr="006F483D">
          <w:rPr>
            <w:rStyle w:val="Hyperlink"/>
            <w:rFonts w:asciiTheme="majorBidi" w:hAnsiTheme="majorBidi" w:cstheme="majorBidi"/>
            <w:szCs w:val="18"/>
          </w:rPr>
          <w:t>https://www.bacn.gov.py/leyes-paraguayas/1165/establece-beneficios-para-los-empleadores-a-los-efectos-de-incentivar-la-incorporacion-de-personas-con-discapacidad-en-el-sector-privado</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87">
    <w:p w14:paraId="563A0D85" w14:textId="4EC5D7EE"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r w:rsidRPr="006F483D">
        <w:rPr>
          <w:rFonts w:asciiTheme="majorBidi" w:hAnsiTheme="majorBidi" w:cstheme="majorBidi"/>
          <w:szCs w:val="18"/>
        </w:rPr>
        <w:t xml:space="preserve">Ley </w:t>
      </w:r>
      <w:r w:rsidR="007E06AB" w:rsidRPr="00D849F6">
        <w:t>5508/2015</w:t>
      </w:r>
      <w:r w:rsidRPr="006F483D">
        <w:rPr>
          <w:rFonts w:asciiTheme="majorBidi" w:hAnsiTheme="majorBidi" w:cstheme="majorBidi"/>
          <w:szCs w:val="18"/>
        </w:rPr>
        <w:t xml:space="preserve"> </w:t>
      </w:r>
      <w:r w:rsidR="00F019B7">
        <w:rPr>
          <w:rFonts w:asciiTheme="majorBidi" w:hAnsiTheme="majorBidi" w:cstheme="majorBidi"/>
          <w:szCs w:val="18"/>
        </w:rPr>
        <w:t>“</w:t>
      </w:r>
      <w:r w:rsidRPr="006F483D">
        <w:rPr>
          <w:rFonts w:asciiTheme="majorBidi" w:hAnsiTheme="majorBidi" w:cstheme="majorBidi"/>
          <w:szCs w:val="18"/>
        </w:rPr>
        <w:t>De promoción, protección de la maternidad y el apoyo a la lactancia materna</w:t>
      </w:r>
      <w:r w:rsidR="00F019B7">
        <w:rPr>
          <w:rFonts w:asciiTheme="majorBidi" w:hAnsiTheme="majorBidi" w:cstheme="majorBidi"/>
          <w:szCs w:val="18"/>
        </w:rPr>
        <w:t>”</w:t>
      </w:r>
      <w:r w:rsidR="006B7B40">
        <w:rPr>
          <w:rFonts w:asciiTheme="majorBidi" w:hAnsiTheme="majorBidi" w:cstheme="majorBidi"/>
          <w:szCs w:val="18"/>
        </w:rPr>
        <w:t>.</w:t>
      </w:r>
    </w:p>
    <w:p w14:paraId="0C259D08" w14:textId="25CA7CE5"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hyperlink r:id="rId71" w:history="1">
        <w:r w:rsidRPr="004E46CD">
          <w:rPr>
            <w:rStyle w:val="Hyperlink"/>
            <w:rFonts w:asciiTheme="majorBidi" w:hAnsiTheme="majorBidi" w:cstheme="majorBidi"/>
            <w:szCs w:val="18"/>
          </w:rPr>
          <w:t>https://digestolegislativo.gov.py/files/9034%20.pdf</w:t>
        </w:r>
      </w:hyperlink>
      <w:r w:rsidRPr="00B61C96">
        <w:rPr>
          <w:rFonts w:asciiTheme="majorBidi" w:hAnsiTheme="majorBidi" w:cstheme="majorBidi"/>
          <w:color w:val="1155CC"/>
          <w:szCs w:val="18"/>
        </w:rPr>
        <w:t>.</w:t>
      </w:r>
      <w:r w:rsidRPr="006F483D">
        <w:rPr>
          <w:rFonts w:asciiTheme="majorBidi" w:hAnsiTheme="majorBidi" w:cstheme="majorBidi"/>
          <w:szCs w:val="18"/>
        </w:rPr>
        <w:t xml:space="preserve"> </w:t>
      </w:r>
    </w:p>
    <w:p w14:paraId="1A05FD19" w14:textId="25CFC579"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hyperlink r:id="rId72" w:history="1">
        <w:r w:rsidRPr="004E46CD">
          <w:rPr>
            <w:rStyle w:val="Hyperlink"/>
            <w:rFonts w:asciiTheme="majorBidi" w:hAnsiTheme="majorBidi" w:cstheme="majorBidi"/>
            <w:szCs w:val="18"/>
          </w:rPr>
          <w:t>https://digestolegislativo.gov.py/files/11065.pdf</w:t>
        </w:r>
      </w:hyperlink>
      <w:r w:rsidRPr="00B61C96">
        <w:rPr>
          <w:rFonts w:asciiTheme="majorBidi" w:hAnsiTheme="majorBidi" w:cstheme="majorBidi"/>
          <w:color w:val="1155CC"/>
          <w:szCs w:val="18"/>
        </w:rPr>
        <w:t>.</w:t>
      </w:r>
      <w:r w:rsidRPr="00B61C96">
        <w:rPr>
          <w:rFonts w:asciiTheme="majorBidi" w:hAnsiTheme="majorBidi" w:cstheme="majorBidi"/>
          <w:szCs w:val="18"/>
        </w:rPr>
        <w:t xml:space="preserve"> </w:t>
      </w:r>
    </w:p>
  </w:footnote>
  <w:footnote w:id="88">
    <w:p w14:paraId="72CB5C9B" w14:textId="1B2AC359"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3" w:history="1">
        <w:r w:rsidRPr="00F52864">
          <w:rPr>
            <w:rStyle w:val="Hyperlink"/>
            <w:rFonts w:asciiTheme="majorBidi" w:hAnsiTheme="majorBidi" w:cstheme="majorBidi"/>
            <w:szCs w:val="18"/>
          </w:rPr>
          <w:t>https://silpy.congreso.gov.py/web/expediente/116930</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89">
    <w:p w14:paraId="7EAC8CCF" w14:textId="378C33D3"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4" w:history="1">
        <w:r w:rsidRPr="00F52864">
          <w:rPr>
            <w:rStyle w:val="Hyperlink"/>
            <w:rFonts w:asciiTheme="majorBidi" w:hAnsiTheme="majorBidi" w:cstheme="majorBidi"/>
            <w:szCs w:val="18"/>
          </w:rPr>
          <w:t>https://mujer.gov.py/que-es-la-politica-nacional-de-cuidados-del-paraguay/</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90">
    <w:p w14:paraId="3CA2CD9F" w14:textId="3F1D3E98"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5" w:history="1">
        <w:r w:rsidRPr="00F52864">
          <w:rPr>
            <w:rStyle w:val="Hyperlink"/>
            <w:rFonts w:asciiTheme="majorBidi" w:hAnsiTheme="majorBidi" w:cstheme="majorBidi"/>
            <w:szCs w:val="18"/>
          </w:rPr>
          <w:t>https://bolsa.mtess.gov.py/buscador/login.php?return=true&amp;</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91">
    <w:p w14:paraId="4CB7204E" w14:textId="263AEC4A"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6" w:history="1">
        <w:r w:rsidRPr="00F52864">
          <w:rPr>
            <w:rStyle w:val="Hyperlink"/>
            <w:rFonts w:asciiTheme="majorBidi" w:hAnsiTheme="majorBidi" w:cstheme="majorBidi"/>
            <w:szCs w:val="18"/>
          </w:rPr>
          <w:t>https://www.bacn.gov.py/leyes-paraguayas/4392/ley-n-5407-del-trabajo-domestico</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92">
    <w:p w14:paraId="285F3E7B" w14:textId="159E8D8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7" w:history="1">
        <w:r w:rsidRPr="00F52864">
          <w:rPr>
            <w:rStyle w:val="Hyperlink"/>
            <w:rFonts w:asciiTheme="majorBidi" w:hAnsiTheme="majorBidi" w:cstheme="majorBidi"/>
            <w:szCs w:val="18"/>
          </w:rPr>
          <w:t>https://silpy.congreso.gov.py/web/expediente/108028</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93">
    <w:p w14:paraId="68ECCEF8" w14:textId="371D769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8" w:history="1">
        <w:r w:rsidRPr="00F52864">
          <w:rPr>
            <w:rStyle w:val="Hyperlink"/>
            <w:rFonts w:asciiTheme="majorBidi" w:hAnsiTheme="majorBidi" w:cstheme="majorBidi"/>
            <w:szCs w:val="18"/>
          </w:rPr>
          <w:t>https://www.mtess.gov.py/application/files/9715/6926/1549/Estrategia_Nacional_-_para_impresion.pdf</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94">
    <w:p w14:paraId="5FCCFB93" w14:textId="461F731E"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79" w:history="1">
        <w:r w:rsidRPr="00F52864">
          <w:rPr>
            <w:rStyle w:val="Hyperlink"/>
            <w:rFonts w:asciiTheme="majorBidi" w:hAnsiTheme="majorBidi" w:cstheme="majorBidi"/>
            <w:szCs w:val="18"/>
          </w:rPr>
          <w:t>https://www.mtess.gov.py/index.php/documentos/resolucion-mtess-n-3882019</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95">
    <w:p w14:paraId="55DC1D6E" w14:textId="19DBD62A"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687389">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80"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párr</w:t>
      </w:r>
      <w:r w:rsidR="00736310">
        <w:rPr>
          <w:rFonts w:asciiTheme="majorBidi" w:hAnsiTheme="majorBidi" w:cstheme="majorBidi"/>
          <w:color w:val="000000"/>
          <w:szCs w:val="18"/>
          <w:lang w:val="en-US"/>
        </w:rPr>
        <w:t>s</w:t>
      </w:r>
      <w:r w:rsidRPr="006F483D">
        <w:rPr>
          <w:rFonts w:asciiTheme="majorBidi" w:hAnsiTheme="majorBidi" w:cstheme="majorBidi"/>
          <w:color w:val="000000"/>
          <w:szCs w:val="18"/>
          <w:lang w:val="en-US"/>
        </w:rPr>
        <w:t xml:space="preserve">. </w:t>
      </w:r>
      <w:r w:rsidRPr="006F483D">
        <w:rPr>
          <w:rFonts w:asciiTheme="majorBidi" w:hAnsiTheme="majorBidi" w:cstheme="majorBidi"/>
          <w:color w:val="000000"/>
          <w:szCs w:val="18"/>
        </w:rPr>
        <w:t>37 a, b, c, d, e, f; 43 a.</w:t>
      </w:r>
    </w:p>
  </w:footnote>
  <w:footnote w:id="96">
    <w:p w14:paraId="7861D56E"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lang w:val="es-MX" w:eastAsia="es-MX"/>
        </w:rPr>
        <w:tab/>
      </w:r>
      <w:r w:rsidRPr="006F483D">
        <w:rPr>
          <w:rStyle w:val="FootnoteReference"/>
          <w:rFonts w:asciiTheme="majorBidi" w:hAnsiTheme="majorBidi" w:cstheme="majorBidi"/>
          <w:szCs w:val="18"/>
        </w:rPr>
        <w:footnoteRef/>
      </w:r>
      <w:r>
        <w:rPr>
          <w:rFonts w:asciiTheme="majorBidi" w:hAnsiTheme="majorBidi" w:cstheme="majorBidi"/>
          <w:szCs w:val="18"/>
          <w:lang w:val="es-MX" w:eastAsia="es-MX"/>
        </w:rPr>
        <w:tab/>
      </w:r>
      <w:r w:rsidRPr="006F483D">
        <w:rPr>
          <w:rFonts w:asciiTheme="majorBidi" w:hAnsiTheme="majorBidi" w:cstheme="majorBidi"/>
          <w:szCs w:val="18"/>
          <w:lang w:val="es-MX" w:eastAsia="es-MX"/>
        </w:rPr>
        <w:t>Fuente: Dpto. de Administración MSPBS.</w:t>
      </w:r>
    </w:p>
  </w:footnote>
  <w:footnote w:id="97">
    <w:p w14:paraId="5C45E04F" w14:textId="0B1C5EC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s-MX"/>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81" w:history="1">
        <w:r w:rsidRPr="00F52864">
          <w:rPr>
            <w:rStyle w:val="Hyperlink"/>
            <w:rFonts w:asciiTheme="majorBidi" w:hAnsiTheme="majorBidi" w:cstheme="majorBidi"/>
            <w:szCs w:val="18"/>
          </w:rPr>
          <w:t>https://www.mspbs.gov.py/dependencias/portal/adjunto/508623-ManualdeOrganizaciondelPrimerNiveldeAtencion.pdf</w:t>
        </w:r>
      </w:hyperlink>
      <w:r>
        <w:rPr>
          <w:rStyle w:val="Hyperlink"/>
          <w:rFonts w:asciiTheme="majorBidi" w:hAnsiTheme="majorBidi" w:cstheme="majorBidi"/>
          <w:color w:val="000000" w:themeColor="text1"/>
          <w:szCs w:val="18"/>
        </w:rPr>
        <w:t>.</w:t>
      </w:r>
    </w:p>
  </w:footnote>
  <w:footnote w:id="98">
    <w:p w14:paraId="7FBB2092"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bCs/>
          <w:color w:val="000000"/>
          <w:szCs w:val="18"/>
          <w:lang w:eastAsia="es-PY"/>
        </w:rPr>
        <w:tab/>
      </w:r>
      <w:r w:rsidRPr="006F483D">
        <w:rPr>
          <w:rStyle w:val="FootnoteReference"/>
          <w:rFonts w:asciiTheme="majorBidi" w:hAnsiTheme="majorBidi" w:cstheme="majorBidi"/>
          <w:szCs w:val="18"/>
        </w:rPr>
        <w:footnoteRef/>
      </w:r>
      <w:r>
        <w:rPr>
          <w:rFonts w:asciiTheme="majorBidi" w:hAnsiTheme="majorBidi" w:cstheme="majorBidi"/>
          <w:bCs/>
          <w:color w:val="000000"/>
          <w:szCs w:val="18"/>
          <w:lang w:eastAsia="es-PY"/>
        </w:rPr>
        <w:tab/>
      </w:r>
      <w:r w:rsidRPr="006F483D">
        <w:rPr>
          <w:rFonts w:asciiTheme="majorBidi" w:hAnsiTheme="majorBidi" w:cstheme="majorBidi"/>
          <w:bCs/>
          <w:color w:val="000000"/>
          <w:szCs w:val="18"/>
          <w:lang w:eastAsia="es-PY"/>
        </w:rPr>
        <w:t>Fuente: Departamento de Normativas/DAPS MSPBS.</w:t>
      </w:r>
    </w:p>
  </w:footnote>
  <w:footnote w:id="99">
    <w:p w14:paraId="48DD7421"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bCs/>
          <w:color w:val="000000"/>
          <w:szCs w:val="18"/>
          <w:lang w:eastAsia="es-PY"/>
        </w:rPr>
        <w:tab/>
      </w:r>
      <w:r w:rsidRPr="006F483D">
        <w:rPr>
          <w:rStyle w:val="FootnoteReference"/>
          <w:rFonts w:asciiTheme="majorBidi" w:hAnsiTheme="majorBidi" w:cstheme="majorBidi"/>
          <w:szCs w:val="18"/>
        </w:rPr>
        <w:footnoteRef/>
      </w:r>
      <w:r>
        <w:rPr>
          <w:rFonts w:asciiTheme="majorBidi" w:hAnsiTheme="majorBidi" w:cstheme="majorBidi"/>
          <w:bCs/>
          <w:color w:val="000000"/>
          <w:szCs w:val="18"/>
          <w:lang w:eastAsia="es-PY"/>
        </w:rPr>
        <w:tab/>
      </w:r>
      <w:r w:rsidRPr="006F483D">
        <w:rPr>
          <w:rFonts w:asciiTheme="majorBidi" w:hAnsiTheme="majorBidi" w:cstheme="majorBidi"/>
          <w:bCs/>
          <w:color w:val="000000"/>
          <w:szCs w:val="18"/>
          <w:lang w:eastAsia="es-PY"/>
        </w:rPr>
        <w:t>Fuente: Departamento de Normativas/DAPS MSPBS.</w:t>
      </w:r>
    </w:p>
  </w:footnote>
  <w:footnote w:id="100">
    <w:p w14:paraId="72BCEFD3" w14:textId="16A76F00"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82" w:history="1">
        <w:r w:rsidRPr="00F52864">
          <w:rPr>
            <w:rStyle w:val="Hyperlink"/>
            <w:rFonts w:asciiTheme="majorBidi" w:hAnsiTheme="majorBidi" w:cstheme="majorBidi"/>
            <w:szCs w:val="18"/>
          </w:rPr>
          <w:t>https://www.bacn.gov.py/leyes-paraguayas/8708/ley-n-6266-de-atencion-integral-a-las-personas-con-cancer</w:t>
        </w:r>
      </w:hyperlink>
      <w:r>
        <w:rPr>
          <w:rFonts w:asciiTheme="majorBidi" w:hAnsiTheme="majorBidi" w:cstheme="majorBidi"/>
          <w:szCs w:val="18"/>
        </w:rPr>
        <w:t>.</w:t>
      </w:r>
    </w:p>
  </w:footnote>
  <w:footnote w:id="101">
    <w:p w14:paraId="554969B0" w14:textId="088F09CE"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83" w:history="1">
        <w:r w:rsidRPr="00F52864">
          <w:rPr>
            <w:rStyle w:val="Hyperlink"/>
            <w:rFonts w:asciiTheme="majorBidi" w:hAnsiTheme="majorBidi" w:cstheme="majorBidi"/>
            <w:szCs w:val="18"/>
          </w:rPr>
          <w:t>https://silpy.congreso.gov.py/web/ley/143942</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02">
    <w:p w14:paraId="7C685E79" w14:textId="7D604924"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84" w:history="1">
        <w:r w:rsidRPr="00F52864">
          <w:rPr>
            <w:rStyle w:val="Hyperlink"/>
            <w:rFonts w:asciiTheme="majorBidi" w:hAnsiTheme="majorBidi" w:cstheme="majorBidi"/>
            <w:szCs w:val="18"/>
          </w:rPr>
          <w:t>https://www.bacn.gov.py/leyes-paraguayas/10893/ley-n-6993-provision-gratuita-de-productos-de-gestion-menstrual</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03">
    <w:p w14:paraId="4AFD4A7B" w14:textId="28CFA314"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outlineLvl w:val="0"/>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85" w:history="1">
        <w:r w:rsidRPr="00C43199">
          <w:rPr>
            <w:rStyle w:val="Hyperlink"/>
            <w:rFonts w:asciiTheme="majorBidi" w:hAnsiTheme="majorBidi" w:cstheme="majorBidi"/>
            <w:szCs w:val="18"/>
          </w:rPr>
          <w:t>https://senadis.gov.py/index.php/download_file/391/223&amp;ved=2ahUKEwitwvOCgdaFAxUsp</w:t>
        </w:r>
        <w:r w:rsidRPr="00C43199">
          <w:rPr>
            <w:rStyle w:val="Hyperlink"/>
            <w:rFonts w:asciiTheme="majorBidi" w:hAnsiTheme="majorBidi" w:cstheme="majorBidi"/>
            <w:szCs w:val="18"/>
          </w:rPr>
          <w:br/>
        </w:r>
        <w:proofErr w:type="spellStart"/>
        <w:r w:rsidRPr="00C43199">
          <w:rPr>
            <w:rStyle w:val="Hyperlink"/>
            <w:rFonts w:asciiTheme="majorBidi" w:hAnsiTheme="majorBidi" w:cstheme="majorBidi"/>
            <w:szCs w:val="18"/>
          </w:rPr>
          <w:t>ZUCHZpcAjIQFnoECCsQAQ&amp;usg</w:t>
        </w:r>
        <w:proofErr w:type="spellEnd"/>
        <w:r w:rsidRPr="00C43199">
          <w:rPr>
            <w:rStyle w:val="Hyperlink"/>
            <w:rFonts w:asciiTheme="majorBidi" w:hAnsiTheme="majorBidi" w:cstheme="majorBidi"/>
            <w:szCs w:val="18"/>
          </w:rPr>
          <w:t>=AOvVaw22HeLM-5Mkx5gsGsqYW77n</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04">
    <w:p w14:paraId="721F3AB4" w14:textId="3A58D0A8"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2E74B5" w:themeColor="accent5" w:themeShade="BF"/>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86" w:history="1">
        <w:r w:rsidRPr="00F52864">
          <w:rPr>
            <w:rStyle w:val="Hyperlink"/>
            <w:rFonts w:asciiTheme="majorBidi" w:hAnsiTheme="majorBidi" w:cstheme="majorBidi"/>
            <w:szCs w:val="18"/>
          </w:rPr>
          <w:t>https://www.mspbs.gov.py/dependencias/portal/adjunto/6ceb9e-LineamientoTratoAdecuadoTrabajadoresSaludPCD.pdf</w:t>
        </w:r>
      </w:hyperlink>
      <w:r>
        <w:rPr>
          <w:rStyle w:val="Hyperlink"/>
          <w:rFonts w:asciiTheme="majorBidi" w:hAnsiTheme="majorBidi" w:cstheme="majorBidi"/>
          <w:color w:val="2E74B5" w:themeColor="accent5" w:themeShade="BF"/>
          <w:szCs w:val="18"/>
        </w:rPr>
        <w:t>.</w:t>
      </w:r>
    </w:p>
  </w:footnote>
  <w:footnote w:id="105">
    <w:p w14:paraId="331C0C6B" w14:textId="2F5E6CFA"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87" w:history="1">
        <w:r w:rsidRPr="00F52864">
          <w:rPr>
            <w:rStyle w:val="Hyperlink"/>
            <w:rFonts w:asciiTheme="majorBidi" w:hAnsiTheme="majorBidi" w:cstheme="majorBidi"/>
            <w:szCs w:val="18"/>
          </w:rPr>
          <w:t>https://www.bacn.gov.py/leyes-paraguayas/11069/ley-n-7018-salud-mental</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06">
    <w:p w14:paraId="5615369E" w14:textId="6CE19B72"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6F483D">
        <w:rPr>
          <w:rFonts w:asciiTheme="majorBidi" w:hAnsiTheme="majorBidi" w:cstheme="majorBidi"/>
          <w:szCs w:val="18"/>
        </w:rPr>
        <w:t xml:space="preserve">Aprobada por resolución 018/2017, disponible en: </w:t>
      </w:r>
      <w:hyperlink r:id="rId88" w:history="1">
        <w:r w:rsidRPr="006F483D">
          <w:rPr>
            <w:rStyle w:val="Hyperlink"/>
            <w:rFonts w:asciiTheme="majorBidi" w:hAnsiTheme="majorBidi" w:cstheme="majorBidi"/>
            <w:szCs w:val="18"/>
          </w:rPr>
          <w:t>https://www.mspbs.gov.py/dependencias/portal/adjunto/fe12e9-2017018RESOLUCIONSG0182017.pdf</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07">
    <w:p w14:paraId="06DD2BC3" w14:textId="1D32199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lang w:val="en-US"/>
        </w:rPr>
      </w:pPr>
      <w:r w:rsidRPr="005F2B46">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89"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párr. 39 a, b, c.</w:t>
      </w:r>
    </w:p>
  </w:footnote>
  <w:footnote w:id="108">
    <w:p w14:paraId="6DE47B94" w14:textId="6ACC6270" w:rsidR="00583FBD" w:rsidRPr="00055A77"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lang w:val="en-US"/>
        </w:rPr>
      </w:pPr>
      <w:r>
        <w:rPr>
          <w:rFonts w:asciiTheme="majorBidi" w:hAnsiTheme="majorBidi" w:cstheme="majorBidi"/>
          <w:color w:val="000000"/>
          <w:szCs w:val="18"/>
          <w:lang w:val="en-US"/>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90"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xml:space="preserve">, párr. </w:t>
      </w:r>
      <w:r w:rsidRPr="00055A77">
        <w:rPr>
          <w:rFonts w:asciiTheme="majorBidi" w:hAnsiTheme="majorBidi" w:cstheme="majorBidi"/>
          <w:color w:val="000000"/>
          <w:szCs w:val="18"/>
          <w:lang w:val="en-US"/>
        </w:rPr>
        <w:t>41 a, b, c, d.</w:t>
      </w:r>
    </w:p>
  </w:footnote>
  <w:footnote w:id="109">
    <w:p w14:paraId="7165CF41" w14:textId="3919E97A" w:rsidR="00583FBD" w:rsidRPr="00055A77"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055A77">
        <w:rPr>
          <w:rFonts w:asciiTheme="majorBidi" w:hAnsiTheme="majorBidi" w:cstheme="majorBidi"/>
          <w:szCs w:val="18"/>
          <w:lang w:val="en-US"/>
        </w:rPr>
        <w:tab/>
      </w:r>
      <w:r w:rsidRPr="006F483D">
        <w:rPr>
          <w:rStyle w:val="FootnoteReference"/>
          <w:rFonts w:asciiTheme="majorBidi" w:hAnsiTheme="majorBidi" w:cstheme="majorBidi"/>
          <w:szCs w:val="18"/>
        </w:rPr>
        <w:footnoteRef/>
      </w:r>
      <w:r w:rsidRPr="00055A77">
        <w:rPr>
          <w:rFonts w:asciiTheme="majorBidi" w:hAnsiTheme="majorBidi" w:cstheme="majorBidi"/>
          <w:szCs w:val="18"/>
          <w:lang w:val="en-US"/>
        </w:rPr>
        <w:tab/>
      </w:r>
      <w:hyperlink r:id="rId91" w:history="1">
        <w:r w:rsidRPr="00DC612D">
          <w:rPr>
            <w:rStyle w:val="Hyperlink"/>
            <w:rFonts w:asciiTheme="majorBidi" w:hAnsiTheme="majorBidi" w:cstheme="majorBidi"/>
            <w:szCs w:val="18"/>
            <w:lang w:val="en-US"/>
          </w:rPr>
          <w:t>https://silpy.congreso.gov.py/web/expediente/126328</w:t>
        </w:r>
      </w:hyperlink>
      <w:r w:rsidRPr="00055A77">
        <w:rPr>
          <w:rFonts w:asciiTheme="majorBidi" w:hAnsiTheme="majorBidi" w:cstheme="majorBidi"/>
          <w:szCs w:val="18"/>
          <w:lang w:val="en-US"/>
        </w:rPr>
        <w:t>.</w:t>
      </w:r>
    </w:p>
  </w:footnote>
  <w:footnote w:id="110">
    <w:p w14:paraId="69CCDF6E"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055A77">
        <w:rPr>
          <w:rFonts w:asciiTheme="majorBidi" w:hAnsiTheme="majorBidi" w:cstheme="majorBidi"/>
          <w:szCs w:val="18"/>
          <w:lang w:val="en-US"/>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Pr="001859DB">
        <w:rPr>
          <w:rFonts w:asciiTheme="majorBidi" w:hAnsiTheme="majorBidi" w:cstheme="majorBidi"/>
          <w:i/>
          <w:iCs/>
          <w:szCs w:val="18"/>
        </w:rPr>
        <w:t>Fuente</w:t>
      </w:r>
      <w:r w:rsidRPr="006F483D">
        <w:rPr>
          <w:rFonts w:asciiTheme="majorBidi" w:hAnsiTheme="majorBidi" w:cstheme="majorBidi"/>
          <w:szCs w:val="18"/>
        </w:rPr>
        <w:t xml:space="preserve">: </w:t>
      </w:r>
      <w:r w:rsidRPr="006F483D">
        <w:rPr>
          <w:rFonts w:asciiTheme="majorBidi" w:eastAsia="Arial" w:hAnsiTheme="majorBidi" w:cstheme="majorBidi"/>
          <w:color w:val="000000" w:themeColor="text1"/>
          <w:szCs w:val="18"/>
        </w:rPr>
        <w:t>SINAFOCAL. Sistema de Gestión de Cursos (SIGEC).</w:t>
      </w:r>
    </w:p>
  </w:footnote>
  <w:footnote w:id="111">
    <w:p w14:paraId="73A471AC" w14:textId="77777777"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color w:val="000000" w:themeColor="text1"/>
          <w:szCs w:val="18"/>
        </w:rPr>
        <w:tab/>
      </w:r>
      <w:r w:rsidRPr="006F483D">
        <w:rPr>
          <w:rStyle w:val="FootnoteReference"/>
          <w:rFonts w:asciiTheme="majorBidi" w:hAnsiTheme="majorBidi" w:cstheme="majorBidi"/>
          <w:color w:val="000000" w:themeColor="text1"/>
          <w:szCs w:val="18"/>
        </w:rPr>
        <w:footnoteRef/>
      </w:r>
      <w:r>
        <w:rPr>
          <w:rFonts w:asciiTheme="majorBidi" w:hAnsiTheme="majorBidi" w:cstheme="majorBidi"/>
          <w:color w:val="000000" w:themeColor="text1"/>
          <w:szCs w:val="18"/>
        </w:rPr>
        <w:tab/>
      </w:r>
      <w:r w:rsidRPr="006F483D">
        <w:rPr>
          <w:rFonts w:asciiTheme="majorBidi" w:hAnsiTheme="majorBidi" w:cstheme="majorBidi"/>
          <w:color w:val="000000" w:themeColor="text1"/>
          <w:szCs w:val="18"/>
        </w:rPr>
        <w:t xml:space="preserve">Aprobado por </w:t>
      </w:r>
      <w:r w:rsidRPr="006F483D">
        <w:rPr>
          <w:rFonts w:asciiTheme="majorBidi" w:eastAsia="Arial" w:hAnsiTheme="majorBidi" w:cstheme="majorBidi"/>
          <w:color w:val="000000" w:themeColor="text1"/>
          <w:szCs w:val="18"/>
        </w:rPr>
        <w:t>Resolución Nº215, del 16 de febrero de 2023.</w:t>
      </w:r>
    </w:p>
  </w:footnote>
  <w:footnote w:id="112">
    <w:p w14:paraId="06A9D736" w14:textId="5F4FFE25" w:rsidR="00583FBD" w:rsidRPr="009C4728"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s-MX"/>
        </w:rPr>
      </w:pPr>
      <w:r>
        <w:rPr>
          <w:rFonts w:asciiTheme="majorBidi" w:hAnsiTheme="majorBidi" w:cstheme="majorBidi"/>
          <w:szCs w:val="18"/>
        </w:rPr>
        <w:tab/>
      </w:r>
      <w:r w:rsidRPr="006F483D">
        <w:rPr>
          <w:rStyle w:val="FootnoteReference"/>
          <w:rFonts w:asciiTheme="majorBidi" w:hAnsiTheme="majorBidi" w:cstheme="majorBidi"/>
          <w:color w:val="2E74B5" w:themeColor="accent5" w:themeShade="BF"/>
          <w:szCs w:val="18"/>
        </w:rPr>
        <w:footnoteRef/>
      </w:r>
      <w:r>
        <w:rPr>
          <w:rFonts w:asciiTheme="majorBidi" w:hAnsiTheme="majorBidi" w:cstheme="majorBidi"/>
          <w:szCs w:val="18"/>
        </w:rPr>
        <w:tab/>
      </w:r>
      <w:hyperlink r:id="rId92" w:history="1">
        <w:r w:rsidRPr="00F52864">
          <w:rPr>
            <w:rStyle w:val="Hyperlink"/>
            <w:rFonts w:asciiTheme="majorBidi" w:hAnsiTheme="majorBidi" w:cstheme="majorBidi"/>
            <w:szCs w:val="18"/>
          </w:rPr>
          <w:t>https://www.mspbs.gov.py/dependencias/portal/adjunto/2f5995-DirectoriodeServiciodeAtencinIntegralparaAdolescentes.pdf</w:t>
        </w:r>
      </w:hyperlink>
      <w:r>
        <w:rPr>
          <w:rStyle w:val="Hyperlink"/>
          <w:rFonts w:asciiTheme="majorBidi" w:hAnsiTheme="majorBidi" w:cstheme="majorBidi"/>
          <w:color w:val="2E74B5" w:themeColor="accent5" w:themeShade="BF"/>
          <w:szCs w:val="18"/>
        </w:rPr>
        <w:t>.</w:t>
      </w:r>
    </w:p>
  </w:footnote>
  <w:footnote w:id="113">
    <w:p w14:paraId="3CB1F2AE" w14:textId="1648EA98"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rPr>
        <w:tab/>
      </w:r>
      <w:hyperlink r:id="rId93" w:history="1">
        <w:r w:rsidRPr="00AF0BA1">
          <w:rPr>
            <w:rStyle w:val="Hyperlink"/>
            <w:rFonts w:asciiTheme="majorBidi" w:hAnsiTheme="majorBidi" w:cstheme="majorBidi"/>
            <w:szCs w:val="18"/>
          </w:rPr>
          <w:t>https://www.pj.gov.py/images/contenido/acordadas/acordada1511.pdf</w:t>
        </w:r>
      </w:hyperlink>
      <w:r>
        <w:rPr>
          <w:rFonts w:asciiTheme="majorBidi" w:hAnsiTheme="majorBidi" w:cstheme="majorBidi"/>
          <w:szCs w:val="18"/>
        </w:rPr>
        <w:t>.</w:t>
      </w:r>
    </w:p>
  </w:footnote>
  <w:footnote w:id="114">
    <w:p w14:paraId="11B7E2AB" w14:textId="24B2AFA4"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94" w:history="1">
        <w:r w:rsidRPr="00AF0BA1">
          <w:rPr>
            <w:rStyle w:val="Hyperlink"/>
            <w:rFonts w:asciiTheme="majorBidi" w:hAnsiTheme="majorBidi" w:cstheme="majorBidi"/>
            <w:szCs w:val="18"/>
          </w:rPr>
          <w:t>https://www.bacn.gov.py/leyes-paraguayas/8902/ley-n-6350-modifica-el-articulo-245-de-la-ley-n-12861998-codigo-procesal-penal-y-sus-modificatorias-las-leyes-ns-44312011-y-24932004</w:t>
        </w:r>
      </w:hyperlink>
      <w:r>
        <w:rPr>
          <w:rFonts w:asciiTheme="majorBidi" w:hAnsiTheme="majorBidi" w:cstheme="majorBidi"/>
          <w:szCs w:val="18"/>
        </w:rPr>
        <w:t>.</w:t>
      </w:r>
    </w:p>
  </w:footnote>
  <w:footnote w:id="115">
    <w:p w14:paraId="6AAC26CB" w14:textId="4EE3E2C3" w:rsidR="00AF0BA1" w:rsidRPr="005743CA" w:rsidRDefault="00AF0BA1" w:rsidP="00485C85">
      <w:pPr>
        <w:pStyle w:val="FootnoteText"/>
        <w:tabs>
          <w:tab w:val="clear" w:pos="418"/>
          <w:tab w:val="right" w:pos="1195"/>
          <w:tab w:val="left" w:pos="1267"/>
          <w:tab w:val="left" w:pos="1742"/>
          <w:tab w:val="left" w:pos="2218"/>
          <w:tab w:val="left" w:pos="2693"/>
        </w:tabs>
        <w:ind w:left="1267" w:right="1267" w:hanging="432"/>
        <w:rPr>
          <w:sz w:val="16"/>
          <w:szCs w:val="16"/>
        </w:rPr>
      </w:pPr>
      <w:r>
        <w:rPr>
          <w:sz w:val="16"/>
          <w:szCs w:val="16"/>
        </w:rPr>
        <w:tab/>
      </w:r>
      <w:r w:rsidRPr="005743CA">
        <w:rPr>
          <w:rStyle w:val="FootnoteReference"/>
          <w:sz w:val="16"/>
          <w:szCs w:val="16"/>
        </w:rPr>
        <w:footnoteRef/>
      </w:r>
      <w:r w:rsidRPr="005743CA">
        <w:rPr>
          <w:sz w:val="16"/>
          <w:szCs w:val="16"/>
        </w:rPr>
        <w:t xml:space="preserve"> </w:t>
      </w:r>
      <w:r>
        <w:rPr>
          <w:sz w:val="16"/>
          <w:szCs w:val="16"/>
        </w:rPr>
        <w:tab/>
      </w:r>
      <w:hyperlink r:id="rId95" w:history="1">
        <w:r w:rsidRPr="005743CA">
          <w:rPr>
            <w:rStyle w:val="Hyperlink"/>
            <w:sz w:val="16"/>
            <w:szCs w:val="16"/>
          </w:rPr>
          <w:t>MDP 2021 v2</w:t>
        </w:r>
      </w:hyperlink>
      <w:r>
        <w:rPr>
          <w:rStyle w:val="Hyperlink"/>
          <w:sz w:val="16"/>
          <w:szCs w:val="16"/>
        </w:rPr>
        <w:t>.</w:t>
      </w:r>
    </w:p>
  </w:footnote>
  <w:footnote w:id="116">
    <w:p w14:paraId="1E2AFB4C" w14:textId="072C4681" w:rsidR="00AF0BA1" w:rsidRPr="005743CA" w:rsidRDefault="00AF0BA1" w:rsidP="00485C85">
      <w:pPr>
        <w:pStyle w:val="FootnoteText"/>
        <w:tabs>
          <w:tab w:val="clear" w:pos="418"/>
          <w:tab w:val="right" w:pos="1195"/>
          <w:tab w:val="left" w:pos="1267"/>
          <w:tab w:val="left" w:pos="1742"/>
          <w:tab w:val="left" w:pos="2218"/>
          <w:tab w:val="left" w:pos="2693"/>
        </w:tabs>
        <w:ind w:left="1267" w:right="1267" w:hanging="432"/>
        <w:rPr>
          <w:sz w:val="16"/>
          <w:szCs w:val="16"/>
        </w:rPr>
      </w:pPr>
      <w:r>
        <w:rPr>
          <w:sz w:val="16"/>
          <w:szCs w:val="16"/>
        </w:rPr>
        <w:tab/>
      </w:r>
      <w:r w:rsidRPr="005743CA">
        <w:rPr>
          <w:rStyle w:val="FootnoteReference"/>
          <w:sz w:val="16"/>
          <w:szCs w:val="16"/>
        </w:rPr>
        <w:footnoteRef/>
      </w:r>
      <w:r w:rsidRPr="005743CA">
        <w:rPr>
          <w:sz w:val="16"/>
          <w:szCs w:val="16"/>
        </w:rPr>
        <w:t xml:space="preserve"> </w:t>
      </w:r>
      <w:r>
        <w:rPr>
          <w:sz w:val="16"/>
          <w:szCs w:val="16"/>
        </w:rPr>
        <w:tab/>
      </w:r>
      <w:hyperlink r:id="rId96" w:history="1">
        <w:r w:rsidRPr="005743CA">
          <w:rPr>
            <w:rStyle w:val="Hyperlink"/>
            <w:sz w:val="16"/>
            <w:szCs w:val="16"/>
          </w:rPr>
          <w:t>Informe de Gestión2022act.31.01.pdf - Google Drive</w:t>
        </w:r>
      </w:hyperlink>
      <w:r>
        <w:rPr>
          <w:rStyle w:val="Hyperlink"/>
          <w:sz w:val="16"/>
          <w:szCs w:val="16"/>
        </w:rPr>
        <w:t>.</w:t>
      </w:r>
    </w:p>
  </w:footnote>
  <w:footnote w:id="117">
    <w:p w14:paraId="39A12520" w14:textId="42CAF45D" w:rsidR="00AF0BA1" w:rsidRPr="00C20366" w:rsidRDefault="00AF0BA1" w:rsidP="00485C85">
      <w:pPr>
        <w:pStyle w:val="FootnoteText"/>
        <w:tabs>
          <w:tab w:val="clear" w:pos="418"/>
          <w:tab w:val="right" w:pos="1195"/>
          <w:tab w:val="left" w:pos="1267"/>
          <w:tab w:val="left" w:pos="1742"/>
          <w:tab w:val="left" w:pos="2218"/>
          <w:tab w:val="left" w:pos="2693"/>
        </w:tabs>
        <w:ind w:left="1267" w:right="1267" w:hanging="432"/>
        <w:rPr>
          <w:szCs w:val="18"/>
        </w:rPr>
      </w:pPr>
      <w:r>
        <w:rPr>
          <w:sz w:val="16"/>
          <w:szCs w:val="16"/>
        </w:rPr>
        <w:tab/>
      </w:r>
      <w:r w:rsidRPr="005743CA">
        <w:rPr>
          <w:rStyle w:val="FootnoteReference"/>
          <w:sz w:val="16"/>
          <w:szCs w:val="16"/>
        </w:rPr>
        <w:footnoteRef/>
      </w:r>
      <w:r w:rsidRPr="005743CA">
        <w:rPr>
          <w:sz w:val="16"/>
          <w:szCs w:val="16"/>
        </w:rPr>
        <w:t xml:space="preserve"> </w:t>
      </w:r>
      <w:r>
        <w:rPr>
          <w:sz w:val="16"/>
          <w:szCs w:val="16"/>
        </w:rPr>
        <w:tab/>
      </w:r>
      <w:hyperlink r:id="rId97" w:history="1">
        <w:r w:rsidRPr="005743CA">
          <w:rPr>
            <w:rStyle w:val="Hyperlink"/>
            <w:sz w:val="16"/>
            <w:szCs w:val="16"/>
          </w:rPr>
          <w:t>INFORME DE GESTION AÑO 2023.pdf - Google Drive</w:t>
        </w:r>
      </w:hyperlink>
      <w:r>
        <w:rPr>
          <w:rStyle w:val="Hyperlink"/>
          <w:sz w:val="16"/>
          <w:szCs w:val="16"/>
        </w:rPr>
        <w:t>.</w:t>
      </w:r>
    </w:p>
  </w:footnote>
  <w:footnote w:id="118">
    <w:p w14:paraId="32738195" w14:textId="40A96B01"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Pr>
          <w:rFonts w:asciiTheme="majorBidi" w:hAnsiTheme="majorBidi" w:cstheme="majorBidi"/>
          <w:color w:val="000000"/>
          <w:szCs w:val="18"/>
        </w:rPr>
        <w:tab/>
      </w:r>
      <w:r w:rsidRPr="006F483D">
        <w:rPr>
          <w:rFonts w:asciiTheme="majorBidi" w:hAnsiTheme="majorBidi" w:cstheme="majorBidi"/>
          <w:szCs w:val="18"/>
          <w:vertAlign w:val="superscript"/>
        </w:rPr>
        <w:footnoteRef/>
      </w:r>
      <w:r w:rsidRPr="00055A77">
        <w:rPr>
          <w:rFonts w:asciiTheme="majorBidi" w:hAnsiTheme="majorBidi" w:cstheme="majorBidi"/>
          <w:color w:val="000000"/>
          <w:szCs w:val="18"/>
        </w:rPr>
        <w:tab/>
      </w:r>
      <w:hyperlink r:id="rId98" w:history="1">
        <w:r w:rsidRPr="00055A77">
          <w:rPr>
            <w:rStyle w:val="Hyperlink"/>
            <w:rFonts w:asciiTheme="majorBidi" w:hAnsiTheme="majorBidi" w:cstheme="majorBidi"/>
            <w:szCs w:val="18"/>
          </w:rPr>
          <w:t>CEDAW/C/PRY/CO/7</w:t>
        </w:r>
      </w:hyperlink>
      <w:r w:rsidRPr="00055A77">
        <w:rPr>
          <w:rFonts w:asciiTheme="majorBidi" w:hAnsiTheme="majorBidi" w:cstheme="majorBidi"/>
          <w:color w:val="000000"/>
          <w:szCs w:val="18"/>
        </w:rPr>
        <w:t xml:space="preserve">, párr. </w:t>
      </w:r>
      <w:r w:rsidRPr="006F483D">
        <w:rPr>
          <w:rFonts w:asciiTheme="majorBidi" w:hAnsiTheme="majorBidi" w:cstheme="majorBidi"/>
          <w:color w:val="000000"/>
          <w:szCs w:val="18"/>
        </w:rPr>
        <w:t>13 a, b, c.</w:t>
      </w:r>
    </w:p>
  </w:footnote>
  <w:footnote w:id="119">
    <w:p w14:paraId="143EFA69" w14:textId="0BAC15B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687389">
        <w:rPr>
          <w:rFonts w:asciiTheme="majorBidi" w:hAnsiTheme="majorBidi" w:cstheme="majorBidi"/>
          <w:color w:val="0563C1"/>
          <w:szCs w:val="18"/>
        </w:rPr>
        <w:tab/>
      </w:r>
      <w:r w:rsidRPr="006F483D">
        <w:rPr>
          <w:rFonts w:asciiTheme="majorBidi" w:hAnsiTheme="majorBidi" w:cstheme="majorBidi"/>
          <w:szCs w:val="18"/>
          <w:vertAlign w:val="superscript"/>
        </w:rPr>
        <w:footnoteRef/>
      </w:r>
      <w:r w:rsidRPr="00490448">
        <w:rPr>
          <w:rFonts w:asciiTheme="majorBidi" w:hAnsiTheme="majorBidi" w:cstheme="majorBidi"/>
          <w:color w:val="0563C1"/>
          <w:szCs w:val="18"/>
        </w:rPr>
        <w:tab/>
      </w:r>
      <w:hyperlink r:id="rId99" w:history="1">
        <w:r w:rsidRPr="00F52864">
          <w:rPr>
            <w:rStyle w:val="Hyperlink"/>
            <w:rFonts w:asciiTheme="majorBidi" w:hAnsiTheme="majorBidi" w:cstheme="majorBidi"/>
            <w:szCs w:val="18"/>
          </w:rPr>
          <w:t>www.denuncias.gov.py</w:t>
        </w:r>
      </w:hyperlink>
      <w:r w:rsidRPr="00490448">
        <w:rPr>
          <w:rFonts w:asciiTheme="majorBidi" w:hAnsiTheme="majorBidi" w:cstheme="majorBidi"/>
          <w:color w:val="0563C1"/>
          <w:szCs w:val="18"/>
        </w:rPr>
        <w:t>.</w:t>
      </w:r>
    </w:p>
  </w:footnote>
  <w:footnote w:id="120">
    <w:p w14:paraId="4F195A59" w14:textId="6F78070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687389">
        <w:rPr>
          <w:rFonts w:asciiTheme="majorBidi" w:hAnsiTheme="majorBidi" w:cstheme="majorBidi"/>
          <w:color w:val="0563C1"/>
          <w:szCs w:val="18"/>
        </w:rPr>
        <w:tab/>
      </w:r>
      <w:r w:rsidRPr="006F483D">
        <w:rPr>
          <w:rFonts w:asciiTheme="majorBidi" w:hAnsiTheme="majorBidi" w:cstheme="majorBidi"/>
          <w:szCs w:val="18"/>
          <w:vertAlign w:val="superscript"/>
        </w:rPr>
        <w:footnoteRef/>
      </w:r>
      <w:r w:rsidRPr="00490448">
        <w:rPr>
          <w:rFonts w:asciiTheme="majorBidi" w:hAnsiTheme="majorBidi" w:cstheme="majorBidi"/>
          <w:color w:val="0563C1"/>
          <w:szCs w:val="18"/>
        </w:rPr>
        <w:tab/>
      </w:r>
      <w:hyperlink r:id="rId100" w:anchor="/" w:history="1">
        <w:r w:rsidRPr="00F52864">
          <w:rPr>
            <w:rStyle w:val="Hyperlink"/>
            <w:rFonts w:asciiTheme="majorBidi" w:hAnsiTheme="majorBidi" w:cstheme="majorBidi"/>
            <w:szCs w:val="18"/>
          </w:rPr>
          <w:t>https://paneldenuncias.senac.gov.py/#/</w:t>
        </w:r>
      </w:hyperlink>
      <w:r w:rsidRPr="00490448">
        <w:rPr>
          <w:rFonts w:asciiTheme="majorBidi" w:hAnsiTheme="majorBidi" w:cstheme="majorBidi"/>
          <w:color w:val="0563C1"/>
          <w:szCs w:val="18"/>
        </w:rPr>
        <w:t>.</w:t>
      </w:r>
    </w:p>
  </w:footnote>
  <w:footnote w:id="121">
    <w:p w14:paraId="1AABD7C2" w14:textId="58BAA51C"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687389">
        <w:rPr>
          <w:rFonts w:asciiTheme="majorBidi" w:hAnsiTheme="majorBidi" w:cstheme="majorBidi"/>
          <w:color w:val="0563C1"/>
          <w:szCs w:val="18"/>
        </w:rPr>
        <w:tab/>
      </w:r>
      <w:r w:rsidRPr="006F483D">
        <w:rPr>
          <w:rFonts w:asciiTheme="majorBidi" w:hAnsiTheme="majorBidi" w:cstheme="majorBidi"/>
          <w:szCs w:val="18"/>
          <w:vertAlign w:val="superscript"/>
        </w:rPr>
        <w:footnoteRef/>
      </w:r>
      <w:r w:rsidRPr="00490448">
        <w:rPr>
          <w:rFonts w:asciiTheme="majorBidi" w:hAnsiTheme="majorBidi" w:cstheme="majorBidi"/>
          <w:color w:val="0563C1"/>
          <w:szCs w:val="18"/>
        </w:rPr>
        <w:tab/>
      </w:r>
      <w:hyperlink r:id="rId101" w:history="1">
        <w:r w:rsidRPr="00F52864">
          <w:rPr>
            <w:rStyle w:val="Hyperlink"/>
            <w:rFonts w:asciiTheme="majorBidi" w:hAnsiTheme="majorBidi" w:cstheme="majorBidi"/>
            <w:szCs w:val="18"/>
          </w:rPr>
          <w:t>https://bit.ly/panel-transparencia-senacpy</w:t>
        </w:r>
      </w:hyperlink>
      <w:r w:rsidRPr="00490448">
        <w:rPr>
          <w:rFonts w:asciiTheme="majorBidi" w:hAnsiTheme="majorBidi" w:cstheme="majorBidi"/>
          <w:color w:val="0563C1"/>
          <w:szCs w:val="18"/>
        </w:rPr>
        <w:t>.</w:t>
      </w:r>
    </w:p>
  </w:footnote>
  <w:footnote w:id="122">
    <w:p w14:paraId="4D80F5A2" w14:textId="09D348B9" w:rsidR="00583FBD" w:rsidRPr="00490448"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21453F">
        <w:rPr>
          <w:rFonts w:asciiTheme="majorBidi" w:hAnsiTheme="majorBidi" w:cstheme="majorBidi"/>
          <w:color w:val="0563C1"/>
          <w:szCs w:val="18"/>
        </w:rPr>
        <w:tab/>
      </w:r>
      <w:r w:rsidRPr="00490448">
        <w:rPr>
          <w:rFonts w:asciiTheme="majorBidi" w:hAnsiTheme="majorBidi" w:cstheme="majorBidi"/>
          <w:szCs w:val="18"/>
          <w:vertAlign w:val="superscript"/>
        </w:rPr>
        <w:footnoteRef/>
      </w:r>
      <w:r w:rsidRPr="00490448">
        <w:rPr>
          <w:rFonts w:asciiTheme="majorBidi" w:hAnsiTheme="majorBidi" w:cstheme="majorBidi"/>
          <w:color w:val="0563C1"/>
          <w:szCs w:val="18"/>
        </w:rPr>
        <w:tab/>
      </w:r>
      <w:hyperlink r:id="rId102" w:anchor="pdfviewer" w:history="1">
        <w:r w:rsidRPr="00490448">
          <w:rPr>
            <w:rStyle w:val="Hyperlink"/>
            <w:rFonts w:asciiTheme="majorBidi" w:hAnsiTheme="majorBidi" w:cstheme="majorBidi"/>
            <w:szCs w:val="18"/>
          </w:rPr>
          <w:t>https://nube.senac.gov.py/s/jRWRXY6nH8iKmMx#pdfviewer</w:t>
        </w:r>
      </w:hyperlink>
      <w:r w:rsidRPr="00490448">
        <w:rPr>
          <w:rFonts w:asciiTheme="majorBidi" w:hAnsiTheme="majorBidi" w:cstheme="majorBidi"/>
          <w:color w:val="0563C1"/>
          <w:szCs w:val="18"/>
        </w:rPr>
        <w:t>.</w:t>
      </w:r>
    </w:p>
  </w:footnote>
  <w:footnote w:id="123">
    <w:p w14:paraId="675C1E9E" w14:textId="62C1BC91" w:rsidR="00583FBD" w:rsidRPr="00490448"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490448">
        <w:rPr>
          <w:rFonts w:asciiTheme="majorBidi" w:hAnsiTheme="majorBidi" w:cstheme="majorBidi"/>
          <w:color w:val="0563C1"/>
          <w:szCs w:val="18"/>
        </w:rPr>
        <w:tab/>
      </w:r>
      <w:r w:rsidRPr="00490448">
        <w:rPr>
          <w:rFonts w:asciiTheme="majorBidi" w:hAnsiTheme="majorBidi" w:cstheme="majorBidi"/>
          <w:szCs w:val="18"/>
          <w:vertAlign w:val="superscript"/>
        </w:rPr>
        <w:footnoteRef/>
      </w:r>
      <w:r w:rsidRPr="00490448">
        <w:rPr>
          <w:rFonts w:asciiTheme="majorBidi" w:hAnsiTheme="majorBidi" w:cstheme="majorBidi"/>
          <w:color w:val="0563C1"/>
          <w:szCs w:val="18"/>
        </w:rPr>
        <w:tab/>
      </w:r>
      <w:hyperlink r:id="rId103" w:history="1">
        <w:r w:rsidRPr="00490448">
          <w:rPr>
            <w:rStyle w:val="Hyperlink"/>
            <w:rFonts w:asciiTheme="majorBidi" w:hAnsiTheme="majorBidi" w:cstheme="majorBidi"/>
            <w:szCs w:val="18"/>
          </w:rPr>
          <w:t>https://www.pj.gov.py/etica-documentos/99-resoluciones</w:t>
        </w:r>
      </w:hyperlink>
      <w:r w:rsidRPr="00490448">
        <w:rPr>
          <w:rFonts w:asciiTheme="majorBidi" w:hAnsiTheme="majorBidi" w:cstheme="majorBidi"/>
          <w:color w:val="0563C1"/>
          <w:szCs w:val="18"/>
        </w:rPr>
        <w:t>.</w:t>
      </w:r>
    </w:p>
  </w:footnote>
  <w:footnote w:id="124">
    <w:p w14:paraId="540F7A46" w14:textId="6EDE9621" w:rsidR="00583FBD" w:rsidRPr="00490448"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490448">
        <w:rPr>
          <w:rFonts w:asciiTheme="majorBidi" w:hAnsiTheme="majorBidi" w:cstheme="majorBidi"/>
          <w:color w:val="0563C1"/>
          <w:szCs w:val="18"/>
        </w:rPr>
        <w:tab/>
      </w:r>
      <w:r w:rsidRPr="00490448">
        <w:rPr>
          <w:rFonts w:asciiTheme="majorBidi" w:hAnsiTheme="majorBidi" w:cstheme="majorBidi"/>
          <w:szCs w:val="18"/>
          <w:vertAlign w:val="superscript"/>
        </w:rPr>
        <w:footnoteRef/>
      </w:r>
      <w:r w:rsidRPr="00490448">
        <w:rPr>
          <w:rFonts w:asciiTheme="majorBidi" w:hAnsiTheme="majorBidi" w:cstheme="majorBidi"/>
          <w:color w:val="0563C1"/>
          <w:szCs w:val="18"/>
        </w:rPr>
        <w:tab/>
      </w:r>
      <w:hyperlink r:id="rId104" w:history="1">
        <w:r w:rsidRPr="00490448">
          <w:rPr>
            <w:rStyle w:val="Hyperlink"/>
            <w:rFonts w:asciiTheme="majorBidi" w:hAnsiTheme="majorBidi" w:cstheme="majorBidi"/>
            <w:szCs w:val="18"/>
          </w:rPr>
          <w:t>https://www.bacn.gov.py/leyes-paraguayas/9363/ley-n-6379-crea-la-competencia-en-delitos-economicos-y-crimen-organizado-en-la-jurisdiccion-del-fuero-penal</w:t>
        </w:r>
      </w:hyperlink>
      <w:r w:rsidRPr="00490448">
        <w:rPr>
          <w:rFonts w:asciiTheme="majorBidi" w:hAnsiTheme="majorBidi" w:cstheme="majorBidi"/>
          <w:color w:val="0563C1"/>
          <w:szCs w:val="18"/>
        </w:rPr>
        <w:t>.</w:t>
      </w:r>
      <w:r w:rsidRPr="00490448">
        <w:rPr>
          <w:rFonts w:asciiTheme="majorBidi" w:hAnsiTheme="majorBidi" w:cstheme="majorBidi"/>
          <w:color w:val="000000"/>
          <w:szCs w:val="18"/>
        </w:rPr>
        <w:t xml:space="preserve"> </w:t>
      </w:r>
    </w:p>
  </w:footnote>
  <w:footnote w:id="125">
    <w:p w14:paraId="70D2B854" w14:textId="668833A7" w:rsidR="00583FBD" w:rsidRPr="00490448"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490448">
        <w:rPr>
          <w:rFonts w:asciiTheme="majorBidi" w:hAnsiTheme="majorBidi" w:cstheme="majorBidi"/>
          <w:szCs w:val="18"/>
        </w:rPr>
        <w:tab/>
      </w:r>
      <w:r w:rsidRPr="00490448">
        <w:rPr>
          <w:rFonts w:asciiTheme="majorBidi" w:hAnsiTheme="majorBidi" w:cstheme="majorBidi"/>
          <w:szCs w:val="18"/>
          <w:vertAlign w:val="superscript"/>
        </w:rPr>
        <w:footnoteRef/>
      </w:r>
      <w:r w:rsidRPr="00490448">
        <w:rPr>
          <w:rFonts w:asciiTheme="majorBidi" w:hAnsiTheme="majorBidi" w:cstheme="majorBidi"/>
          <w:szCs w:val="18"/>
        </w:rPr>
        <w:tab/>
      </w:r>
      <w:hyperlink r:id="rId105" w:history="1">
        <w:r w:rsidRPr="00490448">
          <w:rPr>
            <w:rStyle w:val="Hyperlink"/>
            <w:rFonts w:asciiTheme="majorBidi" w:hAnsiTheme="majorBidi" w:cstheme="majorBidi"/>
            <w:szCs w:val="18"/>
          </w:rPr>
          <w:t>https://www.bacn.gov.py/leyes-paraguayas/9225/ley-n-6430-previene-tipifica-y-sanciona-los-hechos-punibles-de-cohecho-transnacional-y-soborno-transnacional</w:t>
        </w:r>
      </w:hyperlink>
      <w:r w:rsidRPr="00490448">
        <w:rPr>
          <w:rStyle w:val="Hyperlink"/>
          <w:rFonts w:asciiTheme="majorBidi" w:hAnsiTheme="majorBidi" w:cstheme="majorBidi"/>
          <w:szCs w:val="18"/>
        </w:rPr>
        <w:t>.</w:t>
      </w:r>
      <w:r w:rsidRPr="00490448">
        <w:rPr>
          <w:rFonts w:asciiTheme="majorBidi" w:hAnsiTheme="majorBidi" w:cstheme="majorBidi"/>
          <w:color w:val="000000"/>
          <w:szCs w:val="18"/>
        </w:rPr>
        <w:t xml:space="preserve"> </w:t>
      </w:r>
    </w:p>
  </w:footnote>
  <w:footnote w:id="126">
    <w:p w14:paraId="5EF653BE" w14:textId="339FAD8E" w:rsidR="00583FBD" w:rsidRPr="00490448"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490448">
        <w:rPr>
          <w:rFonts w:asciiTheme="majorBidi" w:hAnsiTheme="majorBidi" w:cstheme="majorBidi"/>
          <w:szCs w:val="18"/>
        </w:rPr>
        <w:tab/>
      </w:r>
      <w:r w:rsidRPr="00490448">
        <w:rPr>
          <w:rFonts w:asciiTheme="majorBidi" w:hAnsiTheme="majorBidi" w:cstheme="majorBidi"/>
          <w:szCs w:val="18"/>
          <w:vertAlign w:val="superscript"/>
        </w:rPr>
        <w:footnoteRef/>
      </w:r>
      <w:r w:rsidRPr="00490448">
        <w:rPr>
          <w:rFonts w:asciiTheme="majorBidi" w:hAnsiTheme="majorBidi" w:cstheme="majorBidi"/>
          <w:szCs w:val="18"/>
        </w:rPr>
        <w:tab/>
      </w:r>
      <w:hyperlink r:id="rId106" w:history="1">
        <w:r w:rsidRPr="00490448">
          <w:rPr>
            <w:rStyle w:val="Hyperlink"/>
            <w:rFonts w:asciiTheme="majorBidi" w:hAnsiTheme="majorBidi" w:cstheme="majorBidi"/>
            <w:szCs w:val="18"/>
          </w:rPr>
          <w: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hyperlink>
      <w:r w:rsidRPr="00490448">
        <w:rPr>
          <w:rStyle w:val="Hyperlink"/>
          <w:rFonts w:asciiTheme="majorBidi" w:hAnsiTheme="majorBidi" w:cstheme="majorBidi"/>
          <w:szCs w:val="18"/>
        </w:rPr>
        <w:t>.</w:t>
      </w:r>
      <w:r w:rsidRPr="00490448">
        <w:rPr>
          <w:rFonts w:asciiTheme="majorBidi" w:hAnsiTheme="majorBidi" w:cstheme="majorBidi"/>
          <w:color w:val="000000"/>
          <w:szCs w:val="18"/>
        </w:rPr>
        <w:t xml:space="preserve"> </w:t>
      </w:r>
    </w:p>
  </w:footnote>
  <w:footnote w:id="127">
    <w:p w14:paraId="2AF78926" w14:textId="0205E15D"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rPr>
      </w:pPr>
      <w:r w:rsidRPr="0021453F">
        <w:rPr>
          <w:rFonts w:asciiTheme="majorBidi" w:hAnsiTheme="majorBidi" w:cstheme="majorBidi"/>
          <w:color w:val="000000"/>
          <w:szCs w:val="18"/>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107"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xml:space="preserve">, párr. </w:t>
      </w:r>
      <w:r w:rsidRPr="006F483D">
        <w:rPr>
          <w:rFonts w:asciiTheme="majorBidi" w:hAnsiTheme="majorBidi" w:cstheme="majorBidi"/>
          <w:color w:val="000000"/>
          <w:szCs w:val="18"/>
        </w:rPr>
        <w:t>47 a, b, c.</w:t>
      </w:r>
    </w:p>
  </w:footnote>
  <w:footnote w:id="128">
    <w:p w14:paraId="75554A92" w14:textId="365A28E0"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r w:rsidR="00F019B7">
        <w:rPr>
          <w:rFonts w:asciiTheme="majorBidi" w:hAnsiTheme="majorBidi" w:cstheme="majorBidi"/>
          <w:szCs w:val="18"/>
        </w:rPr>
        <w:t>“</w:t>
      </w:r>
      <w:r w:rsidRPr="006F483D">
        <w:rPr>
          <w:rFonts w:asciiTheme="majorBidi" w:hAnsiTheme="majorBidi" w:cstheme="majorBidi"/>
          <w:szCs w:val="18"/>
        </w:rPr>
        <w:t>Invisibles a plena luz. Uniones tempranas y forzadas en Paraguay</w:t>
      </w:r>
      <w:r w:rsidR="00F019B7">
        <w:rPr>
          <w:rFonts w:asciiTheme="majorBidi" w:hAnsiTheme="majorBidi" w:cstheme="majorBidi"/>
          <w:szCs w:val="18"/>
        </w:rPr>
        <w:t>”</w:t>
      </w:r>
      <w:r w:rsidRPr="006F483D">
        <w:rPr>
          <w:rFonts w:asciiTheme="majorBidi" w:hAnsiTheme="majorBidi" w:cstheme="majorBidi"/>
          <w:szCs w:val="18"/>
        </w:rPr>
        <w:t xml:space="preserve">, disponible en: </w:t>
      </w:r>
      <w:hyperlink r:id="rId108" w:history="1">
        <w:r w:rsidRPr="006F483D">
          <w:rPr>
            <w:rStyle w:val="Hyperlink"/>
            <w:rFonts w:asciiTheme="majorBidi" w:hAnsiTheme="majorBidi" w:cstheme="majorBidi"/>
            <w:szCs w:val="18"/>
          </w:rPr>
          <w:t>https://paraguay.unfpa.org/es/publications/invisibles-plena-luz-uniones-tempranas-y-forzadas-en-paraguay</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29">
    <w:p w14:paraId="641AC616" w14:textId="715C4B3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109" w:history="1">
        <w:r w:rsidRPr="00F52864">
          <w:rPr>
            <w:rStyle w:val="Hyperlink"/>
            <w:rFonts w:asciiTheme="majorBidi" w:hAnsiTheme="majorBidi" w:cstheme="majorBidi"/>
            <w:szCs w:val="18"/>
          </w:rPr>
          <w:t>https://www.bacn.gov.py/leyes-paraguayas/9287/ley-n-6506-modifica-los-articulos-2-3-4-6-7-8-9-y-10-de-la-ley-n-54152015-que-crea-el-registro-de-deudores-alimentarios-morosos-redam</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30">
    <w:p w14:paraId="722E2E5A" w14:textId="2D7A2396"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Pr>
          <w:rFonts w:asciiTheme="majorBidi" w:hAnsiTheme="majorBidi" w:cstheme="majorBidi"/>
          <w:szCs w:val="18"/>
        </w:rPr>
        <w:tab/>
      </w:r>
      <w:r w:rsidRPr="006F483D">
        <w:rPr>
          <w:rStyle w:val="FootnoteReference"/>
          <w:rFonts w:asciiTheme="majorBidi" w:hAnsiTheme="majorBidi" w:cstheme="majorBidi"/>
          <w:szCs w:val="18"/>
        </w:rPr>
        <w:footnoteRef/>
      </w:r>
      <w:r>
        <w:rPr>
          <w:rFonts w:asciiTheme="majorBidi" w:hAnsiTheme="majorBidi" w:cstheme="majorBidi"/>
          <w:szCs w:val="18"/>
        </w:rPr>
        <w:tab/>
      </w:r>
      <w:hyperlink r:id="rId110" w:history="1">
        <w:r w:rsidRPr="00F52864">
          <w:rPr>
            <w:rStyle w:val="Hyperlink"/>
            <w:rFonts w:asciiTheme="majorBidi" w:hAnsiTheme="majorBidi" w:cstheme="majorBidi"/>
            <w:szCs w:val="18"/>
          </w:rPr>
          <w:t>https://www.pj.gov.py/descargas/ID1-501_acordada_n1668.pdf</w:t>
        </w:r>
      </w:hyperlink>
      <w:r>
        <w:rPr>
          <w:rStyle w:val="Hyperlink"/>
          <w:rFonts w:asciiTheme="majorBidi" w:hAnsiTheme="majorBidi" w:cstheme="majorBidi"/>
          <w:szCs w:val="18"/>
        </w:rPr>
        <w:t>.</w:t>
      </w:r>
      <w:r w:rsidRPr="006F483D">
        <w:rPr>
          <w:rFonts w:asciiTheme="majorBidi" w:hAnsiTheme="majorBidi" w:cstheme="majorBidi"/>
          <w:szCs w:val="18"/>
        </w:rPr>
        <w:t xml:space="preserve"> </w:t>
      </w:r>
    </w:p>
  </w:footnote>
  <w:footnote w:id="131">
    <w:p w14:paraId="70B53644" w14:textId="30CDA874" w:rsidR="00583FBD" w:rsidRPr="00490448"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21453F">
        <w:rPr>
          <w:rFonts w:asciiTheme="majorBidi" w:hAnsiTheme="majorBidi" w:cstheme="majorBidi"/>
          <w:color w:val="1155CC"/>
          <w:szCs w:val="18"/>
        </w:rPr>
        <w:tab/>
      </w:r>
      <w:r w:rsidRPr="00490448">
        <w:rPr>
          <w:rFonts w:asciiTheme="majorBidi" w:hAnsiTheme="majorBidi" w:cstheme="majorBidi"/>
          <w:szCs w:val="18"/>
          <w:vertAlign w:val="superscript"/>
        </w:rPr>
        <w:footnoteRef/>
      </w:r>
      <w:r w:rsidRPr="00490448">
        <w:rPr>
          <w:rFonts w:asciiTheme="majorBidi" w:hAnsiTheme="majorBidi" w:cstheme="majorBidi"/>
          <w:color w:val="1155CC"/>
          <w:szCs w:val="18"/>
        </w:rPr>
        <w:tab/>
      </w:r>
      <w:hyperlink r:id="rId111" w:history="1">
        <w:r w:rsidRPr="00490448">
          <w:rPr>
            <w:rStyle w:val="Hyperlink"/>
            <w:rFonts w:asciiTheme="majorBidi" w:hAnsiTheme="majorBidi" w:cstheme="majorBidi"/>
            <w:szCs w:val="18"/>
          </w:rPr>
          <w:t>https://www.pj.gov.py/contenido/537-observatorio-de-genero/2385</w:t>
        </w:r>
      </w:hyperlink>
      <w:r w:rsidRPr="00490448">
        <w:rPr>
          <w:rFonts w:asciiTheme="majorBidi" w:hAnsiTheme="majorBidi" w:cstheme="majorBidi"/>
          <w:color w:val="1155CC"/>
          <w:szCs w:val="18"/>
        </w:rPr>
        <w:t>.</w:t>
      </w:r>
      <w:r w:rsidRPr="00490448">
        <w:rPr>
          <w:rFonts w:asciiTheme="majorBidi" w:hAnsiTheme="majorBidi" w:cstheme="majorBidi"/>
          <w:szCs w:val="18"/>
        </w:rPr>
        <w:t xml:space="preserve"> </w:t>
      </w:r>
    </w:p>
  </w:footnote>
  <w:footnote w:id="132">
    <w:p w14:paraId="72EFCD67" w14:textId="6C99B215"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21453F">
        <w:rPr>
          <w:rFonts w:asciiTheme="majorBidi" w:hAnsiTheme="majorBidi" w:cstheme="majorBidi"/>
          <w:szCs w:val="18"/>
        </w:rPr>
        <w:tab/>
      </w:r>
      <w:r w:rsidRPr="006F483D">
        <w:rPr>
          <w:rFonts w:asciiTheme="majorBidi" w:hAnsiTheme="majorBidi" w:cstheme="majorBidi"/>
          <w:szCs w:val="18"/>
          <w:vertAlign w:val="superscript"/>
        </w:rPr>
        <w:footnoteRef/>
      </w:r>
      <w:r>
        <w:rPr>
          <w:rFonts w:asciiTheme="majorBidi" w:hAnsiTheme="majorBidi" w:cstheme="majorBidi"/>
          <w:szCs w:val="18"/>
          <w:lang w:val="en-US"/>
        </w:rPr>
        <w:tab/>
      </w:r>
      <w:hyperlink r:id="rId112"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szCs w:val="18"/>
          <w:lang w:val="en-US"/>
        </w:rPr>
        <w:t>, párr. 48</w:t>
      </w:r>
      <w:r>
        <w:rPr>
          <w:rFonts w:asciiTheme="majorBidi" w:hAnsiTheme="majorBidi" w:cstheme="majorBidi"/>
          <w:szCs w:val="18"/>
          <w:lang w:val="en-US"/>
        </w:rPr>
        <w:t>.</w:t>
      </w:r>
    </w:p>
  </w:footnote>
  <w:footnote w:id="133">
    <w:p w14:paraId="74A7EE9D" w14:textId="5F0C823B" w:rsidR="00583FBD" w:rsidRPr="006F483D"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Pr>
          <w:rFonts w:asciiTheme="majorBidi" w:hAnsiTheme="majorBidi" w:cstheme="majorBidi"/>
          <w:szCs w:val="18"/>
          <w:lang w:val="en-US"/>
        </w:rPr>
        <w:tab/>
      </w:r>
      <w:r w:rsidRPr="006F483D">
        <w:rPr>
          <w:rFonts w:asciiTheme="majorBidi" w:hAnsiTheme="majorBidi" w:cstheme="majorBidi"/>
          <w:szCs w:val="18"/>
          <w:vertAlign w:val="superscript"/>
        </w:rPr>
        <w:footnoteRef/>
      </w:r>
      <w:r>
        <w:rPr>
          <w:rFonts w:asciiTheme="majorBidi" w:hAnsiTheme="majorBidi" w:cstheme="majorBidi"/>
          <w:szCs w:val="18"/>
          <w:lang w:val="en-US"/>
        </w:rPr>
        <w:tab/>
      </w:r>
      <w:hyperlink r:id="rId113" w:history="1">
        <w:r w:rsidRPr="0022319A">
          <w:rPr>
            <w:rStyle w:val="Hyperlink"/>
            <w:rFonts w:asciiTheme="majorBidi" w:hAnsiTheme="majorBidi" w:cstheme="majorBidi"/>
            <w:szCs w:val="18"/>
            <w:lang w:val="en-US"/>
          </w:rPr>
          <w:t>https://www.bacn.gov.py/leyes-paraguayas/8561/ley-n-6047-aprueba-la-enmienda-del-articulo-20-parrafo-1-de-la-convencion-sobre-la</w:t>
        </w:r>
      </w:hyperlink>
      <w:r>
        <w:rPr>
          <w:rFonts w:asciiTheme="majorBidi" w:hAnsiTheme="majorBidi" w:cstheme="majorBidi"/>
          <w:szCs w:val="18"/>
          <w:lang w:val="en-US"/>
        </w:rPr>
        <w:t>.</w:t>
      </w:r>
    </w:p>
  </w:footnote>
  <w:footnote w:id="134">
    <w:p w14:paraId="6979E329" w14:textId="063E4044" w:rsidR="00583FBD" w:rsidRPr="005A582B" w:rsidRDefault="00583FBD" w:rsidP="00485C8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000000"/>
          <w:szCs w:val="18"/>
          <w:lang w:val="en-US"/>
        </w:rPr>
      </w:pPr>
      <w:r>
        <w:rPr>
          <w:rFonts w:asciiTheme="majorBidi" w:hAnsiTheme="majorBidi" w:cstheme="majorBidi"/>
          <w:color w:val="000000"/>
          <w:szCs w:val="18"/>
          <w:lang w:val="en-US"/>
        </w:rPr>
        <w:tab/>
      </w:r>
      <w:r w:rsidRPr="006F483D">
        <w:rPr>
          <w:rFonts w:asciiTheme="majorBidi" w:hAnsiTheme="majorBidi" w:cstheme="majorBidi"/>
          <w:szCs w:val="18"/>
          <w:vertAlign w:val="superscript"/>
        </w:rPr>
        <w:footnoteRef/>
      </w:r>
      <w:r>
        <w:rPr>
          <w:rFonts w:asciiTheme="majorBidi" w:hAnsiTheme="majorBidi" w:cstheme="majorBidi"/>
          <w:color w:val="000000"/>
          <w:szCs w:val="18"/>
          <w:lang w:val="en-US"/>
        </w:rPr>
        <w:tab/>
      </w:r>
      <w:hyperlink r:id="rId114" w:history="1">
        <w:r w:rsidRPr="005A582B">
          <w:rPr>
            <w:rStyle w:val="Hyperlink"/>
            <w:rFonts w:asciiTheme="majorBidi" w:hAnsiTheme="majorBidi" w:cstheme="majorBidi"/>
            <w:szCs w:val="18"/>
            <w:lang w:val="en-US"/>
          </w:rPr>
          <w:t>CEDAW/C/PRY/CO/7</w:t>
        </w:r>
      </w:hyperlink>
      <w:r w:rsidRPr="006F483D">
        <w:rPr>
          <w:rFonts w:asciiTheme="majorBidi" w:hAnsiTheme="majorBidi" w:cstheme="majorBidi"/>
          <w:color w:val="000000"/>
          <w:szCs w:val="18"/>
          <w:lang w:val="en-US"/>
        </w:rPr>
        <w:t xml:space="preserve">, párr. </w:t>
      </w:r>
      <w:r w:rsidRPr="005A582B">
        <w:rPr>
          <w:rFonts w:asciiTheme="majorBidi" w:hAnsiTheme="majorBidi" w:cstheme="majorBidi"/>
          <w:color w:val="000000"/>
          <w:szCs w:val="18"/>
          <w:lang w:val="en-US"/>
        </w:rPr>
        <w:t>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2D23" w14:paraId="0BAFDC4A" w14:textId="77777777" w:rsidTr="00A92D23">
      <w:trPr>
        <w:trHeight w:hRule="exact" w:val="864"/>
      </w:trPr>
      <w:tc>
        <w:tcPr>
          <w:tcW w:w="4920" w:type="dxa"/>
          <w:shd w:val="clear" w:color="auto" w:fill="auto"/>
          <w:vAlign w:val="bottom"/>
        </w:tcPr>
        <w:p w14:paraId="73FA2031" w14:textId="638811E5" w:rsidR="00A92D23" w:rsidRPr="00A92D23" w:rsidRDefault="00A92D23" w:rsidP="00A92D23">
          <w:pPr>
            <w:pStyle w:val="Header"/>
            <w:spacing w:after="80"/>
            <w:rPr>
              <w:b/>
            </w:rPr>
          </w:pPr>
          <w:r>
            <w:rPr>
              <w:b/>
            </w:rPr>
            <w:fldChar w:fldCharType="begin"/>
          </w:r>
          <w:r>
            <w:rPr>
              <w:b/>
            </w:rPr>
            <w:instrText xml:space="preserve"> DOCVARIABLE "Symbol1" \* MERGEFORMAT </w:instrText>
          </w:r>
          <w:r>
            <w:rPr>
              <w:b/>
            </w:rPr>
            <w:fldChar w:fldCharType="separate"/>
          </w:r>
          <w:r w:rsidR="00AA3D25">
            <w:rPr>
              <w:b/>
            </w:rPr>
            <w:t>CEDAW/C/PRY/8</w:t>
          </w:r>
          <w:r>
            <w:rPr>
              <w:b/>
            </w:rPr>
            <w:fldChar w:fldCharType="end"/>
          </w:r>
        </w:p>
      </w:tc>
      <w:tc>
        <w:tcPr>
          <w:tcW w:w="4920" w:type="dxa"/>
          <w:shd w:val="clear" w:color="auto" w:fill="auto"/>
          <w:vAlign w:val="bottom"/>
        </w:tcPr>
        <w:p w14:paraId="5DB1DE73" w14:textId="77777777" w:rsidR="00A92D23" w:rsidRDefault="00A92D23" w:rsidP="00A92D23">
          <w:pPr>
            <w:pStyle w:val="Header"/>
          </w:pPr>
        </w:p>
      </w:tc>
    </w:tr>
  </w:tbl>
  <w:p w14:paraId="33C05C7C" w14:textId="77777777" w:rsidR="00A92D23" w:rsidRPr="00A92D23" w:rsidRDefault="00A92D23" w:rsidP="00A92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2D23" w14:paraId="09DE4314" w14:textId="77777777" w:rsidTr="00A92D23">
      <w:trPr>
        <w:trHeight w:hRule="exact" w:val="864"/>
      </w:trPr>
      <w:tc>
        <w:tcPr>
          <w:tcW w:w="4920" w:type="dxa"/>
          <w:shd w:val="clear" w:color="auto" w:fill="auto"/>
          <w:vAlign w:val="bottom"/>
        </w:tcPr>
        <w:p w14:paraId="0274D748" w14:textId="77777777" w:rsidR="00A92D23" w:rsidRDefault="00A92D23" w:rsidP="00A92D23">
          <w:pPr>
            <w:pStyle w:val="Header"/>
          </w:pPr>
        </w:p>
      </w:tc>
      <w:tc>
        <w:tcPr>
          <w:tcW w:w="4920" w:type="dxa"/>
          <w:shd w:val="clear" w:color="auto" w:fill="auto"/>
          <w:vAlign w:val="bottom"/>
        </w:tcPr>
        <w:p w14:paraId="5773A06C" w14:textId="488153B6" w:rsidR="00A92D23" w:rsidRPr="00A92D23" w:rsidRDefault="00A92D23" w:rsidP="00A92D23">
          <w:pPr>
            <w:pStyle w:val="Header"/>
            <w:spacing w:after="80"/>
            <w:jc w:val="right"/>
            <w:rPr>
              <w:b/>
            </w:rPr>
          </w:pPr>
          <w:r>
            <w:rPr>
              <w:b/>
            </w:rPr>
            <w:fldChar w:fldCharType="begin"/>
          </w:r>
          <w:r>
            <w:rPr>
              <w:b/>
            </w:rPr>
            <w:instrText xml:space="preserve"> DOCVARIABLE "Symbol1" \* MERGEFORMAT </w:instrText>
          </w:r>
          <w:r>
            <w:rPr>
              <w:b/>
            </w:rPr>
            <w:fldChar w:fldCharType="separate"/>
          </w:r>
          <w:r w:rsidR="00AA3D25">
            <w:rPr>
              <w:b/>
            </w:rPr>
            <w:t>CEDAW/C/PRY/8</w:t>
          </w:r>
          <w:r>
            <w:rPr>
              <w:b/>
            </w:rPr>
            <w:fldChar w:fldCharType="end"/>
          </w:r>
        </w:p>
      </w:tc>
    </w:tr>
  </w:tbl>
  <w:p w14:paraId="1ADBBA35" w14:textId="77777777" w:rsidR="00A92D23" w:rsidRPr="00A92D23" w:rsidRDefault="00A92D23" w:rsidP="00A92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92D23" w14:paraId="637982BF" w14:textId="77777777" w:rsidTr="00A92D23">
      <w:trPr>
        <w:gridAfter w:val="1"/>
        <w:wAfter w:w="15" w:type="dxa"/>
        <w:trHeight w:hRule="exact" w:val="864"/>
      </w:trPr>
      <w:tc>
        <w:tcPr>
          <w:tcW w:w="1267" w:type="dxa"/>
          <w:tcBorders>
            <w:bottom w:val="single" w:sz="4" w:space="0" w:color="auto"/>
          </w:tcBorders>
          <w:shd w:val="clear" w:color="auto" w:fill="auto"/>
          <w:vAlign w:val="bottom"/>
        </w:tcPr>
        <w:p w14:paraId="7DA3513D" w14:textId="77777777" w:rsidR="00A92D23" w:rsidRDefault="00A92D23" w:rsidP="00A92D23">
          <w:pPr>
            <w:pStyle w:val="Header"/>
            <w:spacing w:after="120"/>
          </w:pPr>
        </w:p>
      </w:tc>
      <w:tc>
        <w:tcPr>
          <w:tcW w:w="2059" w:type="dxa"/>
          <w:tcBorders>
            <w:bottom w:val="single" w:sz="4" w:space="0" w:color="auto"/>
          </w:tcBorders>
          <w:shd w:val="clear" w:color="auto" w:fill="auto"/>
          <w:vAlign w:val="bottom"/>
        </w:tcPr>
        <w:p w14:paraId="7D7082BF" w14:textId="270CDD32" w:rsidR="00A92D23" w:rsidRPr="00A92D23" w:rsidRDefault="00A92D23" w:rsidP="00A92D2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054E7AD" w14:textId="77777777" w:rsidR="00A92D23" w:rsidRDefault="00A92D23" w:rsidP="00A92D23">
          <w:pPr>
            <w:pStyle w:val="Header"/>
            <w:spacing w:after="120"/>
          </w:pPr>
        </w:p>
      </w:tc>
      <w:tc>
        <w:tcPr>
          <w:tcW w:w="6480" w:type="dxa"/>
          <w:gridSpan w:val="3"/>
          <w:tcBorders>
            <w:bottom w:val="single" w:sz="4" w:space="0" w:color="auto"/>
          </w:tcBorders>
          <w:shd w:val="clear" w:color="auto" w:fill="auto"/>
          <w:vAlign w:val="bottom"/>
        </w:tcPr>
        <w:p w14:paraId="3448AF4A" w14:textId="00D4DFC6" w:rsidR="00A92D23" w:rsidRPr="00A92D23" w:rsidRDefault="00A92D23" w:rsidP="00A92D23">
          <w:pPr>
            <w:spacing w:after="80" w:line="240" w:lineRule="auto"/>
            <w:jc w:val="right"/>
            <w:rPr>
              <w:position w:val="-4"/>
            </w:rPr>
          </w:pPr>
          <w:r>
            <w:rPr>
              <w:position w:val="-4"/>
              <w:sz w:val="40"/>
            </w:rPr>
            <w:t>CEDAW</w:t>
          </w:r>
          <w:r>
            <w:rPr>
              <w:position w:val="-4"/>
            </w:rPr>
            <w:t>/C/PRY/8</w:t>
          </w:r>
        </w:p>
      </w:tc>
    </w:tr>
    <w:tr w:rsidR="00A92D23" w:rsidRPr="00A92D23" w14:paraId="05263D5D" w14:textId="77777777" w:rsidTr="00A92D23">
      <w:trPr>
        <w:trHeight w:hRule="exact" w:val="2880"/>
      </w:trPr>
      <w:tc>
        <w:tcPr>
          <w:tcW w:w="1267" w:type="dxa"/>
          <w:tcBorders>
            <w:top w:val="single" w:sz="4" w:space="0" w:color="auto"/>
            <w:bottom w:val="single" w:sz="12" w:space="0" w:color="auto"/>
          </w:tcBorders>
          <w:shd w:val="clear" w:color="auto" w:fill="auto"/>
        </w:tcPr>
        <w:p w14:paraId="4799C38F" w14:textId="2D075F63" w:rsidR="00A92D23" w:rsidRPr="00A92D23" w:rsidRDefault="00A92D23" w:rsidP="00A92D23">
          <w:pPr>
            <w:pStyle w:val="Header"/>
            <w:spacing w:before="120"/>
            <w:jc w:val="center"/>
          </w:pPr>
          <w:r>
            <w:t xml:space="preserve"> </w:t>
          </w:r>
          <w:r>
            <w:drawing>
              <wp:inline distT="0" distB="0" distL="0" distR="0" wp14:anchorId="0EE332F5" wp14:editId="484A0C36">
                <wp:extent cx="713232" cy="597103"/>
                <wp:effectExtent l="0" t="0" r="0" b="0"/>
                <wp:docPr id="1822645019" name="Picture 1"/>
                <wp:cNvGraphicFramePr/>
                <a:graphic xmlns:a="http://schemas.openxmlformats.org/drawingml/2006/main">
                  <a:graphicData uri="http://schemas.openxmlformats.org/drawingml/2006/picture">
                    <pic:pic xmlns:pic="http://schemas.openxmlformats.org/drawingml/2006/picture">
                      <pic:nvPicPr>
                        <pic:cNvPr id="182264501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F02D8C" w14:textId="5BC35D57" w:rsidR="00A92D23" w:rsidRPr="00A92D23" w:rsidRDefault="00A92D23" w:rsidP="00A92D2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9104394" w14:textId="77777777" w:rsidR="00A92D23" w:rsidRPr="00583FBD" w:rsidRDefault="00A92D23" w:rsidP="00A92D2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D45D863" w14:textId="77777777" w:rsidR="00A92D23" w:rsidRDefault="00A92D23" w:rsidP="00A92D23">
          <w:pPr>
            <w:pStyle w:val="Distribution"/>
            <w:spacing w:before="240"/>
          </w:pPr>
          <w:proofErr w:type="spellStart"/>
          <w:r>
            <w:t>Distr</w:t>
          </w:r>
          <w:proofErr w:type="spellEnd"/>
          <w:r>
            <w:t>. general</w:t>
          </w:r>
        </w:p>
        <w:p w14:paraId="5044FE59" w14:textId="77777777" w:rsidR="00A92D23" w:rsidRDefault="00A92D23" w:rsidP="00A92D23">
          <w:pPr>
            <w:pStyle w:val="Publication"/>
          </w:pPr>
          <w:r>
            <w:t>15 de octubre de 2024</w:t>
          </w:r>
        </w:p>
        <w:p w14:paraId="42B29169" w14:textId="77777777" w:rsidR="00A92D23" w:rsidRDefault="00A92D23" w:rsidP="00A92D23">
          <w:r>
            <w:t>Español</w:t>
          </w:r>
        </w:p>
        <w:p w14:paraId="7565C949" w14:textId="4E0A1EC9" w:rsidR="00A92D23" w:rsidRDefault="00A92D23" w:rsidP="00A92D23">
          <w:pPr>
            <w:pStyle w:val="Original"/>
          </w:pPr>
          <w:r>
            <w:t xml:space="preserve">Original: </w:t>
          </w:r>
          <w:r w:rsidR="00583FBD">
            <w:t>español</w:t>
          </w:r>
        </w:p>
        <w:p w14:paraId="5015D27D" w14:textId="7038F37A" w:rsidR="00A92D23" w:rsidRDefault="00583FBD" w:rsidP="00A92D23">
          <w:r w:rsidRPr="00F43810">
            <w:t>Español, francés e inglés únicamente</w:t>
          </w:r>
        </w:p>
        <w:p w14:paraId="0FFD5804" w14:textId="13FF3A37" w:rsidR="00583FBD" w:rsidRPr="00583FBD" w:rsidRDefault="00583FBD" w:rsidP="00583FBD"/>
      </w:tc>
    </w:tr>
  </w:tbl>
  <w:p w14:paraId="513AF7BB" w14:textId="77777777" w:rsidR="00A92D23" w:rsidRPr="00583FBD" w:rsidRDefault="00A92D23" w:rsidP="00A92D2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681ED3"/>
    <w:multiLevelType w:val="singleLevel"/>
    <w:tmpl w:val="0409000F"/>
    <w:lvl w:ilvl="0">
      <w:start w:val="1"/>
      <w:numFmt w:val="decimal"/>
      <w:lvlText w:val="%1."/>
      <w:lvlJc w:val="left"/>
      <w:pPr>
        <w:ind w:left="720" w:hanging="360"/>
      </w:pPr>
    </w:lvl>
  </w:abstractNum>
  <w:abstractNum w:abstractNumId="11" w15:restartNumberingAfterBreak="0">
    <w:nsid w:val="0D4131D7"/>
    <w:multiLevelType w:val="hybridMultilevel"/>
    <w:tmpl w:val="812AA548"/>
    <w:lvl w:ilvl="0" w:tplc="5C2A1D1C">
      <w:start w:val="1"/>
      <w:numFmt w:val="decimal"/>
      <w:lvlText w:val="%1."/>
      <w:lvlJc w:val="left"/>
      <w:pPr>
        <w:ind w:left="1287" w:hanging="360"/>
      </w:pPr>
      <w:rPr>
        <w:b w:val="0"/>
        <w:bCs/>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2" w15:restartNumberingAfterBreak="0">
    <w:nsid w:val="0D954887"/>
    <w:multiLevelType w:val="hybridMultilevel"/>
    <w:tmpl w:val="5A48E46A"/>
    <w:lvl w:ilvl="0" w:tplc="979CE84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ECC399C" w:tentative="1">
      <w:start w:val="1"/>
      <w:numFmt w:val="lowerLetter"/>
      <w:lvlText w:val="%2."/>
      <w:lvlJc w:val="left"/>
      <w:pPr>
        <w:tabs>
          <w:tab w:val="num" w:pos="1440"/>
        </w:tabs>
        <w:ind w:left="1440" w:hanging="360"/>
      </w:pPr>
    </w:lvl>
    <w:lvl w:ilvl="2" w:tplc="75A49E50" w:tentative="1">
      <w:start w:val="1"/>
      <w:numFmt w:val="lowerRoman"/>
      <w:lvlText w:val="%3."/>
      <w:lvlJc w:val="right"/>
      <w:pPr>
        <w:tabs>
          <w:tab w:val="num" w:pos="2160"/>
        </w:tabs>
        <w:ind w:left="2160" w:hanging="180"/>
      </w:pPr>
    </w:lvl>
    <w:lvl w:ilvl="3" w:tplc="D2825E84" w:tentative="1">
      <w:start w:val="1"/>
      <w:numFmt w:val="decimal"/>
      <w:lvlText w:val="%4."/>
      <w:lvlJc w:val="left"/>
      <w:pPr>
        <w:tabs>
          <w:tab w:val="num" w:pos="2880"/>
        </w:tabs>
        <w:ind w:left="2880" w:hanging="360"/>
      </w:pPr>
    </w:lvl>
    <w:lvl w:ilvl="4" w:tplc="6D002DDE" w:tentative="1">
      <w:start w:val="1"/>
      <w:numFmt w:val="lowerLetter"/>
      <w:lvlText w:val="%5."/>
      <w:lvlJc w:val="left"/>
      <w:pPr>
        <w:tabs>
          <w:tab w:val="num" w:pos="3600"/>
        </w:tabs>
        <w:ind w:left="3600" w:hanging="360"/>
      </w:pPr>
    </w:lvl>
    <w:lvl w:ilvl="5" w:tplc="1F86CDD6" w:tentative="1">
      <w:start w:val="1"/>
      <w:numFmt w:val="lowerRoman"/>
      <w:lvlText w:val="%6."/>
      <w:lvlJc w:val="right"/>
      <w:pPr>
        <w:tabs>
          <w:tab w:val="num" w:pos="4320"/>
        </w:tabs>
        <w:ind w:left="4320" w:hanging="180"/>
      </w:pPr>
    </w:lvl>
    <w:lvl w:ilvl="6" w:tplc="3CFE2FDE" w:tentative="1">
      <w:start w:val="1"/>
      <w:numFmt w:val="decimal"/>
      <w:lvlText w:val="%7."/>
      <w:lvlJc w:val="left"/>
      <w:pPr>
        <w:tabs>
          <w:tab w:val="num" w:pos="5040"/>
        </w:tabs>
        <w:ind w:left="5040" w:hanging="360"/>
      </w:pPr>
    </w:lvl>
    <w:lvl w:ilvl="7" w:tplc="C9CC370E" w:tentative="1">
      <w:start w:val="1"/>
      <w:numFmt w:val="lowerLetter"/>
      <w:lvlText w:val="%8."/>
      <w:lvlJc w:val="left"/>
      <w:pPr>
        <w:tabs>
          <w:tab w:val="num" w:pos="5760"/>
        </w:tabs>
        <w:ind w:left="5760" w:hanging="360"/>
      </w:pPr>
    </w:lvl>
    <w:lvl w:ilvl="8" w:tplc="78BC5CAE" w:tentative="1">
      <w:start w:val="1"/>
      <w:numFmt w:val="lowerRoman"/>
      <w:lvlText w:val="%9."/>
      <w:lvlJc w:val="right"/>
      <w:pPr>
        <w:tabs>
          <w:tab w:val="num" w:pos="6480"/>
        </w:tabs>
        <w:ind w:left="6480" w:hanging="180"/>
      </w:pPr>
    </w:lvl>
  </w:abstractNum>
  <w:abstractNum w:abstractNumId="13" w15:restartNumberingAfterBreak="0">
    <w:nsid w:val="12742B84"/>
    <w:multiLevelType w:val="multilevel"/>
    <w:tmpl w:val="BE9290F8"/>
    <w:lvl w:ilvl="0">
      <w:start w:val="1"/>
      <w:numFmt w:val="decimal"/>
      <w:lvlText w:val="%1."/>
      <w:lvlJc w:val="left"/>
      <w:pPr>
        <w:ind w:left="360" w:hanging="360"/>
      </w:pPr>
      <w:rPr>
        <w:rFonts w:ascii="Times New Roman" w:eastAsia="Times New Roman" w:hAnsi="Times New Roman" w:cs="Times New Roman"/>
        <w:b w:val="0"/>
        <w:bCs/>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36A7743B"/>
    <w:multiLevelType w:val="hybridMultilevel"/>
    <w:tmpl w:val="165289D8"/>
    <w:lvl w:ilvl="0" w:tplc="EE140EDE">
      <w:start w:val="1"/>
      <w:numFmt w:val="bullet"/>
      <w:pStyle w:val="Bullet2G"/>
      <w:lvlText w:val="•"/>
      <w:lvlJc w:val="left"/>
      <w:pPr>
        <w:tabs>
          <w:tab w:val="num" w:pos="2268"/>
        </w:tabs>
        <w:ind w:left="2268" w:hanging="170"/>
      </w:pPr>
      <w:rPr>
        <w:rFonts w:ascii="Times New Roman" w:hAnsi="Times New Roman" w:cs="Times New Roman" w:hint="default"/>
      </w:rPr>
    </w:lvl>
    <w:lvl w:ilvl="1" w:tplc="AFC49C6E" w:tentative="1">
      <w:start w:val="1"/>
      <w:numFmt w:val="bullet"/>
      <w:lvlText w:val="o"/>
      <w:lvlJc w:val="left"/>
      <w:pPr>
        <w:tabs>
          <w:tab w:val="num" w:pos="1440"/>
        </w:tabs>
        <w:ind w:left="1440" w:hanging="360"/>
      </w:pPr>
      <w:rPr>
        <w:rFonts w:ascii="Courier New" w:hAnsi="Courier New" w:hint="default"/>
      </w:rPr>
    </w:lvl>
    <w:lvl w:ilvl="2" w:tplc="9B5ECE36" w:tentative="1">
      <w:start w:val="1"/>
      <w:numFmt w:val="bullet"/>
      <w:lvlText w:val=""/>
      <w:lvlJc w:val="left"/>
      <w:pPr>
        <w:tabs>
          <w:tab w:val="num" w:pos="2160"/>
        </w:tabs>
        <w:ind w:left="2160" w:hanging="360"/>
      </w:pPr>
      <w:rPr>
        <w:rFonts w:ascii="Wingdings" w:hAnsi="Wingdings" w:hint="default"/>
      </w:rPr>
    </w:lvl>
    <w:lvl w:ilvl="3" w:tplc="89D65B56" w:tentative="1">
      <w:start w:val="1"/>
      <w:numFmt w:val="bullet"/>
      <w:lvlText w:val=""/>
      <w:lvlJc w:val="left"/>
      <w:pPr>
        <w:tabs>
          <w:tab w:val="num" w:pos="2880"/>
        </w:tabs>
        <w:ind w:left="2880" w:hanging="360"/>
      </w:pPr>
      <w:rPr>
        <w:rFonts w:ascii="Symbol" w:hAnsi="Symbol" w:hint="default"/>
      </w:rPr>
    </w:lvl>
    <w:lvl w:ilvl="4" w:tplc="6A7EF3FE" w:tentative="1">
      <w:start w:val="1"/>
      <w:numFmt w:val="bullet"/>
      <w:lvlText w:val="o"/>
      <w:lvlJc w:val="left"/>
      <w:pPr>
        <w:tabs>
          <w:tab w:val="num" w:pos="3600"/>
        </w:tabs>
        <w:ind w:left="3600" w:hanging="360"/>
      </w:pPr>
      <w:rPr>
        <w:rFonts w:ascii="Courier New" w:hAnsi="Courier New" w:hint="default"/>
      </w:rPr>
    </w:lvl>
    <w:lvl w:ilvl="5" w:tplc="1A023F1C" w:tentative="1">
      <w:start w:val="1"/>
      <w:numFmt w:val="bullet"/>
      <w:lvlText w:val=""/>
      <w:lvlJc w:val="left"/>
      <w:pPr>
        <w:tabs>
          <w:tab w:val="num" w:pos="4320"/>
        </w:tabs>
        <w:ind w:left="4320" w:hanging="360"/>
      </w:pPr>
      <w:rPr>
        <w:rFonts w:ascii="Wingdings" w:hAnsi="Wingdings" w:hint="default"/>
      </w:rPr>
    </w:lvl>
    <w:lvl w:ilvl="6" w:tplc="625259A2" w:tentative="1">
      <w:start w:val="1"/>
      <w:numFmt w:val="bullet"/>
      <w:lvlText w:val=""/>
      <w:lvlJc w:val="left"/>
      <w:pPr>
        <w:tabs>
          <w:tab w:val="num" w:pos="5040"/>
        </w:tabs>
        <w:ind w:left="5040" w:hanging="360"/>
      </w:pPr>
      <w:rPr>
        <w:rFonts w:ascii="Symbol" w:hAnsi="Symbol" w:hint="default"/>
      </w:rPr>
    </w:lvl>
    <w:lvl w:ilvl="7" w:tplc="0158E1D4" w:tentative="1">
      <w:start w:val="1"/>
      <w:numFmt w:val="bullet"/>
      <w:lvlText w:val="o"/>
      <w:lvlJc w:val="left"/>
      <w:pPr>
        <w:tabs>
          <w:tab w:val="num" w:pos="5760"/>
        </w:tabs>
        <w:ind w:left="5760" w:hanging="360"/>
      </w:pPr>
      <w:rPr>
        <w:rFonts w:ascii="Courier New" w:hAnsi="Courier New" w:hint="default"/>
      </w:rPr>
    </w:lvl>
    <w:lvl w:ilvl="8" w:tplc="FDCAEEB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8425CB"/>
    <w:multiLevelType w:val="singleLevel"/>
    <w:tmpl w:val="A7E2FB62"/>
    <w:lvl w:ilvl="0">
      <w:start w:val="1"/>
      <w:numFmt w:val="decimal"/>
      <w:lvlRestart w:val="0"/>
      <w:lvlText w:val="%1."/>
      <w:lvlJc w:val="left"/>
      <w:pPr>
        <w:tabs>
          <w:tab w:val="num" w:pos="475"/>
        </w:tabs>
        <w:ind w:left="0" w:firstLine="0"/>
      </w:pPr>
      <w:rPr>
        <w:spacing w:val="0"/>
        <w:w w:val="100"/>
      </w:r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77C1E4C"/>
    <w:multiLevelType w:val="multilevel"/>
    <w:tmpl w:val="DAC8D16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316897"/>
    <w:multiLevelType w:val="multilevel"/>
    <w:tmpl w:val="5860DE56"/>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B4A1F09"/>
    <w:multiLevelType w:val="hybridMultilevel"/>
    <w:tmpl w:val="052CBF4E"/>
    <w:lvl w:ilvl="0" w:tplc="280CA4FC">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BD5017D"/>
    <w:multiLevelType w:val="hybridMultilevel"/>
    <w:tmpl w:val="CAFA85A8"/>
    <w:lvl w:ilvl="0" w:tplc="19CAAAAA">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E6B006F"/>
    <w:multiLevelType w:val="multilevel"/>
    <w:tmpl w:val="5374F66C"/>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6" w15:restartNumberingAfterBreak="0">
    <w:nsid w:val="5F2A17E3"/>
    <w:multiLevelType w:val="singleLevel"/>
    <w:tmpl w:val="C5A6E336"/>
    <w:lvl w:ilvl="0">
      <w:start w:val="168"/>
      <w:numFmt w:val="decimal"/>
      <w:lvlRestart w:val="0"/>
      <w:lvlText w:val="%1."/>
      <w:lvlJc w:val="left"/>
      <w:pPr>
        <w:tabs>
          <w:tab w:val="num" w:pos="475"/>
        </w:tabs>
        <w:ind w:left="0" w:firstLine="0"/>
      </w:pPr>
    </w:lvl>
  </w:abstractNum>
  <w:abstractNum w:abstractNumId="2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7543DA8"/>
    <w:multiLevelType w:val="multilevel"/>
    <w:tmpl w:val="10E68990"/>
    <w:lvl w:ilvl="0">
      <w:start w:val="1"/>
      <w:numFmt w:val="upperRoman"/>
      <w:lvlText w:val="%1."/>
      <w:lvlJc w:val="left"/>
      <w:pPr>
        <w:ind w:left="1854" w:hanging="72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9" w15:restartNumberingAfterBreak="0">
    <w:nsid w:val="6A1909B7"/>
    <w:multiLevelType w:val="hybridMultilevel"/>
    <w:tmpl w:val="B8D69F52"/>
    <w:lvl w:ilvl="0" w:tplc="A594B37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0" w15:restartNumberingAfterBreak="0">
    <w:nsid w:val="6AFD3DE4"/>
    <w:multiLevelType w:val="hybridMultilevel"/>
    <w:tmpl w:val="569E52D4"/>
    <w:lvl w:ilvl="0" w:tplc="4A0C3030">
      <w:start w:val="1"/>
      <w:numFmt w:val="bullet"/>
      <w:pStyle w:val="Bullet1G"/>
      <w:lvlText w:val="•"/>
      <w:lvlJc w:val="left"/>
      <w:pPr>
        <w:tabs>
          <w:tab w:val="num" w:pos="1701"/>
        </w:tabs>
        <w:ind w:left="1701" w:hanging="170"/>
      </w:pPr>
      <w:rPr>
        <w:rFonts w:ascii="Times New Roman" w:hAnsi="Times New Roman" w:cs="Times New Roman" w:hint="default"/>
      </w:rPr>
    </w:lvl>
    <w:lvl w:ilvl="1" w:tplc="2146CDCC" w:tentative="1">
      <w:start w:val="1"/>
      <w:numFmt w:val="bullet"/>
      <w:lvlText w:val="o"/>
      <w:lvlJc w:val="left"/>
      <w:pPr>
        <w:tabs>
          <w:tab w:val="num" w:pos="1440"/>
        </w:tabs>
        <w:ind w:left="1440" w:hanging="360"/>
      </w:pPr>
      <w:rPr>
        <w:rFonts w:ascii="Courier New" w:hAnsi="Courier New" w:hint="default"/>
      </w:rPr>
    </w:lvl>
    <w:lvl w:ilvl="2" w:tplc="98546A3C" w:tentative="1">
      <w:start w:val="1"/>
      <w:numFmt w:val="bullet"/>
      <w:lvlText w:val=""/>
      <w:lvlJc w:val="left"/>
      <w:pPr>
        <w:tabs>
          <w:tab w:val="num" w:pos="2160"/>
        </w:tabs>
        <w:ind w:left="2160" w:hanging="360"/>
      </w:pPr>
      <w:rPr>
        <w:rFonts w:ascii="Wingdings" w:hAnsi="Wingdings" w:hint="default"/>
      </w:rPr>
    </w:lvl>
    <w:lvl w:ilvl="3" w:tplc="E614370C" w:tentative="1">
      <w:start w:val="1"/>
      <w:numFmt w:val="bullet"/>
      <w:lvlText w:val=""/>
      <w:lvlJc w:val="left"/>
      <w:pPr>
        <w:tabs>
          <w:tab w:val="num" w:pos="2880"/>
        </w:tabs>
        <w:ind w:left="2880" w:hanging="360"/>
      </w:pPr>
      <w:rPr>
        <w:rFonts w:ascii="Symbol" w:hAnsi="Symbol" w:hint="default"/>
      </w:rPr>
    </w:lvl>
    <w:lvl w:ilvl="4" w:tplc="1DDE42C4" w:tentative="1">
      <w:start w:val="1"/>
      <w:numFmt w:val="bullet"/>
      <w:lvlText w:val="o"/>
      <w:lvlJc w:val="left"/>
      <w:pPr>
        <w:tabs>
          <w:tab w:val="num" w:pos="3600"/>
        </w:tabs>
        <w:ind w:left="3600" w:hanging="360"/>
      </w:pPr>
      <w:rPr>
        <w:rFonts w:ascii="Courier New" w:hAnsi="Courier New" w:hint="default"/>
      </w:rPr>
    </w:lvl>
    <w:lvl w:ilvl="5" w:tplc="DD4A2450" w:tentative="1">
      <w:start w:val="1"/>
      <w:numFmt w:val="bullet"/>
      <w:lvlText w:val=""/>
      <w:lvlJc w:val="left"/>
      <w:pPr>
        <w:tabs>
          <w:tab w:val="num" w:pos="4320"/>
        </w:tabs>
        <w:ind w:left="4320" w:hanging="360"/>
      </w:pPr>
      <w:rPr>
        <w:rFonts w:ascii="Wingdings" w:hAnsi="Wingdings" w:hint="default"/>
      </w:rPr>
    </w:lvl>
    <w:lvl w:ilvl="6" w:tplc="6F800FB2" w:tentative="1">
      <w:start w:val="1"/>
      <w:numFmt w:val="bullet"/>
      <w:lvlText w:val=""/>
      <w:lvlJc w:val="left"/>
      <w:pPr>
        <w:tabs>
          <w:tab w:val="num" w:pos="5040"/>
        </w:tabs>
        <w:ind w:left="5040" w:hanging="360"/>
      </w:pPr>
      <w:rPr>
        <w:rFonts w:ascii="Symbol" w:hAnsi="Symbol" w:hint="default"/>
      </w:rPr>
    </w:lvl>
    <w:lvl w:ilvl="7" w:tplc="9476F602" w:tentative="1">
      <w:start w:val="1"/>
      <w:numFmt w:val="bullet"/>
      <w:lvlText w:val="o"/>
      <w:lvlJc w:val="left"/>
      <w:pPr>
        <w:tabs>
          <w:tab w:val="num" w:pos="5760"/>
        </w:tabs>
        <w:ind w:left="5760" w:hanging="360"/>
      </w:pPr>
      <w:rPr>
        <w:rFonts w:ascii="Courier New" w:hAnsi="Courier New" w:hint="default"/>
      </w:rPr>
    </w:lvl>
    <w:lvl w:ilvl="8" w:tplc="2EE0B29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0907156">
    <w:abstractNumId w:val="17"/>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7"/>
  </w:num>
  <w:num w:numId="8" w16cid:durableId="164712109">
    <w:abstractNumId w:val="14"/>
  </w:num>
  <w:num w:numId="9" w16cid:durableId="250091437">
    <w:abstractNumId w:val="24"/>
  </w:num>
  <w:num w:numId="10" w16cid:durableId="524252012">
    <w:abstractNumId w:val="23"/>
  </w:num>
  <w:num w:numId="11" w16cid:durableId="1374187316">
    <w:abstractNumId w:val="18"/>
  </w:num>
  <w:num w:numId="12" w16cid:durableId="36052305">
    <w:abstractNumId w:val="27"/>
  </w:num>
  <w:num w:numId="13" w16cid:durableId="1679231921">
    <w:abstractNumId w:val="14"/>
  </w:num>
  <w:num w:numId="14" w16cid:durableId="1031536774">
    <w:abstractNumId w:val="24"/>
  </w:num>
  <w:num w:numId="15" w16cid:durableId="875393002">
    <w:abstractNumId w:val="18"/>
  </w:num>
  <w:num w:numId="16" w16cid:durableId="1483237288">
    <w:abstractNumId w:val="18"/>
  </w:num>
  <w:num w:numId="17" w16cid:durableId="912012482">
    <w:abstractNumId w:val="18"/>
  </w:num>
  <w:num w:numId="18" w16cid:durableId="1379892502">
    <w:abstractNumId w:val="18"/>
  </w:num>
  <w:num w:numId="19" w16cid:durableId="1788037444">
    <w:abstractNumId w:val="18"/>
  </w:num>
  <w:num w:numId="20" w16cid:durableId="984509384">
    <w:abstractNumId w:val="18"/>
  </w:num>
  <w:num w:numId="21" w16cid:durableId="723914449">
    <w:abstractNumId w:val="18"/>
  </w:num>
  <w:num w:numId="22" w16cid:durableId="563181366">
    <w:abstractNumId w:val="18"/>
  </w:num>
  <w:num w:numId="23" w16cid:durableId="1979722990">
    <w:abstractNumId w:val="18"/>
  </w:num>
  <w:num w:numId="24" w16cid:durableId="1877236076">
    <w:abstractNumId w:val="23"/>
  </w:num>
  <w:num w:numId="25" w16cid:durableId="1461075889">
    <w:abstractNumId w:val="18"/>
  </w:num>
  <w:num w:numId="26" w16cid:durableId="1445033216">
    <w:abstractNumId w:val="32"/>
  </w:num>
  <w:num w:numId="27" w16cid:durableId="1689257130">
    <w:abstractNumId w:val="31"/>
  </w:num>
  <w:num w:numId="28" w16cid:durableId="802624600">
    <w:abstractNumId w:val="25"/>
    <w:lvlOverride w:ilvl="0">
      <w:lvl w:ilvl="0">
        <w:start w:val="1"/>
        <w:numFmt w:val="upperRoman"/>
        <w:pStyle w:val="Heading1"/>
        <w:lvlText w:val="Artículo %1."/>
        <w:lvlJc w:val="left"/>
        <w:pPr>
          <w:tabs>
            <w:tab w:val="num" w:pos="1440"/>
          </w:tabs>
          <w:ind w:left="0" w:firstLine="0"/>
        </w:pPr>
        <w:rPr>
          <w:lang w:val="es-PY"/>
        </w:rPr>
      </w:lvl>
    </w:lvlOverride>
  </w:num>
  <w:num w:numId="29" w16cid:durableId="589002492">
    <w:abstractNumId w:val="30"/>
  </w:num>
  <w:num w:numId="30" w16cid:durableId="746153486">
    <w:abstractNumId w:val="15"/>
  </w:num>
  <w:num w:numId="31" w16cid:durableId="976489480">
    <w:abstractNumId w:val="9"/>
  </w:num>
  <w:num w:numId="32" w16cid:durableId="2050109273">
    <w:abstractNumId w:val="7"/>
  </w:num>
  <w:num w:numId="33" w16cid:durableId="1584681728">
    <w:abstractNumId w:val="6"/>
  </w:num>
  <w:num w:numId="34" w16cid:durableId="1491827915">
    <w:abstractNumId w:val="5"/>
  </w:num>
  <w:num w:numId="35" w16cid:durableId="1301155836">
    <w:abstractNumId w:val="4"/>
  </w:num>
  <w:num w:numId="36" w16cid:durableId="896475224">
    <w:abstractNumId w:val="12"/>
  </w:num>
  <w:num w:numId="37" w16cid:durableId="651832099">
    <w:abstractNumId w:val="28"/>
  </w:num>
  <w:num w:numId="38" w16cid:durableId="832917675">
    <w:abstractNumId w:val="13"/>
  </w:num>
  <w:num w:numId="39" w16cid:durableId="1137916101">
    <w:abstractNumId w:val="21"/>
  </w:num>
  <w:num w:numId="40" w16cid:durableId="784616039">
    <w:abstractNumId w:val="22"/>
  </w:num>
  <w:num w:numId="41" w16cid:durableId="73859328">
    <w:abstractNumId w:val="11"/>
  </w:num>
  <w:num w:numId="42" w16cid:durableId="1201438421">
    <w:abstractNumId w:val="19"/>
  </w:num>
  <w:num w:numId="43" w16cid:durableId="1204713922">
    <w:abstractNumId w:val="20"/>
  </w:num>
  <w:num w:numId="44" w16cid:durableId="1608002180">
    <w:abstractNumId w:val="16"/>
  </w:num>
  <w:num w:numId="45" w16cid:durableId="1018846152">
    <w:abstractNumId w:val="29"/>
  </w:num>
  <w:num w:numId="46" w16cid:durableId="536744261">
    <w:abstractNumId w:val="25"/>
  </w:num>
  <w:num w:numId="47" w16cid:durableId="1240794442">
    <w:abstractNumId w:val="16"/>
    <w:lvlOverride w:ilvl="0">
      <w:lvl w:ilvl="0">
        <w:start w:val="1"/>
        <w:numFmt w:val="decimal"/>
        <w:lvlText w:val="%1."/>
        <w:lvlJc w:val="left"/>
        <w:pPr>
          <w:ind w:left="720" w:hanging="360"/>
        </w:pPr>
      </w:lvl>
    </w:lvlOverride>
  </w:num>
  <w:num w:numId="48" w16cid:durableId="1965697570">
    <w:abstractNumId w:val="10"/>
  </w:num>
  <w:num w:numId="49" w16cid:durableId="66390885">
    <w:abstractNumId w:val="2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47*"/>
    <w:docVar w:name="CreationDt" w:val="20/11/2024 4:05: PM"/>
    <w:docVar w:name="DocCategory" w:val="Doc"/>
    <w:docVar w:name="DocType" w:val="Final"/>
    <w:docVar w:name="DutyStation" w:val="New York"/>
    <w:docVar w:name="FooterJN" w:val="24-18847"/>
    <w:docVar w:name="jobn" w:val="24-18847 (S)"/>
    <w:docVar w:name="jobnDT" w:val="24-18847 (S)   201124"/>
    <w:docVar w:name="jobnDTDT" w:val="24-18847 (S)   201124   201124"/>
    <w:docVar w:name="JobNo" w:val="2418847S"/>
    <w:docVar w:name="JobNo2" w:val="24295744:05: PM"/>
    <w:docVar w:name="LocalDrive" w:val="-1"/>
    <w:docVar w:name="OandT" w:val="Eva F"/>
    <w:docVar w:name="sss1" w:val="CEDAW/C/PRY/8"/>
    <w:docVar w:name="sss2" w:val="-"/>
    <w:docVar w:name="Symbol1" w:val="CEDAW/C/PRY/8"/>
    <w:docVar w:name="Symbol2" w:val="-"/>
    <w:docVar w:name="Title1" w:val="_x0009__x0009_Octavo informe periódico que el Paraguay debía presentar en 2021 en virtud del artículo 18 de la Convención_x000d_"/>
  </w:docVars>
  <w:rsids>
    <w:rsidRoot w:val="00BE5F41"/>
    <w:rsid w:val="00001169"/>
    <w:rsid w:val="00001967"/>
    <w:rsid w:val="000055C7"/>
    <w:rsid w:val="00024F9E"/>
    <w:rsid w:val="00055A77"/>
    <w:rsid w:val="000A2BC9"/>
    <w:rsid w:val="000B7736"/>
    <w:rsid w:val="000C555B"/>
    <w:rsid w:val="000F17E8"/>
    <w:rsid w:val="00105618"/>
    <w:rsid w:val="0012519A"/>
    <w:rsid w:val="001325B0"/>
    <w:rsid w:val="00146A21"/>
    <w:rsid w:val="00150275"/>
    <w:rsid w:val="00151F81"/>
    <w:rsid w:val="00170F03"/>
    <w:rsid w:val="00171CDD"/>
    <w:rsid w:val="001859DB"/>
    <w:rsid w:val="00191BD9"/>
    <w:rsid w:val="001978D5"/>
    <w:rsid w:val="001B0D53"/>
    <w:rsid w:val="001B33C3"/>
    <w:rsid w:val="001C3128"/>
    <w:rsid w:val="001C368D"/>
    <w:rsid w:val="001C547D"/>
    <w:rsid w:val="001D48A7"/>
    <w:rsid w:val="001D5141"/>
    <w:rsid w:val="001F290C"/>
    <w:rsid w:val="001F7C5C"/>
    <w:rsid w:val="00204BC7"/>
    <w:rsid w:val="002120BC"/>
    <w:rsid w:val="00213533"/>
    <w:rsid w:val="00216321"/>
    <w:rsid w:val="002171C2"/>
    <w:rsid w:val="0021775A"/>
    <w:rsid w:val="0022319A"/>
    <w:rsid w:val="00227FD3"/>
    <w:rsid w:val="00237B62"/>
    <w:rsid w:val="002400E7"/>
    <w:rsid w:val="00243104"/>
    <w:rsid w:val="00247400"/>
    <w:rsid w:val="00256F80"/>
    <w:rsid w:val="002576AC"/>
    <w:rsid w:val="002743B0"/>
    <w:rsid w:val="0027492E"/>
    <w:rsid w:val="00293AD7"/>
    <w:rsid w:val="002C0BE6"/>
    <w:rsid w:val="002C6EBA"/>
    <w:rsid w:val="002D1A2A"/>
    <w:rsid w:val="002D5229"/>
    <w:rsid w:val="002E2454"/>
    <w:rsid w:val="002E65E2"/>
    <w:rsid w:val="002F5E57"/>
    <w:rsid w:val="00311425"/>
    <w:rsid w:val="003279F3"/>
    <w:rsid w:val="00331D20"/>
    <w:rsid w:val="0033319E"/>
    <w:rsid w:val="00340188"/>
    <w:rsid w:val="0035029D"/>
    <w:rsid w:val="00365FD7"/>
    <w:rsid w:val="003718ED"/>
    <w:rsid w:val="00375CE8"/>
    <w:rsid w:val="00397231"/>
    <w:rsid w:val="003B26A1"/>
    <w:rsid w:val="003C5D26"/>
    <w:rsid w:val="003E5E54"/>
    <w:rsid w:val="003F1D1D"/>
    <w:rsid w:val="003F49EA"/>
    <w:rsid w:val="003F75F8"/>
    <w:rsid w:val="00415B8B"/>
    <w:rsid w:val="00415C62"/>
    <w:rsid w:val="0042380B"/>
    <w:rsid w:val="00427A20"/>
    <w:rsid w:val="00440238"/>
    <w:rsid w:val="00441BFA"/>
    <w:rsid w:val="00450DA2"/>
    <w:rsid w:val="00451CEA"/>
    <w:rsid w:val="0047638E"/>
    <w:rsid w:val="00485C85"/>
    <w:rsid w:val="004912DF"/>
    <w:rsid w:val="00495E7B"/>
    <w:rsid w:val="0049669D"/>
    <w:rsid w:val="004A561F"/>
    <w:rsid w:val="004A7AAE"/>
    <w:rsid w:val="004A7E35"/>
    <w:rsid w:val="004E0BB1"/>
    <w:rsid w:val="004F5722"/>
    <w:rsid w:val="00515784"/>
    <w:rsid w:val="00521F74"/>
    <w:rsid w:val="005274A0"/>
    <w:rsid w:val="00534F1D"/>
    <w:rsid w:val="005358F0"/>
    <w:rsid w:val="0054211F"/>
    <w:rsid w:val="00542905"/>
    <w:rsid w:val="00545D2C"/>
    <w:rsid w:val="00557616"/>
    <w:rsid w:val="005601AA"/>
    <w:rsid w:val="005610B1"/>
    <w:rsid w:val="00573F19"/>
    <w:rsid w:val="0057492D"/>
    <w:rsid w:val="00576E96"/>
    <w:rsid w:val="00583FBD"/>
    <w:rsid w:val="005951C5"/>
    <w:rsid w:val="005A582B"/>
    <w:rsid w:val="005B5123"/>
    <w:rsid w:val="005C758C"/>
    <w:rsid w:val="005D4C4D"/>
    <w:rsid w:val="005D4F00"/>
    <w:rsid w:val="005F323D"/>
    <w:rsid w:val="005F64C3"/>
    <w:rsid w:val="005F77D1"/>
    <w:rsid w:val="00600965"/>
    <w:rsid w:val="00620D21"/>
    <w:rsid w:val="0064127D"/>
    <w:rsid w:val="006428D5"/>
    <w:rsid w:val="00664A86"/>
    <w:rsid w:val="00675CB3"/>
    <w:rsid w:val="0068313B"/>
    <w:rsid w:val="00686FB5"/>
    <w:rsid w:val="00691679"/>
    <w:rsid w:val="00696FE4"/>
    <w:rsid w:val="006A0131"/>
    <w:rsid w:val="006B40E9"/>
    <w:rsid w:val="006B7B40"/>
    <w:rsid w:val="006C1CCE"/>
    <w:rsid w:val="006C666A"/>
    <w:rsid w:val="006C760E"/>
    <w:rsid w:val="006C7738"/>
    <w:rsid w:val="006D04E3"/>
    <w:rsid w:val="006E33C8"/>
    <w:rsid w:val="0072646B"/>
    <w:rsid w:val="00727155"/>
    <w:rsid w:val="0073440F"/>
    <w:rsid w:val="00736310"/>
    <w:rsid w:val="00740C1B"/>
    <w:rsid w:val="0074293E"/>
    <w:rsid w:val="007513E0"/>
    <w:rsid w:val="007633C9"/>
    <w:rsid w:val="007854AD"/>
    <w:rsid w:val="007B4CD6"/>
    <w:rsid w:val="007B6550"/>
    <w:rsid w:val="007D217E"/>
    <w:rsid w:val="007D6481"/>
    <w:rsid w:val="007E06AB"/>
    <w:rsid w:val="007E56AF"/>
    <w:rsid w:val="008138CB"/>
    <w:rsid w:val="00817A34"/>
    <w:rsid w:val="00822169"/>
    <w:rsid w:val="0082641B"/>
    <w:rsid w:val="00827306"/>
    <w:rsid w:val="00830620"/>
    <w:rsid w:val="008474A5"/>
    <w:rsid w:val="00863195"/>
    <w:rsid w:val="00867411"/>
    <w:rsid w:val="00871053"/>
    <w:rsid w:val="0087692B"/>
    <w:rsid w:val="00877270"/>
    <w:rsid w:val="0088056D"/>
    <w:rsid w:val="008824F0"/>
    <w:rsid w:val="008A2590"/>
    <w:rsid w:val="008A279A"/>
    <w:rsid w:val="008B4F10"/>
    <w:rsid w:val="008D2A8F"/>
    <w:rsid w:val="008D57D3"/>
    <w:rsid w:val="008E01BA"/>
    <w:rsid w:val="008F11CA"/>
    <w:rsid w:val="008F379E"/>
    <w:rsid w:val="009037EC"/>
    <w:rsid w:val="00910EAE"/>
    <w:rsid w:val="00924E6B"/>
    <w:rsid w:val="00945CCF"/>
    <w:rsid w:val="0094634F"/>
    <w:rsid w:val="00947E83"/>
    <w:rsid w:val="00990C31"/>
    <w:rsid w:val="00996F8D"/>
    <w:rsid w:val="009A587D"/>
    <w:rsid w:val="009B00E9"/>
    <w:rsid w:val="009B31CE"/>
    <w:rsid w:val="009B4D36"/>
    <w:rsid w:val="009C4728"/>
    <w:rsid w:val="009D06AB"/>
    <w:rsid w:val="009D4B50"/>
    <w:rsid w:val="009D56BA"/>
    <w:rsid w:val="009F13EA"/>
    <w:rsid w:val="00A025E3"/>
    <w:rsid w:val="00A366AA"/>
    <w:rsid w:val="00A51F38"/>
    <w:rsid w:val="00A57E3F"/>
    <w:rsid w:val="00A65D17"/>
    <w:rsid w:val="00A71EA6"/>
    <w:rsid w:val="00A72797"/>
    <w:rsid w:val="00A81B35"/>
    <w:rsid w:val="00A82C6D"/>
    <w:rsid w:val="00A92D23"/>
    <w:rsid w:val="00AA10EA"/>
    <w:rsid w:val="00AA29EE"/>
    <w:rsid w:val="00AA2D29"/>
    <w:rsid w:val="00AA3D25"/>
    <w:rsid w:val="00AE3B84"/>
    <w:rsid w:val="00AE4D9C"/>
    <w:rsid w:val="00AF0BA1"/>
    <w:rsid w:val="00AF6BB3"/>
    <w:rsid w:val="00B03A69"/>
    <w:rsid w:val="00B11D5E"/>
    <w:rsid w:val="00B125A0"/>
    <w:rsid w:val="00B143BF"/>
    <w:rsid w:val="00B272FA"/>
    <w:rsid w:val="00B27698"/>
    <w:rsid w:val="00B27D24"/>
    <w:rsid w:val="00B43769"/>
    <w:rsid w:val="00B63A96"/>
    <w:rsid w:val="00B7299C"/>
    <w:rsid w:val="00B76D3C"/>
    <w:rsid w:val="00B86EC6"/>
    <w:rsid w:val="00B901FD"/>
    <w:rsid w:val="00BA1559"/>
    <w:rsid w:val="00BB1F91"/>
    <w:rsid w:val="00BC2C8A"/>
    <w:rsid w:val="00BD7D65"/>
    <w:rsid w:val="00BE5F41"/>
    <w:rsid w:val="00BF6CA7"/>
    <w:rsid w:val="00C16056"/>
    <w:rsid w:val="00C16A02"/>
    <w:rsid w:val="00C16D72"/>
    <w:rsid w:val="00C174A0"/>
    <w:rsid w:val="00C32846"/>
    <w:rsid w:val="00C36F89"/>
    <w:rsid w:val="00C45363"/>
    <w:rsid w:val="00C60123"/>
    <w:rsid w:val="00C6119A"/>
    <w:rsid w:val="00C65D1A"/>
    <w:rsid w:val="00C8067A"/>
    <w:rsid w:val="00C936B6"/>
    <w:rsid w:val="00C9615E"/>
    <w:rsid w:val="00CA03D6"/>
    <w:rsid w:val="00CA78E3"/>
    <w:rsid w:val="00CB30BE"/>
    <w:rsid w:val="00CC2D86"/>
    <w:rsid w:val="00CE35F9"/>
    <w:rsid w:val="00CF41F6"/>
    <w:rsid w:val="00D21E35"/>
    <w:rsid w:val="00D23FFB"/>
    <w:rsid w:val="00D35EC1"/>
    <w:rsid w:val="00D409D0"/>
    <w:rsid w:val="00D47052"/>
    <w:rsid w:val="00D750BA"/>
    <w:rsid w:val="00D75B09"/>
    <w:rsid w:val="00D8041B"/>
    <w:rsid w:val="00D849F6"/>
    <w:rsid w:val="00D966A1"/>
    <w:rsid w:val="00DA3F22"/>
    <w:rsid w:val="00DB0712"/>
    <w:rsid w:val="00DB652C"/>
    <w:rsid w:val="00DB6CB8"/>
    <w:rsid w:val="00DC612D"/>
    <w:rsid w:val="00DE254A"/>
    <w:rsid w:val="00DE4099"/>
    <w:rsid w:val="00DF2E3C"/>
    <w:rsid w:val="00E0052B"/>
    <w:rsid w:val="00E005E0"/>
    <w:rsid w:val="00E00E08"/>
    <w:rsid w:val="00E01B8C"/>
    <w:rsid w:val="00E01E5E"/>
    <w:rsid w:val="00E14704"/>
    <w:rsid w:val="00E548DF"/>
    <w:rsid w:val="00E67B58"/>
    <w:rsid w:val="00E74194"/>
    <w:rsid w:val="00E8036E"/>
    <w:rsid w:val="00E81B37"/>
    <w:rsid w:val="00E949F6"/>
    <w:rsid w:val="00E95A89"/>
    <w:rsid w:val="00EA1709"/>
    <w:rsid w:val="00EA71C1"/>
    <w:rsid w:val="00EB3E8E"/>
    <w:rsid w:val="00EF2C88"/>
    <w:rsid w:val="00F019B7"/>
    <w:rsid w:val="00F04472"/>
    <w:rsid w:val="00F05AC4"/>
    <w:rsid w:val="00F10407"/>
    <w:rsid w:val="00F14FD4"/>
    <w:rsid w:val="00F15CEB"/>
    <w:rsid w:val="00F379D2"/>
    <w:rsid w:val="00F470DB"/>
    <w:rsid w:val="00F47874"/>
    <w:rsid w:val="00F52117"/>
    <w:rsid w:val="00F52734"/>
    <w:rsid w:val="00F6045C"/>
    <w:rsid w:val="00F62457"/>
    <w:rsid w:val="00F65F4F"/>
    <w:rsid w:val="00F95E56"/>
    <w:rsid w:val="00F961BB"/>
    <w:rsid w:val="00FA10BE"/>
    <w:rsid w:val="00FC2D29"/>
    <w:rsid w:val="00FD1B9D"/>
    <w:rsid w:val="00FD794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79EA3"/>
  <w15:chartTrackingRefBased/>
  <w15:docId w15:val="{F2784419-C68C-48D5-B05C-742878FE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74A5"/>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Cuadro_G"/>
    <w:basedOn w:val="Normal"/>
    <w:next w:val="Normal"/>
    <w:link w:val="Heading1Char"/>
    <w:uiPriority w:val="9"/>
    <w:qFormat/>
    <w:rsid w:val="00C60123"/>
    <w:pPr>
      <w:keepNext/>
      <w:numPr>
        <w:numId w:val="28"/>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8"/>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8"/>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8"/>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8"/>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8"/>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8"/>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8"/>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8"/>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ftref,16 Point,Superscript 6 Point,ftref Char,BVI fnr Char,BVI fnr Car Char,Char Char Car Char,Char Char Char Char Char Char Char Char Char Char Char Char Char Char Char Char Char Char Char Char Car Char,16 Point Char,BVI fnr,Ref"/>
    <w:link w:val="AppelnotedebasdepBVIfnrCarCarCarCar"/>
    <w:qFormat/>
    <w:rsid w:val="00C60123"/>
    <w:rPr>
      <w:color w:val="auto"/>
      <w:spacing w:val="5"/>
      <w:w w:val="103"/>
      <w:kern w:val="14"/>
      <w:position w:val="0"/>
      <w:vertAlign w:val="superscript"/>
    </w:rPr>
  </w:style>
  <w:style w:type="paragraph" w:styleId="FootnoteText">
    <w:name w:val="footnote text"/>
    <w:aliases w:val="5_G,FOOTNOTES,fn,single space,footnote text,Footnote Text Char1 Char,Footnote Text Char Char Char,Footnote Text Char1 Char1 Char Char,Footnote Text Char Char Char1 Char Char,Footnote Text Char1 Char Char Char Char,Footnote Text Char1,Car"/>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S Char,fn Char,single space Char,footnote text Char,Footnote Text Char1 Char Char,Footnote Text Char Char Char Char,Footnote Text Char1 Char1 Char Char Char,Footnote Text Char Char Char1 Char Char Char,C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Cuadro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lang w:val="ru-RU"/>
    </w:rPr>
  </w:style>
  <w:style w:type="paragraph" w:styleId="ListContinue2">
    <w:name w:val="List Continue 2"/>
    <w:basedOn w:val="Normal"/>
    <w:next w:val="Normal"/>
    <w:rsid w:val="009D56BA"/>
    <w:pPr>
      <w:numPr>
        <w:numId w:val="1"/>
      </w:numPr>
      <w:tabs>
        <w:tab w:val="left" w:pos="792"/>
      </w:tabs>
      <w:spacing w:after="120"/>
    </w:pPr>
    <w:rPr>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BE5F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F41"/>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BE5F4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F41"/>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BE5F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5F41"/>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
    <w:basedOn w:val="Normal"/>
    <w:link w:val="ListParagraphChar"/>
    <w:uiPriority w:val="34"/>
    <w:qFormat/>
    <w:rsid w:val="00BE5F41"/>
    <w:pPr>
      <w:ind w:left="720"/>
      <w:contextualSpacing/>
    </w:pPr>
  </w:style>
  <w:style w:type="character" w:styleId="IntenseEmphasis">
    <w:name w:val="Intense Emphasis"/>
    <w:basedOn w:val="DefaultParagraphFont"/>
    <w:uiPriority w:val="21"/>
    <w:qFormat/>
    <w:rsid w:val="00BE5F41"/>
    <w:rPr>
      <w:i/>
      <w:iCs/>
      <w:color w:val="2F5496" w:themeColor="accent1" w:themeShade="BF"/>
    </w:rPr>
  </w:style>
  <w:style w:type="paragraph" w:styleId="IntenseQuote">
    <w:name w:val="Intense Quote"/>
    <w:basedOn w:val="Normal"/>
    <w:next w:val="Normal"/>
    <w:link w:val="IntenseQuoteChar"/>
    <w:uiPriority w:val="30"/>
    <w:qFormat/>
    <w:rsid w:val="00BE5F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5F41"/>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BE5F41"/>
    <w:rPr>
      <w:b/>
      <w:bCs/>
      <w:smallCaps/>
      <w:color w:val="2F5496" w:themeColor="accent1" w:themeShade="BF"/>
      <w:spacing w:val="5"/>
    </w:rPr>
  </w:style>
  <w:style w:type="paragraph" w:styleId="CommentText">
    <w:name w:val="annotation text"/>
    <w:basedOn w:val="Normal"/>
    <w:link w:val="CommentTextChar"/>
    <w:uiPriority w:val="99"/>
    <w:unhideWhenUsed/>
    <w:rsid w:val="00A92D23"/>
    <w:pPr>
      <w:spacing w:line="240" w:lineRule="auto"/>
    </w:pPr>
    <w:rPr>
      <w:szCs w:val="20"/>
    </w:rPr>
  </w:style>
  <w:style w:type="character" w:customStyle="1" w:styleId="CommentTextChar">
    <w:name w:val="Comment Text Char"/>
    <w:basedOn w:val="DefaultParagraphFont"/>
    <w:link w:val="CommentText"/>
    <w:uiPriority w:val="99"/>
    <w:rsid w:val="00A92D2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92D23"/>
    <w:rPr>
      <w:b/>
      <w:bCs/>
    </w:rPr>
  </w:style>
  <w:style w:type="character" w:customStyle="1" w:styleId="CommentSubjectChar">
    <w:name w:val="Comment Subject Char"/>
    <w:basedOn w:val="CommentTextChar"/>
    <w:link w:val="CommentSubject"/>
    <w:uiPriority w:val="99"/>
    <w:semiHidden/>
    <w:rsid w:val="00A92D23"/>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583FBD"/>
    <w:pPr>
      <w:keepNext/>
      <w:keepLines/>
      <w:tabs>
        <w:tab w:val="right" w:pos="851"/>
      </w:tabs>
      <w:spacing w:before="240" w:after="240" w:line="360" w:lineRule="exact"/>
      <w:ind w:left="1134" w:right="1134" w:hanging="1134"/>
      <w:outlineLvl w:val="0"/>
    </w:pPr>
    <w:rPr>
      <w:rFonts w:eastAsiaTheme="minorEastAsia"/>
      <w:b/>
      <w:spacing w:val="0"/>
      <w:w w:val="100"/>
      <w:kern w:val="0"/>
      <w:sz w:val="34"/>
      <w:szCs w:val="20"/>
      <w:lang w:eastAsia="es-ES"/>
      <w14:ligatures w14:val="none"/>
    </w:rPr>
  </w:style>
  <w:style w:type="character" w:customStyle="1" w:styleId="HMGChar">
    <w:name w:val="_ H __M_G Char"/>
    <w:link w:val="HMG"/>
    <w:rsid w:val="00583FBD"/>
    <w:rPr>
      <w:rFonts w:ascii="Times New Roman" w:hAnsi="Times New Roman" w:cs="Times New Roman"/>
      <w:b/>
      <w:kern w:val="0"/>
      <w:sz w:val="34"/>
      <w:szCs w:val="20"/>
      <w:lang w:val="es-ES" w:eastAsia="es-ES"/>
      <w14:ligatures w14:val="none"/>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FootnoteReference"/>
    <w:rsid w:val="00583FBD"/>
    <w:pPr>
      <w:suppressAutoHyphens w:val="0"/>
      <w:spacing w:after="160"/>
    </w:pPr>
    <w:rPr>
      <w:rFonts w:asciiTheme="minorHAnsi" w:eastAsiaTheme="minorEastAsia" w:hAnsiTheme="minorHAnsi" w:cstheme="minorBidi"/>
      <w:spacing w:val="5"/>
      <w:kern w:val="14"/>
      <w:sz w:val="22"/>
      <w:vertAlign w:val="superscript"/>
      <w:lang w:val="en-US" w:eastAsia="zh-CN"/>
    </w:rPr>
  </w:style>
  <w:style w:type="paragraph" w:customStyle="1" w:styleId="HChG">
    <w:name w:val="_ H _Ch_G"/>
    <w:basedOn w:val="Normal"/>
    <w:next w:val="Normal"/>
    <w:link w:val="HChGChar"/>
    <w:qFormat/>
    <w:rsid w:val="00583FBD"/>
    <w:pPr>
      <w:keepNext/>
      <w:keepLines/>
      <w:tabs>
        <w:tab w:val="right" w:pos="851"/>
      </w:tabs>
      <w:spacing w:before="360" w:after="240" w:line="300" w:lineRule="exact"/>
      <w:ind w:left="1134" w:right="1134" w:hanging="1134"/>
      <w:outlineLvl w:val="1"/>
    </w:pPr>
    <w:rPr>
      <w:rFonts w:eastAsiaTheme="minorEastAsia"/>
      <w:b/>
      <w:spacing w:val="0"/>
      <w:w w:val="100"/>
      <w:kern w:val="0"/>
      <w:sz w:val="28"/>
      <w:szCs w:val="20"/>
      <w:lang w:eastAsia="es-ES"/>
      <w14:ligatures w14:val="none"/>
    </w:rPr>
  </w:style>
  <w:style w:type="character" w:customStyle="1" w:styleId="HChGChar">
    <w:name w:val="_ H _Ch_G Char"/>
    <w:link w:val="HChG"/>
    <w:rsid w:val="00583FBD"/>
    <w:rPr>
      <w:rFonts w:ascii="Times New Roman" w:hAnsi="Times New Roman" w:cs="Times New Roman"/>
      <w:b/>
      <w:kern w:val="0"/>
      <w:sz w:val="28"/>
      <w:szCs w:val="20"/>
      <w:lang w:val="es-ES" w:eastAsia="es-ES"/>
      <w14:ligatures w14:val="none"/>
    </w:rPr>
  </w:style>
  <w:style w:type="paragraph" w:customStyle="1" w:styleId="H1G">
    <w:name w:val="_ H_1_G"/>
    <w:basedOn w:val="Normal"/>
    <w:next w:val="Normal"/>
    <w:qFormat/>
    <w:rsid w:val="00583FBD"/>
    <w:pPr>
      <w:keepNext/>
      <w:keepLines/>
      <w:tabs>
        <w:tab w:val="right" w:pos="851"/>
      </w:tabs>
      <w:spacing w:before="360" w:after="240" w:line="270" w:lineRule="exact"/>
      <w:ind w:left="1134" w:right="1134" w:hanging="1134"/>
      <w:outlineLvl w:val="2"/>
    </w:pPr>
    <w:rPr>
      <w:rFonts w:eastAsiaTheme="minorEastAsia"/>
      <w:b/>
      <w:spacing w:val="0"/>
      <w:w w:val="100"/>
      <w:kern w:val="0"/>
      <w:sz w:val="24"/>
      <w:szCs w:val="20"/>
      <w:lang w:eastAsia="es-ES"/>
      <w14:ligatures w14:val="none"/>
    </w:rPr>
  </w:style>
  <w:style w:type="paragraph" w:customStyle="1" w:styleId="H23G">
    <w:name w:val="_ H_2/3_G"/>
    <w:basedOn w:val="Normal"/>
    <w:next w:val="Normal"/>
    <w:link w:val="H23GChar"/>
    <w:qFormat/>
    <w:rsid w:val="00583FBD"/>
    <w:pPr>
      <w:keepNext/>
      <w:keepLines/>
      <w:tabs>
        <w:tab w:val="right" w:pos="851"/>
      </w:tabs>
      <w:spacing w:before="240" w:after="120"/>
      <w:ind w:left="1134" w:right="1134" w:hanging="1134"/>
      <w:outlineLvl w:val="3"/>
    </w:pPr>
    <w:rPr>
      <w:rFonts w:eastAsiaTheme="minorEastAsia"/>
      <w:b/>
      <w:spacing w:val="0"/>
      <w:w w:val="100"/>
      <w:kern w:val="0"/>
      <w:szCs w:val="20"/>
      <w:lang w:eastAsia="es-ES"/>
      <w14:ligatures w14:val="none"/>
    </w:rPr>
  </w:style>
  <w:style w:type="paragraph" w:customStyle="1" w:styleId="H4G">
    <w:name w:val="_ H_4_G"/>
    <w:basedOn w:val="Normal"/>
    <w:next w:val="Normal"/>
    <w:qFormat/>
    <w:rsid w:val="00583FBD"/>
    <w:pPr>
      <w:keepNext/>
      <w:keepLines/>
      <w:tabs>
        <w:tab w:val="right" w:pos="851"/>
      </w:tabs>
      <w:spacing w:before="240" w:after="120"/>
      <w:ind w:left="1134" w:right="1134" w:hanging="1134"/>
      <w:outlineLvl w:val="4"/>
    </w:pPr>
    <w:rPr>
      <w:rFonts w:eastAsiaTheme="minorEastAsia"/>
      <w:i/>
      <w:spacing w:val="0"/>
      <w:w w:val="100"/>
      <w:kern w:val="0"/>
      <w:szCs w:val="20"/>
      <w:lang w:eastAsia="es-ES"/>
      <w14:ligatures w14:val="none"/>
    </w:rPr>
  </w:style>
  <w:style w:type="paragraph" w:customStyle="1" w:styleId="H56G">
    <w:name w:val="_ H_5/6_G"/>
    <w:basedOn w:val="Normal"/>
    <w:next w:val="Normal"/>
    <w:qFormat/>
    <w:rsid w:val="00583FBD"/>
    <w:pPr>
      <w:keepNext/>
      <w:keepLines/>
      <w:tabs>
        <w:tab w:val="right" w:pos="851"/>
      </w:tabs>
      <w:spacing w:before="240" w:after="120"/>
      <w:ind w:left="1134" w:right="1134" w:hanging="1134"/>
      <w:outlineLvl w:val="5"/>
    </w:pPr>
    <w:rPr>
      <w:rFonts w:eastAsiaTheme="minorEastAsia"/>
      <w:spacing w:val="0"/>
      <w:w w:val="100"/>
      <w:kern w:val="0"/>
      <w:szCs w:val="20"/>
      <w:lang w:eastAsia="es-ES"/>
      <w14:ligatures w14:val="none"/>
    </w:rPr>
  </w:style>
  <w:style w:type="paragraph" w:customStyle="1" w:styleId="SingleTxtG">
    <w:name w:val="_ Single Txt_G"/>
    <w:basedOn w:val="Normal"/>
    <w:link w:val="SingleTxtGChar"/>
    <w:qFormat/>
    <w:rsid w:val="00583FBD"/>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szCs w:val="20"/>
      <w:lang w:eastAsia="es-ES"/>
      <w14:ligatures w14:val="none"/>
    </w:rPr>
  </w:style>
  <w:style w:type="paragraph" w:customStyle="1" w:styleId="SMG">
    <w:name w:val="__S_M_G"/>
    <w:basedOn w:val="Normal"/>
    <w:next w:val="Normal"/>
    <w:rsid w:val="00583FBD"/>
    <w:pPr>
      <w:keepNext/>
      <w:keepLines/>
      <w:spacing w:before="240" w:after="240" w:line="420" w:lineRule="exact"/>
      <w:ind w:left="1134" w:right="1134"/>
    </w:pPr>
    <w:rPr>
      <w:rFonts w:eastAsiaTheme="minorEastAsia"/>
      <w:b/>
      <w:spacing w:val="0"/>
      <w:w w:val="100"/>
      <w:kern w:val="0"/>
      <w:sz w:val="40"/>
      <w:szCs w:val="20"/>
      <w:lang w:eastAsia="es-ES"/>
      <w14:ligatures w14:val="none"/>
    </w:rPr>
  </w:style>
  <w:style w:type="paragraph" w:customStyle="1" w:styleId="SLG">
    <w:name w:val="__S_L_G"/>
    <w:basedOn w:val="Normal"/>
    <w:next w:val="Normal"/>
    <w:rsid w:val="00583FBD"/>
    <w:pPr>
      <w:keepNext/>
      <w:keepLines/>
      <w:suppressAutoHyphens w:val="0"/>
      <w:spacing w:before="240" w:after="240" w:line="580" w:lineRule="exact"/>
      <w:ind w:left="1134" w:right="1134"/>
    </w:pPr>
    <w:rPr>
      <w:rFonts w:eastAsiaTheme="minorEastAsia"/>
      <w:b/>
      <w:spacing w:val="0"/>
      <w:w w:val="100"/>
      <w:kern w:val="0"/>
      <w:sz w:val="56"/>
      <w:szCs w:val="20"/>
      <w:lang w:eastAsia="es-ES"/>
      <w14:ligatures w14:val="none"/>
    </w:rPr>
  </w:style>
  <w:style w:type="paragraph" w:customStyle="1" w:styleId="SSG">
    <w:name w:val="__S_S_G"/>
    <w:basedOn w:val="Normal"/>
    <w:next w:val="Normal"/>
    <w:rsid w:val="00583FBD"/>
    <w:pPr>
      <w:keepNext/>
      <w:keepLines/>
      <w:suppressAutoHyphens w:val="0"/>
      <w:spacing w:before="240" w:after="240" w:line="300" w:lineRule="exact"/>
      <w:ind w:left="1134" w:right="1134"/>
    </w:pPr>
    <w:rPr>
      <w:rFonts w:eastAsiaTheme="minorEastAsia"/>
      <w:b/>
      <w:spacing w:val="0"/>
      <w:w w:val="100"/>
      <w:kern w:val="0"/>
      <w:sz w:val="28"/>
      <w:szCs w:val="20"/>
      <w:lang w:eastAsia="es-ES"/>
      <w14:ligatures w14:val="none"/>
    </w:rPr>
  </w:style>
  <w:style w:type="paragraph" w:customStyle="1" w:styleId="XLargeG">
    <w:name w:val="__XLarge_G"/>
    <w:basedOn w:val="Normal"/>
    <w:next w:val="Normal"/>
    <w:rsid w:val="00583FBD"/>
    <w:pPr>
      <w:keepNext/>
      <w:keepLines/>
      <w:suppressAutoHyphens w:val="0"/>
      <w:spacing w:before="240" w:after="240" w:line="420" w:lineRule="exact"/>
      <w:ind w:left="1134" w:right="1134"/>
    </w:pPr>
    <w:rPr>
      <w:rFonts w:eastAsiaTheme="minorEastAsia"/>
      <w:b/>
      <w:spacing w:val="0"/>
      <w:w w:val="100"/>
      <w:kern w:val="0"/>
      <w:sz w:val="40"/>
      <w:szCs w:val="20"/>
      <w:lang w:eastAsia="es-ES"/>
      <w14:ligatures w14:val="none"/>
    </w:rPr>
  </w:style>
  <w:style w:type="numbering" w:styleId="111111">
    <w:name w:val="Outline List 2"/>
    <w:basedOn w:val="NoList"/>
    <w:semiHidden/>
    <w:rsid w:val="00583FBD"/>
    <w:pPr>
      <w:numPr>
        <w:numId w:val="26"/>
      </w:numPr>
    </w:pPr>
  </w:style>
  <w:style w:type="numbering" w:styleId="1ai">
    <w:name w:val="Outline List 1"/>
    <w:basedOn w:val="NoList"/>
    <w:semiHidden/>
    <w:rsid w:val="00583FBD"/>
    <w:pPr>
      <w:numPr>
        <w:numId w:val="27"/>
      </w:numPr>
    </w:pPr>
  </w:style>
  <w:style w:type="character" w:styleId="HTMLAcronym">
    <w:name w:val="HTML Acronym"/>
    <w:basedOn w:val="DefaultParagraphFont"/>
    <w:semiHidden/>
    <w:rsid w:val="00583FBD"/>
  </w:style>
  <w:style w:type="numbering" w:styleId="ArticleSection">
    <w:name w:val="Outline List 3"/>
    <w:basedOn w:val="NoList"/>
    <w:semiHidden/>
    <w:rsid w:val="00583FBD"/>
    <w:pPr>
      <w:numPr>
        <w:numId w:val="46"/>
      </w:numPr>
    </w:pPr>
  </w:style>
  <w:style w:type="paragraph" w:styleId="Closing">
    <w:name w:val="Closing"/>
    <w:basedOn w:val="Normal"/>
    <w:link w:val="ClosingChar"/>
    <w:semiHidden/>
    <w:rsid w:val="00583FBD"/>
    <w:pPr>
      <w:suppressAutoHyphens w:val="0"/>
      <w:spacing w:line="240" w:lineRule="atLeast"/>
      <w:ind w:left="4252"/>
    </w:pPr>
    <w:rPr>
      <w:rFonts w:eastAsiaTheme="minorEastAsia"/>
      <w:spacing w:val="0"/>
      <w:w w:val="100"/>
      <w:kern w:val="0"/>
      <w:szCs w:val="20"/>
      <w:lang w:eastAsia="es-ES"/>
      <w14:ligatures w14:val="none"/>
    </w:rPr>
  </w:style>
  <w:style w:type="character" w:customStyle="1" w:styleId="ClosingChar">
    <w:name w:val="Closing Char"/>
    <w:basedOn w:val="DefaultParagraphFont"/>
    <w:link w:val="Closing"/>
    <w:semiHidden/>
    <w:rsid w:val="00583FBD"/>
    <w:rPr>
      <w:rFonts w:ascii="Times New Roman" w:hAnsi="Times New Roman" w:cs="Times New Roman"/>
      <w:kern w:val="0"/>
      <w:sz w:val="20"/>
      <w:szCs w:val="20"/>
      <w:lang w:val="es-ES" w:eastAsia="es-ES"/>
      <w14:ligatures w14:val="none"/>
    </w:rPr>
  </w:style>
  <w:style w:type="character" w:styleId="HTMLCite">
    <w:name w:val="HTML Cite"/>
    <w:semiHidden/>
    <w:rsid w:val="00583FBD"/>
    <w:rPr>
      <w:i/>
      <w:iCs/>
    </w:rPr>
  </w:style>
  <w:style w:type="character" w:styleId="HTMLCode">
    <w:name w:val="HTML Code"/>
    <w:semiHidden/>
    <w:rsid w:val="00583FBD"/>
    <w:rPr>
      <w:rFonts w:ascii="Courier New" w:hAnsi="Courier New" w:cs="Courier New"/>
      <w:sz w:val="20"/>
      <w:szCs w:val="20"/>
    </w:rPr>
  </w:style>
  <w:style w:type="paragraph" w:styleId="ListContinue3">
    <w:name w:val="List Continue 3"/>
    <w:basedOn w:val="Normal"/>
    <w:semiHidden/>
    <w:rsid w:val="00583FBD"/>
    <w:pPr>
      <w:suppressAutoHyphens w:val="0"/>
      <w:spacing w:after="120" w:line="240" w:lineRule="atLeast"/>
      <w:ind w:left="849"/>
    </w:pPr>
    <w:rPr>
      <w:rFonts w:eastAsiaTheme="minorEastAsia"/>
      <w:spacing w:val="0"/>
      <w:w w:val="100"/>
      <w:kern w:val="0"/>
      <w:szCs w:val="20"/>
      <w:lang w:eastAsia="es-ES"/>
      <w14:ligatures w14:val="none"/>
    </w:rPr>
  </w:style>
  <w:style w:type="paragraph" w:styleId="ListContinue4">
    <w:name w:val="List Continue 4"/>
    <w:basedOn w:val="Normal"/>
    <w:semiHidden/>
    <w:rsid w:val="00583FBD"/>
    <w:pPr>
      <w:suppressAutoHyphens w:val="0"/>
      <w:spacing w:after="120" w:line="240" w:lineRule="atLeast"/>
      <w:ind w:left="1132"/>
    </w:pPr>
    <w:rPr>
      <w:rFonts w:eastAsiaTheme="minorEastAsia"/>
      <w:spacing w:val="0"/>
      <w:w w:val="100"/>
      <w:kern w:val="0"/>
      <w:szCs w:val="20"/>
      <w:lang w:eastAsia="es-ES"/>
      <w14:ligatures w14:val="none"/>
    </w:rPr>
  </w:style>
  <w:style w:type="paragraph" w:styleId="ListContinue5">
    <w:name w:val="List Continue 5"/>
    <w:basedOn w:val="Normal"/>
    <w:semiHidden/>
    <w:rsid w:val="00583FBD"/>
    <w:pPr>
      <w:suppressAutoHyphens w:val="0"/>
      <w:spacing w:after="120" w:line="240" w:lineRule="atLeast"/>
      <w:ind w:left="1415"/>
    </w:pPr>
    <w:rPr>
      <w:rFonts w:eastAsiaTheme="minorEastAsia"/>
      <w:spacing w:val="0"/>
      <w:w w:val="100"/>
      <w:kern w:val="0"/>
      <w:szCs w:val="20"/>
      <w:lang w:eastAsia="es-ES"/>
      <w14:ligatures w14:val="none"/>
    </w:rPr>
  </w:style>
  <w:style w:type="character" w:styleId="HTMLDefinition">
    <w:name w:val="HTML Definition"/>
    <w:semiHidden/>
    <w:rsid w:val="00583FBD"/>
    <w:rPr>
      <w:i/>
      <w:iCs/>
    </w:rPr>
  </w:style>
  <w:style w:type="paragraph" w:styleId="HTMLAddress">
    <w:name w:val="HTML Address"/>
    <w:basedOn w:val="Normal"/>
    <w:link w:val="HTMLAddressChar"/>
    <w:semiHidden/>
    <w:rsid w:val="00583FBD"/>
    <w:pPr>
      <w:suppressAutoHyphens w:val="0"/>
      <w:spacing w:line="240" w:lineRule="atLeast"/>
    </w:pPr>
    <w:rPr>
      <w:rFonts w:eastAsiaTheme="minorEastAsia"/>
      <w:i/>
      <w:iCs/>
      <w:spacing w:val="0"/>
      <w:w w:val="100"/>
      <w:kern w:val="0"/>
      <w:szCs w:val="20"/>
      <w:lang w:eastAsia="es-ES"/>
      <w14:ligatures w14:val="none"/>
    </w:rPr>
  </w:style>
  <w:style w:type="character" w:customStyle="1" w:styleId="HTMLAddressChar">
    <w:name w:val="HTML Address Char"/>
    <w:basedOn w:val="DefaultParagraphFont"/>
    <w:link w:val="HTMLAddress"/>
    <w:semiHidden/>
    <w:rsid w:val="00583FBD"/>
    <w:rPr>
      <w:rFonts w:ascii="Times New Roman" w:hAnsi="Times New Roman" w:cs="Times New Roman"/>
      <w:i/>
      <w:iCs/>
      <w:kern w:val="0"/>
      <w:sz w:val="20"/>
      <w:szCs w:val="20"/>
      <w:lang w:val="es-ES" w:eastAsia="es-ES"/>
      <w14:ligatures w14:val="none"/>
    </w:rPr>
  </w:style>
  <w:style w:type="paragraph" w:styleId="EnvelopeAddress">
    <w:name w:val="envelope address"/>
    <w:basedOn w:val="Normal"/>
    <w:semiHidden/>
    <w:rsid w:val="00583FBD"/>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kern w:val="0"/>
      <w:sz w:val="24"/>
      <w:szCs w:val="24"/>
      <w:lang w:eastAsia="es-ES"/>
      <w14:ligatures w14:val="none"/>
    </w:rPr>
  </w:style>
  <w:style w:type="character" w:styleId="HTMLSample">
    <w:name w:val="HTML Sample"/>
    <w:semiHidden/>
    <w:rsid w:val="00583FBD"/>
    <w:rPr>
      <w:rFonts w:ascii="Courier New" w:hAnsi="Courier New" w:cs="Courier New"/>
    </w:rPr>
  </w:style>
  <w:style w:type="paragraph" w:styleId="MessageHeader">
    <w:name w:val="Message Header"/>
    <w:basedOn w:val="Normal"/>
    <w:link w:val="MessageHeaderChar"/>
    <w:semiHidden/>
    <w:rsid w:val="00583FBD"/>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kern w:val="0"/>
      <w:sz w:val="24"/>
      <w:szCs w:val="24"/>
      <w:lang w:eastAsia="es-ES"/>
      <w14:ligatures w14:val="none"/>
    </w:rPr>
  </w:style>
  <w:style w:type="character" w:customStyle="1" w:styleId="MessageHeaderChar">
    <w:name w:val="Message Header Char"/>
    <w:basedOn w:val="DefaultParagraphFont"/>
    <w:link w:val="MessageHeader"/>
    <w:semiHidden/>
    <w:rsid w:val="00583FBD"/>
    <w:rPr>
      <w:rFonts w:ascii="Arial" w:hAnsi="Arial" w:cs="Arial"/>
      <w:kern w:val="0"/>
      <w:sz w:val="24"/>
      <w:szCs w:val="24"/>
      <w:shd w:val="pct20" w:color="auto" w:fill="auto"/>
      <w:lang w:val="es-ES" w:eastAsia="es-ES"/>
      <w14:ligatures w14:val="none"/>
    </w:rPr>
  </w:style>
  <w:style w:type="paragraph" w:styleId="NoteHeading">
    <w:name w:val="Note Heading"/>
    <w:basedOn w:val="Normal"/>
    <w:next w:val="Normal"/>
    <w:link w:val="NoteHeadingChar"/>
    <w:semiHidden/>
    <w:rsid w:val="00583FBD"/>
    <w:pPr>
      <w:suppressAutoHyphens w:val="0"/>
      <w:spacing w:line="240" w:lineRule="atLeast"/>
    </w:pPr>
    <w:rPr>
      <w:rFonts w:eastAsiaTheme="minorEastAsia"/>
      <w:spacing w:val="0"/>
      <w:w w:val="100"/>
      <w:kern w:val="0"/>
      <w:szCs w:val="20"/>
      <w:lang w:eastAsia="es-ES"/>
      <w14:ligatures w14:val="none"/>
    </w:rPr>
  </w:style>
  <w:style w:type="character" w:customStyle="1" w:styleId="NoteHeadingChar">
    <w:name w:val="Note Heading Char"/>
    <w:basedOn w:val="DefaultParagraphFont"/>
    <w:link w:val="NoteHeading"/>
    <w:semiHidden/>
    <w:rsid w:val="00583FBD"/>
    <w:rPr>
      <w:rFonts w:ascii="Times New Roman" w:hAnsi="Times New Roman" w:cs="Times New Roman"/>
      <w:kern w:val="0"/>
      <w:sz w:val="20"/>
      <w:szCs w:val="20"/>
      <w:lang w:val="es-ES" w:eastAsia="es-ES"/>
      <w14:ligatures w14:val="none"/>
    </w:rPr>
  </w:style>
  <w:style w:type="character" w:styleId="Emphasis">
    <w:name w:val="Emphasis"/>
    <w:uiPriority w:val="20"/>
    <w:qFormat/>
    <w:rsid w:val="00583FBD"/>
    <w:rPr>
      <w:i/>
      <w:iCs/>
    </w:rPr>
  </w:style>
  <w:style w:type="paragraph" w:styleId="Date">
    <w:name w:val="Date"/>
    <w:basedOn w:val="Normal"/>
    <w:next w:val="Normal"/>
    <w:link w:val="DateChar"/>
    <w:semiHidden/>
    <w:rsid w:val="00583FBD"/>
    <w:pPr>
      <w:suppressAutoHyphens w:val="0"/>
      <w:spacing w:line="240" w:lineRule="atLeast"/>
    </w:pPr>
    <w:rPr>
      <w:rFonts w:eastAsiaTheme="minorEastAsia"/>
      <w:spacing w:val="0"/>
      <w:w w:val="100"/>
      <w:kern w:val="0"/>
      <w:szCs w:val="20"/>
      <w:lang w:eastAsia="es-ES"/>
      <w14:ligatures w14:val="none"/>
    </w:rPr>
  </w:style>
  <w:style w:type="character" w:customStyle="1" w:styleId="DateChar">
    <w:name w:val="Date Char"/>
    <w:basedOn w:val="DefaultParagraphFont"/>
    <w:link w:val="Date"/>
    <w:semiHidden/>
    <w:rsid w:val="00583FBD"/>
    <w:rPr>
      <w:rFonts w:ascii="Times New Roman" w:hAnsi="Times New Roman" w:cs="Times New Roman"/>
      <w:kern w:val="0"/>
      <w:sz w:val="20"/>
      <w:szCs w:val="20"/>
      <w:lang w:val="es-ES" w:eastAsia="es-ES"/>
      <w14:ligatures w14:val="none"/>
    </w:rPr>
  </w:style>
  <w:style w:type="paragraph" w:styleId="Signature">
    <w:name w:val="Signature"/>
    <w:basedOn w:val="Normal"/>
    <w:link w:val="SignatureChar"/>
    <w:semiHidden/>
    <w:rsid w:val="00583FBD"/>
    <w:pPr>
      <w:suppressAutoHyphens w:val="0"/>
      <w:spacing w:line="240" w:lineRule="atLeast"/>
      <w:ind w:left="4252"/>
    </w:pPr>
    <w:rPr>
      <w:rFonts w:eastAsiaTheme="minorEastAsia"/>
      <w:spacing w:val="0"/>
      <w:w w:val="100"/>
      <w:kern w:val="0"/>
      <w:szCs w:val="20"/>
      <w:lang w:eastAsia="es-ES"/>
      <w14:ligatures w14:val="none"/>
    </w:rPr>
  </w:style>
  <w:style w:type="character" w:customStyle="1" w:styleId="SignatureChar">
    <w:name w:val="Signature Char"/>
    <w:basedOn w:val="DefaultParagraphFont"/>
    <w:link w:val="Signature"/>
    <w:semiHidden/>
    <w:rsid w:val="00583FBD"/>
    <w:rPr>
      <w:rFonts w:ascii="Times New Roman" w:hAnsi="Times New Roman" w:cs="Times New Roman"/>
      <w:kern w:val="0"/>
      <w:sz w:val="20"/>
      <w:szCs w:val="20"/>
      <w:lang w:val="es-ES" w:eastAsia="es-ES"/>
      <w14:ligatures w14:val="none"/>
    </w:rPr>
  </w:style>
  <w:style w:type="paragraph" w:styleId="E-mailSignature">
    <w:name w:val="E-mail Signature"/>
    <w:basedOn w:val="Normal"/>
    <w:link w:val="E-mailSignatureChar"/>
    <w:semiHidden/>
    <w:rsid w:val="00583FBD"/>
    <w:pPr>
      <w:suppressAutoHyphens w:val="0"/>
      <w:spacing w:line="240" w:lineRule="atLeast"/>
    </w:pPr>
    <w:rPr>
      <w:rFonts w:eastAsiaTheme="minorEastAsia"/>
      <w:spacing w:val="0"/>
      <w:w w:val="100"/>
      <w:kern w:val="0"/>
      <w:szCs w:val="20"/>
      <w:lang w:eastAsia="es-ES"/>
      <w14:ligatures w14:val="none"/>
    </w:rPr>
  </w:style>
  <w:style w:type="character" w:customStyle="1" w:styleId="E-mailSignatureChar">
    <w:name w:val="E-mail Signature Char"/>
    <w:basedOn w:val="DefaultParagraphFont"/>
    <w:link w:val="E-mailSignature"/>
    <w:semiHidden/>
    <w:rsid w:val="00583FBD"/>
    <w:rPr>
      <w:rFonts w:ascii="Times New Roman" w:hAnsi="Times New Roman" w:cs="Times New Roman"/>
      <w:kern w:val="0"/>
      <w:sz w:val="20"/>
      <w:szCs w:val="20"/>
      <w:lang w:val="es-ES" w:eastAsia="es-ES"/>
      <w14:ligatures w14:val="none"/>
    </w:rPr>
  </w:style>
  <w:style w:type="paragraph" w:styleId="HTMLPreformatted">
    <w:name w:val="HTML Preformatted"/>
    <w:basedOn w:val="Normal"/>
    <w:link w:val="HTMLPreformattedChar"/>
    <w:semiHidden/>
    <w:rsid w:val="00583FBD"/>
    <w:pPr>
      <w:suppressAutoHyphens w:val="0"/>
      <w:spacing w:line="240" w:lineRule="atLeast"/>
    </w:pPr>
    <w:rPr>
      <w:rFonts w:ascii="Courier New" w:eastAsiaTheme="minorEastAsia" w:hAnsi="Courier New" w:cs="Courier New"/>
      <w:spacing w:val="0"/>
      <w:w w:val="100"/>
      <w:kern w:val="0"/>
      <w:szCs w:val="20"/>
      <w:lang w:eastAsia="es-ES"/>
      <w14:ligatures w14:val="none"/>
    </w:rPr>
  </w:style>
  <w:style w:type="character" w:customStyle="1" w:styleId="HTMLPreformattedChar">
    <w:name w:val="HTML Preformatted Char"/>
    <w:basedOn w:val="DefaultParagraphFont"/>
    <w:link w:val="HTMLPreformatted"/>
    <w:semiHidden/>
    <w:rsid w:val="00583FBD"/>
    <w:rPr>
      <w:rFonts w:ascii="Courier New" w:hAnsi="Courier New" w:cs="Courier New"/>
      <w:kern w:val="0"/>
      <w:sz w:val="20"/>
      <w:szCs w:val="20"/>
      <w:lang w:val="es-ES" w:eastAsia="es-ES"/>
      <w14:ligatures w14:val="none"/>
    </w:rPr>
  </w:style>
  <w:style w:type="paragraph" w:styleId="List">
    <w:name w:val="List"/>
    <w:basedOn w:val="Normal"/>
    <w:semiHidden/>
    <w:rsid w:val="00583FBD"/>
    <w:pPr>
      <w:suppressAutoHyphens w:val="0"/>
      <w:spacing w:line="240" w:lineRule="atLeast"/>
      <w:ind w:left="283" w:hanging="283"/>
    </w:pPr>
    <w:rPr>
      <w:rFonts w:eastAsiaTheme="minorEastAsia"/>
      <w:spacing w:val="0"/>
      <w:w w:val="100"/>
      <w:kern w:val="0"/>
      <w:szCs w:val="20"/>
      <w:lang w:eastAsia="es-ES"/>
      <w14:ligatures w14:val="none"/>
    </w:rPr>
  </w:style>
  <w:style w:type="paragraph" w:styleId="List2">
    <w:name w:val="List 2"/>
    <w:basedOn w:val="Normal"/>
    <w:semiHidden/>
    <w:rsid w:val="00583FBD"/>
    <w:pPr>
      <w:suppressAutoHyphens w:val="0"/>
      <w:spacing w:line="240" w:lineRule="atLeast"/>
      <w:ind w:left="566" w:hanging="283"/>
    </w:pPr>
    <w:rPr>
      <w:rFonts w:eastAsiaTheme="minorEastAsia"/>
      <w:spacing w:val="0"/>
      <w:w w:val="100"/>
      <w:kern w:val="0"/>
      <w:szCs w:val="20"/>
      <w:lang w:eastAsia="es-ES"/>
      <w14:ligatures w14:val="none"/>
    </w:rPr>
  </w:style>
  <w:style w:type="paragraph" w:styleId="List3">
    <w:name w:val="List 3"/>
    <w:basedOn w:val="Normal"/>
    <w:semiHidden/>
    <w:rsid w:val="00583FBD"/>
    <w:pPr>
      <w:suppressAutoHyphens w:val="0"/>
      <w:spacing w:line="240" w:lineRule="atLeast"/>
      <w:ind w:left="849" w:hanging="283"/>
    </w:pPr>
    <w:rPr>
      <w:rFonts w:eastAsiaTheme="minorEastAsia"/>
      <w:spacing w:val="0"/>
      <w:w w:val="100"/>
      <w:kern w:val="0"/>
      <w:szCs w:val="20"/>
      <w:lang w:eastAsia="es-ES"/>
      <w14:ligatures w14:val="none"/>
    </w:rPr>
  </w:style>
  <w:style w:type="paragraph" w:styleId="List4">
    <w:name w:val="List 4"/>
    <w:basedOn w:val="Normal"/>
    <w:semiHidden/>
    <w:rsid w:val="00583FBD"/>
    <w:pPr>
      <w:suppressAutoHyphens w:val="0"/>
      <w:spacing w:line="240" w:lineRule="atLeast"/>
      <w:ind w:left="1132" w:hanging="283"/>
    </w:pPr>
    <w:rPr>
      <w:rFonts w:eastAsiaTheme="minorEastAsia"/>
      <w:spacing w:val="0"/>
      <w:w w:val="100"/>
      <w:kern w:val="0"/>
      <w:szCs w:val="20"/>
      <w:lang w:eastAsia="es-ES"/>
      <w14:ligatures w14:val="none"/>
    </w:rPr>
  </w:style>
  <w:style w:type="paragraph" w:styleId="List5">
    <w:name w:val="List 5"/>
    <w:basedOn w:val="Normal"/>
    <w:semiHidden/>
    <w:rsid w:val="00583FBD"/>
    <w:pPr>
      <w:suppressAutoHyphens w:val="0"/>
      <w:spacing w:line="240" w:lineRule="atLeast"/>
      <w:ind w:left="1415" w:hanging="283"/>
    </w:pPr>
    <w:rPr>
      <w:rFonts w:eastAsiaTheme="minorEastAsia"/>
      <w:spacing w:val="0"/>
      <w:w w:val="100"/>
      <w:kern w:val="0"/>
      <w:szCs w:val="20"/>
      <w:lang w:eastAsia="es-ES"/>
      <w14:ligatures w14:val="none"/>
    </w:rPr>
  </w:style>
  <w:style w:type="paragraph" w:styleId="ListBullet">
    <w:name w:val="List Bullet"/>
    <w:basedOn w:val="Normal"/>
    <w:semiHidden/>
    <w:rsid w:val="00583FBD"/>
    <w:pPr>
      <w:numPr>
        <w:numId w:val="31"/>
      </w:numPr>
      <w:suppressAutoHyphens w:val="0"/>
      <w:spacing w:line="240" w:lineRule="atLeast"/>
    </w:pPr>
    <w:rPr>
      <w:rFonts w:eastAsiaTheme="minorEastAsia"/>
      <w:spacing w:val="0"/>
      <w:w w:val="100"/>
      <w:kern w:val="0"/>
      <w:szCs w:val="20"/>
      <w:lang w:eastAsia="es-ES"/>
      <w14:ligatures w14:val="none"/>
    </w:rPr>
  </w:style>
  <w:style w:type="paragraph" w:styleId="ListBullet2">
    <w:name w:val="List Bullet 2"/>
    <w:basedOn w:val="Normal"/>
    <w:semiHidden/>
    <w:rsid w:val="00583FBD"/>
    <w:pPr>
      <w:numPr>
        <w:numId w:val="32"/>
      </w:numPr>
      <w:suppressAutoHyphens w:val="0"/>
      <w:spacing w:line="240" w:lineRule="atLeast"/>
    </w:pPr>
    <w:rPr>
      <w:rFonts w:eastAsiaTheme="minorEastAsia"/>
      <w:spacing w:val="0"/>
      <w:w w:val="100"/>
      <w:kern w:val="0"/>
      <w:szCs w:val="20"/>
      <w:lang w:eastAsia="es-ES"/>
      <w14:ligatures w14:val="none"/>
    </w:rPr>
  </w:style>
  <w:style w:type="paragraph" w:styleId="ListBullet3">
    <w:name w:val="List Bullet 3"/>
    <w:basedOn w:val="Normal"/>
    <w:semiHidden/>
    <w:rsid w:val="00583FBD"/>
    <w:pPr>
      <w:numPr>
        <w:numId w:val="33"/>
      </w:numPr>
      <w:suppressAutoHyphens w:val="0"/>
      <w:spacing w:line="240" w:lineRule="atLeast"/>
    </w:pPr>
    <w:rPr>
      <w:rFonts w:eastAsiaTheme="minorEastAsia"/>
      <w:spacing w:val="0"/>
      <w:w w:val="100"/>
      <w:kern w:val="0"/>
      <w:szCs w:val="20"/>
      <w:lang w:eastAsia="es-ES"/>
      <w14:ligatures w14:val="none"/>
    </w:rPr>
  </w:style>
  <w:style w:type="paragraph" w:styleId="ListBullet4">
    <w:name w:val="List Bullet 4"/>
    <w:basedOn w:val="Normal"/>
    <w:semiHidden/>
    <w:rsid w:val="00583FBD"/>
    <w:pPr>
      <w:numPr>
        <w:numId w:val="34"/>
      </w:numPr>
      <w:suppressAutoHyphens w:val="0"/>
      <w:spacing w:line="240" w:lineRule="atLeast"/>
    </w:pPr>
    <w:rPr>
      <w:rFonts w:eastAsiaTheme="minorEastAsia"/>
      <w:spacing w:val="0"/>
      <w:w w:val="100"/>
      <w:kern w:val="0"/>
      <w:szCs w:val="20"/>
      <w:lang w:eastAsia="es-ES"/>
      <w14:ligatures w14:val="none"/>
    </w:rPr>
  </w:style>
  <w:style w:type="paragraph" w:styleId="ListBullet5">
    <w:name w:val="List Bullet 5"/>
    <w:basedOn w:val="Normal"/>
    <w:semiHidden/>
    <w:rsid w:val="00583FBD"/>
    <w:pPr>
      <w:numPr>
        <w:numId w:val="35"/>
      </w:numPr>
      <w:suppressAutoHyphens w:val="0"/>
      <w:spacing w:line="240" w:lineRule="atLeast"/>
    </w:pPr>
    <w:rPr>
      <w:rFonts w:eastAsiaTheme="minorEastAsia"/>
      <w:spacing w:val="0"/>
      <w:w w:val="100"/>
      <w:kern w:val="0"/>
      <w:szCs w:val="20"/>
      <w:lang w:eastAsia="es-ES"/>
      <w14:ligatures w14:val="none"/>
    </w:rPr>
  </w:style>
  <w:style w:type="character" w:styleId="HTMLTypewriter">
    <w:name w:val="HTML Typewriter"/>
    <w:semiHidden/>
    <w:rsid w:val="00583FBD"/>
    <w:rPr>
      <w:rFonts w:ascii="Courier New" w:hAnsi="Courier New" w:cs="Courier New"/>
      <w:sz w:val="20"/>
      <w:szCs w:val="20"/>
    </w:rPr>
  </w:style>
  <w:style w:type="paragraph" w:styleId="NormalWeb">
    <w:name w:val="Normal (Web)"/>
    <w:basedOn w:val="Normal"/>
    <w:uiPriority w:val="99"/>
    <w:rsid w:val="00583FBD"/>
    <w:pPr>
      <w:suppressAutoHyphens w:val="0"/>
      <w:spacing w:line="240" w:lineRule="atLeast"/>
    </w:pPr>
    <w:rPr>
      <w:rFonts w:eastAsiaTheme="minorEastAsia"/>
      <w:spacing w:val="0"/>
      <w:w w:val="100"/>
      <w:kern w:val="0"/>
      <w:sz w:val="24"/>
      <w:szCs w:val="24"/>
      <w:lang w:eastAsia="es-ES"/>
      <w14:ligatures w14:val="none"/>
    </w:rPr>
  </w:style>
  <w:style w:type="character" w:styleId="PageNumber">
    <w:name w:val="page number"/>
    <w:aliases w:val="7_G"/>
    <w:qFormat/>
    <w:rsid w:val="00583FBD"/>
    <w:rPr>
      <w:b/>
      <w:sz w:val="18"/>
    </w:rPr>
  </w:style>
  <w:style w:type="paragraph" w:styleId="EnvelopeReturn">
    <w:name w:val="envelope return"/>
    <w:basedOn w:val="Normal"/>
    <w:semiHidden/>
    <w:rsid w:val="00583FBD"/>
    <w:pPr>
      <w:suppressAutoHyphens w:val="0"/>
      <w:spacing w:line="240" w:lineRule="atLeast"/>
    </w:pPr>
    <w:rPr>
      <w:rFonts w:ascii="Arial" w:eastAsiaTheme="minorEastAsia" w:hAnsi="Arial" w:cs="Arial"/>
      <w:spacing w:val="0"/>
      <w:w w:val="100"/>
      <w:kern w:val="0"/>
      <w:szCs w:val="20"/>
      <w:lang w:eastAsia="es-ES"/>
      <w14:ligatures w14:val="none"/>
    </w:rPr>
  </w:style>
  <w:style w:type="paragraph" w:styleId="Salutation">
    <w:name w:val="Salutation"/>
    <w:basedOn w:val="Normal"/>
    <w:next w:val="Normal"/>
    <w:link w:val="SalutationChar"/>
    <w:semiHidden/>
    <w:rsid w:val="00583FBD"/>
    <w:pPr>
      <w:suppressAutoHyphens w:val="0"/>
      <w:spacing w:line="240" w:lineRule="atLeast"/>
    </w:pPr>
    <w:rPr>
      <w:rFonts w:eastAsiaTheme="minorEastAsia"/>
      <w:spacing w:val="0"/>
      <w:w w:val="100"/>
      <w:kern w:val="0"/>
      <w:szCs w:val="20"/>
      <w:lang w:eastAsia="es-ES"/>
      <w14:ligatures w14:val="none"/>
    </w:rPr>
  </w:style>
  <w:style w:type="character" w:customStyle="1" w:styleId="SalutationChar">
    <w:name w:val="Salutation Char"/>
    <w:basedOn w:val="DefaultParagraphFont"/>
    <w:link w:val="Salutation"/>
    <w:semiHidden/>
    <w:rsid w:val="00583FBD"/>
    <w:rPr>
      <w:rFonts w:ascii="Times New Roman" w:hAnsi="Times New Roman" w:cs="Times New Roman"/>
      <w:kern w:val="0"/>
      <w:sz w:val="20"/>
      <w:szCs w:val="20"/>
      <w:lang w:val="es-ES" w:eastAsia="es-ES"/>
      <w14:ligatures w14:val="none"/>
    </w:rPr>
  </w:style>
  <w:style w:type="paragraph" w:styleId="BodyTextIndent2">
    <w:name w:val="Body Text Indent 2"/>
    <w:basedOn w:val="Normal"/>
    <w:link w:val="BodyTextIndent2Char"/>
    <w:semiHidden/>
    <w:rsid w:val="00583FBD"/>
    <w:pPr>
      <w:suppressAutoHyphens w:val="0"/>
      <w:spacing w:after="120" w:line="480" w:lineRule="auto"/>
      <w:ind w:left="283"/>
    </w:pPr>
    <w:rPr>
      <w:rFonts w:eastAsiaTheme="minorEastAsia"/>
      <w:spacing w:val="0"/>
      <w:w w:val="100"/>
      <w:kern w:val="0"/>
      <w:szCs w:val="20"/>
      <w:lang w:eastAsia="es-ES"/>
      <w14:ligatures w14:val="none"/>
    </w:rPr>
  </w:style>
  <w:style w:type="character" w:customStyle="1" w:styleId="BodyTextIndent2Char">
    <w:name w:val="Body Text Indent 2 Char"/>
    <w:basedOn w:val="DefaultParagraphFont"/>
    <w:link w:val="BodyTextIndent2"/>
    <w:semiHidden/>
    <w:rsid w:val="00583FBD"/>
    <w:rPr>
      <w:rFonts w:ascii="Times New Roman" w:hAnsi="Times New Roman" w:cs="Times New Roman"/>
      <w:kern w:val="0"/>
      <w:sz w:val="20"/>
      <w:szCs w:val="20"/>
      <w:lang w:val="es-ES" w:eastAsia="es-ES"/>
      <w14:ligatures w14:val="none"/>
    </w:rPr>
  </w:style>
  <w:style w:type="paragraph" w:styleId="BodyTextIndent3">
    <w:name w:val="Body Text Indent 3"/>
    <w:basedOn w:val="Normal"/>
    <w:link w:val="BodyTextIndent3Char"/>
    <w:semiHidden/>
    <w:rsid w:val="00583FBD"/>
    <w:pPr>
      <w:suppressAutoHyphens w:val="0"/>
      <w:spacing w:after="120" w:line="240" w:lineRule="atLeast"/>
      <w:ind w:left="283"/>
    </w:pPr>
    <w:rPr>
      <w:rFonts w:eastAsiaTheme="minorEastAsia"/>
      <w:spacing w:val="0"/>
      <w:w w:val="100"/>
      <w:kern w:val="0"/>
      <w:sz w:val="16"/>
      <w:szCs w:val="16"/>
      <w:lang w:eastAsia="es-ES"/>
      <w14:ligatures w14:val="none"/>
    </w:rPr>
  </w:style>
  <w:style w:type="character" w:customStyle="1" w:styleId="BodyTextIndent3Char">
    <w:name w:val="Body Text Indent 3 Char"/>
    <w:basedOn w:val="DefaultParagraphFont"/>
    <w:link w:val="BodyTextIndent3"/>
    <w:semiHidden/>
    <w:rsid w:val="00583FBD"/>
    <w:rPr>
      <w:rFonts w:ascii="Times New Roman" w:hAnsi="Times New Roman" w:cs="Times New Roman"/>
      <w:kern w:val="0"/>
      <w:sz w:val="16"/>
      <w:szCs w:val="16"/>
      <w:lang w:val="es-ES" w:eastAsia="es-ES"/>
      <w14:ligatures w14:val="none"/>
    </w:rPr>
  </w:style>
  <w:style w:type="paragraph" w:styleId="BodyTextIndent">
    <w:name w:val="Body Text Indent"/>
    <w:basedOn w:val="Normal"/>
    <w:link w:val="BodyTextIndentChar"/>
    <w:semiHidden/>
    <w:rsid w:val="00583FBD"/>
    <w:pPr>
      <w:suppressAutoHyphens w:val="0"/>
      <w:spacing w:after="120" w:line="240" w:lineRule="atLeast"/>
      <w:ind w:left="283"/>
    </w:pPr>
    <w:rPr>
      <w:rFonts w:eastAsiaTheme="minorEastAsia"/>
      <w:spacing w:val="0"/>
      <w:w w:val="100"/>
      <w:kern w:val="0"/>
      <w:szCs w:val="20"/>
      <w:lang w:eastAsia="es-ES"/>
      <w14:ligatures w14:val="none"/>
    </w:rPr>
  </w:style>
  <w:style w:type="character" w:customStyle="1" w:styleId="BodyTextIndentChar">
    <w:name w:val="Body Text Indent Char"/>
    <w:basedOn w:val="DefaultParagraphFont"/>
    <w:link w:val="BodyTextIndent"/>
    <w:semiHidden/>
    <w:rsid w:val="00583FBD"/>
    <w:rPr>
      <w:rFonts w:ascii="Times New Roman" w:hAnsi="Times New Roman" w:cs="Times New Roman"/>
      <w:kern w:val="0"/>
      <w:sz w:val="20"/>
      <w:szCs w:val="20"/>
      <w:lang w:val="es-ES" w:eastAsia="es-ES"/>
      <w14:ligatures w14:val="none"/>
    </w:rPr>
  </w:style>
  <w:style w:type="paragraph" w:styleId="NormalIndent">
    <w:name w:val="Normal Indent"/>
    <w:basedOn w:val="Normal"/>
    <w:semiHidden/>
    <w:rsid w:val="00583FBD"/>
    <w:pPr>
      <w:suppressAutoHyphens w:val="0"/>
      <w:spacing w:line="240" w:lineRule="atLeast"/>
      <w:ind w:left="567"/>
    </w:pPr>
    <w:rPr>
      <w:rFonts w:eastAsiaTheme="minorEastAsia"/>
      <w:spacing w:val="0"/>
      <w:w w:val="100"/>
      <w:kern w:val="0"/>
      <w:szCs w:val="20"/>
      <w:lang w:eastAsia="es-ES"/>
      <w14:ligatures w14:val="none"/>
    </w:rPr>
  </w:style>
  <w:style w:type="table" w:styleId="TableSimple1">
    <w:name w:val="Table Simple 1"/>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3FBD"/>
    <w:pPr>
      <w:spacing w:after="0" w:line="240" w:lineRule="atLeast"/>
    </w:pPr>
    <w:rPr>
      <w:rFonts w:ascii="Times New Roman" w:hAnsi="Times New Roman" w:cs="Times New Roman"/>
      <w:kern w:val="0"/>
      <w:sz w:val="20"/>
      <w:szCs w:val="20"/>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3FBD"/>
    <w:pPr>
      <w:spacing w:after="0" w:line="240" w:lineRule="atLeast"/>
    </w:pPr>
    <w:rPr>
      <w:rFonts w:ascii="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83FBD"/>
    <w:pPr>
      <w:spacing w:after="0" w:line="240" w:lineRule="atLeast"/>
    </w:pPr>
    <w:rPr>
      <w:rFonts w:ascii="Times New Roman" w:hAnsi="Times New Roman" w:cs="Times New Roman"/>
      <w:b/>
      <w:bCs/>
      <w:kern w:val="0"/>
      <w:sz w:val="20"/>
      <w:szCs w:val="20"/>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3FBD"/>
    <w:pPr>
      <w:spacing w:after="0" w:line="240" w:lineRule="atLeast"/>
    </w:pPr>
    <w:rPr>
      <w:rFonts w:ascii="Times New Roman" w:hAnsi="Times New Roman" w:cs="Times New Roman"/>
      <w:b/>
      <w:bCs/>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3FBD"/>
    <w:pPr>
      <w:spacing w:after="0" w:line="240" w:lineRule="atLeast"/>
    </w:pPr>
    <w:rPr>
      <w:rFonts w:ascii="Times New Roman" w:hAnsi="Times New Roman" w:cs="Times New Roman"/>
      <w:b/>
      <w:bCs/>
      <w:kern w:val="0"/>
      <w:sz w:val="20"/>
      <w:szCs w:val="20"/>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3FBD"/>
    <w:pPr>
      <w:spacing w:after="0" w:line="240" w:lineRule="atLeast"/>
    </w:pPr>
    <w:rPr>
      <w:rFonts w:ascii="Times New Roman" w:hAnsi="Times New Roman" w:cs="Times New Roman"/>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3FBD"/>
    <w:pPr>
      <w:spacing w:after="0" w:line="240" w:lineRule="atLeast"/>
    </w:pPr>
    <w:rPr>
      <w:rFonts w:ascii="Times New Roman" w:hAnsi="Times New Roman" w:cs="Times New Roman"/>
      <w:kern w:val="0"/>
      <w:sz w:val="20"/>
      <w:szCs w:val="20"/>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3FBD"/>
    <w:pPr>
      <w:spacing w:after="0" w:line="240" w:lineRule="atLeast"/>
    </w:pPr>
    <w:rPr>
      <w:rFonts w:ascii="Times New Roman" w:hAnsi="Times New Roman" w:cs="Times New Roman"/>
      <w:kern w:val="0"/>
      <w:sz w:val="20"/>
      <w:szCs w:val="20"/>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3FBD"/>
    <w:pPr>
      <w:spacing w:after="0" w:line="240" w:lineRule="atLeast"/>
    </w:pPr>
    <w:rPr>
      <w:rFonts w:ascii="Times New Roman" w:hAnsi="Times New Roman" w:cs="Times New Roman"/>
      <w:kern w:val="0"/>
      <w:sz w:val="20"/>
      <w:szCs w:val="20"/>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3FBD"/>
    <w:pPr>
      <w:spacing w:after="0" w:line="240" w:lineRule="atLeast"/>
    </w:pPr>
    <w:rPr>
      <w:rFonts w:ascii="Times New Roman" w:hAnsi="Times New Roman" w:cs="Times New Roman"/>
      <w:b/>
      <w:bCs/>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83FBD"/>
    <w:pPr>
      <w:spacing w:after="0" w:line="240" w:lineRule="atLeast"/>
    </w:pPr>
    <w:rPr>
      <w:rFonts w:ascii="Times New Roman" w:hAnsi="Times New Roman" w:cs="Times New Roman"/>
      <w:kern w:val="0"/>
      <w:sz w:val="20"/>
      <w:szCs w:val="20"/>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83FBD"/>
    <w:pPr>
      <w:spacing w:after="0" w:line="240" w:lineRule="atLeast"/>
    </w:pPr>
    <w:rPr>
      <w:rFonts w:ascii="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3FBD"/>
    <w:pPr>
      <w:spacing w:after="0" w:line="240" w:lineRule="atLeast"/>
    </w:pPr>
    <w:rPr>
      <w:rFonts w:ascii="Times New Roman" w:hAnsi="Times New Roman" w:cs="Times New Roman"/>
      <w:kern w:val="0"/>
      <w:sz w:val="20"/>
      <w:szCs w:val="20"/>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3FBD"/>
    <w:pPr>
      <w:spacing w:after="0" w:line="240" w:lineRule="atLeast"/>
    </w:pPr>
    <w:rPr>
      <w:rFonts w:ascii="Times New Roman" w:hAnsi="Times New Roman" w:cs="Times New Roman"/>
      <w:kern w:val="0"/>
      <w:sz w:val="20"/>
      <w:szCs w:val="20"/>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83FBD"/>
    <w:pPr>
      <w:spacing w:after="0" w:line="240" w:lineRule="atLeast"/>
    </w:pPr>
    <w:rPr>
      <w:rFonts w:ascii="Times New Roman" w:hAnsi="Times New Roman" w:cs="Times New Roman"/>
      <w:color w:val="FFFFFF"/>
      <w:kern w:val="0"/>
      <w:sz w:val="20"/>
      <w:szCs w:val="20"/>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3FBD"/>
    <w:pPr>
      <w:spacing w:after="0" w:line="240" w:lineRule="atLeast"/>
    </w:pPr>
    <w:rPr>
      <w:rFonts w:ascii="Times New Roman" w:hAnsi="Times New Roman" w:cs="Times New Roman"/>
      <w:kern w:val="0"/>
      <w:sz w:val="20"/>
      <w:szCs w:val="20"/>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3FBD"/>
    <w:pPr>
      <w:spacing w:after="0" w:line="240" w:lineRule="atLeast"/>
    </w:pPr>
    <w:rPr>
      <w:rFonts w:ascii="Times New Roman" w:hAnsi="Times New Roman" w:cs="Times New Roman"/>
      <w:kern w:val="0"/>
      <w:sz w:val="20"/>
      <w:szCs w:val="20"/>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83FBD"/>
    <w:pPr>
      <w:spacing w:after="0" w:line="240" w:lineRule="atLeast"/>
    </w:pPr>
    <w:rPr>
      <w:rFonts w:ascii="Times New Roman" w:hAnsi="Times New Roman" w:cs="Times New Roman"/>
      <w:kern w:val="0"/>
      <w:sz w:val="20"/>
      <w:szCs w:val="2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3FBD"/>
    <w:pPr>
      <w:spacing w:after="0" w:line="240" w:lineRule="atLeast"/>
    </w:pPr>
    <w:rPr>
      <w:rFonts w:ascii="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3FBD"/>
    <w:pPr>
      <w:spacing w:after="0" w:line="240" w:lineRule="atLeast"/>
    </w:pPr>
    <w:rPr>
      <w:rFonts w:ascii="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83FBD"/>
    <w:rPr>
      <w:rFonts w:ascii="Courier New" w:hAnsi="Courier New" w:cs="Courier New"/>
      <w:sz w:val="20"/>
      <w:szCs w:val="20"/>
    </w:rPr>
  </w:style>
  <w:style w:type="paragraph" w:styleId="BlockText">
    <w:name w:val="Block Text"/>
    <w:basedOn w:val="Normal"/>
    <w:semiHidden/>
    <w:rsid w:val="00583FBD"/>
    <w:pPr>
      <w:suppressAutoHyphens w:val="0"/>
      <w:spacing w:after="120" w:line="240" w:lineRule="atLeast"/>
      <w:ind w:left="1440" w:right="1440"/>
    </w:pPr>
    <w:rPr>
      <w:rFonts w:eastAsiaTheme="minorEastAsia"/>
      <w:spacing w:val="0"/>
      <w:w w:val="100"/>
      <w:kern w:val="0"/>
      <w:szCs w:val="20"/>
      <w:lang w:eastAsia="es-ES"/>
      <w14:ligatures w14:val="none"/>
    </w:rPr>
  </w:style>
  <w:style w:type="character" w:styleId="Strong">
    <w:name w:val="Strong"/>
    <w:uiPriority w:val="22"/>
    <w:qFormat/>
    <w:rsid w:val="00583FBD"/>
    <w:rPr>
      <w:b/>
      <w:bCs/>
    </w:rPr>
  </w:style>
  <w:style w:type="paragraph" w:styleId="BodyText">
    <w:name w:val="Body Text"/>
    <w:basedOn w:val="Normal"/>
    <w:link w:val="BodyTextChar"/>
    <w:uiPriority w:val="1"/>
    <w:qFormat/>
    <w:rsid w:val="00583FBD"/>
    <w:pPr>
      <w:suppressAutoHyphens w:val="0"/>
      <w:spacing w:after="120" w:line="240" w:lineRule="atLeast"/>
    </w:pPr>
    <w:rPr>
      <w:rFonts w:eastAsiaTheme="minorEastAsia"/>
      <w:spacing w:val="0"/>
      <w:w w:val="100"/>
      <w:kern w:val="0"/>
      <w:szCs w:val="20"/>
      <w:lang w:eastAsia="es-ES"/>
      <w14:ligatures w14:val="none"/>
    </w:rPr>
  </w:style>
  <w:style w:type="character" w:customStyle="1" w:styleId="BodyTextChar">
    <w:name w:val="Body Text Char"/>
    <w:basedOn w:val="DefaultParagraphFont"/>
    <w:link w:val="BodyText"/>
    <w:uiPriority w:val="1"/>
    <w:rsid w:val="00583FBD"/>
    <w:rPr>
      <w:rFonts w:ascii="Times New Roman" w:hAnsi="Times New Roman" w:cs="Times New Roman"/>
      <w:kern w:val="0"/>
      <w:sz w:val="20"/>
      <w:szCs w:val="20"/>
      <w:lang w:val="es-ES" w:eastAsia="es-ES"/>
      <w14:ligatures w14:val="none"/>
    </w:rPr>
  </w:style>
  <w:style w:type="paragraph" w:styleId="BodyText2">
    <w:name w:val="Body Text 2"/>
    <w:basedOn w:val="Normal"/>
    <w:link w:val="BodyText2Char"/>
    <w:semiHidden/>
    <w:rsid w:val="00583FBD"/>
    <w:pPr>
      <w:suppressAutoHyphens w:val="0"/>
      <w:spacing w:after="120" w:line="480" w:lineRule="auto"/>
    </w:pPr>
    <w:rPr>
      <w:rFonts w:eastAsiaTheme="minorEastAsia"/>
      <w:spacing w:val="0"/>
      <w:w w:val="100"/>
      <w:kern w:val="0"/>
      <w:szCs w:val="20"/>
      <w:lang w:eastAsia="es-ES"/>
      <w14:ligatures w14:val="none"/>
    </w:rPr>
  </w:style>
  <w:style w:type="character" w:customStyle="1" w:styleId="BodyText2Char">
    <w:name w:val="Body Text 2 Char"/>
    <w:basedOn w:val="DefaultParagraphFont"/>
    <w:link w:val="BodyText2"/>
    <w:semiHidden/>
    <w:rsid w:val="00583FBD"/>
    <w:rPr>
      <w:rFonts w:ascii="Times New Roman" w:hAnsi="Times New Roman" w:cs="Times New Roman"/>
      <w:kern w:val="0"/>
      <w:sz w:val="20"/>
      <w:szCs w:val="20"/>
      <w:lang w:val="es-ES" w:eastAsia="es-ES"/>
      <w14:ligatures w14:val="none"/>
    </w:rPr>
  </w:style>
  <w:style w:type="paragraph" w:styleId="BodyText3">
    <w:name w:val="Body Text 3"/>
    <w:basedOn w:val="Normal"/>
    <w:link w:val="BodyText3Char"/>
    <w:semiHidden/>
    <w:rsid w:val="00583FBD"/>
    <w:pPr>
      <w:suppressAutoHyphens w:val="0"/>
      <w:spacing w:after="120" w:line="240" w:lineRule="atLeast"/>
    </w:pPr>
    <w:rPr>
      <w:rFonts w:eastAsiaTheme="minorEastAsia"/>
      <w:spacing w:val="0"/>
      <w:w w:val="100"/>
      <w:kern w:val="0"/>
      <w:sz w:val="16"/>
      <w:szCs w:val="16"/>
      <w:lang w:eastAsia="es-ES"/>
      <w14:ligatures w14:val="none"/>
    </w:rPr>
  </w:style>
  <w:style w:type="character" w:customStyle="1" w:styleId="BodyText3Char">
    <w:name w:val="Body Text 3 Char"/>
    <w:basedOn w:val="DefaultParagraphFont"/>
    <w:link w:val="BodyText3"/>
    <w:semiHidden/>
    <w:rsid w:val="00583FBD"/>
    <w:rPr>
      <w:rFonts w:ascii="Times New Roman" w:hAnsi="Times New Roman" w:cs="Times New Roman"/>
      <w:kern w:val="0"/>
      <w:sz w:val="16"/>
      <w:szCs w:val="16"/>
      <w:lang w:val="es-ES" w:eastAsia="es-ES"/>
      <w14:ligatures w14:val="none"/>
    </w:rPr>
  </w:style>
  <w:style w:type="paragraph" w:styleId="BodyTextFirstIndent">
    <w:name w:val="Body Text First Indent"/>
    <w:basedOn w:val="BodyText"/>
    <w:link w:val="BodyTextFirstIndentChar"/>
    <w:semiHidden/>
    <w:rsid w:val="00583FBD"/>
    <w:pPr>
      <w:ind w:firstLine="210"/>
    </w:pPr>
  </w:style>
  <w:style w:type="character" w:customStyle="1" w:styleId="BodyTextFirstIndentChar">
    <w:name w:val="Body Text First Indent Char"/>
    <w:basedOn w:val="BodyTextChar"/>
    <w:link w:val="BodyTextFirstIndent"/>
    <w:semiHidden/>
    <w:rsid w:val="00583FBD"/>
    <w:rPr>
      <w:rFonts w:ascii="Times New Roman" w:hAnsi="Times New Roman" w:cs="Times New Roman"/>
      <w:kern w:val="0"/>
      <w:sz w:val="20"/>
      <w:szCs w:val="20"/>
      <w:lang w:val="es-ES" w:eastAsia="es-ES"/>
      <w14:ligatures w14:val="none"/>
    </w:rPr>
  </w:style>
  <w:style w:type="paragraph" w:styleId="BodyTextFirstIndent2">
    <w:name w:val="Body Text First Indent 2"/>
    <w:basedOn w:val="BodyTextIndent"/>
    <w:link w:val="BodyTextFirstIndent2Char"/>
    <w:semiHidden/>
    <w:rsid w:val="00583FBD"/>
    <w:pPr>
      <w:ind w:firstLine="210"/>
    </w:pPr>
  </w:style>
  <w:style w:type="character" w:customStyle="1" w:styleId="BodyTextFirstIndent2Char">
    <w:name w:val="Body Text First Indent 2 Char"/>
    <w:basedOn w:val="BodyTextIndentChar"/>
    <w:link w:val="BodyTextFirstIndent2"/>
    <w:semiHidden/>
    <w:rsid w:val="00583FBD"/>
    <w:rPr>
      <w:rFonts w:ascii="Times New Roman" w:hAnsi="Times New Roman" w:cs="Times New Roman"/>
      <w:kern w:val="0"/>
      <w:sz w:val="20"/>
      <w:szCs w:val="20"/>
      <w:lang w:val="es-ES" w:eastAsia="es-ES"/>
      <w14:ligatures w14:val="none"/>
    </w:rPr>
  </w:style>
  <w:style w:type="character" w:styleId="HTMLVariable">
    <w:name w:val="HTML Variable"/>
    <w:semiHidden/>
    <w:rsid w:val="00583FBD"/>
    <w:rPr>
      <w:i/>
      <w:iCs/>
    </w:rPr>
  </w:style>
  <w:style w:type="paragraph" w:customStyle="1" w:styleId="Bullet1G">
    <w:name w:val="_Bullet 1_G"/>
    <w:basedOn w:val="Normal"/>
    <w:qFormat/>
    <w:rsid w:val="00583FBD"/>
    <w:pPr>
      <w:numPr>
        <w:numId w:val="29"/>
      </w:numPr>
      <w:suppressAutoHyphens w:val="0"/>
      <w:spacing w:after="120" w:line="240" w:lineRule="atLeast"/>
      <w:ind w:right="1134"/>
      <w:jc w:val="both"/>
    </w:pPr>
    <w:rPr>
      <w:rFonts w:eastAsiaTheme="minorEastAsia"/>
      <w:spacing w:val="0"/>
      <w:w w:val="100"/>
      <w:kern w:val="0"/>
      <w:szCs w:val="20"/>
      <w14:ligatures w14:val="none"/>
    </w:rPr>
  </w:style>
  <w:style w:type="paragraph" w:customStyle="1" w:styleId="Bullet2G">
    <w:name w:val="_Bullet 2_G"/>
    <w:basedOn w:val="Normal"/>
    <w:qFormat/>
    <w:rsid w:val="00583FBD"/>
    <w:pPr>
      <w:numPr>
        <w:numId w:val="30"/>
      </w:numPr>
      <w:suppressAutoHyphens w:val="0"/>
      <w:spacing w:after="120" w:line="240" w:lineRule="atLeast"/>
      <w:ind w:right="1134"/>
      <w:jc w:val="both"/>
    </w:pPr>
    <w:rPr>
      <w:rFonts w:eastAsiaTheme="minorEastAsia"/>
      <w:spacing w:val="0"/>
      <w:w w:val="100"/>
      <w:kern w:val="0"/>
      <w:szCs w:val="20"/>
      <w:lang w:eastAsia="es-ES"/>
      <w14:ligatures w14:val="none"/>
    </w:rPr>
  </w:style>
  <w:style w:type="table" w:customStyle="1" w:styleId="Tablaconcuadrcula1">
    <w:name w:val="Tabla con cuadrícula1"/>
    <w:basedOn w:val="TableNormal"/>
    <w:uiPriority w:val="39"/>
    <w:rsid w:val="00583FBD"/>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83FBD"/>
    <w:pPr>
      <w:numPr>
        <w:numId w:val="36"/>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14:ligatures w14:val="none"/>
    </w:rPr>
  </w:style>
  <w:style w:type="character" w:customStyle="1" w:styleId="SingleTxtGChar">
    <w:name w:val="_ Single Txt_G Char"/>
    <w:link w:val="SingleTxtG"/>
    <w:rsid w:val="00583FBD"/>
    <w:rPr>
      <w:rFonts w:ascii="Times New Roman" w:hAnsi="Times New Roman" w:cs="Times New Roman"/>
      <w:kern w:val="0"/>
      <w:sz w:val="20"/>
      <w:szCs w:val="20"/>
      <w:lang w:val="es-ES" w:eastAsia="es-ES"/>
      <w14:ligatures w14:val="none"/>
    </w:rPr>
  </w:style>
  <w:style w:type="character" w:customStyle="1" w:styleId="H23GChar">
    <w:name w:val="_ H_2/3_G Char"/>
    <w:link w:val="H23G"/>
    <w:locked/>
    <w:rsid w:val="00583FBD"/>
    <w:rPr>
      <w:rFonts w:ascii="Times New Roman" w:hAnsi="Times New Roman" w:cs="Times New Roman"/>
      <w:b/>
      <w:kern w:val="0"/>
      <w:sz w:val="20"/>
      <w:szCs w:val="20"/>
      <w:lang w:val="es-ES" w:eastAsia="es-ES"/>
      <w14:ligatures w14:val="none"/>
    </w:rPr>
  </w:style>
  <w:style w:type="table" w:customStyle="1" w:styleId="TableNormal1">
    <w:name w:val="Table Normal1"/>
    <w:rsid w:val="00583FBD"/>
    <w:pPr>
      <w:spacing w:after="0" w:line="240" w:lineRule="auto"/>
    </w:pPr>
    <w:rPr>
      <w:rFonts w:ascii="Calibri" w:eastAsia="Calibri" w:hAnsi="Calibri" w:cs="Calibri"/>
      <w:kern w:val="0"/>
      <w:sz w:val="24"/>
      <w:szCs w:val="24"/>
      <w:lang w:val="es-PY" w:eastAsia="es-ES_tradnl"/>
      <w14:ligatures w14:val="none"/>
    </w:rPr>
    <w:tblPr>
      <w:tblCellMar>
        <w:top w:w="0" w:type="dxa"/>
        <w:left w:w="0" w:type="dxa"/>
        <w:bottom w:w="0" w:type="dxa"/>
        <w:right w:w="0" w:type="dxa"/>
      </w:tblCellMar>
    </w:tblPr>
  </w:style>
  <w:style w:type="table" w:customStyle="1" w:styleId="TableNormal2">
    <w:name w:val="Table Normal2"/>
    <w:rsid w:val="00583FBD"/>
    <w:pPr>
      <w:spacing w:after="0" w:line="240" w:lineRule="auto"/>
    </w:pPr>
    <w:rPr>
      <w:rFonts w:ascii="Calibri" w:eastAsia="Calibri" w:hAnsi="Calibri" w:cs="Calibri"/>
      <w:kern w:val="0"/>
      <w:sz w:val="24"/>
      <w:szCs w:val="24"/>
      <w:lang w:val="es-PY" w:eastAsia="es-ES_tradnl"/>
      <w14:ligatures w14:val="none"/>
    </w:rPr>
    <w:tblPr>
      <w:tblCellMar>
        <w:top w:w="0" w:type="dxa"/>
        <w:left w:w="0" w:type="dxa"/>
        <w:bottom w:w="0" w:type="dxa"/>
        <w:right w:w="0" w:type="dxa"/>
      </w:tblCellMar>
    </w:tblPr>
  </w:style>
  <w:style w:type="character" w:customStyle="1" w:styleId="Mencinsinresolver1">
    <w:name w:val="Mención sin resolver1"/>
    <w:basedOn w:val="DefaultParagraphFont"/>
    <w:uiPriority w:val="99"/>
    <w:semiHidden/>
    <w:unhideWhenUsed/>
    <w:rsid w:val="00583FBD"/>
    <w:rPr>
      <w:color w:val="605E5C"/>
      <w:shd w:val="clear" w:color="auto" w:fill="E1DFDD"/>
    </w:rPr>
  </w:style>
  <w:style w:type="character" w:customStyle="1" w:styleId="Refdenotaalpie1">
    <w:name w:val="Ref. de nota al pie1"/>
    <w:rsid w:val="00583FBD"/>
    <w:rPr>
      <w:vertAlign w:val="superscript"/>
    </w:rPr>
  </w:style>
  <w:style w:type="character" w:customStyle="1" w:styleId="Caracteresdenotaalpie">
    <w:name w:val="Caracteres de nota al pie"/>
    <w:rsid w:val="00583FBD"/>
    <w:rPr>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basedOn w:val="DefaultParagraphFont"/>
    <w:link w:val="ListParagraph"/>
    <w:uiPriority w:val="34"/>
    <w:qFormat/>
    <w:locked/>
    <w:rsid w:val="00583FBD"/>
    <w:rPr>
      <w:rFonts w:ascii="Times New Roman" w:eastAsiaTheme="minorHAnsi" w:hAnsi="Times New Roman" w:cs="Times New Roman"/>
      <w:spacing w:val="4"/>
      <w:w w:val="103"/>
      <w:sz w:val="20"/>
      <w:lang w:val="es-ES" w:eastAsia="en-US"/>
    </w:rPr>
  </w:style>
  <w:style w:type="paragraph" w:customStyle="1" w:styleId="Default">
    <w:name w:val="Default"/>
    <w:rsid w:val="00583FBD"/>
    <w:pPr>
      <w:autoSpaceDE w:val="0"/>
      <w:autoSpaceDN w:val="0"/>
      <w:adjustRightInd w:val="0"/>
      <w:spacing w:after="0" w:line="240" w:lineRule="auto"/>
    </w:pPr>
    <w:rPr>
      <w:rFonts w:ascii="Times New Roman" w:eastAsia="Calibri" w:hAnsi="Times New Roman" w:cs="Times New Roman"/>
      <w:color w:val="000000"/>
      <w:kern w:val="0"/>
      <w:sz w:val="24"/>
      <w:szCs w:val="24"/>
      <w:lang w:val="es-PY" w:eastAsia="es-ES_tradnl"/>
      <w14:ligatures w14:val="none"/>
    </w:rPr>
  </w:style>
  <w:style w:type="character" w:customStyle="1" w:styleId="Mencinsinresolver2">
    <w:name w:val="Mención sin resolver2"/>
    <w:basedOn w:val="DefaultParagraphFont"/>
    <w:uiPriority w:val="99"/>
    <w:semiHidden/>
    <w:unhideWhenUsed/>
    <w:rsid w:val="00583FBD"/>
    <w:rPr>
      <w:color w:val="605E5C"/>
      <w:shd w:val="clear" w:color="auto" w:fill="E1DFDD"/>
    </w:rPr>
  </w:style>
  <w:style w:type="character" w:customStyle="1" w:styleId="hps">
    <w:name w:val="hps"/>
    <w:basedOn w:val="DefaultParagraphFont"/>
    <w:rsid w:val="00583FBD"/>
  </w:style>
  <w:style w:type="character" w:customStyle="1" w:styleId="Mencinsinresolver3">
    <w:name w:val="Mención sin resolver3"/>
    <w:basedOn w:val="DefaultParagraphFont"/>
    <w:uiPriority w:val="99"/>
    <w:semiHidden/>
    <w:unhideWhenUsed/>
    <w:rsid w:val="00583FBD"/>
    <w:rPr>
      <w:color w:val="605E5C"/>
      <w:shd w:val="clear" w:color="auto" w:fill="E1DFDD"/>
    </w:rPr>
  </w:style>
  <w:style w:type="paragraph" w:customStyle="1" w:styleId="Cuerpo">
    <w:name w:val="Cuerpo"/>
    <w:rsid w:val="00583FBD"/>
    <w:pPr>
      <w:spacing w:after="0" w:line="256" w:lineRule="auto"/>
    </w:pPr>
    <w:rPr>
      <w:rFonts w:ascii="Calibri" w:eastAsia="Arial Unicode MS" w:hAnsi="Arial Unicode MS" w:cs="Arial Unicode MS"/>
      <w:color w:val="000000"/>
      <w:kern w:val="0"/>
      <w:sz w:val="24"/>
      <w:szCs w:val="24"/>
      <w:u w:color="000000"/>
      <w:lang w:val="es-ES_tradnl" w:eastAsia="fr-FR"/>
      <w14:ligatures w14:val="none"/>
    </w:rPr>
  </w:style>
  <w:style w:type="paragraph" w:customStyle="1" w:styleId="xmsonormal">
    <w:name w:val="x_msonormal"/>
    <w:basedOn w:val="Normal"/>
    <w:rsid w:val="00583FBD"/>
    <w:pPr>
      <w:suppressAutoHyphens w:val="0"/>
      <w:spacing w:before="100" w:beforeAutospacing="1" w:after="100" w:afterAutospacing="1" w:line="240" w:lineRule="auto"/>
    </w:pPr>
    <w:rPr>
      <w:rFonts w:eastAsia="Times New Roman"/>
      <w:spacing w:val="0"/>
      <w:w w:val="100"/>
      <w:kern w:val="0"/>
      <w:sz w:val="24"/>
      <w:szCs w:val="24"/>
      <w:lang w:val="es-PY" w:eastAsia="es-PY"/>
      <w14:ligatures w14:val="none"/>
    </w:rPr>
  </w:style>
  <w:style w:type="character" w:customStyle="1" w:styleId="Ninguno">
    <w:name w:val="Ninguno"/>
    <w:rsid w:val="00583FBD"/>
  </w:style>
  <w:style w:type="numbering" w:customStyle="1" w:styleId="Estiloimportado4">
    <w:name w:val="Estilo importado 4"/>
    <w:rsid w:val="00583FBD"/>
  </w:style>
  <w:style w:type="numbering" w:customStyle="1" w:styleId="Estiloimportado2">
    <w:name w:val="Estilo importado 2"/>
    <w:rsid w:val="00583FBD"/>
  </w:style>
  <w:style w:type="paragraph" w:customStyle="1" w:styleId="ui-datalist-item">
    <w:name w:val="ui-datalist-item"/>
    <w:basedOn w:val="Normal"/>
    <w:rsid w:val="00583FBD"/>
    <w:pPr>
      <w:suppressAutoHyphens w:val="0"/>
      <w:spacing w:before="100" w:beforeAutospacing="1" w:after="100" w:afterAutospacing="1" w:line="240" w:lineRule="auto"/>
    </w:pPr>
    <w:rPr>
      <w:rFonts w:eastAsia="Times New Roman"/>
      <w:spacing w:val="0"/>
      <w:w w:val="100"/>
      <w:kern w:val="0"/>
      <w:sz w:val="24"/>
      <w:szCs w:val="24"/>
      <w:lang w:val="en-US" w:eastAsia="es-ES_tradnl"/>
      <w14:ligatures w14:val="none"/>
    </w:rPr>
  </w:style>
  <w:style w:type="table" w:customStyle="1" w:styleId="Tablaconcuadrcula2">
    <w:name w:val="Tabla con cuadrícula2"/>
    <w:basedOn w:val="TableNormal"/>
    <w:next w:val="TableGrid"/>
    <w:uiPriority w:val="39"/>
    <w:rsid w:val="00583FBD"/>
    <w:pPr>
      <w:spacing w:after="0" w:line="240" w:lineRule="auto"/>
    </w:pPr>
    <w:rPr>
      <w:rFonts w:ascii="Calibri" w:eastAsia="Calibri" w:hAnsi="Calibri" w:cs="Calibri"/>
      <w:kern w:val="0"/>
      <w:sz w:val="24"/>
      <w:szCs w:val="24"/>
      <w:lang w:val="es-PY"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41">
    <w:name w:val="Tabla con cuadrícula 4 - Énfasis 41"/>
    <w:basedOn w:val="TableNormal"/>
    <w:uiPriority w:val="49"/>
    <w:rsid w:val="00583FBD"/>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NoSpacingChar">
    <w:name w:val="No Spacing Char"/>
    <w:basedOn w:val="DefaultParagraphFont"/>
    <w:link w:val="NoSpacing"/>
    <w:uiPriority w:val="1"/>
    <w:rsid w:val="00583FBD"/>
    <w:rPr>
      <w:rFonts w:ascii="Times New Roman" w:eastAsiaTheme="minorHAnsi" w:hAnsi="Times New Roman" w:cs="Times New Roman"/>
      <w:spacing w:val="4"/>
      <w:w w:val="103"/>
      <w:sz w:val="20"/>
      <w:lang w:val="es-ES" w:eastAsia="en-US"/>
    </w:rPr>
  </w:style>
  <w:style w:type="paragraph" w:customStyle="1" w:styleId="Standard">
    <w:name w:val="Standard"/>
    <w:rsid w:val="00583FBD"/>
    <w:pPr>
      <w:tabs>
        <w:tab w:val="left" w:pos="709"/>
      </w:tabs>
      <w:suppressAutoHyphens/>
      <w:overflowPunct w:val="0"/>
      <w:spacing w:after="200" w:line="276" w:lineRule="auto"/>
      <w:textAlignment w:val="baseline"/>
    </w:pPr>
    <w:rPr>
      <w:rFonts w:ascii="Calibri" w:eastAsia="DejaVu Sans" w:hAnsi="Calibri" w:cs="DejaVu Sans"/>
      <w:color w:val="00000A"/>
      <w:kern w:val="1"/>
      <w:sz w:val="24"/>
      <w:szCs w:val="24"/>
      <w:lang w:val="es-ES"/>
      <w14:ligatures w14:val="none"/>
    </w:rPr>
  </w:style>
  <w:style w:type="paragraph" w:styleId="Revision">
    <w:name w:val="Revision"/>
    <w:hidden/>
    <w:uiPriority w:val="99"/>
    <w:semiHidden/>
    <w:rsid w:val="00583FBD"/>
    <w:pPr>
      <w:spacing w:after="0" w:line="240" w:lineRule="auto"/>
    </w:pPr>
    <w:rPr>
      <w:rFonts w:ascii="Calibri" w:eastAsia="Calibri" w:hAnsi="Calibri" w:cs="Calibri"/>
      <w:kern w:val="0"/>
      <w:sz w:val="24"/>
      <w:szCs w:val="24"/>
      <w:lang w:val="es-PY" w:eastAsia="es-ES_tradnl"/>
      <w14:ligatures w14:val="none"/>
    </w:rPr>
  </w:style>
  <w:style w:type="table" w:customStyle="1" w:styleId="20">
    <w:name w:val="20"/>
    <w:basedOn w:val="TableNormal2"/>
    <w:rsid w:val="00583FBD"/>
    <w:tblPr>
      <w:tblStyleRowBandSize w:val="1"/>
      <w:tblStyleColBandSize w:val="1"/>
      <w:tblCellMar>
        <w:left w:w="70" w:type="dxa"/>
        <w:right w:w="70" w:type="dxa"/>
      </w:tblCellMar>
    </w:tblPr>
  </w:style>
  <w:style w:type="table" w:customStyle="1" w:styleId="19">
    <w:name w:val="19"/>
    <w:basedOn w:val="TableNormal2"/>
    <w:rsid w:val="00583FBD"/>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8">
    <w:name w:val="18"/>
    <w:basedOn w:val="TableNormal2"/>
    <w:rsid w:val="00583FBD"/>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7">
    <w:name w:val="17"/>
    <w:basedOn w:val="TableNormal2"/>
    <w:rsid w:val="00583FBD"/>
    <w:tblPr>
      <w:tblStyleRowBandSize w:val="1"/>
      <w:tblStyleColBandSize w:val="1"/>
      <w:tblCellMar>
        <w:left w:w="70" w:type="dxa"/>
        <w:right w:w="70" w:type="dxa"/>
      </w:tblCellMar>
    </w:tblPr>
  </w:style>
  <w:style w:type="table" w:customStyle="1" w:styleId="16">
    <w:name w:val="16"/>
    <w:basedOn w:val="TableNormal2"/>
    <w:rsid w:val="00583FBD"/>
    <w:tblPr>
      <w:tblStyleRowBandSize w:val="1"/>
      <w:tblStyleColBandSize w:val="1"/>
      <w:tblCellMar>
        <w:left w:w="70" w:type="dxa"/>
        <w:right w:w="70" w:type="dxa"/>
      </w:tblCellMar>
    </w:tblPr>
  </w:style>
  <w:style w:type="table" w:customStyle="1" w:styleId="15">
    <w:name w:val="15"/>
    <w:basedOn w:val="TableNormal2"/>
    <w:rsid w:val="00583FBD"/>
    <w:rPr>
      <w:rFonts w:ascii="Times New Roman" w:eastAsia="Times New Roman" w:hAnsi="Times New Roman" w:cs="Times New Roman"/>
      <w:sz w:val="20"/>
      <w:szCs w:val="20"/>
    </w:rPr>
    <w:tblPr>
      <w:tblStyleRowBandSize w:val="1"/>
      <w:tblStyleColBandSize w:val="1"/>
      <w:tblCellMar>
        <w:left w:w="108" w:type="dxa"/>
        <w:right w:w="108"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14">
    <w:name w:val="14"/>
    <w:basedOn w:val="TableNormal2"/>
    <w:rsid w:val="00583FBD"/>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3">
    <w:name w:val="13"/>
    <w:basedOn w:val="TableNormal2"/>
    <w:rsid w:val="00583FBD"/>
    <w:tblPr>
      <w:tblStyleRowBandSize w:val="1"/>
      <w:tblStyleColBandSize w:val="1"/>
      <w:tblCellMar>
        <w:top w:w="100" w:type="dxa"/>
        <w:left w:w="100" w:type="dxa"/>
        <w:bottom w:w="100" w:type="dxa"/>
        <w:right w:w="100" w:type="dxa"/>
      </w:tblCellMar>
    </w:tblPr>
  </w:style>
  <w:style w:type="table" w:customStyle="1" w:styleId="12">
    <w:name w:val="12"/>
    <w:basedOn w:val="TableNormal2"/>
    <w:rsid w:val="00583FBD"/>
    <w:tblPr>
      <w:tblStyleRowBandSize w:val="1"/>
      <w:tblStyleColBandSize w:val="1"/>
      <w:tblCellMar>
        <w:top w:w="100" w:type="dxa"/>
        <w:left w:w="100" w:type="dxa"/>
        <w:bottom w:w="100" w:type="dxa"/>
        <w:right w:w="100" w:type="dxa"/>
      </w:tblCellMar>
    </w:tblPr>
  </w:style>
  <w:style w:type="table" w:customStyle="1" w:styleId="11">
    <w:name w:val="11"/>
    <w:basedOn w:val="TableNormal2"/>
    <w:rsid w:val="00583FBD"/>
    <w:tblPr>
      <w:tblStyleRowBandSize w:val="1"/>
      <w:tblStyleColBandSize w:val="1"/>
      <w:tblCellMar>
        <w:top w:w="100" w:type="dxa"/>
        <w:left w:w="100" w:type="dxa"/>
        <w:bottom w:w="100" w:type="dxa"/>
        <w:right w:w="100" w:type="dxa"/>
      </w:tblCellMar>
    </w:tblPr>
  </w:style>
  <w:style w:type="table" w:customStyle="1" w:styleId="10">
    <w:name w:val="10"/>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9">
    <w:name w:val="9"/>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8">
    <w:name w:val="8"/>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7">
    <w:name w:val="7"/>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6">
    <w:name w:val="6"/>
    <w:basedOn w:val="TableNormal2"/>
    <w:rsid w:val="00583FBD"/>
    <w:tblPr>
      <w:tblStyleRowBandSize w:val="1"/>
      <w:tblStyleColBandSize w:val="1"/>
      <w:tblCellMar>
        <w:top w:w="100" w:type="dxa"/>
        <w:left w:w="100" w:type="dxa"/>
        <w:bottom w:w="100" w:type="dxa"/>
        <w:right w:w="100" w:type="dxa"/>
      </w:tblCellMar>
    </w:tblPr>
  </w:style>
  <w:style w:type="table" w:customStyle="1" w:styleId="5">
    <w:name w:val="5"/>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4">
    <w:name w:val="4"/>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3">
    <w:name w:val="3"/>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2">
    <w:name w:val="2"/>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1">
    <w:name w:val="1"/>
    <w:basedOn w:val="TableNormal2"/>
    <w:rsid w:val="00583FBD"/>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character" w:customStyle="1" w:styleId="Mencinsinresolver4">
    <w:name w:val="Mención sin resolver4"/>
    <w:basedOn w:val="DefaultParagraphFont"/>
    <w:uiPriority w:val="99"/>
    <w:semiHidden/>
    <w:unhideWhenUsed/>
    <w:rsid w:val="00583FBD"/>
    <w:rPr>
      <w:color w:val="605E5C"/>
      <w:shd w:val="clear" w:color="auto" w:fill="E1DFDD"/>
    </w:rPr>
  </w:style>
  <w:style w:type="character" w:customStyle="1" w:styleId="text-2xl">
    <w:name w:val="text-2xl"/>
    <w:basedOn w:val="DefaultParagraphFont"/>
    <w:rsid w:val="00583FBD"/>
  </w:style>
  <w:style w:type="character" w:customStyle="1" w:styleId="Bodytext0">
    <w:name w:val="Body text_"/>
    <w:link w:val="Textoindependiente1"/>
    <w:rsid w:val="00583FBD"/>
    <w:rPr>
      <w:sz w:val="21"/>
      <w:szCs w:val="21"/>
      <w:shd w:val="clear" w:color="auto" w:fill="FFFFFF"/>
    </w:rPr>
  </w:style>
  <w:style w:type="paragraph" w:customStyle="1" w:styleId="Textoindependiente1">
    <w:name w:val="Texto independiente1"/>
    <w:basedOn w:val="Normal"/>
    <w:link w:val="Bodytext0"/>
    <w:rsid w:val="00583FBD"/>
    <w:pPr>
      <w:shd w:val="clear" w:color="auto" w:fill="FFFFFF"/>
      <w:suppressAutoHyphens w:val="0"/>
      <w:spacing w:before="300" w:after="300" w:line="277" w:lineRule="exact"/>
      <w:jc w:val="both"/>
    </w:pPr>
    <w:rPr>
      <w:rFonts w:asciiTheme="minorHAnsi" w:eastAsiaTheme="minorEastAsia" w:hAnsiTheme="minorHAnsi" w:cstheme="minorBidi"/>
      <w:spacing w:val="0"/>
      <w:w w:val="100"/>
      <w:sz w:val="21"/>
      <w:szCs w:val="21"/>
      <w:lang w:val="en-US" w:eastAsia="zh-CN"/>
    </w:rPr>
  </w:style>
  <w:style w:type="character" w:customStyle="1" w:styleId="x193iq5w">
    <w:name w:val="x193iq5w"/>
    <w:basedOn w:val="DefaultParagraphFont"/>
    <w:rsid w:val="00583FBD"/>
  </w:style>
  <w:style w:type="character" w:customStyle="1" w:styleId="Mencinsinresolver5">
    <w:name w:val="Mención sin resolver5"/>
    <w:basedOn w:val="DefaultParagraphFont"/>
    <w:uiPriority w:val="99"/>
    <w:semiHidden/>
    <w:unhideWhenUsed/>
    <w:rsid w:val="00583FBD"/>
    <w:rPr>
      <w:color w:val="605E5C"/>
      <w:shd w:val="clear" w:color="auto" w:fill="E1DFDD"/>
    </w:rPr>
  </w:style>
  <w:style w:type="table" w:customStyle="1" w:styleId="TableGrid10">
    <w:name w:val="Table Grid1"/>
    <w:basedOn w:val="TableNormal"/>
    <w:next w:val="TableGrid"/>
    <w:uiPriority w:val="39"/>
    <w:rsid w:val="00583FBD"/>
    <w:pPr>
      <w:spacing w:after="0" w:line="240" w:lineRule="auto"/>
    </w:pPr>
    <w:rPr>
      <w:rFonts w:ascii="Calibri" w:eastAsia="Calibri" w:hAnsi="Calibri" w:cs="Calibri"/>
      <w:kern w:val="0"/>
      <w:sz w:val="24"/>
      <w:szCs w:val="24"/>
      <w:lang w:val="fr-CH"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583FBD"/>
    <w:pPr>
      <w:spacing w:after="0" w:line="240" w:lineRule="auto"/>
    </w:pPr>
    <w:rPr>
      <w:rFonts w:ascii="Calibri" w:eastAsia="Calibri" w:hAnsi="Calibri" w:cs="Calibri"/>
      <w:kern w:val="0"/>
      <w:sz w:val="24"/>
      <w:szCs w:val="24"/>
      <w:lang w:val="fr-CH"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s/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PRY/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E/RES/2493/2004"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74/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silpy.congreso.gov.py/web/expediente/121865" TargetMode="External"/><Relationship Id="rId21" Type="http://schemas.openxmlformats.org/officeDocument/2006/relationships/hyperlink" Target="https://www.indert.gov.py/indert/index.php/noticias/titulacion-de-tierras-en-favor-de-las-mujeres-llega-al-51" TargetMode="External"/><Relationship Id="rId42" Type="http://schemas.openxmlformats.org/officeDocument/2006/relationships/hyperlink" Target="http://observatorio.sinafocal.gov.py/application/files/8515/6751/4896/RedObs_2019_PRES_10._Observatorio_Politica_Criminal.pdf" TargetMode="External"/><Relationship Id="rId47" Type="http://schemas.openxmlformats.org/officeDocument/2006/relationships/hyperlink" Target="https://mcp.org.py/mcp" TargetMode="External"/><Relationship Id="rId63" Type="http://schemas.openxmlformats.org/officeDocument/2006/relationships/hyperlink" Target="https://undocs.org/es/CEDAW/C/PRY/CO/7" TargetMode="External"/><Relationship Id="rId68" Type="http://schemas.openxmlformats.org/officeDocument/2006/relationships/hyperlink" Target="https://datos.sfp.gov.py/visualizaciones/resumen" TargetMode="External"/><Relationship Id="rId84" Type="http://schemas.openxmlformats.org/officeDocument/2006/relationships/hyperlink" Target="https://www.bacn.gov.py/leyes-paraguayas/10893/ley-n-6993-provision-gratuita-de-productos-de-gestion-menstrual" TargetMode="External"/><Relationship Id="rId89" Type="http://schemas.openxmlformats.org/officeDocument/2006/relationships/hyperlink" Target="https://undocs.org/es/CEDAW/C/PRY/CO/7" TargetMode="External"/><Relationship Id="rId112" Type="http://schemas.openxmlformats.org/officeDocument/2006/relationships/hyperlink" Target="https://undocs.org/es/CEDAW/C/PRY/CO/7" TargetMode="External"/><Relationship Id="rId16" Type="http://schemas.openxmlformats.org/officeDocument/2006/relationships/hyperlink" Target="https://www.ministeriopublico.gov.py/denuncia/index.html" TargetMode="External"/><Relationship Id="rId107" Type="http://schemas.openxmlformats.org/officeDocument/2006/relationships/hyperlink" Target="https://undocs.org/es/CEDAW/C/PRY/CO/7" TargetMode="External"/><Relationship Id="rId11" Type="http://schemas.openxmlformats.org/officeDocument/2006/relationships/hyperlink" Target="https://gabinetesocial.gov.py/wp-content/uploads/2023/10/normativa.pdf" TargetMode="External"/><Relationship Id="rId32" Type="http://schemas.openxmlformats.org/officeDocument/2006/relationships/hyperlink" Target="https://informacionpublica.paraguay.gov.py/public/1646697-escanear0128pdf-escanear0128.pdf&amp;ved=2ahUKEwiqmbzolNaFAxU3pZUCHWxgDuAQFnoECBAQAQ&amp;usg=AOvVaw1FAFeiAzeHH6idzxVCl1wu" TargetMode="External"/><Relationship Id="rId37" Type="http://schemas.openxmlformats.org/officeDocument/2006/relationships/hyperlink" Target="http://www.minna.gov.py/archivos/documentos/RUTA%20INTERINSTITUCIONAL%20DE%20ATENCION%20INTEGRAL%20VICTIMAS%20DE%20ABUSO_lugavv6d.pdf" TargetMode="External"/><Relationship Id="rId53" Type="http://schemas.openxmlformats.org/officeDocument/2006/relationships/hyperlink" Target="https://tsje.gov.py/unidad-de-politicas-de-genero.html" TargetMode="External"/><Relationship Id="rId58" Type="http://schemas.openxmlformats.org/officeDocument/2006/relationships/hyperlink" Target="https://silpy.congreso.gov.py/web/expediente/124598" TargetMode="External"/><Relationship Id="rId74" Type="http://schemas.openxmlformats.org/officeDocument/2006/relationships/hyperlink" Target="https://mujer.gov.py/que-es-la-politica-nacional-de-cuidados-del-paraguay/" TargetMode="External"/><Relationship Id="rId79" Type="http://schemas.openxmlformats.org/officeDocument/2006/relationships/hyperlink" Target="https://www.mtess.gov.py/index.php/documentos/resolucion-mtess-n-3882019" TargetMode="External"/><Relationship Id="rId102" Type="http://schemas.openxmlformats.org/officeDocument/2006/relationships/hyperlink" Target="https://nube.senac.gov.py/s/jRWRXY6nH8iKmMx" TargetMode="External"/><Relationship Id="rId5" Type="http://schemas.openxmlformats.org/officeDocument/2006/relationships/hyperlink" Target="http://silpy.congreso.gov.py/expediente/106146" TargetMode="External"/><Relationship Id="rId90" Type="http://schemas.openxmlformats.org/officeDocument/2006/relationships/hyperlink" Target="https://undocs.org/es/CEDAW/C/PRY/CO/7" TargetMode="External"/><Relationship Id="rId95" Type="http://schemas.openxmlformats.org/officeDocument/2006/relationships/hyperlink" Target="https://www.mdp.gov.py/wp-content/uploads/2022/12/INFORME_DE_GESTION_MDP_-_2021_opt.pdf" TargetMode="External"/><Relationship Id="rId22" Type="http://schemas.openxmlformats.org/officeDocument/2006/relationships/hyperlink" Target="https://silpy.congreso.gov.py/web/expediente/119393" TargetMode="External"/><Relationship Id="rId27" Type="http://schemas.openxmlformats.org/officeDocument/2006/relationships/hyperlink" Target="https://undocs.org/es/CEDAW/C/PRY/CO/7" TargetMode="External"/><Relationship Id="rId43" Type="http://schemas.openxmlformats.org/officeDocument/2006/relationships/hyperlink" Target="https://www.pj.gov.py/contenido/537-observatorio-de-genero/537" TargetMode="External"/><Relationship Id="rId48" Type="http://schemas.openxmlformats.org/officeDocument/2006/relationships/hyperlink" Target="https://drive.google.com/file/d/1pMwhOIM8AcwSQpch2uoJSh6vkk6t1j_i/view" TargetMode="External"/><Relationship Id="rId64" Type="http://schemas.openxmlformats.org/officeDocument/2006/relationships/hyperlink" Target="https://www.bacn.gov.py/leyes-paraguayas/8840/ley-n-6338-modifica-el-articulo-10-de-la-ley-n-540715-" TargetMode="External"/><Relationship Id="rId69" Type="http://schemas.openxmlformats.org/officeDocument/2006/relationships/hyperlink" Target="https://www.sfp.gov.py/sfp/articulo/15524-resolucin-n-342022.html" TargetMode="External"/><Relationship Id="rId113" Type="http://schemas.openxmlformats.org/officeDocument/2006/relationships/hyperlink" Target="https://www.bacn.gov.py/leyes-paraguayas/8561/ley-n-6047-aprueba-la-enmienda-del-articulo-20-parrafo-1-de-la-convencion-sobre-la" TargetMode="External"/><Relationship Id="rId80" Type="http://schemas.openxmlformats.org/officeDocument/2006/relationships/hyperlink" Target="https://undocs.org/es/CEDAW/C/PRY/CO/7" TargetMode="External"/><Relationship Id="rId85" Type="http://schemas.openxmlformats.org/officeDocument/2006/relationships/hyperlink" Target="https://senadis.gov.py/index.php/download_file/391/223&amp;ved=2ahUKEwitwvOCgdaFAxUspZUCHZpcAjIQFnoECCsQAQ&amp;usg=AOvVaw22HeLM-5Mkx5gsGsqYW77n" TargetMode="External"/><Relationship Id="rId12" Type="http://schemas.openxmlformats.org/officeDocument/2006/relationships/hyperlink" Target="https://undocs.org/es/CEDAW/C/PRY/CO/7" TargetMode="External"/><Relationship Id="rId17" Type="http://schemas.openxmlformats.org/officeDocument/2006/relationships/hyperlink" Target="https://www.bacn.gov.py/leyes-paraguayas/9680/ley-n-6806-declara-emergencia-nacional-por-feminicidios" TargetMode="External"/><Relationship Id="rId33" Type="http://schemas.openxmlformats.org/officeDocument/2006/relationships/hyperlink" Target="https://www.datos.gov.py/dataset/encuesta-nacional-sobre-situaci%C3%B3n-de-las-mujeres-en-paraguay-ensimup-2021" TargetMode="External"/><Relationship Id="rId38" Type="http://schemas.openxmlformats.org/officeDocument/2006/relationships/hyperlink" Target="https://www.senado.gov.py/index.php/noticias/noticias-comisiones/10733-mesa-multisectorial-considera-situacion-de-los-derechos-humanos-de-personas-trans-2022-10-19-16-47-13" TargetMode="External"/><Relationship Id="rId59" Type="http://schemas.openxmlformats.org/officeDocument/2006/relationships/hyperlink" Target="https://silpy.congreso.gov.py/web/expediente/128109" TargetMode="External"/><Relationship Id="rId103" Type="http://schemas.openxmlformats.org/officeDocument/2006/relationships/hyperlink" Target="https://www.pj.gov.py/etica-documentos/99-resoluciones" TargetMode="External"/><Relationship Id="rId108" Type="http://schemas.openxmlformats.org/officeDocument/2006/relationships/hyperlink" Target="https://paraguay.unfpa.org/es/publications/invisibles-plena-luz-uniones-tempranas-y-forzadas-en-paraguay" TargetMode="External"/><Relationship Id="rId54" Type="http://schemas.openxmlformats.org/officeDocument/2006/relationships/hyperlink" Target="https://undocs.org/es/CEDAW/C/PRY/CO/7" TargetMode="External"/><Relationship Id="rId70" Type="http://schemas.openxmlformats.org/officeDocument/2006/relationships/hyperlink" Target="https://www.bacn.gov.py/leyes-paraguayas/1165/establece-beneficios-para-los-empleadores-a-los-efectos-de-incentivar-la-incorporacion-de-personas-con-discapacidad-en-el-sector-privado" TargetMode="External"/><Relationship Id="rId75" Type="http://schemas.openxmlformats.org/officeDocument/2006/relationships/hyperlink" Target="https://bolsa.mtess.gov.py/buscador/login.php?return=true&amp;" TargetMode="External"/><Relationship Id="rId91" Type="http://schemas.openxmlformats.org/officeDocument/2006/relationships/hyperlink" Target="https://silpy.congreso.gov.py/web/expediente/126328" TargetMode="External"/><Relationship Id="rId96" Type="http://schemas.openxmlformats.org/officeDocument/2006/relationships/hyperlink" Target="https://drive.google.com/file/d/1YXW1ibANPBBVzA08c_xTahVWVEOs0Eiq/view" TargetMode="External"/><Relationship Id="rId1" Type="http://schemas.openxmlformats.org/officeDocument/2006/relationships/hyperlink" Target="https://www.mre.gov.py/simoreplus/" TargetMode="External"/><Relationship Id="rId6" Type="http://schemas.openxmlformats.org/officeDocument/2006/relationships/hyperlink" Target="http://silpy.congreso.gov.py/expediente/106088" TargetMode="External"/><Relationship Id="rId15" Type="http://schemas.openxmlformats.org/officeDocument/2006/relationships/hyperlink" Target="https://www.mspbs.gov.py/dependencias/portal/adjunto/2d822f-POLITICANACIONALDEPROMOCIONDELASALUD.pdf" TargetMode="External"/><Relationship Id="rId23" Type="http://schemas.openxmlformats.org/officeDocument/2006/relationships/hyperlink" Target="https://silpy.congreso.gov.py/web/expediente/126328" TargetMode="External"/><Relationship Id="rId28" Type="http://schemas.openxmlformats.org/officeDocument/2006/relationships/hyperlink" Target="https://www.cde.org.py/wp-content/uploads/2017/08/2015-PLAN-NACIONAL-CONTRA-LA-VIOLENCIA-HACIA-LAS-MUJERES-2015-2020.pdf" TargetMode="External"/><Relationship Id="rId36" Type="http://schemas.openxmlformats.org/officeDocument/2006/relationships/hyperlink" Target="https://www.bacn.gov.py/leyes-paraguayas/8887/ley-n-6281-establece-la-obligatoriedad-de-incluir-sobre-violencia-contra-la-mujer-en-las-boletas-de-servicios-publicos-de-energia-electrica-y-agua-potable" TargetMode="External"/><Relationship Id="rId49" Type="http://schemas.openxmlformats.org/officeDocument/2006/relationships/hyperlink" Target="https://mcp.org.py/proyectos/1/vih" TargetMode="External"/><Relationship Id="rId57" Type="http://schemas.openxmlformats.org/officeDocument/2006/relationships/hyperlink" Target="https://www.ohchr.org/sites/default/files/lib-docs/HRBodies/UPR/Documents/Session38/PY/A_HRC_WG.6_38_PRY_1_Paraguay_AnnexVI_S.pdf" TargetMode="External"/><Relationship Id="rId106" Type="http://schemas.openxmlformats.org/officeDocument/2006/relationships/hyperlink" Targe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114" Type="http://schemas.openxmlformats.org/officeDocument/2006/relationships/hyperlink" Target="https://undocs.org/es/CEDAW/C/PRY/CO/7" TargetMode="External"/><Relationship Id="rId10" Type="http://schemas.openxmlformats.org/officeDocument/2006/relationships/hyperlink" Target="https://decretos.presidencia.gov.py/%23/home" TargetMode="External"/><Relationship Id="rId31" Type="http://schemas.openxmlformats.org/officeDocument/2006/relationships/hyperlink" Target="http://www.mujer.gov.py/index.php/ciudad-mujer-movil" TargetMode="External"/><Relationship Id="rId44" Type="http://schemas.openxmlformats.org/officeDocument/2006/relationships/hyperlink" Target="http://biblioteca.mds.gov.py:8080/bitstream/handle/123456789/835/ANEXO%20DE%20LA%20NOTA%20MDS%201280%20-%20MRE.pdf?sequence=2&amp;isAllowed=y" TargetMode="External"/><Relationship Id="rId52" Type="http://schemas.openxmlformats.org/officeDocument/2006/relationships/hyperlink" Target="https://tsje.gov.py/unidad-de-participacion-politica.html" TargetMode="External"/><Relationship Id="rId60" Type="http://schemas.openxmlformats.org/officeDocument/2006/relationships/hyperlink" Target="https://undocs.org/es/CEDAW/C/PRY/CO/7" TargetMode="External"/><Relationship Id="rId65" Type="http://schemas.openxmlformats.org/officeDocument/2006/relationships/hyperlink" Target="https://undocs.org/es/E/RES/2479/2004" TargetMode="External"/><Relationship Id="rId73" Type="http://schemas.openxmlformats.org/officeDocument/2006/relationships/hyperlink" Target="https://silpy.congreso.gov.py/web/expediente/116930" TargetMode="External"/><Relationship Id="rId78" Type="http://schemas.openxmlformats.org/officeDocument/2006/relationships/hyperlink" Target="https://www.mtess.gov.py/application/files/9715/6926/1549/Estrategia_Nacional_-_para_impresion.pdf" TargetMode="External"/><Relationship Id="rId81" Type="http://schemas.openxmlformats.org/officeDocument/2006/relationships/hyperlink" Target="https://www.mspbs.gov.py/dependencias/portal/adjunto/508623-ManualdeOrganizaciondelPrimerNiveldeAtencion.pdf" TargetMode="External"/><Relationship Id="rId86" Type="http://schemas.openxmlformats.org/officeDocument/2006/relationships/hyperlink" Target="https://www.mspbs.gov.py/dependencias/portal/adjunto/6ceb9e-LineamientoTratoAdecuadoTrabajadoresSaludPCD.pdf" TargetMode="External"/><Relationship Id="rId94" Type="http://schemas.openxmlformats.org/officeDocument/2006/relationships/hyperlink" Target="https://www.bacn.gov.py/leyes-paraguayas/8902/ley-n-6350-modifica-el-articulo-245-de-la-ley-n-12861998-codigo-procesal-penal-y-sus-modificatorias-las-leyes-ns-44312011-y-24932004" TargetMode="External"/><Relationship Id="rId99" Type="http://schemas.openxmlformats.org/officeDocument/2006/relationships/hyperlink" Target="http://www.denuncias.gov.py" TargetMode="External"/><Relationship Id="rId101" Type="http://schemas.openxmlformats.org/officeDocument/2006/relationships/hyperlink" Target="https://bit.ly/panel-transparencia-senacpy" TargetMode="External"/><Relationship Id="rId4" Type="http://schemas.openxmlformats.org/officeDocument/2006/relationships/hyperlink" Target="http://silpy.congreso.gov.py/expediente/106146" TargetMode="External"/><Relationship Id="rId9" Type="http://schemas.openxmlformats.org/officeDocument/2006/relationships/hyperlink" Target="http://www.ciudadmujer.gov.py/" TargetMode="External"/><Relationship Id="rId13" Type="http://schemas.openxmlformats.org/officeDocument/2006/relationships/hyperlink" Target="https://www.bacn.gov.py/leyes-paraguayas/10547/ley-n-6940-establece-mecanismos-y-procedimientos-para-prevenir-y-sancionar-actos-de-racismo-y-discriminacion-hacia-las-personas-afrodescendientes" TargetMode="External"/><Relationship Id="rId18" Type="http://schemas.openxmlformats.org/officeDocument/2006/relationships/hyperlink" Target="https://silpy.congreso.gov.py/web/expediente/123379" TargetMode="External"/><Relationship Id="rId39" Type="http://schemas.openxmlformats.org/officeDocument/2006/relationships/hyperlink" Target="https://www.senado.gov.py/index.php/noticias/noticias-comisiones/11581-en-mesa-multisectorial-abordaron-situacion-de-los-derechos-humanos-de-personas-trans-2023-06-07-17-08-56" TargetMode="External"/><Relationship Id="rId109" Type="http://schemas.openxmlformats.org/officeDocument/2006/relationships/hyperlink" Target="https://www.bacn.gov.py/leyes-paraguayas/9287/ley-n-6506-modifica-los-articulos-2-3-4-6-7-8-9-y-10-de-la-ley-n-54152015-que-crea-el-registro-de-deudores-alimentarios-morosos-redam" TargetMode="External"/><Relationship Id="rId34" Type="http://schemas.openxmlformats.org/officeDocument/2006/relationships/hyperlink" Target="https://dirgen.mspbs.gov.py/wp-content/uploads/2022/07/Violencia-de-genero_V4.pdf" TargetMode="External"/><Relationship Id="rId50" Type="http://schemas.openxmlformats.org/officeDocument/2006/relationships/hyperlink" Target="https://undocs.org/es/CEDAW/C/PRY/CO/7" TargetMode="External"/><Relationship Id="rId55" Type="http://schemas.openxmlformats.org/officeDocument/2006/relationships/hyperlink" Target="https://seguridadperiodistas.org.py/wp-content/uploads/2020/11/CARTA-INTENCION-2016_page-0002.pdf" TargetMode="External"/><Relationship Id="rId76" Type="http://schemas.openxmlformats.org/officeDocument/2006/relationships/hyperlink" Target="https://www.bacn.gov.py/leyes-paraguayas/4392/ley-n-5407-del-trabajo-domestico" TargetMode="External"/><Relationship Id="rId97" Type="http://schemas.openxmlformats.org/officeDocument/2006/relationships/hyperlink" Target="https://drive.google.com/file/d/1sCdER0II9zr9hTplnqyj1HFWbnkjAQ62/view" TargetMode="External"/><Relationship Id="rId104" Type="http://schemas.openxmlformats.org/officeDocument/2006/relationships/hyperlink" Target="https://www.bacn.gov.py/leyes-paraguayas/9363/ley-n-6379-crea-la-competencia-en-delitos-economicos-y-crimen-organizado-en-la-jurisdiccion-del-fuero-penal" TargetMode="External"/><Relationship Id="rId7" Type="http://schemas.openxmlformats.org/officeDocument/2006/relationships/hyperlink" Target="http://silpy.congreso.gov.py/expediente/106088" TargetMode="External"/><Relationship Id="rId71" Type="http://schemas.openxmlformats.org/officeDocument/2006/relationships/hyperlink" Target="https://digestolegislativo.gov.py/files/9034%20.pdf" TargetMode="External"/><Relationship Id="rId92" Type="http://schemas.openxmlformats.org/officeDocument/2006/relationships/hyperlink" Target="https://www.mspbs.gov.py/dependencias/portal/adjunto/2f5995-DirectoriodeServiciodeAtencinIntegralparaAdolescentes.pdf" TargetMode="External"/><Relationship Id="rId2" Type="http://schemas.openxmlformats.org/officeDocument/2006/relationships/hyperlink" Target="https://undocs.org/es/CEDAW/C/PRY/CO/7" TargetMode="External"/><Relationship Id="rId29" Type="http://schemas.openxmlformats.org/officeDocument/2006/relationships/hyperlink" Target="https://www.pj.gov.py/descargas/ID2-625_acordada_aprobar_protocolo_violencia.pdf" TargetMode="External"/><Relationship Id="rId24" Type="http://schemas.openxmlformats.org/officeDocument/2006/relationships/hyperlink" Target="https://undocs.org/es/CEDAW/C/PRY/CO/7" TargetMode="External"/><Relationship Id="rId40" Type="http://schemas.openxmlformats.org/officeDocument/2006/relationships/hyperlink" Target="https://www.pj.gov.py/contenido/537-observatorio-de-genero/2793" TargetMode="External"/><Relationship Id="rId45" Type="http://schemas.openxmlformats.org/officeDocument/2006/relationships/hyperlink" Target="https://programaeurofront.eu/0/novedad/oficiales-de-instancias-estatales-de-paraguay-son-capacitados-en-materia-de-prevencion-y-respuesta-a-la-trata-de-personas-en-la" TargetMode="External"/><Relationship Id="rId66" Type="http://schemas.openxmlformats.org/officeDocument/2006/relationships/hyperlink" Target="https://www.bacn.gov.py/leyes-paraguayas/1111/modifica-los-articulos-1-4-y-6-de-la-ley-n-247904-que-establece-la-obligatoriedad-de-la-incorporacion-de-personas-con-discapacidad-en-las-instituciones-publicas" TargetMode="External"/><Relationship Id="rId87" Type="http://schemas.openxmlformats.org/officeDocument/2006/relationships/hyperlink" Target="https://www.bacn.gov.py/leyes-paraguayas/11069/ley-n-7018-salud-mental" TargetMode="External"/><Relationship Id="rId110" Type="http://schemas.openxmlformats.org/officeDocument/2006/relationships/hyperlink" Target="https://www.pj.gov.py/descargas/ID1-501_acordada_n1668.pdf" TargetMode="External"/><Relationship Id="rId61" Type="http://schemas.openxmlformats.org/officeDocument/2006/relationships/hyperlink" Target="http://www.bacn.gov.py/leyes-paraguayas/3566/ley-n-4084-de-proteccion-a-las-estudiantes-en-estado-de-gravidez-y-maternidad" TargetMode="External"/><Relationship Id="rId82" Type="http://schemas.openxmlformats.org/officeDocument/2006/relationships/hyperlink" Target="https://www.bacn.gov.py/leyes-paraguayas/8708/ley-n-6266-de-atencion-integral-a-las-personas-con-cancer" TargetMode="External"/><Relationship Id="rId19" Type="http://schemas.openxmlformats.org/officeDocument/2006/relationships/hyperlink" Target="https://www.bacn.gov.py/leyes-paraguayas/10525/ley-n-6934-modifica-el-articulo-229-de-la-ley-n-11601997-codigo-penal-modificado-por-las-leyes-ns-34402008-46282012-y-53782014" TargetMode="External"/><Relationship Id="rId14" Type="http://schemas.openxmlformats.org/officeDocument/2006/relationships/hyperlink" Target="https://www.mspbs.gov.py/dependencias/portal/adjunto/9753ad-POLITICANACIONALDESALUD.pdf" TargetMode="External"/><Relationship Id="rId30" Type="http://schemas.openxmlformats.org/officeDocument/2006/relationships/hyperlink" Target="https://www.pj.gov.py/notas/18778-oficina-de-atencion-permanente-a-victimas-de-violencia-en-circunscripcion-de-central" TargetMode="External"/><Relationship Id="rId35" Type="http://schemas.openxmlformats.org/officeDocument/2006/relationships/hyperlink" Target="https://dirgen.mspbs.gov.py/wp-content/uploads/2022/06/Manual-de-Violencia_WEB.pdf" TargetMode="External"/><Relationship Id="rId56" Type="http://schemas.openxmlformats.org/officeDocument/2006/relationships/hyperlink" Target="https://www.ohchr.org/sites/default/files/lib-docs/HRBodies/UPR/Documents/Session38/PY/A_HRC_WG.6_38_PRY_1_Paraguay_AnnexV_S.pdf" TargetMode="External"/><Relationship Id="rId77" Type="http://schemas.openxmlformats.org/officeDocument/2006/relationships/hyperlink" Target="https://silpy.congreso.gov.py/web/expediente/108028" TargetMode="External"/><Relationship Id="rId100" Type="http://schemas.openxmlformats.org/officeDocument/2006/relationships/hyperlink" Target="https://paneldenuncias.senac.gov.py/" TargetMode="External"/><Relationship Id="rId105" Type="http://schemas.openxmlformats.org/officeDocument/2006/relationships/hyperlink" Target="https://www.bacn.gov.py/leyes-paraguayas/9225/ley-n-6430-previene-tipifica-y-sanciona-los-hechos-punibles-de-cohecho-transnacional-y-soborno-transnacional" TargetMode="External"/><Relationship Id="rId8" Type="http://schemas.openxmlformats.org/officeDocument/2006/relationships/hyperlink" Target="https://historico.mujer.gov.py/application/files/8315/5239/9481/IV_Plan_de_Igualdad12febrero-final.pdf" TargetMode="External"/><Relationship Id="rId51" Type="http://schemas.openxmlformats.org/officeDocument/2006/relationships/hyperlink" Target="https://silpy.congreso.gov.py/web/expediente/106491" TargetMode="External"/><Relationship Id="rId72" Type="http://schemas.openxmlformats.org/officeDocument/2006/relationships/hyperlink" Target="https://digestolegislativo.gov.py/files/11065.pdf" TargetMode="External"/><Relationship Id="rId93" Type="http://schemas.openxmlformats.org/officeDocument/2006/relationships/hyperlink" Target="https://www.pj.gov.py/images/contenido/acordadas/acordada1511.pdf" TargetMode="External"/><Relationship Id="rId98" Type="http://schemas.openxmlformats.org/officeDocument/2006/relationships/hyperlink" Target="https://undocs.org/es/CEDAW/C/PRY/CO/7" TargetMode="External"/><Relationship Id="rId3" Type="http://schemas.openxmlformats.org/officeDocument/2006/relationships/hyperlink" Target="https://www.bacn.gov.py/leyes-paraguayas/9580/constitucion-nacional" TargetMode="External"/><Relationship Id="rId25" Type="http://schemas.openxmlformats.org/officeDocument/2006/relationships/hyperlink" Target="https://www.mspbs.gov.py/dependencias/portal/adjunto/397b0e-gabineteef4eeaRESOLUCIONSG.N02712023.pdf" TargetMode="External"/><Relationship Id="rId46" Type="http://schemas.openxmlformats.org/officeDocument/2006/relationships/hyperlink" Target="https://www.bacn.gov.py/leyes-paraguayas/3192/establece-derechos-obligaciones-y-medidas-preventivas-con-relacion-a-los-efectos-producidos-por-el-virus-de-inmunodeficiencia-humana-vih-y-el-sindrome-de-inmunodeficiencia-adquirida-sida" TargetMode="External"/><Relationship Id="rId67" Type="http://schemas.openxmlformats.org/officeDocument/2006/relationships/hyperlink" Target="https://www.bacn.gov.py/leyes-paraguayas/8691/ley-n-6279-establece-la-obligatoriedad-de-la-incorporacion-de-las-personas-pertenecientes-a-las-comunidades-indigenas-en-las-instituciones-publicas" TargetMode="External"/><Relationship Id="rId20" Type="http://schemas.openxmlformats.org/officeDocument/2006/relationships/hyperlink" Target="https://undocs.org/es/CEDAW/C/PRY/CO/7" TargetMode="External"/><Relationship Id="rId41" Type="http://schemas.openxmlformats.org/officeDocument/2006/relationships/hyperlink" Target="https://observatorio.mujer.gov.py/index.php/red-de-observatorios-formulariosprueba" TargetMode="External"/><Relationship Id="rId62" Type="http://schemas.openxmlformats.org/officeDocument/2006/relationships/hyperlink" Target="https://www.mec.gov.py/cms_v4/documentos/ver_documento/?titulo=288-2023-ZARATE2" TargetMode="External"/><Relationship Id="rId83" Type="http://schemas.openxmlformats.org/officeDocument/2006/relationships/hyperlink" Target="https://silpy.congreso.gov.py/web/ley/143942" TargetMode="External"/><Relationship Id="rId88" Type="http://schemas.openxmlformats.org/officeDocument/2006/relationships/hyperlink" Target="https://www.mspbs.gov.py/dependencias/portal/adjunto/fe12e9-2017018RESOLUCIONSG0182017.pdf" TargetMode="External"/><Relationship Id="rId111" Type="http://schemas.openxmlformats.org/officeDocument/2006/relationships/hyperlink" Target="https://www.pj.gov.py/contenido/537-observatorio-de-genero/238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45</Pages>
  <Words>19491</Words>
  <Characters>105838</Characters>
  <Application>Microsoft Office Word</Application>
  <DocSecurity>0</DocSecurity>
  <Lines>2461</Lines>
  <Paragraphs>864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16</cp:revision>
  <cp:lastPrinted>2025-01-28T18:42:00Z</cp:lastPrinted>
  <dcterms:created xsi:type="dcterms:W3CDTF">2025-01-28T18:29:00Z</dcterms:created>
  <dcterms:modified xsi:type="dcterms:W3CDTF">2025-01-28T18:42:00Z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2418847</vt:lpwstr>
  </property>
  <property fmtid="{D5CDD505-2E9C-101B-9397-08002B2CF9AE}" pid="3" name="ODSRefJobNo">
    <vt:lpwstr>2429574</vt:lpwstr>
  </property>
  <property fmtid="{D5CDD505-2E9C-101B-9397-08002B2CF9AE}" pid="4" name="Symbol1">
    <vt:lpwstr>CEDAW/C/PRY/8</vt:lpwstr>
  </property>
  <property fmtid="{D5CDD505-2E9C-101B-9397-08002B2CF9AE}" pid="5" name="Symbol2">
    <vt:lpwstr/>
  </property>
  <property fmtid="{D5CDD505-2E9C-101B-9397-08002B2CF9AE}" pid="6" name="Translator">
    <vt:lpwstr/>
  </property>
  <property fmtid="{D5CDD505-2E9C-101B-9397-08002B2CF9AE}" pid="7" name="Operator">
    <vt:lpwstr>Eva 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Octavo informe periódico que el Paraguay debía presentar en 2021 en virtud del artículo 18 de la Convención*,**_x000d_</vt:lpwstr>
  </property>
</Properties>
</file>