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268"/>
        <w:gridCol w:w="2693"/>
      </w:tblGrid>
      <w:tr w:rsidR="002D5AAC" w14:paraId="03B3D9CA" w14:textId="77777777" w:rsidTr="00DD44B1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2AB5E603" w14:textId="77777777" w:rsidR="002D5AAC" w:rsidRDefault="002D5AAC" w:rsidP="00DD44B1"/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1F45D829" w14:textId="77777777" w:rsidR="002D5AAC" w:rsidRPr="00BD33EE" w:rsidRDefault="00DF71B9" w:rsidP="00DD44B1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558252EB" w14:textId="6DEB26A0" w:rsidR="002D5AAC" w:rsidRDefault="004A3718" w:rsidP="004A3718">
            <w:pPr>
              <w:jc w:val="right"/>
            </w:pPr>
            <w:r w:rsidRPr="004A3718">
              <w:rPr>
                <w:sz w:val="40"/>
              </w:rPr>
              <w:t>E</w:t>
            </w:r>
            <w:r>
              <w:t>/C.12/GC/27</w:t>
            </w:r>
          </w:p>
        </w:tc>
      </w:tr>
      <w:tr w:rsidR="002D5AAC" w:rsidRPr="00DB2F7F" w14:paraId="172D03DA" w14:textId="77777777" w:rsidTr="00DD44B1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5B6DAC0" w14:textId="77777777" w:rsidR="002D5AAC" w:rsidRDefault="002E5067" w:rsidP="00DD44B1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61497779" wp14:editId="5A794D7F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66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2F2AC59" w14:textId="77777777" w:rsidR="002D5AAC" w:rsidRPr="00033EE1" w:rsidRDefault="00640F49" w:rsidP="009F1700">
            <w:pPr>
              <w:spacing w:before="120" w:line="440" w:lineRule="exact"/>
              <w:rPr>
                <w:b/>
                <w:sz w:val="34"/>
                <w:szCs w:val="34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12" w:space="0" w:color="auto"/>
            </w:tcBorders>
          </w:tcPr>
          <w:p w14:paraId="2ABB5166" w14:textId="77777777" w:rsidR="002D5AAC" w:rsidRDefault="004A3718" w:rsidP="00DD44B1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67F71A00" w14:textId="4C667E2C" w:rsidR="004A3718" w:rsidRDefault="00037DA8" w:rsidP="004A3718">
            <w:pPr>
              <w:spacing w:line="240" w:lineRule="exact"/>
              <w:rPr>
                <w:lang w:val="en-US"/>
              </w:rPr>
            </w:pPr>
            <w:r w:rsidRPr="008D008F">
              <w:rPr>
                <w:color w:val="000000"/>
                <w:lang w:val="en-US"/>
              </w:rPr>
              <w:t>6 November 2025</w:t>
            </w:r>
          </w:p>
          <w:p w14:paraId="10CED3A2" w14:textId="77777777" w:rsidR="004A3718" w:rsidRDefault="004A3718" w:rsidP="004A3718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62CABFCD" w14:textId="44EBCF67" w:rsidR="004A3718" w:rsidRPr="00D62A45" w:rsidRDefault="004A3718" w:rsidP="004A3718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696799A9" w14:textId="4972CD4C" w:rsidR="000363F0" w:rsidRPr="00C334E4" w:rsidRDefault="000363F0" w:rsidP="000363F0">
      <w:pPr>
        <w:spacing w:before="120"/>
        <w:rPr>
          <w:b/>
          <w:sz w:val="24"/>
          <w:szCs w:val="24"/>
        </w:rPr>
      </w:pPr>
      <w:r w:rsidRPr="00C334E4">
        <w:rPr>
          <w:b/>
          <w:bCs/>
          <w:sz w:val="24"/>
          <w:szCs w:val="24"/>
        </w:rPr>
        <w:t xml:space="preserve">Комитет по экономическим, социальным </w:t>
      </w:r>
      <w:r w:rsidR="00C334E4">
        <w:rPr>
          <w:b/>
          <w:bCs/>
          <w:sz w:val="24"/>
          <w:szCs w:val="24"/>
        </w:rPr>
        <w:br/>
      </w:r>
      <w:r w:rsidRPr="00C334E4">
        <w:rPr>
          <w:b/>
          <w:bCs/>
          <w:sz w:val="24"/>
          <w:szCs w:val="24"/>
        </w:rPr>
        <w:t>и культурным правам</w:t>
      </w:r>
    </w:p>
    <w:p w14:paraId="27BA0674" w14:textId="46998F84" w:rsidR="00F66CFC" w:rsidRDefault="00F66CFC" w:rsidP="00816950">
      <w:pPr>
        <w:pStyle w:val="HChG"/>
      </w:pPr>
      <w:r>
        <w:tab/>
      </w:r>
      <w:r>
        <w:tab/>
        <w:t>Замечание общего порядка № 27 (2025) об</w:t>
      </w:r>
      <w:r w:rsidR="00816950">
        <w:rPr>
          <w:lang w:val="en-US"/>
        </w:rPr>
        <w:t> </w:t>
      </w:r>
      <w:r>
        <w:t>экономических, социальных и культурных правах и</w:t>
      </w:r>
      <w:r w:rsidR="00816950">
        <w:rPr>
          <w:lang w:val="en-US"/>
        </w:rPr>
        <w:t> </w:t>
      </w:r>
      <w:r>
        <w:t>экологическом компоненте устойчивого развития</w:t>
      </w:r>
      <w:r w:rsidR="00816950" w:rsidRPr="00816950">
        <w:rPr>
          <w:rStyle w:val="a8"/>
          <w:b w:val="0"/>
          <w:bCs/>
          <w:sz w:val="20"/>
          <w:vertAlign w:val="baseline"/>
        </w:rPr>
        <w:footnoteReference w:customMarkFollows="1" w:id="1"/>
        <w:t>*</w:t>
      </w:r>
    </w:p>
    <w:p w14:paraId="26964F02" w14:textId="77777777" w:rsidR="00F66CFC" w:rsidRDefault="00F66CFC" w:rsidP="00816950">
      <w:pPr>
        <w:pStyle w:val="HChG"/>
      </w:pPr>
      <w:r>
        <w:tab/>
        <w:t>I.</w:t>
      </w:r>
      <w:r>
        <w:tab/>
        <w:t>Введение</w:t>
      </w:r>
    </w:p>
    <w:p w14:paraId="6F61C269" w14:textId="543AAB6F" w:rsidR="00F66CFC" w:rsidRDefault="00F66CFC" w:rsidP="00F66CFC">
      <w:pPr>
        <w:pStyle w:val="SingleTxtG"/>
      </w:pPr>
      <w:r>
        <w:t>1.</w:t>
      </w:r>
      <w:r>
        <w:tab/>
        <w:t>Чистая, здоровая и устойчивая окружающая среда является важнейшим предварительным условием для осуществления экономических, социальных и культурных прав. Природа необходима для существования и благополучия человека, поскольку она не только поддерживает жизнь, но и лежит в основе экологических процессов, связанных, в частности, с качеством воздуха и воды, плодородием почвы, стабильностью климата, опылением и предотвращением стихийных бедствий. Однако усиливающиеся и взаимосвязанные экологические проблемы современности, такие как изменение климата, утрата биоразнообразия и загрязнение окружающей среды, представляют серьезную угрозу для способности нынешнего и будущих поколений пользоваться экономическими, социальными и культурными правами и уже приводят к нарушениям этих прав. Изменение климата, обусловленное деятельностью человека, учащает и усиливает экстремальные погодные явления во всем мире, такие как аномальная жара, обильные осадки и наводнения, засухи и тропические циклоны, и вызывает медленно протекающие изменения, включая повышение уровня моря</w:t>
      </w:r>
      <w:r w:rsidR="008C52C1">
        <w:rPr>
          <w:rStyle w:val="a8"/>
        </w:rPr>
        <w:footnoteReference w:id="2"/>
      </w:r>
      <w:r>
        <w:t xml:space="preserve">. Ключевые природные процессы все больше нарушаются или ослабевают, </w:t>
      </w:r>
      <w:r w:rsidR="00C334E4">
        <w:br/>
      </w:r>
      <w:r>
        <w:t>а биоразнообразие стремительно сокращается как на уровне видов, так и на уровне экосистем из-за совокупного воздействия изменения климата, изменений в использовании пространств суши и моря, чрезмерной эксплуатации ресурсов, загрязнения окружающей среды и нерационального управления химическими веществами и отходами</w:t>
      </w:r>
      <w:r w:rsidR="008C52C1">
        <w:rPr>
          <w:rStyle w:val="a8"/>
        </w:rPr>
        <w:footnoteReference w:id="3"/>
      </w:r>
      <w:r>
        <w:t>.</w:t>
      </w:r>
    </w:p>
    <w:p w14:paraId="146C2950" w14:textId="398EC948" w:rsidR="00F66CFC" w:rsidRDefault="00F66CFC" w:rsidP="00F66CFC">
      <w:pPr>
        <w:pStyle w:val="SingleTxtG"/>
      </w:pPr>
      <w:r>
        <w:t>2.</w:t>
      </w:r>
      <w:r>
        <w:tab/>
        <w:t xml:space="preserve">Ситуация становится все более тревожной, поскольку взаимодействие этих экологических кризисов </w:t>
      </w:r>
      <w:r w:rsidR="008C52C1">
        <w:t>«</w:t>
      </w:r>
      <w:r>
        <w:t>повышает риск достижения необратимых биофизических переломных точек, которые ставят под угрозу основные и жизнеобеспечивающие экологические системы и процессы</w:t>
      </w:r>
      <w:r w:rsidR="008C52C1">
        <w:t>»</w:t>
      </w:r>
      <w:r w:rsidR="008C52C1">
        <w:rPr>
          <w:rStyle w:val="a8"/>
        </w:rPr>
        <w:footnoteReference w:id="4"/>
      </w:r>
      <w:r>
        <w:t xml:space="preserve">. Эти планетарные экологические угрозы обусловлены чрезмерными уровнями производства и потребления, особенно в развитых государствах, которые исторически вносят наибольший вклад в деградацию </w:t>
      </w:r>
      <w:r>
        <w:lastRenderedPageBreak/>
        <w:t>окружающей среды и изменение климата, и формируются под воздействием устойчивых отношений доминирования над природой и людьми, уходящих глубоко корнями в практику извлечения ресурсов в колониальную эпоху</w:t>
      </w:r>
      <w:r w:rsidR="008C52C1">
        <w:rPr>
          <w:rStyle w:val="a8"/>
        </w:rPr>
        <w:footnoteReference w:id="5"/>
      </w:r>
      <w:r>
        <w:t>. При нынешних темпах эксплуатации ресурсов, загрязнения и разрушения окружающей среды и без учета экологических лимитов Земли добиться равного осуществления закрепленных в Пакте прав для всех невозможно. Нерациональное использование природных ресурсов и связанная с этим деградация окружающей среды часто становятся причиной вооруженных конфликтов и нестабильности, которые, в свою очередь, приобретают из-за них более серьезный характер</w:t>
      </w:r>
      <w:r w:rsidR="008C52C1">
        <w:rPr>
          <w:rStyle w:val="a8"/>
        </w:rPr>
        <w:footnoteReference w:id="6"/>
      </w:r>
      <w:r>
        <w:t>.</w:t>
      </w:r>
    </w:p>
    <w:p w14:paraId="14799C96" w14:textId="11F9BAE0" w:rsidR="00F66CFC" w:rsidRDefault="00F66CFC" w:rsidP="00F66CFC">
      <w:pPr>
        <w:pStyle w:val="SingleTxtG"/>
      </w:pPr>
      <w:r>
        <w:t>3.</w:t>
      </w:r>
      <w:r>
        <w:tab/>
        <w:t>Отдельные люди, группы и страны, в том числе пострадавшие от колониализма, работорговли и апартеида, вклад которых в экологический кризис всегда был наименьшим, зачастую в наибольшей степени страдают от него и оказываются наименее приспособленными к преодолению его негативных последствий. Коренные народы, крестьяне и другие общины, имеющие глубокую связь с природой, одними из первых ощущают на себе разрушительные последствия этого кризиса. Кроме того, деградация окружающей среды усугубляет одну из величайших глобальных проблем</w:t>
      </w:r>
      <w:r w:rsidR="008C52C1">
        <w:t> —</w:t>
      </w:r>
      <w:r>
        <w:t xml:space="preserve"> искоренение нищеты и ликвидация голода и недоедания </w:t>
      </w:r>
      <w:r w:rsidR="008C52C1">
        <w:t>—</w:t>
      </w:r>
      <w:r>
        <w:t xml:space="preserve"> и обостряет</w:t>
      </w:r>
      <w:r w:rsidR="008C52C1">
        <w:t xml:space="preserve"> </w:t>
      </w:r>
      <w:r>
        <w:t>миграционные кризисы и кризисы, связанные с потоками беженцев. Это свидетельствует о взаимосвязи между экономическим, социальным и экологическим компонентами устойчивого развития. Эти взаимосвязанные проблемы требуют совершенствования руководящих указаний в отношении осуществления экономических, социальных и культурных прав, центральное место в которых должно быть отведено уважению человеческого достоинства нынешнего и будущих поколений, а также экологической справедливости.</w:t>
      </w:r>
    </w:p>
    <w:p w14:paraId="1878D4A7" w14:textId="1A56D36D" w:rsidR="00F66CFC" w:rsidRDefault="00F66CFC" w:rsidP="00F66CFC">
      <w:pPr>
        <w:pStyle w:val="SingleTxtG"/>
      </w:pPr>
      <w:r>
        <w:t>4.</w:t>
      </w:r>
      <w:r>
        <w:tab/>
        <w:t xml:space="preserve">В настоящем замечании общего порядка подчеркивается негативное воздействие деградации окружающей среды на экономические, социальные и культурные права и разъясняются обязательства государств </w:t>
      </w:r>
      <w:r w:rsidR="008C52C1">
        <w:t>—</w:t>
      </w:r>
      <w:r>
        <w:t xml:space="preserve"> участников Международного пакта об экономических, социальных и культурных правах в отношении экологического компонента устойчивого развития. В этом замечании Комитет формулирует рекомендации в отношении осуществления этих прав на основе соблюдения экологических лимитов и с учетом ограниченного характера природных ресурсов.</w:t>
      </w:r>
    </w:p>
    <w:p w14:paraId="6E82B9F2" w14:textId="77777777" w:rsidR="00F66CFC" w:rsidRDefault="00F66CFC" w:rsidP="008C52C1">
      <w:pPr>
        <w:pStyle w:val="HChG"/>
      </w:pPr>
      <w:r>
        <w:tab/>
        <w:t>II.</w:t>
      </w:r>
      <w:r>
        <w:tab/>
        <w:t>Сфера охвата и метод толкования</w:t>
      </w:r>
    </w:p>
    <w:p w14:paraId="28246A5B" w14:textId="1C5DE3CC" w:rsidR="00F66CFC" w:rsidRDefault="00F66CFC" w:rsidP="00F66CFC">
      <w:pPr>
        <w:pStyle w:val="SingleTxtG"/>
      </w:pPr>
      <w:r>
        <w:t>5.</w:t>
      </w:r>
      <w:r>
        <w:tab/>
        <w:t>Устойчивое развитие направлено на осуществление права всех людей на достаточный уровень жизни на основе их активного, свободного и конструктивного участия в процессе развития и в справедливом распределении получаемых в результате этого благ без ущерба для способности будущих поколений удовлетворять свои собственные потребности</w:t>
      </w:r>
      <w:r w:rsidR="008C52C1">
        <w:rPr>
          <w:rStyle w:val="a8"/>
        </w:rPr>
        <w:footnoteReference w:id="7"/>
      </w:r>
      <w:r>
        <w:t>. Оно требует сбалансированного и комплексного подхода к его экономическому, социальному и экологическому компонентам. В своей практике Комитет подчеркивал тесную связь между Пактом и устойчивым развитием</w:t>
      </w:r>
      <w:r w:rsidR="008C52C1">
        <w:rPr>
          <w:rStyle w:val="a8"/>
        </w:rPr>
        <w:footnoteReference w:id="8"/>
      </w:r>
      <w:r>
        <w:t>. Он отмечал, что полноценное осуществление экономических, социальных и культурных прав для всех, особенно для лиц, находящихся в неблагоприятном и маргинализированном положении, имеет решающее значение для обеспечения устойчивого развития</w:t>
      </w:r>
      <w:r w:rsidR="008C52C1">
        <w:rPr>
          <w:rStyle w:val="a8"/>
        </w:rPr>
        <w:footnoteReference w:id="9"/>
      </w:r>
      <w:r>
        <w:t>. В то же время он признавал, что для осуществления этих прав необходимо обеспечить защиту окружающей среды.</w:t>
      </w:r>
    </w:p>
    <w:p w14:paraId="1810FF33" w14:textId="6D90026E" w:rsidR="00F66CFC" w:rsidRDefault="00F66CFC" w:rsidP="00F66CFC">
      <w:pPr>
        <w:pStyle w:val="SingleTxtG"/>
      </w:pPr>
      <w:r>
        <w:t>6.</w:t>
      </w:r>
      <w:r>
        <w:tab/>
        <w:t xml:space="preserve">Комитет признает, что право на чистую, здоровую и устойчивую окружающую среду является самостоятельным правом человека, необходимым для эффективного осуществления всех прав, закрепленных в Пакте. Это право вытекает как из Пакта в </w:t>
      </w:r>
      <w:r>
        <w:lastRenderedPageBreak/>
        <w:t>целом, так и из конкретных закрепленных в нем прав, включая права на здоровье</w:t>
      </w:r>
      <w:r w:rsidR="008C52C1">
        <w:rPr>
          <w:rStyle w:val="a8"/>
        </w:rPr>
        <w:footnoteReference w:id="10"/>
      </w:r>
      <w:r>
        <w:t>, на достаточный уровень жизни и на участие в культурной жизни</w:t>
      </w:r>
      <w:r w:rsidR="008C52C1">
        <w:rPr>
          <w:rStyle w:val="a8"/>
        </w:rPr>
        <w:footnoteReference w:id="11"/>
      </w:r>
      <w:r>
        <w:t>. Право на здоровую окружающую среду было также эксплицитно признано Генеральной Ассамблеей в 2022 году</w:t>
      </w:r>
      <w:r w:rsidR="008C52C1">
        <w:rPr>
          <w:rStyle w:val="a8"/>
        </w:rPr>
        <w:footnoteReference w:id="12"/>
      </w:r>
      <w:r>
        <w:t>, и с тех пор подтверждалось на конференциях Сторон Рамочной конвенции Организации Объединенных Наций об изменении климата и Конвенции о биологическом разнообразии</w:t>
      </w:r>
      <w:r w:rsidR="008C52C1">
        <w:rPr>
          <w:rStyle w:val="a8"/>
        </w:rPr>
        <w:footnoteReference w:id="13"/>
      </w:r>
      <w:r>
        <w:t>.</w:t>
      </w:r>
    </w:p>
    <w:p w14:paraId="5F1B0EB5" w14:textId="77777777" w:rsidR="00F66CFC" w:rsidRDefault="00F66CFC" w:rsidP="00F66CFC">
      <w:pPr>
        <w:pStyle w:val="SingleTxtG"/>
      </w:pPr>
      <w:r>
        <w:t>7.</w:t>
      </w:r>
      <w:r>
        <w:tab/>
        <w:t>Хотя многие люди и группы, особенно находящиеся в уязвимом и маргинализированном положении, уже сталкиваются с серьезными последствиями деградации окружающей среды для своих прав, закрепленных в Пакте, со временем это воздействие, скорее всего, будет усиливаться. При отсутствии безотлагательных и последовательных действий будущие поколения будут нести еще более тяжелое бремя и будут иметь еще более ограниченные возможности по осуществлению своих прав в соответствии с Пактом. Поэтому обеспечение постепенного осуществления прав, закрепленных в Пакте, требует применения подхода, учитывающего межпоколенческую перспективу и основанного на справедливом распределении прав и обязанностей, а также ресурсов между поколениями.</w:t>
      </w:r>
    </w:p>
    <w:p w14:paraId="2C102506" w14:textId="5F1CE241" w:rsidR="00F66CFC" w:rsidRDefault="00F66CFC" w:rsidP="00F66CFC">
      <w:pPr>
        <w:pStyle w:val="SingleTxtG"/>
      </w:pPr>
      <w:r>
        <w:t>8.</w:t>
      </w:r>
      <w:r>
        <w:tab/>
        <w:t>Структурное неравенство по-прежнему присутствует как на национальном, так и на международном уровнях. Неравный доступ к природным ресурсам, земле, общественным благам и услугам, а также к процессам разработки и осуществления государственной политики и принятия решений остается препятствием на пути устойчивого развития. Для обеспечения осуществления закрепленных в Пакте прав для всех это неравенство необходимо устранять на основе полного соблюдения принципов недискриминации и фактического равноправия. Нынешние глобальные экономические структуры по-прежнему формируются под воздействием прошлых и существующих диспропорций в моделях производства и потребления, вследствие чего развивающиеся страны продолжают нести экологическое бремя добычи и производства ресурсов, а развитые страны получают непропорционально большую экономическую выгоду</w:t>
      </w:r>
      <w:r w:rsidR="008C52C1">
        <w:rPr>
          <w:rStyle w:val="a8"/>
        </w:rPr>
        <w:footnoteReference w:id="14"/>
      </w:r>
      <w:r>
        <w:t>. Эта структурная асимметрия может подорвать способность многих более бедных стран осуществить переход от экономики, зависящей от ископаемых видов топлива, при одновременном обеспечении соблюдения прав, закрепленных в Пакте</w:t>
      </w:r>
      <w:r w:rsidR="008C52C1">
        <w:rPr>
          <w:rStyle w:val="a8"/>
        </w:rPr>
        <w:footnoteReference w:id="15"/>
      </w:r>
      <w:r>
        <w:t>. Выполнение обязательства по оказанию международной помощи и сотрудничеству в соответствии с Пактом, а также соблюдение принципа общей, но дифференцированной ответственности и соответствующих возможностей, согласно применимым договорам и общему международному праву, имеют важнейшее значение для устранения этого неравенства и обеспечения устойчивого развития.</w:t>
      </w:r>
    </w:p>
    <w:p w14:paraId="026926E8" w14:textId="49F8C8D7" w:rsidR="00F66CFC" w:rsidRDefault="00F66CFC" w:rsidP="00F66CFC">
      <w:pPr>
        <w:pStyle w:val="SingleTxtG"/>
      </w:pPr>
      <w:r>
        <w:t>9.</w:t>
      </w:r>
      <w:r>
        <w:tab/>
        <w:t>При уточнении обязательств государств-участников по осуществлению прав, закрепленных в Пакте, в связи с экологическим компонентом устойчивого развития необходимо учитывать положения международного экологического права в соответствии с пунктом 3 с) статьи 31 Венской конвенции о праве международных договоров</w:t>
      </w:r>
      <w:r w:rsidR="008C52C1">
        <w:rPr>
          <w:rStyle w:val="a8"/>
        </w:rPr>
        <w:footnoteReference w:id="16"/>
      </w:r>
      <w:r>
        <w:t xml:space="preserve">. В свою очередь, государства-участники должны выполнять свои </w:t>
      </w:r>
      <w:r>
        <w:lastRenderedPageBreak/>
        <w:t>обязательства по международному праву прав человека, включая Пакт, при выполнении своих обязательств по международному экологическому праву.</w:t>
      </w:r>
    </w:p>
    <w:p w14:paraId="17064FF3" w14:textId="5360C546" w:rsidR="00F66CFC" w:rsidRDefault="00F66CFC" w:rsidP="00F66CFC">
      <w:pPr>
        <w:pStyle w:val="SingleTxtG"/>
      </w:pPr>
      <w:r>
        <w:t>10.</w:t>
      </w:r>
      <w:r>
        <w:tab/>
        <w:t>При толковании и осуществлении Пакта в контексте деградации окружающей среды следует руководствоваться содержащимися в нем общими обязательствами и основополагающими принципами, которые включают постепенное осуществление прав и использование максимального объема имеющихся ресурсов, а также принципами равенства и недискриминации, конструктивного участия, доступа к информации, доступа к правосудию, а также международной помощи и сотрудничества. Эти рамки должны основываться также на праве на чистую, здоровую и устойчивую окружающую среду и на праве на развитие, что подразумевает справедливое удовлетворение потребностей разных поколений в области развития и охраны окружающей среды</w:t>
      </w:r>
      <w:r w:rsidR="008C52C1">
        <w:rPr>
          <w:rStyle w:val="a8"/>
        </w:rPr>
        <w:footnoteReference w:id="17"/>
      </w:r>
      <w:r>
        <w:t>. Соответствующие нормы международного экологического права, включая принципы межпоколенческой справедливости</w:t>
      </w:r>
      <w:r w:rsidR="008C52C1">
        <w:rPr>
          <w:rStyle w:val="a8"/>
        </w:rPr>
        <w:footnoteReference w:id="18"/>
      </w:r>
      <w:r>
        <w:t>, общей, но дифференцированной ответственности и соответствующих возможностей</w:t>
      </w:r>
      <w:r w:rsidR="008C52C1">
        <w:rPr>
          <w:rStyle w:val="a8"/>
        </w:rPr>
        <w:footnoteReference w:id="19"/>
      </w:r>
      <w:r>
        <w:t xml:space="preserve"> и предосторожности</w:t>
      </w:r>
      <w:r w:rsidR="008C52C1">
        <w:rPr>
          <w:rStyle w:val="a8"/>
        </w:rPr>
        <w:footnoteReference w:id="20"/>
      </w:r>
      <w:r>
        <w:t>, также должны служить ориентиром при толковании. Полноценное осуществление прав, закрепленных в Пакте, требует справедливого перехода к устойчивой экономике, центральное место в которой занимают права человека и благополучие планеты.</w:t>
      </w:r>
    </w:p>
    <w:p w14:paraId="6835E38F" w14:textId="06C40A8D" w:rsidR="00F66CFC" w:rsidRDefault="00F66CFC" w:rsidP="008C52C1">
      <w:pPr>
        <w:pStyle w:val="HChG"/>
      </w:pPr>
      <w:r>
        <w:tab/>
        <w:t>III.</w:t>
      </w:r>
      <w:r>
        <w:tab/>
        <w:t>Обязательства государств-участников в соответствии с</w:t>
      </w:r>
      <w:r w:rsidR="008C52C1">
        <w:t> </w:t>
      </w:r>
      <w:r>
        <w:t>Пактом в контексте деградации окружающей среды</w:t>
      </w:r>
    </w:p>
    <w:p w14:paraId="7667E453" w14:textId="77777777" w:rsidR="00F66CFC" w:rsidRDefault="00F66CFC" w:rsidP="008C52C1">
      <w:pPr>
        <w:pStyle w:val="H1G"/>
      </w:pPr>
      <w:r>
        <w:tab/>
        <w:t>A.</w:t>
      </w:r>
      <w:r>
        <w:tab/>
        <w:t>Общие обязательства</w:t>
      </w:r>
    </w:p>
    <w:p w14:paraId="0AAF3C44" w14:textId="77777777" w:rsidR="00F66CFC" w:rsidRDefault="00F66CFC" w:rsidP="008C52C1">
      <w:pPr>
        <w:pStyle w:val="H23G"/>
      </w:pPr>
      <w:r>
        <w:tab/>
      </w:r>
      <w:r>
        <w:tab/>
        <w:t>Обязательство уважать, защищать и осуществлять права</w:t>
      </w:r>
    </w:p>
    <w:p w14:paraId="7FA7B6C5" w14:textId="4C470061" w:rsidR="00F66CFC" w:rsidRDefault="00F66CFC" w:rsidP="00F66CFC">
      <w:pPr>
        <w:pStyle w:val="SingleTxtG"/>
      </w:pPr>
      <w:r>
        <w:t>11.</w:t>
      </w:r>
      <w:r>
        <w:tab/>
        <w:t>Государства-участники обязаны уважать, защищать и осуществлять права, закрепленные в Пакте. В контексте деградации окружающей среды обязательство уважать требует от государств-участников воздерживаться от действий, которые предсказуемо приводят к нанесению значительного ущерба воздуху, земле, воде, океанам, стабильности климата, биоразнообразию и экосистемам или причиняют такой ущерб. Обязательство защищать требует от государств-участников принятия мер с целью предотвращения нанесения ущерба окружающей среде, который может привести к нарушению закрепленных в Пакте прав, в том числе путем регулирования деятельности других субъектов, например предприятий, находящихся под их юрисдикцией или контролем. Это также требует от государств-участников проявления должной осмотрительности в вопросах защиты прав, закрепленных в Пакте, от последствий экологического ущерба путем применения стандарта осмотрительности, соразмерного степени риска</w:t>
      </w:r>
      <w:r w:rsidR="008C52C1">
        <w:rPr>
          <w:rStyle w:val="a8"/>
        </w:rPr>
        <w:footnoteReference w:id="21"/>
      </w:r>
      <w:r>
        <w:t xml:space="preserve">, и подразумевает принятие всех надлежащих и необходимых мер для защиты этих прав от экологических угроз, вызванных или усугубляемых человеческой деятельностью, таких как повышение уровня моря, нехватка воды, наводнения, засухи, опустынивание, деградация земель, обезлесение, </w:t>
      </w:r>
      <w:r>
        <w:lastRenderedPageBreak/>
        <w:t>загрязнение воздуха, воды и почвы, а также ураганы. Если существует риск нанесения серьезного и необратимого экологического ущерба, затрагивающего закрепленные в Пакте права, то государства-участники должны применять принцип предосторожности и принимать все необходимые меры для предотвращения такого ущерба даже в отсутствие научной определенности</w:t>
      </w:r>
      <w:r w:rsidR="008C52C1">
        <w:rPr>
          <w:rStyle w:val="a8"/>
        </w:rPr>
        <w:footnoteReference w:id="22"/>
      </w:r>
      <w:r>
        <w:t>. Обязательство осуществлять требует от государств-участников принятия соответствующих законодательных, административных, финансовых, судебных и других мер для обеспечения соблюдения прав, закрепленных в Пакте, в том числе путем сохранения, защиты и восстановления экосистем, имеющих ключевое значение для осуществления этих прав. Это включает в себя обеспечение чистоты воздуха, безопасного климата, плодородных земель и здоровых экосистем, в том числе лесов и водно-болотных угодий, а также целостности рек и океанов</w:t>
      </w:r>
      <w:r w:rsidR="008C52C1">
        <w:rPr>
          <w:rStyle w:val="a8"/>
        </w:rPr>
        <w:footnoteReference w:id="23"/>
      </w:r>
      <w:r>
        <w:t>.</w:t>
      </w:r>
    </w:p>
    <w:p w14:paraId="601B9B00" w14:textId="17EEB661" w:rsidR="00F66CFC" w:rsidRDefault="00F66CFC" w:rsidP="00F66CFC">
      <w:pPr>
        <w:pStyle w:val="SingleTxtG"/>
      </w:pPr>
      <w:r>
        <w:t>12.</w:t>
      </w:r>
      <w:r>
        <w:tab/>
        <w:t>Хотя предприятия могут способствовать соблюдению прав человека и устойчивому развитию, некоторые виды деятельности, такие как добыча и использование ископаемых видов топлива, крупномасштабная добыча полезных ископаемых, обезлесение и другие виды практики, ведущие к истощению ресурсов и загрязнению окружающей среды, могут существенно подрывать осуществление закрепленных в Пакте прав. Государства-участники должны принимать законодательные, административные, просветительские и другие соответствующие меры для обеспечения эффективной защиты закрепленных в Пакте прав от нарушений, связанных с предпринимательской деятельностью, в том числе путем создания нормативно-правовой базы для надзора и контроля за этой деятельностью. Также должны быть созданы эффективные механизмы для обеспечения привлечения к ответственности и возмещения ущерба жертвам нарушений прав человека, связанных с предпринимательской деятельностью</w:t>
      </w:r>
      <w:r w:rsidR="008C52C1">
        <w:rPr>
          <w:rStyle w:val="a8"/>
        </w:rPr>
        <w:footnoteReference w:id="24"/>
      </w:r>
      <w:r>
        <w:t>. Кроме того, государства-участники должны располагать правовой базой, требующей от предприятий проявлять должную осмотрительность в вопросах прав человека и окружающей среды для выявления, мониторинга, предотвращения, смягчения и устранения негативных последствий нанесения ущерба окружающей среде для закрепленных в Пакте прав, обусловленных решениями или действиями предприятий и их производственно-сбытовыми цепочками</w:t>
      </w:r>
      <w:r w:rsidR="008C52C1">
        <w:rPr>
          <w:rStyle w:val="a8"/>
        </w:rPr>
        <w:footnoteReference w:id="25"/>
      </w:r>
      <w:r>
        <w:t>.</w:t>
      </w:r>
    </w:p>
    <w:p w14:paraId="1E163D86" w14:textId="26A5BA1C" w:rsidR="00F66CFC" w:rsidRDefault="00F66CFC" w:rsidP="00F66CFC">
      <w:pPr>
        <w:pStyle w:val="SingleTxtG"/>
      </w:pPr>
      <w:r>
        <w:t>13.</w:t>
      </w:r>
      <w:r>
        <w:tab/>
        <w:t>Учитывая взаимозависимый и неделимый характер всех прав человека, государства-участники должны обеспечивать полное соблюдение процедурных гарантий в экологических вопросах, включая вопросы, касающиеся предотвращения изменения климата, адаптации к нему и возмещения ущерба, доступа к информации, всестороннего и значимого участия общественности во всех соответствующих процессах планирования и принятия решений, а также доступа к правосудию и эффективным средствам правовой защиты</w:t>
      </w:r>
      <w:r w:rsidR="008C52C1">
        <w:rPr>
          <w:rStyle w:val="a8"/>
        </w:rPr>
        <w:footnoteReference w:id="26"/>
      </w:r>
      <w:r>
        <w:t>. В случаях, когда затрагиваются коренные народы, необходимо обеспечивать соблюдение и защиту их права на свободное, предварительное и осознанное согласие</w:t>
      </w:r>
      <w:r w:rsidR="008C52C1">
        <w:rPr>
          <w:rStyle w:val="a8"/>
        </w:rPr>
        <w:footnoteReference w:id="27"/>
      </w:r>
      <w:r>
        <w:t>. Государствам-участникам следует уважать, обеспечивать безопасность и поощрять деятельность правозащитников, занимающихся вопросами окружающей среды и прав коренных народов, а также других субъектов гражданского общества, которые поддерживают людей, находящихся в маргинализированном и неблагоприятном положении, в осуществлении их прав, закрепленных в Пакте</w:t>
      </w:r>
      <w:r w:rsidR="008C52C1">
        <w:rPr>
          <w:rStyle w:val="a8"/>
        </w:rPr>
        <w:footnoteReference w:id="28"/>
      </w:r>
      <w:r>
        <w:t xml:space="preserve">. Государствам-участникам следует принимать все необходимые меры для обеспечения того, чтобы защитники экологических прав человека и журналисты могли выполнять свою работу, не опасаясь преследования, запугивания или насилия, в том числе путем обеспечения их защиты </w:t>
      </w:r>
      <w:r>
        <w:lastRenderedPageBreak/>
        <w:t>от нанесения им ущерба третьими лицами</w:t>
      </w:r>
      <w:r w:rsidR="008C52C1">
        <w:rPr>
          <w:rStyle w:val="a8"/>
        </w:rPr>
        <w:footnoteReference w:id="29"/>
      </w:r>
      <w:r>
        <w:t>. При принятии решений на международном и национальном уровнях должны также соблюдаться гарантии добросовестности, включая обеспечение транспарентности, контроль за конфликтом интересов и меры по борьбе с институциональным захватом, для исключения неправомерного влияния на конечные результаты, которое может ущемлять право на чистую, здоровую и устойчивую окружающую среду.</w:t>
      </w:r>
    </w:p>
    <w:p w14:paraId="5642EE15" w14:textId="13D1C721" w:rsidR="00F66CFC" w:rsidRDefault="00F66CFC" w:rsidP="00F66CFC">
      <w:pPr>
        <w:pStyle w:val="SingleTxtG"/>
      </w:pPr>
      <w:r>
        <w:t>14.</w:t>
      </w:r>
      <w:r>
        <w:tab/>
        <w:t>Если устанавливается, что какой-то вид деятельности представляет значительный риск для окружающей среды и тем самым отрицательно влияет на осуществление прав, закрепленных в Пакте, то государства-участники должны проводить оценки воздействия на окружающую среду и на права человека, поскольку они являются основными элементами процедурных обязательств</w:t>
      </w:r>
      <w:r w:rsidR="008C52C1">
        <w:rPr>
          <w:rStyle w:val="a8"/>
        </w:rPr>
        <w:footnoteReference w:id="30"/>
      </w:r>
      <w:r>
        <w:t>. Оценки должны проводиться до начала деятельности, быть независимыми, учитывать совокупное воздействие и, в случаях, когда запланированная деятельность может затрагивать территории коренных народов, учитывать их культурные особенности</w:t>
      </w:r>
      <w:r w:rsidR="008C52C1">
        <w:rPr>
          <w:rStyle w:val="a8"/>
        </w:rPr>
        <w:footnoteReference w:id="31"/>
      </w:r>
      <w:r>
        <w:t>. Такие оценки следует проводить при конструктивном участии общественности, придавать огласке их результаты и использовать их в качестве основы при разработке мер по предотвращению, прекращению и исправлению любых нарушений или ущемлений прав человека.</w:t>
      </w:r>
    </w:p>
    <w:p w14:paraId="60B48281" w14:textId="77777777" w:rsidR="00F66CFC" w:rsidRDefault="00F66CFC" w:rsidP="00F66CFC">
      <w:pPr>
        <w:pStyle w:val="SingleTxtG"/>
      </w:pPr>
      <w:r>
        <w:t>15.</w:t>
      </w:r>
      <w:r>
        <w:tab/>
        <w:t>Уважение, защита и осуществление закрепленных в Пакте прав требуют устранения коренных причин взаимосвязанных кризисов, связанных с изменением климата, утратой биоразнообразия и загрязнением окружающей среды. Последние обусловлены неустойчивыми моделями производства и потребления, а также нынешней экономической моделью, основанной на неограниченном росте. Переход к экономике, центральное место в которой занимают права человека и благополучие планеты, необходим для обеспечения равного осуществления прав человека в пределах экологических лимитов Земли.</w:t>
      </w:r>
    </w:p>
    <w:p w14:paraId="07FF77C4" w14:textId="16D6E5EF" w:rsidR="00F66CFC" w:rsidRDefault="00F66CFC" w:rsidP="00F66CFC">
      <w:pPr>
        <w:pStyle w:val="SingleTxtG"/>
      </w:pPr>
      <w:r>
        <w:t>16.</w:t>
      </w:r>
      <w:r>
        <w:tab/>
        <w:t>В частности, изменение климата уже оказывает серьезное влияние на осуществление прав, закрепленных в Пакте, и усугубляет другие экологические проблемы, в связи с чем требуются как системные преобразования, так и конкретные политические меры. Согласно Пакту, государства-участники обязаны принимать и осуществлять как меры по предотвращению изменения климата, так и меры по адаптации к нему для защиты закрепленных в Пакте прав от последствий изменения климата, а также предоставлять компенсацию в связи с неблагоприятными последствиями изменения климата. Эти меры должны отражать как можно более высокую амбициозность в том, что касается достижения глобальной температурной цели, для предотвращения наихудших видов ущерба, связанного с изменением климата, а также для соблюдения прав человека и обеспечения устойчивого развития. При разработке и осуществлении мер по предотвращению изменения климата и адаптации к нему государства-участники должны обеспечивать, чтобы они учитывали интересы инвалидов</w:t>
      </w:r>
      <w:r w:rsidR="008C52C1">
        <w:rPr>
          <w:rStyle w:val="a8"/>
        </w:rPr>
        <w:footnoteReference w:id="32"/>
      </w:r>
      <w:r>
        <w:t xml:space="preserve"> и были направлены на решение проблем структурной дискриминации и неравенства при уделении особого внимания правам отдельных лиц и групп, находящихся в уязвимом положении</w:t>
      </w:r>
      <w:r w:rsidR="008C52C1">
        <w:rPr>
          <w:rStyle w:val="a8"/>
        </w:rPr>
        <w:footnoteReference w:id="33"/>
      </w:r>
      <w:r>
        <w:t>.</w:t>
      </w:r>
    </w:p>
    <w:p w14:paraId="6EA25911" w14:textId="4368ECAA" w:rsidR="00F66CFC" w:rsidRDefault="00F66CFC" w:rsidP="00F66CFC">
      <w:pPr>
        <w:pStyle w:val="SingleTxtG"/>
      </w:pPr>
      <w:r>
        <w:t>17.</w:t>
      </w:r>
      <w:r>
        <w:tab/>
        <w:t>В целях предотвращения изменения климата государства-участники должны принимать на основе наилучших имеющихся научных данных все возможные меры для сокращения выбросов парниковых газов в соответствии с температурной целью, установленной в Парижском соглашении</w:t>
      </w:r>
      <w:r w:rsidR="008C52C1">
        <w:rPr>
          <w:rStyle w:val="a8"/>
        </w:rPr>
        <w:footnoteReference w:id="34"/>
      </w:r>
      <w:r>
        <w:t xml:space="preserve">. Если нынешние темпы добычи </w:t>
      </w:r>
      <w:r>
        <w:lastRenderedPageBreak/>
        <w:t>ископаемых видов топлива сохранятся, то глобальные выбросы парниковых газов, вероятно, превысят уровень, согласующийся с температурной целью Парижского соглашения, что будет иметь далеко идущие последствия для осуществления прав, закрепленных в Пакте. Кроме того, государствам-участникам следует постепенно замедлять расширение инфраструктуры для добычи ископаемых видов топлива, будь то государственными органами или частными субъектами, и постепенно отказываться от неэффективных субсидий на добычу таких видов топлива, которые не решают проблемы энергетической бедности и не способствуют справедливому переходу</w:t>
      </w:r>
      <w:r w:rsidR="008C52C1">
        <w:rPr>
          <w:rStyle w:val="a8"/>
        </w:rPr>
        <w:footnoteReference w:id="35"/>
      </w:r>
      <w:r>
        <w:t>. Государствам-участникам следует прилагать все усилия для поощрения использования возобновляемых источников энергии, постепенного отказа от использования угольных электростанций, не оснащенных технологиями улавливания и хранения углерода, и перехода от ископаемых видов топлива в энергетических системах на справедливой, упорядоченной и равноправной основе</w:t>
      </w:r>
      <w:r w:rsidR="008C52C1">
        <w:rPr>
          <w:rStyle w:val="a8"/>
        </w:rPr>
        <w:footnoteReference w:id="36"/>
      </w:r>
      <w:r>
        <w:t>. В соответствии с принципом общей, но дифференцированной ответственности и соответствующих возможностей, развитым государствам следует возглавить усилия по предотвращению изменения климата и оказывать финансовую и технологическую помощь развивающимся государствам, с тем чтобы они могли принимать эффективные меры по борьбе с изменением климата</w:t>
      </w:r>
      <w:r w:rsidR="008C52C1">
        <w:rPr>
          <w:rStyle w:val="a8"/>
        </w:rPr>
        <w:footnoteReference w:id="37"/>
      </w:r>
      <w:r>
        <w:t>. Меры по предотвращению изменения климата включают также повышение энергоэффективности; уменьшение объема отходов путем принятия мер по предотвращению их образования, их переработке и повторному использованию; минимизацию пищевых отходов; переход к устойчивым продовольственным системам в соответствии с правозащитным подходом; и</w:t>
      </w:r>
      <w:r w:rsidR="003D6A5D">
        <w:rPr>
          <w:lang w:val="en-US"/>
        </w:rPr>
        <w:t> </w:t>
      </w:r>
      <w:r>
        <w:t>содействие строительству углеродно-нейтрального жилья</w:t>
      </w:r>
      <w:r w:rsidR="008C52C1">
        <w:rPr>
          <w:rStyle w:val="a8"/>
        </w:rPr>
        <w:footnoteReference w:id="38"/>
      </w:r>
      <w:r>
        <w:t>.</w:t>
      </w:r>
    </w:p>
    <w:p w14:paraId="653FCA39" w14:textId="35256AC2" w:rsidR="00F66CFC" w:rsidRDefault="00F66CFC" w:rsidP="00F66CFC">
      <w:pPr>
        <w:pStyle w:val="SingleTxtG"/>
      </w:pPr>
      <w:r>
        <w:t>18.</w:t>
      </w:r>
      <w:r>
        <w:tab/>
        <w:t>Леса, земли, водно-болотные угодья и морские экосистемы играют важнейшую роль в предотвращении изменения климата и адаптации к нему, поскольку они являются естественными поглотителями и накопителями парниковых газов. Государства-участники должны принимать все необходимые меры для сохранения, защиты и восстановления этих экосистем, в том числе путем прекращения и обращения вспять процессов обезлесения, деградации земель и лесов и загрязнения морской среды</w:t>
      </w:r>
      <w:r w:rsidR="008C52C1">
        <w:rPr>
          <w:rStyle w:val="a8"/>
        </w:rPr>
        <w:footnoteReference w:id="39"/>
      </w:r>
      <w:r>
        <w:t>. В соответствии с принципом предосторожности непроверенные технологии, связанные с климатом, не должны использоваться до тех пор, пока не будут полностью изучены и оценены связанные с ними экологические риски и их потенциальное воздействие на закрепленные в Пакте права</w:t>
      </w:r>
      <w:r w:rsidR="008C52C1">
        <w:rPr>
          <w:rStyle w:val="a8"/>
        </w:rPr>
        <w:footnoteReference w:id="40"/>
      </w:r>
      <w:r>
        <w:t>.</w:t>
      </w:r>
    </w:p>
    <w:p w14:paraId="5B3DE005" w14:textId="77777777" w:rsidR="00F66CFC" w:rsidRDefault="00F66CFC" w:rsidP="008C52C1">
      <w:pPr>
        <w:pStyle w:val="H23G"/>
      </w:pPr>
      <w:r>
        <w:tab/>
      </w:r>
      <w:r>
        <w:tab/>
        <w:t>Постепенное осуществление (пункт 1 статьи 2)</w:t>
      </w:r>
    </w:p>
    <w:p w14:paraId="6FC80E8F" w14:textId="79317F50" w:rsidR="00F66CFC" w:rsidRDefault="00F66CFC" w:rsidP="00F66CFC">
      <w:pPr>
        <w:pStyle w:val="SingleTxtG"/>
      </w:pPr>
      <w:r>
        <w:t>19.</w:t>
      </w:r>
      <w:r>
        <w:tab/>
        <w:t>Концепция постепенного осуществления требует от государств-участников осознанных, конкретных и целенаправленных шагов по обеспечению осуществления в полном объеме признаваемых в Пакте прав, продвигаясь к этой цели как можно быстрее и эффективнее</w:t>
      </w:r>
      <w:r w:rsidR="00697194">
        <w:rPr>
          <w:rStyle w:val="a8"/>
        </w:rPr>
        <w:footnoteReference w:id="41"/>
      </w:r>
      <w:r>
        <w:t>. Для мониторинга и оценки прогресса в этой области необходимо предусмотреть соответствующие показатели и цели с конкретными сроками. Государства-участники должны в полной мере учитывать вопросы устойчивости при разработке законов, политики и программ, чтобы обеспечить осуществление этих прав для нынешнего и будущих поколений.</w:t>
      </w:r>
    </w:p>
    <w:p w14:paraId="68E36F9E" w14:textId="77777777" w:rsidR="00F66CFC" w:rsidRDefault="00F66CFC" w:rsidP="00F66CFC">
      <w:pPr>
        <w:pStyle w:val="SingleTxtG"/>
      </w:pPr>
      <w:r>
        <w:t>20.</w:t>
      </w:r>
      <w:r>
        <w:tab/>
        <w:t xml:space="preserve">Прогресс в осуществлении прав, закрепленных в Пакте, не может считаться достаточным, если он не способствует устранению существующего неравенства или </w:t>
      </w:r>
      <w:r>
        <w:lastRenderedPageBreak/>
        <w:t>усугубляет дисбаланс в их осуществлении. Постепенное осуществление прав должно обеспечиваться в соответствии с принципом недискриминации и равенства, начиная с осуществления каждого из прав на минимальном базовом уровне. Государства-участники должны принимать меры для более эффективного осуществления этих прав всеми людьми, уделяя при этом первоочередное внимание отдельным лицам и группам, которые находятся в маргинализированном или неблагоприятном положении и зачастую в наибольшей степени страдают от деградации окружающей среды и имеют меньше ресурсов для принятия ответных мер.</w:t>
      </w:r>
    </w:p>
    <w:p w14:paraId="783E0159" w14:textId="3967E708" w:rsidR="00F66CFC" w:rsidRDefault="00F66CFC" w:rsidP="00F66CFC">
      <w:pPr>
        <w:pStyle w:val="SingleTxtG"/>
      </w:pPr>
      <w:r>
        <w:t>21.</w:t>
      </w:r>
      <w:r>
        <w:tab/>
        <w:t>Принцип постепенного осуществления подразумевает запрещение регрессивных мер</w:t>
      </w:r>
      <w:r w:rsidR="00697194">
        <w:rPr>
          <w:rStyle w:val="a8"/>
        </w:rPr>
        <w:footnoteReference w:id="42"/>
      </w:r>
      <w:r>
        <w:t>. Это означает, что государства-участники должны воздерживаться от принятия любых мер, которые могли бы снизить уровень осуществления закрепленных в Пакте прав. Если меры регрессивного характера все же предлагаются, то они должны быть в полной мере обоснованы с учетом всей совокупности прав, закрепленных в Пакте, и в соответствии с принципом полного использования максимального объема имеющихся ресурсов. Такие меры требуют самого тщательного рассмотрения на предмет того, являются ли они временными, необходимыми, соразмерными и недискриминационными, а также на предмет того, в какой степени они затрагивают минимальное основное содержание соответствующих прав</w:t>
      </w:r>
      <w:r w:rsidR="00697194">
        <w:rPr>
          <w:rStyle w:val="a8"/>
        </w:rPr>
        <w:footnoteReference w:id="43"/>
      </w:r>
      <w:r>
        <w:t>.</w:t>
      </w:r>
    </w:p>
    <w:p w14:paraId="7DC6A452" w14:textId="4C3A0501" w:rsidR="00F66CFC" w:rsidRDefault="00F66CFC" w:rsidP="00F66CFC">
      <w:pPr>
        <w:pStyle w:val="SingleTxtG"/>
      </w:pPr>
      <w:r>
        <w:t>22.</w:t>
      </w:r>
      <w:r>
        <w:tab/>
        <w:t>Примером регресса может быть ослабление экологических норм, в результате которого повышаются риски для здоровья, или сокращение доступа к чистой воде и санитарии</w:t>
      </w:r>
      <w:r w:rsidR="002E0677">
        <w:rPr>
          <w:rStyle w:val="a8"/>
        </w:rPr>
        <w:footnoteReference w:id="44"/>
      </w:r>
      <w:r>
        <w:t xml:space="preserve">. Отсутствие учета долгосрочных последствий деградации окружающей среды </w:t>
      </w:r>
      <w:r w:rsidR="00697194">
        <w:t>—</w:t>
      </w:r>
      <w:r>
        <w:t xml:space="preserve"> таких</w:t>
      </w:r>
      <w:r w:rsidR="00697194">
        <w:t>,</w:t>
      </w:r>
      <w:r>
        <w:t xml:space="preserve"> как изменение климата, утрата биоразнообразия и загрязнение </w:t>
      </w:r>
      <w:r w:rsidR="00697194">
        <w:t>—</w:t>
      </w:r>
      <w:r>
        <w:t xml:space="preserve"> </w:t>
      </w:r>
      <w:r w:rsidR="00697194">
        <w:br/>
      </w:r>
      <w:r>
        <w:t>для будущих поколений также может быть равносильно недопустимому регрессу.</w:t>
      </w:r>
    </w:p>
    <w:p w14:paraId="489ADAB2" w14:textId="1EFF6AFC" w:rsidR="00F66CFC" w:rsidRDefault="00F66CFC" w:rsidP="00F66CFC">
      <w:pPr>
        <w:pStyle w:val="SingleTxtG"/>
      </w:pPr>
      <w:r>
        <w:t>23.</w:t>
      </w:r>
      <w:r>
        <w:tab/>
        <w:t xml:space="preserve">Полное осуществление предусмотренных Пактом прав должно происходить в пределах экологических лимитов планеты. Меры по борьбе с чрезмерными уровнями производства и потребления </w:t>
      </w:r>
      <w:r w:rsidR="00697194">
        <w:t>—</w:t>
      </w:r>
      <w:r>
        <w:t xml:space="preserve"> особенно в тех случаях, когда такие модели угрожают долгосрочному осуществлению прав, </w:t>
      </w:r>
      <w:r w:rsidR="00697194">
        <w:t>—</w:t>
      </w:r>
      <w:r>
        <w:t xml:space="preserve"> не должны считаться регрессивными. </w:t>
      </w:r>
      <w:r w:rsidR="00697194">
        <w:br/>
      </w:r>
      <w:r>
        <w:t>И наоборот, меры, при которых государство поддерживает или поощряет модели потребления, приводящие к значительному экологическому ущербу, тем самым подрывая справедливое осуществление прав с течением времени, могут представлять собой регресс.</w:t>
      </w:r>
    </w:p>
    <w:p w14:paraId="77C4B0B5" w14:textId="77777777" w:rsidR="00F66CFC" w:rsidRDefault="00F66CFC" w:rsidP="00697194">
      <w:pPr>
        <w:pStyle w:val="H23G"/>
      </w:pPr>
      <w:r>
        <w:tab/>
      </w:r>
      <w:r>
        <w:tab/>
        <w:t>Максимальные пределы имеющихся ресурсов (пункт 1 статьи 2)</w:t>
      </w:r>
    </w:p>
    <w:p w14:paraId="4FBC0BFC" w14:textId="2CB6BCBA" w:rsidR="00F66CFC" w:rsidRDefault="00F66CFC" w:rsidP="00F66CFC">
      <w:pPr>
        <w:pStyle w:val="SingleTxtG"/>
      </w:pPr>
      <w:r>
        <w:t>24.</w:t>
      </w:r>
      <w:r>
        <w:tab/>
        <w:t xml:space="preserve">Термин </w:t>
      </w:r>
      <w:r w:rsidR="00697194">
        <w:t>«</w:t>
      </w:r>
      <w:r>
        <w:t>ресурсы</w:t>
      </w:r>
      <w:r w:rsidR="00697194">
        <w:t>»</w:t>
      </w:r>
      <w:r>
        <w:t xml:space="preserve"> в пункте 1 статьи 2 Пакта включает в себя людские, финансовые, технические, природные, культурные и научные ресурсы, получаемые из государственных, частных, национальных или международных источников</w:t>
      </w:r>
      <w:r w:rsidR="00697194">
        <w:rPr>
          <w:rStyle w:val="a8"/>
        </w:rPr>
        <w:footnoteReference w:id="45"/>
      </w:r>
      <w:r>
        <w:t xml:space="preserve">. Государства-участники должны мобилизовывать и выделять максимальный объем имеющихся ресурсов для постепенного осуществления прав, закрепленных в Пакте, причем таким образом, чтобы это было совместимо с экологическими лимитами и соответствовало целям в области устойчивого развития. Это подразумевает принятие мер по предотвращению ущерба от деградации окружающей среды, включая изменение климата, загрязнение окружающей среды и утрату биоразнообразия, </w:t>
      </w:r>
      <w:r w:rsidR="00697194">
        <w:br/>
      </w:r>
      <w:r>
        <w:t>а также обеспечение полного соблюдения, защиты и осуществления этих прав на протяжении всего процесса перехода к устойчивой экономике.</w:t>
      </w:r>
    </w:p>
    <w:p w14:paraId="7C24A2AD" w14:textId="696B0707" w:rsidR="00F66CFC" w:rsidRDefault="00F66CFC" w:rsidP="00F66CFC">
      <w:pPr>
        <w:pStyle w:val="SingleTxtG"/>
      </w:pPr>
      <w:r>
        <w:t>25.</w:t>
      </w:r>
      <w:r>
        <w:tab/>
        <w:t xml:space="preserve">Государствам-участникам следует увеличивать объем имеющихся ресурсов путем принятия таких мер, как борьба с уклонением и уходом от уплаты налогов и коррупцией, а также путем укрепления систем прогрессивного налогообложения, не допуская при этом возложения неоправданного бремени на находящихся в </w:t>
      </w:r>
      <w:r>
        <w:lastRenderedPageBreak/>
        <w:t>неблагоприятном положении лиц и группы</w:t>
      </w:r>
      <w:r w:rsidR="00697194">
        <w:rPr>
          <w:rStyle w:val="a8"/>
        </w:rPr>
        <w:footnoteReference w:id="46"/>
      </w:r>
      <w:r>
        <w:t xml:space="preserve">. Налоговая политика должна быть устойчивой, содействовать справедливому переходу к низкоуглеродной экономике и обеспечивать защиту домохозяйства с низким уровнем дохода от увеличения расходов на время вышеупомянутого перехода. В целом налоговая политика должна стимулировать модели устойчивого развития и формироваться в рамках транспарентных и основанных на широком участии процессов. Решение проблем экономического и структурного неравенства имеет важнейшее значение для полноценного </w:t>
      </w:r>
      <w:r w:rsidR="00227A8E">
        <w:t>осуществления</w:t>
      </w:r>
      <w:r>
        <w:t xml:space="preserve"> закрепленных в Пакте прав и для обеспечения устойчивого развития. Необходимо также гарантировать равный доступ к земле, природным ресурсам и научным исследованиям.</w:t>
      </w:r>
    </w:p>
    <w:p w14:paraId="2481C8C6" w14:textId="39951908" w:rsidR="00F66CFC" w:rsidRDefault="00F66CFC" w:rsidP="00F66CFC">
      <w:pPr>
        <w:pStyle w:val="SingleTxtG"/>
      </w:pPr>
      <w:r>
        <w:t>26.</w:t>
      </w:r>
      <w:r>
        <w:tab/>
        <w:t>Природные ресурсы являются неотъемлемой частью благополучия человека, и их устойчивое использование способствует осуществлению закрепленных в Пакте прав, так как оно обеспечивает доступ людей к чистой воде, санитарии, воздуху, питанию и здоровым экосистемам</w:t>
      </w:r>
      <w:r w:rsidR="00697194">
        <w:rPr>
          <w:rStyle w:val="a8"/>
        </w:rPr>
        <w:footnoteReference w:id="47"/>
      </w:r>
      <w:r>
        <w:t>. Государства-участники должны применять экосистемный подход, способствующий сохранению, устойчивому использованию и справедливому распределению природных ресурсов, включая доступ к земле и воде</w:t>
      </w:r>
      <w:r w:rsidR="00697194">
        <w:rPr>
          <w:rStyle w:val="a8"/>
        </w:rPr>
        <w:footnoteReference w:id="48"/>
      </w:r>
      <w:r>
        <w:t>. В интересах нынешнего и будущих поколений необходимо обеспечить устойчивое управление этими ресурсами, в том числе путем стимулирования устойчивых видов практики и инвестиций в меры по адаптации к изменению климата. Необходимо также признать жизненно важную роль коренных народов и традиционных общин в сохранении биоразнообразия и экосистем и уважать их традиционные источники средств к существованию, культурную практику и мировоззрение и поддерживать их, если это совместимо с правами человека и принципами устойчивости</w:t>
      </w:r>
      <w:r w:rsidR="00697194">
        <w:rPr>
          <w:rStyle w:val="a8"/>
        </w:rPr>
        <w:footnoteReference w:id="49"/>
      </w:r>
      <w:r>
        <w:t>.</w:t>
      </w:r>
    </w:p>
    <w:p w14:paraId="22002C92" w14:textId="77777777" w:rsidR="00F66CFC" w:rsidRDefault="00F66CFC" w:rsidP="00697194">
      <w:pPr>
        <w:pStyle w:val="H1G"/>
      </w:pPr>
      <w:r>
        <w:tab/>
        <w:t>B.</w:t>
      </w:r>
      <w:r>
        <w:tab/>
        <w:t>Основные обязательства</w:t>
      </w:r>
    </w:p>
    <w:p w14:paraId="7BBAB24E" w14:textId="15DF596A" w:rsidR="00F66CFC" w:rsidRDefault="00F66CFC" w:rsidP="00F66CFC">
      <w:pPr>
        <w:pStyle w:val="SingleTxtG"/>
      </w:pPr>
      <w:r>
        <w:t>27.</w:t>
      </w:r>
      <w:r>
        <w:tab/>
        <w:t>В своем замечании общего порядка № 3 (1990) Комитет подтверждает, что одно из основных обязательств государств-участников состоит в том, чтобы обеспечить осуществление каждого из закрепленных в Пакте прав хотя бы на минимальном базовом уровне. Это актуально и в ситуациях конфликта, чрезвычайных ситуациях или в случае стихийных бедствий</w:t>
      </w:r>
      <w:r w:rsidR="00697194">
        <w:rPr>
          <w:rStyle w:val="a8"/>
        </w:rPr>
        <w:footnoteReference w:id="50"/>
      </w:r>
      <w:r>
        <w:t>. В контексте деградации окружающей среды и перехода к устойчивой экономике это подразумевает обеспечение доступа к основным медицинским услугам, элементарному крову и жилью, безопасной питьевой воде в достаточном количестве и надлежащим санитарным условиям, полноценному и безопасному питанию, а также к отвечающему минимальным стандартам образованию. Это обязательство включает в себя также предоставление доступа к основным государственным услугам и гарантированному базовому доходу, в том числе через системы социальной защиты</w:t>
      </w:r>
      <w:r w:rsidR="00697194">
        <w:rPr>
          <w:rStyle w:val="a8"/>
        </w:rPr>
        <w:footnoteReference w:id="51"/>
      </w:r>
      <w:r>
        <w:t>, а также к справедливым и благоприятным условиям труда, включая охрану труда и минимальную заработную плату, для обеспечения достойной жизни</w:t>
      </w:r>
      <w:r w:rsidR="00697194">
        <w:rPr>
          <w:rStyle w:val="a8"/>
        </w:rPr>
        <w:footnoteReference w:id="52"/>
      </w:r>
      <w:r>
        <w:t>. Необходимо также гарантировать возможность участия в культурной жизни и доступ к результатам научного прогресса и их практическому применению, которые необходимы для осуществления прав человека</w:t>
      </w:r>
      <w:r w:rsidR="00697194">
        <w:rPr>
          <w:rStyle w:val="a8"/>
        </w:rPr>
        <w:footnoteReference w:id="53"/>
      </w:r>
      <w:r>
        <w:t>.</w:t>
      </w:r>
    </w:p>
    <w:p w14:paraId="44574F4D" w14:textId="531F67DB" w:rsidR="00F66CFC" w:rsidRDefault="00F66CFC" w:rsidP="00F66CFC">
      <w:pPr>
        <w:pStyle w:val="SingleTxtG"/>
      </w:pPr>
      <w:r>
        <w:t>28.</w:t>
      </w:r>
      <w:r>
        <w:tab/>
        <w:t xml:space="preserve">Кроме того, государства-участники несут основное обязательство по сохранению экологических условий, необходимых для осуществления закрепленных </w:t>
      </w:r>
      <w:r>
        <w:lastRenderedPageBreak/>
        <w:t xml:space="preserve">в Пакте прав на базовом уровне в кратко-, средне- и долгосрочной перспективе, включая защиту источников воды для бытовых нужд, снижение выбросов загрязняющих веществ и сохранение важнейших экосистем, таких как леса и водно-болотные угодья. Государства-участники должны в приоритетном порядке прикладывать все усилия, используя все имеющиеся ресурсы, для предотвращения </w:t>
      </w:r>
      <w:r w:rsidR="00697194">
        <w:t>—</w:t>
      </w:r>
      <w:r>
        <w:t xml:space="preserve"> а там, где предотвращение невозможно, для смягчения </w:t>
      </w:r>
      <w:r w:rsidR="00697194">
        <w:t>—</w:t>
      </w:r>
      <w:r>
        <w:t xml:space="preserve"> экологического ущерба, который угрожает осуществлению закрепленных в Пакте прав на базовом уровне. </w:t>
      </w:r>
      <w:r w:rsidR="00697194">
        <w:br/>
      </w:r>
      <w:r>
        <w:t>В случае нанесения ущерба государства-участники должны обеспечивать доступ к эффективным средствам правовой защиты и возмещению ущерба. Политика и меры по сохранению этих основополагающих экологических условий должны разрабатываться при полном соблюдении закрепленных в Пакте прав и не должны подрывать усилия по их осуществлению на базовом уровне.</w:t>
      </w:r>
    </w:p>
    <w:p w14:paraId="648A0547" w14:textId="5C397EA7" w:rsidR="00F66CFC" w:rsidRDefault="00F66CFC" w:rsidP="00F66CFC">
      <w:pPr>
        <w:pStyle w:val="SingleTxtG"/>
      </w:pPr>
      <w:r>
        <w:t>29.</w:t>
      </w:r>
      <w:r>
        <w:tab/>
        <w:t>Комитет напоминает, что невыполнение минимальных основных обязательств может быть оправдано только продемонстрированными усилиями по использованию всех имеющихся ресурсов для выполнения этих минимальных обязательств в приоритетном порядке</w:t>
      </w:r>
      <w:r w:rsidR="00697194">
        <w:rPr>
          <w:rStyle w:val="a8"/>
        </w:rPr>
        <w:footnoteReference w:id="54"/>
      </w:r>
      <w:r>
        <w:t>. Государствам-участникам следует и далее обращаться к международному сообществу за помощью при выполнении ими своих основных обязательств. В частности, государства-участники и другие стороны, способные оказывать международную помощь и осуществлять сотрудничество, обязаны содействовать выполнению странами, которые располагают меньшими ресурсами, своих основных обязательств</w:t>
      </w:r>
      <w:r w:rsidR="00697194">
        <w:rPr>
          <w:rStyle w:val="a8"/>
        </w:rPr>
        <w:footnoteReference w:id="55"/>
      </w:r>
      <w:r>
        <w:t>, что особенно актуально в условиях бедствий и чрезвычайных ситуаций.</w:t>
      </w:r>
    </w:p>
    <w:p w14:paraId="1DF95980" w14:textId="77777777" w:rsidR="00F66CFC" w:rsidRDefault="00F66CFC" w:rsidP="00697194">
      <w:pPr>
        <w:pStyle w:val="H1G"/>
      </w:pPr>
      <w:r>
        <w:tab/>
        <w:t>C.</w:t>
      </w:r>
      <w:r>
        <w:tab/>
        <w:t>Международные обязательства</w:t>
      </w:r>
    </w:p>
    <w:p w14:paraId="01EB3BC6" w14:textId="77777777" w:rsidR="00F66CFC" w:rsidRDefault="00F66CFC" w:rsidP="00697194">
      <w:pPr>
        <w:pStyle w:val="H23G"/>
      </w:pPr>
      <w:r>
        <w:tab/>
      </w:r>
      <w:r>
        <w:tab/>
        <w:t>Экстерриториальные обязательства</w:t>
      </w:r>
    </w:p>
    <w:p w14:paraId="3860DE37" w14:textId="5509C358" w:rsidR="00F66CFC" w:rsidRDefault="00F66CFC" w:rsidP="00F66CFC">
      <w:pPr>
        <w:pStyle w:val="SingleTxtG"/>
      </w:pPr>
      <w:r>
        <w:t>30.</w:t>
      </w:r>
      <w:r>
        <w:tab/>
        <w:t>Комитет ранее подтверждал обязательство государств-участников уважать и защищать осуществление прав, закрепленных в Пакте, за пределами своих границ</w:t>
      </w:r>
      <w:r w:rsidR="00697194">
        <w:rPr>
          <w:rStyle w:val="a8"/>
        </w:rPr>
        <w:footnoteReference w:id="56"/>
      </w:r>
      <w:r>
        <w:t>, последовательно анализируя эти обязательства в ходе рассмотрения периодических докладов государств-участников, особенно в контексте предпринимательской деятельности. Что касается деградации окружающей среды, то государства-участники обязаны принимать меры для того, чтобы не допускать нанесения предсказуемого ущерба осуществлению прав, закрепленных в Пакте, в других странах в результате изменения климата, загрязнения окружающей среды или использования неустойчивых моделей развития. Это включает регулирование деятельности, находящейся под их эффективным контролем и приводящей к нанесению такого ущерба. Эти обязательства подкрепляются систематическим толкованием Пакта в соответствии с международным экологическим правом</w:t>
      </w:r>
      <w:r w:rsidR="00697194">
        <w:rPr>
          <w:rStyle w:val="a8"/>
        </w:rPr>
        <w:footnoteReference w:id="57"/>
      </w:r>
      <w:r>
        <w:t>. Обязательство не допускать нанесения значительного экологического ущерба другим государствам является устоявшейся нормой обычного права</w:t>
      </w:r>
      <w:r w:rsidR="00697194">
        <w:rPr>
          <w:rStyle w:val="a8"/>
        </w:rPr>
        <w:footnoteReference w:id="58"/>
      </w:r>
      <w:r>
        <w:t xml:space="preserve">. Оно требует от государств использовать все имеющиеся в их распоряжении средства, </w:t>
      </w:r>
      <w:r w:rsidR="00697194">
        <w:t>«</w:t>
      </w:r>
      <w:r>
        <w:t>чтобы не допустить осуществления на их территории или в любом районе, находящемся под их юрисдикцией, деятельности, которая может нанести значительный ущерб окружающей среде другого государства</w:t>
      </w:r>
      <w:r w:rsidR="00697194">
        <w:t>»</w:t>
      </w:r>
      <w:r w:rsidR="00697194">
        <w:rPr>
          <w:rStyle w:val="a8"/>
        </w:rPr>
        <w:footnoteReference w:id="59"/>
      </w:r>
      <w:r>
        <w:t>. В случае трансграничного экологического ущерба государства-участники должны принимать меры для смягчения и устранения его последствий для закрепленных в Пакте прав.</w:t>
      </w:r>
    </w:p>
    <w:p w14:paraId="7739C22A" w14:textId="4E23EC8F" w:rsidR="00F66CFC" w:rsidRDefault="00F66CFC" w:rsidP="00F66CFC">
      <w:pPr>
        <w:pStyle w:val="SingleTxtG"/>
      </w:pPr>
      <w:r>
        <w:t>31.</w:t>
      </w:r>
      <w:r>
        <w:tab/>
        <w:t xml:space="preserve">Государства-участники также несут экстерриториальное обязательство по предотвращению того, чтобы деятельность предприятий, находящихся под их юрисдикцией, приводила к нанесению экологического ущерба, влияющего на </w:t>
      </w:r>
      <w:r>
        <w:lastRenderedPageBreak/>
        <w:t>осуществление прав, закрепленных в Пакте, в других странах</w:t>
      </w:r>
      <w:r w:rsidR="00697194">
        <w:rPr>
          <w:rStyle w:val="a8"/>
        </w:rPr>
        <w:footnoteReference w:id="60"/>
      </w:r>
      <w:r>
        <w:t>. В этой связи ожидается, что государства-участники будут принимать соответствующие нормативные и политические меры для обеспечения того, чтобы зарегистрированные на их территории или находящиеся под их юрисдикцией предприятия соблюдали права человека, в том числе путем проявления должной осмотрительности в вопросах прав человека и охраны окружающей среды в рамках всех своих операций и производственно-сбытовых цепочек. Также ожидается, что государства-участники создадут доступные судебные и внесудебные механизмы для обеспечения привлечения к ответственности и предоставления средств правовой защиты в связи со злоупотреблениями в области прав человека со стороны предприятий, осуществляющих свою деятельность на транснациональном уровне, особенно в тех случаях, когда эффективные средства правовой защиты в том государстве, где был нанесен ущерб, отсутствуют или недействен</w:t>
      </w:r>
      <w:r w:rsidR="00227A8E">
        <w:t>н</w:t>
      </w:r>
      <w:r>
        <w:t>ы.</w:t>
      </w:r>
    </w:p>
    <w:p w14:paraId="7DDAC276" w14:textId="72A0B2CD" w:rsidR="00F66CFC" w:rsidRDefault="00F66CFC" w:rsidP="00F66CFC">
      <w:pPr>
        <w:pStyle w:val="SingleTxtG"/>
      </w:pPr>
      <w:r>
        <w:t>32.</w:t>
      </w:r>
      <w:r>
        <w:tab/>
        <w:t xml:space="preserve">В тех случаях, когда государства-участники поддерживают инвестиции за рубежом или участвуют в них, особенно если речь идет о крупномасштабных проектах, им следует обеспечивать </w:t>
      </w:r>
      <w:r w:rsidR="00697194">
        <w:t>—</w:t>
      </w:r>
      <w:r>
        <w:t xml:space="preserve"> в том числе, когда это уместно, путем введения соответствующих требований, </w:t>
      </w:r>
      <w:r w:rsidR="00697194">
        <w:t>—</w:t>
      </w:r>
      <w:r>
        <w:t xml:space="preserve"> чтобы такие инвестиции осуществлялись при соблюдении принципа должной осмотрительности в вопросах прав человека и не наносили ущерба способности принимающих государств выполнять свои обязательства по Пакту</w:t>
      </w:r>
      <w:r w:rsidR="00697194">
        <w:rPr>
          <w:rStyle w:val="a8"/>
        </w:rPr>
        <w:footnoteReference w:id="61"/>
      </w:r>
      <w:r>
        <w:t>, в частности в отношении предотвращения и смягчения последствий деградации окружающей среды. Государствам-участникам следует принимать меры, в том числе согласно соответствующим нормативным и договорным рамкам, для снижения риска неправомерного использования предприятиями, находящимися под их юрисдикцией, инвестиционных договоров или механизмов урегулирования споров между инвесторами и государством таким образом, чтобы это подрывало экологические нормы или права, закрепленные в Пакте, в других государствах</w:t>
      </w:r>
      <w:r w:rsidR="00697194">
        <w:rPr>
          <w:rStyle w:val="a8"/>
        </w:rPr>
        <w:footnoteReference w:id="62"/>
      </w:r>
      <w:r>
        <w:t>. Государствам-участникам следует также сохранять достаточное пространство для маневра во внутренней политике, в том числе в вопросах экологического регулирования, для осуществления закрепленных в Пакте прав при достижении связанных с предпринимательским сектором политических целей в сотрудничестве с другими государствами или предприятиями посредством, например, инвестиционных договоров или контрактов.</w:t>
      </w:r>
    </w:p>
    <w:p w14:paraId="4C6316C9" w14:textId="77777777" w:rsidR="00F66CFC" w:rsidRDefault="00F66CFC" w:rsidP="00697194">
      <w:pPr>
        <w:pStyle w:val="H23G"/>
      </w:pPr>
      <w:r>
        <w:tab/>
      </w:r>
      <w:r>
        <w:tab/>
        <w:t>Международная помощь и сотрудничество (пункт 1 статьи 2)</w:t>
      </w:r>
    </w:p>
    <w:p w14:paraId="106E08D8" w14:textId="77777777" w:rsidR="00F66CFC" w:rsidRDefault="00F66CFC" w:rsidP="00F66CFC">
      <w:pPr>
        <w:pStyle w:val="SingleTxtG"/>
      </w:pPr>
      <w:r>
        <w:t>33.</w:t>
      </w:r>
      <w:r>
        <w:tab/>
        <w:t>Решение трансграничных экологических проблем, таких как изменение климата, загрязнение окружающей среды и утрата биоразнообразия, которые угрожают осуществлению закрепленных в Пакте прав, требует принятия эффективных ответных мер на глобальном уровне. Государства-участники должны предпринимать шаги, индивидуально и в рамках международной помощи и сотрудничества, для предотвращения изменения климата и адаптации к нему, а также для решения проблем утраты биоразнообразия и деградации окружающей среды в соответствии с целями в области устойчивого развития.</w:t>
      </w:r>
    </w:p>
    <w:p w14:paraId="6856088E" w14:textId="715D891C" w:rsidR="00F66CFC" w:rsidRDefault="00F66CFC" w:rsidP="00F66CFC">
      <w:pPr>
        <w:pStyle w:val="SingleTxtG"/>
      </w:pPr>
      <w:r>
        <w:t>34.</w:t>
      </w:r>
      <w:r>
        <w:tab/>
        <w:t>При выполнении своих обязательств по оказанию помощи и сотрудничеству государствам-участникам следует учитывать роль, которую в прошлом играли в деградации окружающей среды развивающиеся страны, их различные возможности и конкретные потребности. Применение принципа общей, но дифференцированной ответственности и соответствующих возможностей необходимо для справедливого и равноправного перехода от экономики, основанной на использовании ископаемых видов топлива</w:t>
      </w:r>
      <w:r w:rsidR="00697194">
        <w:rPr>
          <w:rStyle w:val="a8"/>
        </w:rPr>
        <w:footnoteReference w:id="63"/>
      </w:r>
      <w:r>
        <w:t xml:space="preserve">. К приоритетным областям сотрудничества относятся климатическое финансирование, передача технологий, наращивание потенциала, обмен информацией, решение вопроса о потерях и ущербе, а также поиск справедливых и </w:t>
      </w:r>
      <w:r>
        <w:lastRenderedPageBreak/>
        <w:t>долговременных решений проблемы перемещения и миграции, вызванных изменением климата. Борьба с незаконными финансовыми потоками, в частности с уклонением и уходом от уплаты налогов, имеет решающее значение для укрепления потенциала государств в области охраны окружающей среды и борьбы с изменением климата.</w:t>
      </w:r>
    </w:p>
    <w:p w14:paraId="4793115E" w14:textId="06CEB428" w:rsidR="00F66CFC" w:rsidRDefault="00F66CFC" w:rsidP="00F66CFC">
      <w:pPr>
        <w:pStyle w:val="SingleTxtG"/>
      </w:pPr>
      <w:r>
        <w:t>35.</w:t>
      </w:r>
      <w:r>
        <w:tab/>
        <w:t>Развитым государствам следует оказывать поддержку развивающимся государствам, которые имеют более ограниченные возможности для осуществления справедливого и равноправного перехода. Это включает в себя предоставление климатического финансирования и передачу экологически безопасных технологий для поддержки мер по предотвращению изменения климата, адаптации к нему и возмещению ущерба, особенно странам, которые в наименьшей степени ответственны за изменение климата, но в наибольшей степени затронуты им</w:t>
      </w:r>
      <w:r w:rsidR="00697194">
        <w:rPr>
          <w:rStyle w:val="a8"/>
        </w:rPr>
        <w:footnoteReference w:id="64"/>
      </w:r>
      <w:r>
        <w:t>. В соответствии с принципом справедливости помощь странам с низким уровнем дохода и тяжелым бременем задолженности следует предоставлять в виде грантов, а не займов, чтобы не усугублять долговой кризис</w:t>
      </w:r>
      <w:r w:rsidR="00697194">
        <w:rPr>
          <w:rStyle w:val="a8"/>
        </w:rPr>
        <w:footnoteReference w:id="65"/>
      </w:r>
      <w:r>
        <w:t>. В тех случаях, когда это необходимо для восстановления устойчивости и защиты закрепленных в Пакте прав, следует рассматривать возможность реструктуризации, облегчения или списания долга. Справедливый переход должен уменьшать, а не усиливать неравенство как внутри стран, так и между ними</w:t>
      </w:r>
      <w:r w:rsidR="00697194">
        <w:rPr>
          <w:rStyle w:val="a8"/>
        </w:rPr>
        <w:footnoteReference w:id="66"/>
      </w:r>
      <w:r>
        <w:t>.</w:t>
      </w:r>
    </w:p>
    <w:p w14:paraId="700E1E8F" w14:textId="443D8C96" w:rsidR="00F66CFC" w:rsidRDefault="00F66CFC" w:rsidP="00F66CFC">
      <w:pPr>
        <w:pStyle w:val="SingleTxtG"/>
      </w:pPr>
      <w:r>
        <w:t>36.</w:t>
      </w:r>
      <w:r>
        <w:tab/>
        <w:t>Учитывая ключевую роль науки и технологий в продвижении устойчивого развития и реагировании на экологические кризисы, государства-участники должны содействовать передаче соответствующих технологий и научных исследований, необходимых для осуществления закрепленных в Пакте прав, и доступу к ним. Режимы интеллектуальной собственности не должны препятствовать доступу к таким технологиям</w:t>
      </w:r>
      <w:r w:rsidR="00C56814">
        <w:rPr>
          <w:rStyle w:val="a8"/>
        </w:rPr>
        <w:footnoteReference w:id="67"/>
      </w:r>
      <w:r>
        <w:t>. Государствам-участникам следует признавать и поддерживать различные системы знаний, включая традиционные знания, инновации и практику коренных народов, крестьян и других сельских общин, которые имеют важное значение для сохранения биоразнообразия, предотвращения изменения климата и адаптации к нему</w:t>
      </w:r>
      <w:r w:rsidR="00C56814">
        <w:rPr>
          <w:rStyle w:val="a8"/>
        </w:rPr>
        <w:footnoteReference w:id="68"/>
      </w:r>
      <w:r>
        <w:t>.</w:t>
      </w:r>
    </w:p>
    <w:p w14:paraId="68B744DD" w14:textId="23D5A7E5" w:rsidR="00F66CFC" w:rsidRDefault="00F66CFC" w:rsidP="00F66CFC">
      <w:pPr>
        <w:pStyle w:val="SingleTxtG"/>
      </w:pPr>
      <w:r>
        <w:t>37.</w:t>
      </w:r>
      <w:r>
        <w:tab/>
        <w:t>Международная помощь и сотрудничество должны основываться на принципах справедливости, взаимного уважения и подотчетности и строиться таким образом, чтобы не подрывать устойчивое развитие стран-получателей</w:t>
      </w:r>
      <w:r w:rsidR="00C56814">
        <w:rPr>
          <w:rStyle w:val="a8"/>
        </w:rPr>
        <w:footnoteReference w:id="69"/>
      </w:r>
      <w:r>
        <w:t>. Финансирование деятельности по охране окружающей среды и борьбе с изменением климата должно быть направлено на расширение бюджетного пространства для поддержки мер по предотвращению изменения климата, адаптации к нему и возмещению ущерба при одновременном укреплении системы социальной защиты, что жизненно необходимо для обеспечения осуществления закрепленных в Пакте прав хотя бы на минимальном базовом уровне. Государства-участники, получающие помощь, обязаны эффективно использовать ее для осуществления прав, закрепленных в Пакте, особенно для выполнения минимальных основных обязательств, отдавая приоритет людям, находящимся в уязвимом положении</w:t>
      </w:r>
      <w:r w:rsidR="00C56814">
        <w:rPr>
          <w:rStyle w:val="a8"/>
        </w:rPr>
        <w:footnoteReference w:id="70"/>
      </w:r>
      <w:r>
        <w:t>. Государства-участники и субъекты, предоставляющие международную помощь, должны обеспечивать, чтобы меры по охране окружающей среды, поддерживаемые в рамках международного сотрудничества, осуществлялись при конструктивном участии затрагиваемых лиц и общин, а также при свободном, предварительном и осознанном согласии коренных народов.</w:t>
      </w:r>
    </w:p>
    <w:p w14:paraId="59D9C84C" w14:textId="5DA73C45" w:rsidR="00F66CFC" w:rsidRDefault="00F66CFC" w:rsidP="00F66CFC">
      <w:pPr>
        <w:pStyle w:val="SingleTxtG"/>
      </w:pPr>
      <w:r>
        <w:lastRenderedPageBreak/>
        <w:t>38.</w:t>
      </w:r>
      <w:r>
        <w:tab/>
        <w:t>Государствам-участникам следует создать на международном уровне условия, способствующие осуществлению в полном объеме прав, закрепленных в Пакте, в том числе в таких областях, как торговля, инвестиции, налогообложение, финансы, охрана окружающей среды, климатическая политика и сотрудничество в целях развития</w:t>
      </w:r>
      <w:r w:rsidR="00C56814">
        <w:rPr>
          <w:rStyle w:val="a8"/>
        </w:rPr>
        <w:footnoteReference w:id="71"/>
      </w:r>
      <w:r>
        <w:t>. Государствам-участникам следует выполнять свои роли и обязанности в рамках международной финансовой архитектуры, в том числе на международных форумах, таких как Международный валютный фонд и Всемирный банк, а также в ходе переговоров и в процессе осуществления торговых и инвестиционных договоров, с тем чтобы принимаемые на этих площадках решения способствовали осуществлению прав, закрепленных в Пакте</w:t>
      </w:r>
      <w:r w:rsidR="00C56814">
        <w:rPr>
          <w:rStyle w:val="a8"/>
        </w:rPr>
        <w:footnoteReference w:id="72"/>
      </w:r>
      <w:r>
        <w:t>.</w:t>
      </w:r>
    </w:p>
    <w:p w14:paraId="12E5E8AC" w14:textId="0801499D" w:rsidR="00F66CFC" w:rsidRDefault="00F66CFC" w:rsidP="00C56814">
      <w:pPr>
        <w:pStyle w:val="H1G"/>
      </w:pPr>
      <w:r>
        <w:tab/>
        <w:t>D.</w:t>
      </w:r>
      <w:r>
        <w:tab/>
        <w:t>Обязательство по обеспечению равенства и недискриминации (пункт 2 статьи 2 и статья 3)</w:t>
      </w:r>
    </w:p>
    <w:p w14:paraId="191BD8E4" w14:textId="77777777" w:rsidR="00F66CFC" w:rsidRDefault="00F66CFC" w:rsidP="00C56814">
      <w:pPr>
        <w:pStyle w:val="H23G"/>
      </w:pPr>
      <w:r>
        <w:tab/>
      </w:r>
      <w:r>
        <w:tab/>
        <w:t>Равенство и недискриминация (пункт 2 статьи 2)</w:t>
      </w:r>
    </w:p>
    <w:p w14:paraId="5C5C6477" w14:textId="0D7C2F68" w:rsidR="00F66CFC" w:rsidRDefault="00F66CFC" w:rsidP="00F66CFC">
      <w:pPr>
        <w:pStyle w:val="SingleTxtG"/>
      </w:pPr>
      <w:r>
        <w:t>39.</w:t>
      </w:r>
      <w:r>
        <w:tab/>
        <w:t>Хотя деградация окружающей среды, включая изменение климата, затрагивает всех, системное неравенство, дискриминация и историческое исключение определенных лиц и групп из процессов принятия решений являются причинами оказания на них непропорционально сильного воздействия, что зачастую усугубляет существующее неравенство, обусловленное такими факторами, как социально-экономический статус, расовая принадлежность, цвет кожи, гендерная принадлежность, инвалидность, возраст, миграционный статус, сексуальная ориентация и гендерная идентичность. Лицам и группам, находящимся в уязвимом положении, особенно тем, которые сталкиваются с пересекающимися формами неравенства, причиняется несоразмерно больший ущерб, при этом они располагают меньшими ресурсами для принятия ответных мер</w:t>
      </w:r>
      <w:r w:rsidR="00C56814">
        <w:rPr>
          <w:rStyle w:val="a8"/>
        </w:rPr>
        <w:footnoteReference w:id="73"/>
      </w:r>
      <w:r>
        <w:t>. Государства-участники должны выявлять потребности отдельных лиц и групп, находящихся в уязвимом или маргинализированном положении, и уделять им первоочередное внимание, с учетом принципа интерсекциональности. Они должны принимать меры для устранения структурной и системной дискриминации и неравенства, а также обеспечивать защиту вышеупомянутых лиц и общин от рисков, возникающих для прав человека в результате как причинения экологического ущерба, так и реагирования на него</w:t>
      </w:r>
      <w:r w:rsidR="00C56814">
        <w:rPr>
          <w:rStyle w:val="a8"/>
        </w:rPr>
        <w:footnoteReference w:id="74"/>
      </w:r>
      <w:r>
        <w:t>. При этом государства-участники должны также принимать во внимание право будущих поколений на равное пользование всеми правами человека и воздерживаться от действий или бездействия, которые могут привести к дискриминации в отношении них или укоренить ее</w:t>
      </w:r>
      <w:r w:rsidR="00C56814">
        <w:rPr>
          <w:rStyle w:val="a8"/>
        </w:rPr>
        <w:footnoteReference w:id="75"/>
      </w:r>
      <w:r>
        <w:t>.</w:t>
      </w:r>
    </w:p>
    <w:p w14:paraId="5F870790" w14:textId="687F98DC" w:rsidR="00F66CFC" w:rsidRDefault="00F66CFC" w:rsidP="00F66CFC">
      <w:pPr>
        <w:pStyle w:val="SingleTxtG"/>
      </w:pPr>
      <w:r>
        <w:t>40.</w:t>
      </w:r>
      <w:r>
        <w:tab/>
        <w:t>Сильно загрязняющие окружающую среду и опасные объекты, включая открытые рудники, плавильные, нефтеперерабатывающие и химические заводы, угольные электростанции, нефтяные и газовые месторождения, металлургические заводы, мусорные свалки и печи для сжигания опасных отходов часто расположены в местах проживания находящихся в неблагоприятном положении и маргинализированных общин или вблизи от них</w:t>
      </w:r>
      <w:r w:rsidR="00C56814">
        <w:rPr>
          <w:rStyle w:val="a8"/>
        </w:rPr>
        <w:footnoteReference w:id="76"/>
      </w:r>
      <w:r>
        <w:t>. Принцип недискриминации и равенства требует от государств-участников принятия мер по борьбе с системными проявлениями маргинализации и экологической несправедливости, особенно с теми, которые связаны с пересекающимися формами дискриминации, включая расизм и колониальное наследие</w:t>
      </w:r>
      <w:r w:rsidR="00C56814">
        <w:rPr>
          <w:rStyle w:val="a8"/>
        </w:rPr>
        <w:footnoteReference w:id="77"/>
      </w:r>
      <w:r>
        <w:t xml:space="preserve">. Это, в частности, предусматривает уделение первоочередного внимания мерам по предотвращению изменения климата, адаптации к нему, реабилитации, возмещению ущерба и восстановлению окружающей среды для </w:t>
      </w:r>
      <w:r>
        <w:lastRenderedPageBreak/>
        <w:t>общин, которые несут непропорционально тяжелое бремя из-за последствий загрязнения окружающей среды и токсичного заражения</w:t>
      </w:r>
      <w:r w:rsidR="00C56814">
        <w:rPr>
          <w:rStyle w:val="a8"/>
        </w:rPr>
        <w:footnoteReference w:id="78"/>
      </w:r>
      <w:r>
        <w:t>.</w:t>
      </w:r>
      <w:r w:rsidR="00C56814" w:rsidRPr="00C56814">
        <w:t xml:space="preserve"> </w:t>
      </w:r>
    </w:p>
    <w:p w14:paraId="5A3A1373" w14:textId="77777777" w:rsidR="00F66CFC" w:rsidRDefault="00F66CFC" w:rsidP="00F66CFC">
      <w:pPr>
        <w:pStyle w:val="SingleTxtG"/>
      </w:pPr>
      <w:r>
        <w:t>41.</w:t>
      </w:r>
      <w:r>
        <w:tab/>
        <w:t>Государства-участники должны обеспечивать равный доступ к природным ресурсам для коренных народов, крестьян и жителей сельских общин, для которых природа является источником средств к существованию и их культурной самобытности. Государства-участники должны также принимать меры для предотвращения и устранения вредной практики частных субъектов, включая деятельность, приводящую к серьезному загрязнению окружающей среды, или проекты по компенсации выбросов углерода, которые в несоразмерной степени затрагивают отдельных лиц и группы, находящиеся в маргинализированном положении.</w:t>
      </w:r>
    </w:p>
    <w:p w14:paraId="01091173" w14:textId="77777777" w:rsidR="00F66CFC" w:rsidRDefault="00F66CFC" w:rsidP="00C56814">
      <w:pPr>
        <w:pStyle w:val="H23G"/>
      </w:pPr>
      <w:r>
        <w:tab/>
      </w:r>
      <w:r>
        <w:tab/>
        <w:t>Равные права мужчин и женщин (статья 3)</w:t>
      </w:r>
    </w:p>
    <w:p w14:paraId="53EF271E" w14:textId="32993BF0" w:rsidR="00F66CFC" w:rsidRDefault="00F66CFC" w:rsidP="00F66CFC">
      <w:pPr>
        <w:pStyle w:val="SingleTxtG"/>
      </w:pPr>
      <w:r>
        <w:t>42.</w:t>
      </w:r>
      <w:r>
        <w:tab/>
        <w:t>Достижение равенства между мужчинами и женщинами при осуществлении закрепленных в Пакте прав во всех областях политики является необходимым условием устойчивого развития. Женщины и девочки часто сталкиваются с проблемами правового и социально-экономического характера, которые коренятся в неравных властных отношениях и патриархальных структурах. Экологические кризисы усугубляют существующее гендерное неравенство, особенно в том, что касается доступа к земле, природным ресурсам и основным услугам, включая здравоохранение, питание, водоснабжение, санитарию и переработку отходов</w:t>
      </w:r>
      <w:r w:rsidR="00C56814">
        <w:rPr>
          <w:rStyle w:val="a8"/>
        </w:rPr>
        <w:footnoteReference w:id="79"/>
      </w:r>
      <w:r>
        <w:t>.</w:t>
      </w:r>
    </w:p>
    <w:p w14:paraId="18BC8889" w14:textId="573B2921" w:rsidR="00F66CFC" w:rsidRDefault="00F66CFC" w:rsidP="00F66CFC">
      <w:pPr>
        <w:pStyle w:val="SingleTxtG"/>
      </w:pPr>
      <w:r>
        <w:t>43.</w:t>
      </w:r>
      <w:r>
        <w:tab/>
        <w:t>Женщины и девочки в непропорционально большей степени подвергаются вредному воздействию токсичных веществ, отходов и загрязнения окружающей среды, что серьезно сказывается на их здоровье и благополучии</w:t>
      </w:r>
      <w:r w:rsidR="00E178B1">
        <w:rPr>
          <w:rStyle w:val="a8"/>
        </w:rPr>
        <w:footnoteReference w:id="80"/>
      </w:r>
      <w:r>
        <w:t>. Для женщин, проживающих в сельской местности, гарантированный доступ к земле является важнейшим ресурсом для обеспечения средств к существованию, получения доступа к основным товарам и услугам, а также для защиты от насилия</w:t>
      </w:r>
      <w:r w:rsidR="00E178B1">
        <w:rPr>
          <w:rStyle w:val="a8"/>
        </w:rPr>
        <w:footnoteReference w:id="81"/>
      </w:r>
      <w:r>
        <w:t>. В рамках мер по преодолению экологических кризисов и выполнению своих обязательств по обеспечению реального равенства государства-участники должны гарантировать женщинам доступ к земле и другим средствам, необходимым для обеспечения продовольственной безопасности и существования, контроль над ними и право владения ими</w:t>
      </w:r>
      <w:r w:rsidR="00E178B1">
        <w:rPr>
          <w:rStyle w:val="a8"/>
        </w:rPr>
        <w:footnoteReference w:id="82"/>
      </w:r>
      <w:r>
        <w:t>.</w:t>
      </w:r>
    </w:p>
    <w:p w14:paraId="13CEBE86" w14:textId="3644C984" w:rsidR="00F66CFC" w:rsidRDefault="00F66CFC" w:rsidP="00F66CFC">
      <w:pPr>
        <w:pStyle w:val="SingleTxtG"/>
      </w:pPr>
      <w:r>
        <w:t>44.</w:t>
      </w:r>
      <w:r>
        <w:tab/>
        <w:t xml:space="preserve">Гендерное неравенство усугубляется неравным бременем неоплачиваемого труда женщин по уходу и ведению домашнего хозяйства и усиливается из-за изменения климата </w:t>
      </w:r>
      <w:r w:rsidR="00E178B1">
        <w:t>—</w:t>
      </w:r>
      <w:r>
        <w:t xml:space="preserve"> например, в результате увеличения времени и усилий, необходимых для пополнения запасов воды, или изменения режима работы в связи с повышением температур</w:t>
      </w:r>
      <w:r w:rsidR="00E178B1">
        <w:rPr>
          <w:rStyle w:val="a8"/>
        </w:rPr>
        <w:footnoteReference w:id="83"/>
      </w:r>
      <w:r>
        <w:t>. Государствам-участникам следует принять меры в целях признания, сокращения и перераспределения неоплачиваемого труда по уходу и поддержке, путем обеспечения наличия доступных, основанных на правах человека систем ухода и поддержки и поощрения справедливого распределения обязанностей между мужчинами и женщинами, а также между государством, семьями, общинами и частным сектором</w:t>
      </w:r>
      <w:r w:rsidR="00E178B1">
        <w:rPr>
          <w:rStyle w:val="a8"/>
        </w:rPr>
        <w:footnoteReference w:id="84"/>
      </w:r>
      <w:r>
        <w:t>.</w:t>
      </w:r>
    </w:p>
    <w:p w14:paraId="7D6FCA7B" w14:textId="479F4E35" w:rsidR="00F66CFC" w:rsidRDefault="00F66CFC" w:rsidP="00F66CFC">
      <w:pPr>
        <w:pStyle w:val="SingleTxtG"/>
      </w:pPr>
      <w:r>
        <w:t>45.</w:t>
      </w:r>
      <w:r>
        <w:tab/>
        <w:t>Государствам-участникам следует интегрировать учитывающий гендерные аспекты и охватывающий все правительственные структуры подход во все стратегии в области устойчивого развития, особенно в стратегии, касающиеся снижения риска бедствий, изменения климата, борьбы с загрязнением, защиты биоразнообразия и управления природными ресурсами</w:t>
      </w:r>
      <w:r w:rsidR="00E178B1">
        <w:rPr>
          <w:rStyle w:val="a8"/>
        </w:rPr>
        <w:footnoteReference w:id="85"/>
      </w:r>
      <w:r>
        <w:t xml:space="preserve">. Это включает в себя учитывающие гендерные </w:t>
      </w:r>
      <w:r>
        <w:lastRenderedPageBreak/>
        <w:t>аспекты стратегии финансирования и составления бюджета. В контексте стихийных бедствий и чрезвычайных ситуаций, связанных с климатом, государства-участники должны обеспечивать женщинам равный доступ к ресурсам и средствам защиты, включая своевременные оповещения и другую соответствующую информацию. Государства-участники обязаны также обеспечивать женщинам доступ к точной, доступной и учитывающей культурные особенности экологической информации и просвещению</w:t>
      </w:r>
      <w:r w:rsidR="00E178B1">
        <w:rPr>
          <w:rStyle w:val="a8"/>
        </w:rPr>
        <w:footnoteReference w:id="86"/>
      </w:r>
      <w:r>
        <w:t>. Эти усилия должны основываться на оценках воздействия, в рамках которых проводится анализ дифференцированного воздействия изменения климата и деградации окружающей среды на женщин и девочек.</w:t>
      </w:r>
    </w:p>
    <w:p w14:paraId="44B7CC8A" w14:textId="4DD7962F" w:rsidR="00F66CFC" w:rsidRDefault="00E178B1" w:rsidP="00E178B1">
      <w:pPr>
        <w:pStyle w:val="HChG"/>
      </w:pPr>
      <w:r>
        <w:tab/>
      </w:r>
      <w:r w:rsidR="00F66CFC">
        <w:t>IV.</w:t>
      </w:r>
      <w:r w:rsidR="00F66CFC">
        <w:tab/>
      </w:r>
      <w:r w:rsidR="00F66CFC">
        <w:tab/>
        <w:t>Обязательства государств-участников в отношении конкретных прав</w:t>
      </w:r>
    </w:p>
    <w:p w14:paraId="5A2EADB6" w14:textId="77777777" w:rsidR="00F66CFC" w:rsidRDefault="00F66CFC" w:rsidP="00E178B1">
      <w:pPr>
        <w:pStyle w:val="H23G"/>
      </w:pPr>
      <w:r>
        <w:tab/>
      </w:r>
      <w:r>
        <w:tab/>
        <w:t>Право на самоопределение (статья 1) и право свободно пользоваться естественными ресурсами (статья 25)</w:t>
      </w:r>
    </w:p>
    <w:p w14:paraId="4BCB0851" w14:textId="0C69BA01" w:rsidR="00F66CFC" w:rsidRDefault="00F66CFC" w:rsidP="00F66CFC">
      <w:pPr>
        <w:pStyle w:val="SingleTxtG"/>
      </w:pPr>
      <w:r>
        <w:t>46.</w:t>
      </w:r>
      <w:r>
        <w:tab/>
        <w:t>Пункт 2 статьи 1 и статья 25 Пакта закрепляют право народов свободно обеспечивать свое экономическое, социальное и культурное развитие и свободно обладать и пользоваться своими естественными богатствами и ресурсами в качестве важнейшего элемента их самоопределения. Это право подразумевает, что народы являются главными бенефициарами эксплуатации их природных ресурсов. Каждое государство-участник должно обеспечивать надлежащее регулирование такой эксплуатации, будь то национальными или иностранными структурами, в интересах распределения выгод на справедливой и равноправной основе таким образом, чтобы это способствовало осуществлению прав, закрепленных в Пакте</w:t>
      </w:r>
      <w:r w:rsidR="00E178B1">
        <w:rPr>
          <w:rStyle w:val="a8"/>
        </w:rPr>
        <w:footnoteReference w:id="87"/>
      </w:r>
      <w:r>
        <w:t>. В процессе обеспечения справедливого и устойчивого развития каждое государство-участник, исходя из своего конкретного контекста, сохраняет пространство для маневра в политике, чтобы определить наиболее подходящее сочетание экономических и социальных мер, при условии, что они соответствуют его обязательствам по Пакту. Режимы налогообложения, субсидирования и лицензирования, связанные с добычей ресурсов, должны быть направлены на эффективную мобилизацию ресурсов для осуществления закрепленных в Пакте прав при одновременном сведении к минимуму ущерба окружающей среде</w:t>
      </w:r>
      <w:r w:rsidR="00E178B1">
        <w:rPr>
          <w:rStyle w:val="a8"/>
        </w:rPr>
        <w:footnoteReference w:id="88"/>
      </w:r>
      <w:r>
        <w:t>. При заключении контрактов с предприятиями на добычу природных ресурсов следует избегать приватизации природных богатств и обеспечивать справедливое и равноправное распределение выгод в соответствии со статьей 1 Пакта.</w:t>
      </w:r>
    </w:p>
    <w:p w14:paraId="470AE62A" w14:textId="5C356A50" w:rsidR="00F66CFC" w:rsidRDefault="00F66CFC" w:rsidP="00F66CFC">
      <w:pPr>
        <w:pStyle w:val="SingleTxtG"/>
      </w:pPr>
      <w:r>
        <w:t>47.</w:t>
      </w:r>
      <w:r>
        <w:tab/>
        <w:t>Государства-участники должны соблюдать процедурные гарантии при принятии всех решений, связанных с эксплуатацией природных ресурсов, включая обеспечение значимого участия общественности, доступа к своевременной и понятной информации и соблюдения правозащитных принципов на протяжении всего процесса выдачи лицензий и концессий</w:t>
      </w:r>
      <w:r w:rsidR="00E178B1">
        <w:rPr>
          <w:rStyle w:val="a8"/>
        </w:rPr>
        <w:footnoteReference w:id="89"/>
      </w:r>
      <w:r>
        <w:t>. В случаях, когда затрагиваются коренные народы, необходимо обеспечивать соблюдение и защиту их права на свободное, предварительное и осознанное согласие</w:t>
      </w:r>
      <w:r w:rsidR="00E178B1">
        <w:rPr>
          <w:rStyle w:val="a8"/>
        </w:rPr>
        <w:footnoteReference w:id="90"/>
      </w:r>
      <w:r>
        <w:t>. Выдаче лицензий или разрешений должна предшествовать независимая и основанная на широком участии оценка воздействия на окружающую среду и права человека, направленная на выявление потенциального ущерба для прав, закрепленных в Пакте, и местных экосистем</w:t>
      </w:r>
      <w:r w:rsidR="00E178B1">
        <w:rPr>
          <w:rStyle w:val="a8"/>
        </w:rPr>
        <w:footnoteReference w:id="91"/>
      </w:r>
      <w:r>
        <w:t xml:space="preserve">. Такая оценка должна служить основой для принятия решений и подкрепляться эффективными механизмами </w:t>
      </w:r>
      <w:r>
        <w:lastRenderedPageBreak/>
        <w:t>возмещения ущерба, особенно для затрагиваемых общин, крестьян и коренных народов</w:t>
      </w:r>
      <w:r w:rsidR="00E178B1">
        <w:rPr>
          <w:rStyle w:val="a8"/>
        </w:rPr>
        <w:footnoteReference w:id="92"/>
      </w:r>
      <w:r>
        <w:t>.</w:t>
      </w:r>
    </w:p>
    <w:p w14:paraId="082CB1D4" w14:textId="371C4E64" w:rsidR="00F66CFC" w:rsidRDefault="00F66CFC" w:rsidP="00F66CFC">
      <w:pPr>
        <w:pStyle w:val="SingleTxtG"/>
      </w:pPr>
      <w:r>
        <w:t>48.</w:t>
      </w:r>
      <w:r>
        <w:tab/>
        <w:t>Государства-участники должны осуществлять свое право распоряжаться природными ресурсами в соответствии с принципами устойчивости, межпоколенческой справедливости и запрещения нанесения трансграничного экологического ущерба</w:t>
      </w:r>
      <w:r w:rsidR="00E178B1">
        <w:rPr>
          <w:rStyle w:val="a8"/>
        </w:rPr>
        <w:footnoteReference w:id="93"/>
      </w:r>
      <w:r>
        <w:t>. Чрезмерная эксплуатация подрывает осуществление закрепленных в Пакте прав, реализация которых зависит от наличия здоровой окружающей среды. В тех случаях, когда деятельность по добыче полезных ископаемых непосредственно затрагивает общины, государствам-участникам следует обеспечивать смягчение последствий, предоставление справедливой компенсации и подотчетность, в том числе требовать от загрязнителей, включая предприятия, покрытия расходов на возмещение ущерба и восстановление окружающей среды</w:t>
      </w:r>
      <w:r w:rsidR="00E178B1">
        <w:rPr>
          <w:rStyle w:val="a8"/>
        </w:rPr>
        <w:footnoteReference w:id="94"/>
      </w:r>
      <w:r>
        <w:t>.</w:t>
      </w:r>
    </w:p>
    <w:p w14:paraId="35AEB9F4" w14:textId="77777777" w:rsidR="00F66CFC" w:rsidRDefault="00F66CFC" w:rsidP="00E178B1">
      <w:pPr>
        <w:pStyle w:val="H23G"/>
      </w:pPr>
      <w:r>
        <w:tab/>
      </w:r>
      <w:r>
        <w:tab/>
        <w:t>Право на труд (статья 6)</w:t>
      </w:r>
    </w:p>
    <w:p w14:paraId="0B20985D" w14:textId="72F2CE1F" w:rsidR="00F66CFC" w:rsidRDefault="00F66CFC" w:rsidP="00F66CFC">
      <w:pPr>
        <w:pStyle w:val="SingleTxtG"/>
      </w:pPr>
      <w:r>
        <w:t>49.</w:t>
      </w:r>
      <w:r>
        <w:tab/>
        <w:t>Изменения в экологических условиях увеличивают риски для занятости и получения доходов, особенно в таких чувствительных к климату секторах, как сельское хозяйство и рыболовство. Хотя переход к экологически устойчивой экономике может создать новые возможности для достойного труда, он может также привести к сокращению рабочих мест в отраслях, зависящих от ископаемых видов топлива</w:t>
      </w:r>
      <w:r w:rsidR="00E178B1">
        <w:rPr>
          <w:rStyle w:val="a8"/>
        </w:rPr>
        <w:footnoteReference w:id="95"/>
      </w:r>
      <w:r>
        <w:t>. Государствам-участникам следует, на основе широкого участия, оценивать последствия как деградации окружающей среды, так и ответных политических мер для возможностей трудоустройства во всех секторах в соответствии со своими обязательствами в области прав человека.</w:t>
      </w:r>
    </w:p>
    <w:p w14:paraId="7C81EFA3" w14:textId="6888A242" w:rsidR="00F66CFC" w:rsidRDefault="00F66CFC" w:rsidP="00F66CFC">
      <w:pPr>
        <w:pStyle w:val="SingleTxtG"/>
      </w:pPr>
      <w:r>
        <w:t>50.</w:t>
      </w:r>
      <w:r>
        <w:tab/>
        <w:t>На основе таких оценок государствам-участникам следует разрабатывать и осуществлять политику по расширению возможностей для достойной занятости в период перехода к устойчивой экономике, уделяя особое внимание молодежи, женщинам и лицам, находящимся в уязвимом или маргинализированном положении</w:t>
      </w:r>
      <w:r w:rsidR="00E178B1">
        <w:rPr>
          <w:rStyle w:val="a8"/>
        </w:rPr>
        <w:footnoteReference w:id="96"/>
      </w:r>
      <w:r>
        <w:t xml:space="preserve">. Принимаемые меры должны быть направлены на обеспечение работникам секторов, затронутых процессом перехода, доступа к возможностям профессиональной подготовки, программам профессиональной ориентации, переквалификации и другим видам поддержки для облегчения их перехода на </w:t>
      </w:r>
      <w:r w:rsidR="00E178B1">
        <w:t>«</w:t>
      </w:r>
      <w:r>
        <w:t>зеленые</w:t>
      </w:r>
      <w:r w:rsidR="00E178B1">
        <w:t>»</w:t>
      </w:r>
      <w:r>
        <w:t xml:space="preserve"> рабочие места. Необходимо также содействовать созданию рабочих мест, в том числе путем расширения государственных услуг и осуществления инициатив по восстановлению экосистем</w:t>
      </w:r>
      <w:r w:rsidR="00E178B1">
        <w:rPr>
          <w:rStyle w:val="a8"/>
        </w:rPr>
        <w:footnoteReference w:id="97"/>
      </w:r>
      <w:r>
        <w:t>. Государствам-участникам следует признавать и поддерживать работников неформального сектора экономики, вносящих вклад в обеспечение устойчивости к изменению климата и создание циркулярной экономики, и принимать меры для содействия их трудоустройству в формальном секторе экономики.</w:t>
      </w:r>
    </w:p>
    <w:p w14:paraId="1FD347D6" w14:textId="77777777" w:rsidR="00F66CFC" w:rsidRDefault="00F66CFC" w:rsidP="00E178B1">
      <w:pPr>
        <w:pStyle w:val="H23G"/>
      </w:pPr>
      <w:r>
        <w:tab/>
      </w:r>
      <w:r>
        <w:tab/>
        <w:t>Право на справедливые и благоприятные условия труда (статья 7)</w:t>
      </w:r>
    </w:p>
    <w:p w14:paraId="0777ADE5" w14:textId="7BF61EF4" w:rsidR="00F66CFC" w:rsidRDefault="00F66CFC" w:rsidP="00F66CFC">
      <w:pPr>
        <w:pStyle w:val="SingleTxtG"/>
      </w:pPr>
      <w:r>
        <w:t>51.</w:t>
      </w:r>
      <w:r>
        <w:tab/>
        <w:t xml:space="preserve">Быстрые изменения в окружающей среде повышают потенциальные и усугубляют существующие риски в плане условий труда, особенно если речь идет об экстремальных погодных условиях и повышении температур, которые создают угрозу для здоровья и безопасности трудящихся. Государствам-участникам следует оценивать эти риски во всех секторах и принимать превентивные и защитные меры для обеспечения справедливых и благоприятных условий труда, в том числе в неформальном секторе экономики. Это включает в себя решение проблемы воздействия на физическое и психическое здоровье, обеспечение доступа к службам </w:t>
      </w:r>
      <w:r>
        <w:lastRenderedPageBreak/>
        <w:t xml:space="preserve">поддержки и соответствующих условий труда в новых </w:t>
      </w:r>
      <w:r w:rsidR="00E178B1">
        <w:t>«</w:t>
      </w:r>
      <w:r>
        <w:t>зеленых</w:t>
      </w:r>
      <w:r w:rsidR="00E178B1">
        <w:t>»</w:t>
      </w:r>
      <w:r>
        <w:t xml:space="preserve"> секторах, таких как возобновляемая энергетика и циркулярная экономика, а также восстановление экосистем.</w:t>
      </w:r>
    </w:p>
    <w:p w14:paraId="1556D2CE" w14:textId="7A273EBA" w:rsidR="00F66CFC" w:rsidRDefault="00F66CFC" w:rsidP="00F66CFC">
      <w:pPr>
        <w:pStyle w:val="SingleTxtG"/>
      </w:pPr>
      <w:r>
        <w:t>52.</w:t>
      </w:r>
      <w:r>
        <w:tab/>
        <w:t>Государствам-участникам следует обеспечивать эффективный контроль и регулирование в вопросах, касающихся рабочих мест, в целях устранения связанных с климатом рисков для здоровья и безопасности, в том числе с помощью надежных систем трудовой инспекции, поддерживая при этом конструктивный диалог с трудящимися и их представителями. Нормативно-правовая база должна требовать от предприятий принятия мер по защите здоровья и безопасности работников</w:t>
      </w:r>
      <w:r w:rsidR="00E178B1">
        <w:rPr>
          <w:rStyle w:val="a8"/>
        </w:rPr>
        <w:footnoteReference w:id="98"/>
      </w:r>
      <w:r>
        <w:t>, а также по включению положений о достойном и продуктивном труде в их климатические и экологические стратегии и процедуры обеспечения должной осмотрительности</w:t>
      </w:r>
      <w:r w:rsidR="00E178B1">
        <w:rPr>
          <w:rStyle w:val="a8"/>
        </w:rPr>
        <w:footnoteReference w:id="99"/>
      </w:r>
      <w:r>
        <w:t>. Соответствующая политика должна включать необходимые гарантии и согласовываться с международно признанными стандартами, такими как основные трудовые стандарты Международной организации труда и основы ответственного ведения бизнеса и инвестиционной деятельности.</w:t>
      </w:r>
    </w:p>
    <w:p w14:paraId="3EE1ED8C" w14:textId="77777777" w:rsidR="00F66CFC" w:rsidRDefault="00F66CFC" w:rsidP="00E178B1">
      <w:pPr>
        <w:pStyle w:val="H23G"/>
      </w:pPr>
      <w:r>
        <w:tab/>
      </w:r>
      <w:r>
        <w:tab/>
        <w:t>Право создавать профессиональные союзы и вступать в них (статья 8)</w:t>
      </w:r>
    </w:p>
    <w:p w14:paraId="7C62DCFC" w14:textId="4D79DEA9" w:rsidR="00F66CFC" w:rsidRDefault="00F66CFC" w:rsidP="00F66CFC">
      <w:pPr>
        <w:pStyle w:val="SingleTxtG"/>
      </w:pPr>
      <w:r>
        <w:t>53.</w:t>
      </w:r>
      <w:r>
        <w:tab/>
        <w:t xml:space="preserve">Профсоюзы и их коллективные действия играют важную роль в отстаивании права на справедливые и благоприятные условия труда и защите работников от воздействия изменений в окружающей среде и принимаемых в связи с ними мер. Государства-участники должны обеспечивать, чтобы профсоюзы и советы трудящихся имели возможность конструктивно участвовать </w:t>
      </w:r>
      <w:r w:rsidR="00E178B1">
        <w:t>—</w:t>
      </w:r>
      <w:r>
        <w:t xml:space="preserve"> через социальный диалог и другие механизмы </w:t>
      </w:r>
      <w:r w:rsidR="00E178B1">
        <w:t>—</w:t>
      </w:r>
      <w:r>
        <w:t xml:space="preserve"> в оценке рисков для условий труда и в разработке политики по их устранению на национальном и отраслевом уровнях и на уровне отдельных предприятий.</w:t>
      </w:r>
    </w:p>
    <w:p w14:paraId="77C4BA89" w14:textId="11A3C06A" w:rsidR="00F66CFC" w:rsidRDefault="00F66CFC" w:rsidP="00F66CFC">
      <w:pPr>
        <w:pStyle w:val="SingleTxtG"/>
      </w:pPr>
      <w:r>
        <w:t>54.</w:t>
      </w:r>
      <w:r>
        <w:tab/>
        <w:t xml:space="preserve">Коллективные переговоры могут быть эффективным механизмом для интеграции экологических и климатических вопросов в трудовые соглашения, в том числе положений, касающихся обеспечения трудящимся доступа к соответствующей экологической информации, права отказываться от выполнения работы, которая представляет серьезную опасность для окружающей среды или нарушает экологическое законодательство, защиты лиц, сообщающих о нанесении ущерба окружающей среде, безопасности и гигиены труда, льгот на экологически безопасный транспорт, подготовки по вопросам справедливого перехода, защиты во время связанных с климатом бедствий и поддержки практики </w:t>
      </w:r>
      <w:r w:rsidR="00E178B1">
        <w:t>«</w:t>
      </w:r>
      <w:r>
        <w:t>зеленых</w:t>
      </w:r>
      <w:r w:rsidR="00E178B1">
        <w:t>»</w:t>
      </w:r>
      <w:r>
        <w:t xml:space="preserve"> закупок.</w:t>
      </w:r>
    </w:p>
    <w:p w14:paraId="513517E0" w14:textId="77777777" w:rsidR="00F66CFC" w:rsidRDefault="00F66CFC" w:rsidP="00E178B1">
      <w:pPr>
        <w:pStyle w:val="H23G"/>
      </w:pPr>
      <w:r>
        <w:tab/>
      </w:r>
      <w:r>
        <w:tab/>
        <w:t>Право на социальное обеспечение (статья 9)</w:t>
      </w:r>
    </w:p>
    <w:p w14:paraId="7CE1BAD2" w14:textId="4A19E14D" w:rsidR="00F66CFC" w:rsidRDefault="00F66CFC" w:rsidP="00F66CFC">
      <w:pPr>
        <w:pStyle w:val="SingleTxtG"/>
      </w:pPr>
      <w:r>
        <w:t>55.</w:t>
      </w:r>
      <w:r>
        <w:tab/>
        <w:t>Доступ к социальному обеспечению, здравоохранению и социальным услугам необходим для снижения уязвимости и неравенства и повышения устойчивости людей к экологическим рискам. Государства-участники должны обеспечивать, чтобы системы социальной защиты были в достаточной степени приспособлены к преодолению последствий экстремальных погодных условий, климатических бедствий и вынужденных перемещений. Это включает в себя интеграцию климатических и экологических рисков, а также рисков на протяжении всего жизненного цикла в системы социальной защиты и увязку этих систем с оценками уязвимости</w:t>
      </w:r>
      <w:r w:rsidR="00E178B1">
        <w:rPr>
          <w:rStyle w:val="a8"/>
        </w:rPr>
        <w:footnoteReference w:id="100"/>
      </w:r>
      <w:r>
        <w:t>. Чтобы меры по обеспечению готовности и поддержки были эффективными, необходимо заранее выявлять лиц и группы, которые нуждаются в поддержке, таких как пожилые люди, инвалиды или лица, которым грозит потеря средств к существованию, с тем чтобы они имели возможность подготовиться к климатическим потрясениям, справиться с ними и восстановиться после них. Социальная защита должна стать связующим звеном между неотложными мерами гуманитарного реагирования и долгосрочным устойчивым развитием</w:t>
      </w:r>
      <w:r w:rsidR="00E178B1">
        <w:rPr>
          <w:rStyle w:val="a8"/>
        </w:rPr>
        <w:footnoteReference w:id="101"/>
      </w:r>
      <w:r>
        <w:t>.</w:t>
      </w:r>
    </w:p>
    <w:p w14:paraId="7AC9114E" w14:textId="042035A0" w:rsidR="00F66CFC" w:rsidRDefault="00F66CFC" w:rsidP="00F66CFC">
      <w:pPr>
        <w:pStyle w:val="SingleTxtG"/>
      </w:pPr>
      <w:r>
        <w:lastRenderedPageBreak/>
        <w:t>56.</w:t>
      </w:r>
      <w:r>
        <w:tab/>
        <w:t xml:space="preserve">Хорошо продуманная система социальной защиты играет жизненно важную роль в защите людей от негативных последствий экологической политики и в оказании содействия переходу к </w:t>
      </w:r>
      <w:r w:rsidR="00E178B1">
        <w:t>«</w:t>
      </w:r>
      <w:r>
        <w:t>зеленым</w:t>
      </w:r>
      <w:r w:rsidR="00E178B1">
        <w:t>»</w:t>
      </w:r>
      <w:r>
        <w:t xml:space="preserve"> рабочим местам и устойчивым источникам средств к существованию. В качестве одного из основных обязательств по Пакту государства-участники должны обеспечивать всеобщий доступ к базовому уровню социальной защиты, включая доступ к основным медицинским услугам, и гарантированный базовый доход для детей, лиц трудоспособного возраста, неспособных получать достаточный доход по таким причинам, как болезнь, безработица, материнство или инвалидность, и для пожилых людей</w:t>
      </w:r>
      <w:r w:rsidR="00E178B1">
        <w:rPr>
          <w:rStyle w:val="a8"/>
        </w:rPr>
        <w:footnoteReference w:id="102"/>
      </w:r>
      <w:r>
        <w:t>. Такая защита должна быть достаточной для того, чтобы отдельные лица и семьи могли удовлетворять свои основные потребности, в том числе в части достаточного жилища, воды и санитарии, питания, образования и, в соответствующих случаях, покрытия расходов, связанных с инвалидностью. Кроме того, государствам-участникам следует предпринимать продуманные и целенаправленные шаги для постепенного осуществления права на социальное обеспечение, уделяя особое внимание тем, кто все еще остается без защиты, включая женщин, трудящихся, не имеющих стабильной занятости, и работников неформального сектора экономики.</w:t>
      </w:r>
    </w:p>
    <w:p w14:paraId="0EA9E9D4" w14:textId="77777777" w:rsidR="00F66CFC" w:rsidRDefault="00F66CFC" w:rsidP="00F66CFC">
      <w:pPr>
        <w:pStyle w:val="SingleTxtG"/>
      </w:pPr>
      <w:r>
        <w:t>57.</w:t>
      </w:r>
      <w:r>
        <w:tab/>
        <w:t>Государства-участники должны гарантировать, чтобы системы социального обеспечения надлежащим образом финансировались, были устойчивы к будущим потрясениям и ориентированы на удовлетворение долгосрочных потребностей, используя для этого максимальный объем имеющихся ресурсов. В тех случаях, когда национальных ресурсов и потенциала недостаточно для создания устойчивых систем социальной защиты, государства-участники должны обращаться за международной помощью и сотрудничеством.</w:t>
      </w:r>
    </w:p>
    <w:p w14:paraId="277C33AC" w14:textId="77777777" w:rsidR="00F66CFC" w:rsidRDefault="00F66CFC" w:rsidP="00E178B1">
      <w:pPr>
        <w:pStyle w:val="H23G"/>
      </w:pPr>
      <w:r>
        <w:tab/>
      </w:r>
      <w:r>
        <w:tab/>
        <w:t>Право на достаточный жизненный уровень (статья 11)</w:t>
      </w:r>
    </w:p>
    <w:p w14:paraId="62D7162A" w14:textId="5AB6A5B6" w:rsidR="00F66CFC" w:rsidRDefault="00F66CFC" w:rsidP="00F66CFC">
      <w:pPr>
        <w:pStyle w:val="SingleTxtG"/>
      </w:pPr>
      <w:r>
        <w:t>58.</w:t>
      </w:r>
      <w:r>
        <w:tab/>
        <w:t>Право на достаточный жизненный уровень требует от государств-участников обеспечивать, чтобы каждый человек имел доступ к товарам и услугам, необходимым для достаточного жизненного уровня, включая достаточное питание, воду и санитарию, одежду, жилье, электричество, транспорт и связь</w:t>
      </w:r>
      <w:r w:rsidR="00E178B1">
        <w:rPr>
          <w:rStyle w:val="a8"/>
        </w:rPr>
        <w:footnoteReference w:id="103"/>
      </w:r>
      <w:r>
        <w:t xml:space="preserve">. Ссылка в статье 11 Пакта на </w:t>
      </w:r>
      <w:r w:rsidR="00E178B1">
        <w:t>«</w:t>
      </w:r>
      <w:r>
        <w:t>непрерывное улучшение условий жизни</w:t>
      </w:r>
      <w:r w:rsidR="00E178B1">
        <w:t>»</w:t>
      </w:r>
      <w:r>
        <w:t xml:space="preserve"> должна пониматься в свете экологических лимитов планеты. Государствам-участникам следует поощрять переход в таких областях, как питание, водоснабжение, жилье и транспортные системы, в целях обеспечения устойчивости и стойкости к изменению окружающей среды.</w:t>
      </w:r>
    </w:p>
    <w:p w14:paraId="707A2A70" w14:textId="480793C9" w:rsidR="00F66CFC" w:rsidRDefault="00F66CFC" w:rsidP="00F66CFC">
      <w:pPr>
        <w:pStyle w:val="SingleTxtG"/>
      </w:pPr>
      <w:r>
        <w:t>59.</w:t>
      </w:r>
      <w:r>
        <w:tab/>
        <w:t xml:space="preserve">Право на достаточное питание требует долгосрочного доступа к достаточной, питательной и приемлемой в культурном отношении пище благодаря устойчивому использованию природных ресурсов, таких как почва, вода, семена, биоразнообразие, сельское хозяйство и леса, особенно в сельских районах и </w:t>
      </w:r>
      <w:r w:rsidR="00E178B1">
        <w:t>—</w:t>
      </w:r>
      <w:r>
        <w:t xml:space="preserve"> все чаще </w:t>
      </w:r>
      <w:r w:rsidR="00E178B1">
        <w:t>—</w:t>
      </w:r>
      <w:r>
        <w:t xml:space="preserve"> в городах. Государства-участники должны содействовать преобразованию продовольственных систем в соответствии с обязательствами в области прав человека, обеспечивая долгосрочную эффективность производства и распределения, повышая устойчивость к изменению климата, сокращая уровень загрязнения окружающей среды и сохраняя биоразнообразие путем его защиты и устойчивого использования</w:t>
      </w:r>
      <w:r w:rsidR="00E178B1">
        <w:rPr>
          <w:rStyle w:val="a8"/>
        </w:rPr>
        <w:footnoteReference w:id="104"/>
      </w:r>
      <w:r>
        <w:t>.</w:t>
      </w:r>
    </w:p>
    <w:p w14:paraId="19BAFB15" w14:textId="1BA79312" w:rsidR="00F66CFC" w:rsidRDefault="00F66CFC" w:rsidP="00F66CFC">
      <w:pPr>
        <w:pStyle w:val="SingleTxtG"/>
      </w:pPr>
      <w:r>
        <w:t>60.</w:t>
      </w:r>
      <w:r>
        <w:tab/>
        <w:t xml:space="preserve">Пункт 2 а) статьи 11 Пакта требует от государств-участников совершенствовать или реформировать аграрные системы </w:t>
      </w:r>
      <w:r w:rsidR="00E178B1">
        <w:t>«</w:t>
      </w:r>
      <w:r>
        <w:t>таким образом, чтобы достигнуть наиболее эффективного освоения и использования природных ресурсов</w:t>
      </w:r>
      <w:r w:rsidR="00E178B1">
        <w:t>»</w:t>
      </w:r>
      <w:r>
        <w:t xml:space="preserve">. Под эффективностью следует понимать, в том числе, устойчивость </w:t>
      </w:r>
      <w:r w:rsidR="00E178B1">
        <w:t>—</w:t>
      </w:r>
      <w:r>
        <w:t xml:space="preserve"> сохранение долгосрочного потенциала природных ресурсов </w:t>
      </w:r>
      <w:r w:rsidR="00E178B1">
        <w:t>—</w:t>
      </w:r>
      <w:r>
        <w:t xml:space="preserve"> для целей поддержки осуществления прав, закрепленных в Пакте. Это включает меры по соблюдению, защите и обеспечению </w:t>
      </w:r>
      <w:r>
        <w:lastRenderedPageBreak/>
        <w:t>гарантий пользования всеми законными правами на владение земельными, рыбными и лесными ресурсами, особенно в случае отдельных лиц, общин и народов, находящихся в уязвимом или маргинализированном положении</w:t>
      </w:r>
      <w:r w:rsidR="00E178B1">
        <w:rPr>
          <w:rStyle w:val="a8"/>
        </w:rPr>
        <w:footnoteReference w:id="105"/>
      </w:r>
      <w:r>
        <w:t>. Переход к устойчивым продовольственным системам требует планирования, согласующегося с правом на достаточное питание, в том числе территориально-пространственного планирования, в рамках которого приоритет отдается отдельным лицам и группам, находящимся в неблагоприятном или маргинализированном положении, таким как мелкие фермеры</w:t>
      </w:r>
      <w:r w:rsidR="00E178B1">
        <w:rPr>
          <w:rStyle w:val="a8"/>
        </w:rPr>
        <w:footnoteReference w:id="106"/>
      </w:r>
      <w:r>
        <w:t>. Нынешняя сельскохозяйственная политика и системы субсидирования, способствующие неустойчивой практике землепользовани</w:t>
      </w:r>
      <w:r w:rsidR="00330681">
        <w:t>я</w:t>
      </w:r>
      <w:r>
        <w:t xml:space="preserve"> и истощени</w:t>
      </w:r>
      <w:r w:rsidR="00A33F87">
        <w:t>я</w:t>
      </w:r>
      <w:r>
        <w:t xml:space="preserve"> природных ресурсов, должны быть преобразованы в целях создания продовольственных систем, способных обеспечить достаточный уровень жизни для нынешнего и будущих поколений.</w:t>
      </w:r>
    </w:p>
    <w:p w14:paraId="353F19CA" w14:textId="189BB0F7" w:rsidR="00F66CFC" w:rsidRDefault="00F66CFC" w:rsidP="00F66CFC">
      <w:pPr>
        <w:pStyle w:val="SingleTxtG"/>
      </w:pPr>
      <w:r>
        <w:t>61.</w:t>
      </w:r>
      <w:r>
        <w:tab/>
        <w:t>Промышленные продовольственные системы, включая процессы производства, транспортировки, переработки, упаковки, хранения, розничной торговли, потребления и образования отходов, могут вносить значительный вклад в изменение климата, утрату биоразнообразия и деградацию почвы и воды</w:t>
      </w:r>
      <w:r w:rsidR="00E178B1">
        <w:rPr>
          <w:rStyle w:val="a8"/>
        </w:rPr>
        <w:footnoteReference w:id="107"/>
      </w:r>
      <w:r>
        <w:t>. Обеспечение права на питание предполагает продвижение устойчивых методов ведения сельского хозяйства, включая, в тех случаях, когда это необходимо, применение агроэкологических подходов, для сокращения выбросов углерода и чрезмерного использования антибиотиков, а также для снижения зависимости от интенсивных промышленных моделей. Эти методы могут также способствовать профилактике зоонозных заболеваний и болезней сельскохозяйственных культур путем повышения биоразнообразия и сокращения масштабов применения вредных видов практики, таких как крупномасштабное монокультурное сельское хозяйство и чрезмерное использование пестицидов.</w:t>
      </w:r>
    </w:p>
    <w:p w14:paraId="50CD26F5" w14:textId="59F4D131" w:rsidR="00F66CFC" w:rsidRDefault="00F66CFC" w:rsidP="00F66CFC">
      <w:pPr>
        <w:pStyle w:val="SingleTxtG"/>
      </w:pPr>
      <w:r>
        <w:t>62.</w:t>
      </w:r>
      <w:r>
        <w:tab/>
        <w:t>Ограниченный доступ к безопасной воде и санитарии тесно связан с нищетой и неравенством. Эта проблема усугубляется загрязнением воды, ее нехваткой, деградацией пресноводных экосистем и изменением климата</w:t>
      </w:r>
      <w:r w:rsidR="00E178B1">
        <w:rPr>
          <w:rStyle w:val="a8"/>
        </w:rPr>
        <w:footnoteReference w:id="108"/>
      </w:r>
      <w:r>
        <w:t>. Государства-участники должны уделять приоритетное внимание использованию воды для личного, бытового использования и мелкого натурального сельского хозяйства и, в соответствии со своими основными обязательствами, обеспечивать всеобщий доступ к достаточному количеству безопасной воды и надлежащим услугам в области санитарии, особенно для лиц, проживающих в домохозяйствах с низким уровнем дохода или находящихся в неблагоприятном или маргинализированном положении иного рода</w:t>
      </w:r>
      <w:r w:rsidR="00E178B1">
        <w:rPr>
          <w:rStyle w:val="a8"/>
        </w:rPr>
        <w:footnoteReference w:id="109"/>
      </w:r>
      <w:r>
        <w:t>.</w:t>
      </w:r>
    </w:p>
    <w:p w14:paraId="695C7744" w14:textId="3F53EB51" w:rsidR="00F66CFC" w:rsidRDefault="00F66CFC" w:rsidP="00F66CFC">
      <w:pPr>
        <w:pStyle w:val="SingleTxtG"/>
      </w:pPr>
      <w:r>
        <w:t>63.</w:t>
      </w:r>
      <w:r>
        <w:tab/>
        <w:t>С этой целью государствам-участникам следует принимать комплексные стратегии по обеспечению права на воду для нынешнего и будущих поколений</w:t>
      </w:r>
      <w:r w:rsidR="00E178B1">
        <w:rPr>
          <w:rStyle w:val="a8"/>
        </w:rPr>
        <w:footnoteReference w:id="110"/>
      </w:r>
      <w:r>
        <w:t>, включая эффективные меры по предотвращению загрязнения воды, сокращению ее неустойчивого или неэффективного использования и решению проблемы потерь при распределении. Кроме того, государства-участники обязаны принять соответствующую нормативно-правовую базу и обеспечить ее применение для предотвращения загрязнения окружающей среды, чрезмерного использования ресурсов пресноводных экосистем или их деградации в результате деятельности предприятий и других субъектов. Инфраструктура водоснабжения и санитарии должна проектироваться, строиться и обслуживаться таким образом, чтобы она была стойкой к воздействию экстремальных погодных условий и стихийных бедствий</w:t>
      </w:r>
      <w:r w:rsidR="00E178B1">
        <w:rPr>
          <w:rStyle w:val="a8"/>
        </w:rPr>
        <w:footnoteReference w:id="111"/>
      </w:r>
      <w:r>
        <w:t>.</w:t>
      </w:r>
    </w:p>
    <w:p w14:paraId="1B586BFC" w14:textId="06527D71" w:rsidR="00F66CFC" w:rsidRDefault="00F66CFC" w:rsidP="00F66CFC">
      <w:pPr>
        <w:pStyle w:val="SingleTxtG"/>
      </w:pPr>
      <w:r>
        <w:lastRenderedPageBreak/>
        <w:t>64.</w:t>
      </w:r>
      <w:r>
        <w:tab/>
        <w:t>Поскольку значительная часть мировых запасов пресной воды содержится в трансграничных водоносных горизонтах и бассейнах рек, для эффективного осуществления права на воду и санитарию необходимо международное сотрудничество</w:t>
      </w:r>
      <w:r w:rsidR="00E178B1">
        <w:rPr>
          <w:rStyle w:val="a8"/>
        </w:rPr>
        <w:footnoteReference w:id="112"/>
      </w:r>
      <w:r>
        <w:t>, в том числе по вопросам качества воды, справедливого распределения, борьбы с наводнениями, адаптации к изменению климата и устойчивого управления общими водными ресурсами.</w:t>
      </w:r>
    </w:p>
    <w:p w14:paraId="2A3354D3" w14:textId="5819ED71" w:rsidR="00F66CFC" w:rsidRDefault="00F66CFC" w:rsidP="00F66CFC">
      <w:pPr>
        <w:pStyle w:val="SingleTxtG"/>
      </w:pPr>
      <w:r>
        <w:t>65.</w:t>
      </w:r>
      <w:r>
        <w:tab/>
        <w:t>Государства-участники должны своевременно принимать меры по адаптации к изменению климата, чтобы обеспечить стойкость жилья к климатическим воздействиям, путем, например, использования изоляционных материалов и эффективных систем отопления и охлаждения. Государства-участники должны также принимать меры по снижению выбросов, источником которых является жилье, путем, например, продвижения устойчивых материалов, повышения энергоэффективности и содействия использованию возобновляемых источников энергии для приготовления пищи, отопления, охлаждения и освещения</w:t>
      </w:r>
      <w:r w:rsidR="00E178B1">
        <w:rPr>
          <w:rStyle w:val="a8"/>
        </w:rPr>
        <w:footnoteReference w:id="113"/>
      </w:r>
      <w:r>
        <w:t>. Меры по адаптации к изменению климата и его предотвращению не должны подрывать право на достаточное жилище, особенно для жителей неформальных поселений и лиц, находящихся в неблагоприятном или маргинализированном положении, приводить к увеличению стоимости жилья, энергетической бедности или бездомности или усиливать ранее существовавшее неравенство.</w:t>
      </w:r>
    </w:p>
    <w:p w14:paraId="0E49F7ED" w14:textId="3512698E" w:rsidR="00F66CFC" w:rsidRDefault="00F66CFC" w:rsidP="00F66CFC">
      <w:pPr>
        <w:pStyle w:val="SingleTxtG"/>
      </w:pPr>
      <w:r>
        <w:t>66.</w:t>
      </w:r>
      <w:r>
        <w:tab/>
        <w:t>Надлежащее планирование городских и сельских территорий на национальном и местном уровнях должно обеспечивать учет таких аспектов, как риски, связанные с изменением климата, готовность к стихийным бедствиям, загрязнение окружающей среды, доступ к воде и управление отходами, финансовая доступность общественного транспорта, здравоохранение, социальные услуги и возможности для получения дохода</w:t>
      </w:r>
      <w:r w:rsidR="00E178B1">
        <w:rPr>
          <w:rStyle w:val="a8"/>
        </w:rPr>
        <w:footnoteReference w:id="114"/>
      </w:r>
      <w:r>
        <w:t>. В процессе планирования следует также применять строительные нормы, направленные на обеспечение чистого нулевого уровня выбросов, при этом он должен предусматривать создание зеленых зон и принятие мер для снижения эффекта «городского теплового острова». Строительные стандарты должны способствовать обеспечению стойкости к изменению климата и сокращению выбросов.</w:t>
      </w:r>
    </w:p>
    <w:p w14:paraId="46B8E756" w14:textId="77777777" w:rsidR="00F66CFC" w:rsidRDefault="00F66CFC" w:rsidP="00E178B1">
      <w:pPr>
        <w:pStyle w:val="H23G"/>
      </w:pPr>
      <w:r>
        <w:tab/>
      </w:r>
      <w:r>
        <w:tab/>
        <w:t>Право на наивысший достижимый уровень физического и психического здоровья (статья 12)</w:t>
      </w:r>
    </w:p>
    <w:p w14:paraId="3E8F9679" w14:textId="149EA2A5" w:rsidR="00F66CFC" w:rsidRDefault="00F66CFC" w:rsidP="00F66CFC">
      <w:pPr>
        <w:pStyle w:val="SingleTxtG"/>
      </w:pPr>
      <w:r>
        <w:t>67.</w:t>
      </w:r>
      <w:r>
        <w:tab/>
        <w:t>Право на здоровье требует от государств-участников обеспечивать доступ к своевременному, приемлемому и недорогому качественному медицинскому обслуживанию, равно как и основополагающие детерминанты здоровья</w:t>
      </w:r>
      <w:r w:rsidR="00E178B1">
        <w:rPr>
          <w:rStyle w:val="a8"/>
        </w:rPr>
        <w:footnoteReference w:id="115"/>
      </w:r>
      <w:r>
        <w:t>. Законы и политика должны быть направлены на предотвращение и снижение загрязнения воздуха, воды и почвы, включая загрязнение тяжелыми металлами</w:t>
      </w:r>
      <w:r w:rsidR="00E178B1">
        <w:rPr>
          <w:rStyle w:val="a8"/>
        </w:rPr>
        <w:footnoteReference w:id="116"/>
      </w:r>
      <w:r>
        <w:t>.</w:t>
      </w:r>
    </w:p>
    <w:p w14:paraId="258C7DB2" w14:textId="77777777" w:rsidR="00F66CFC" w:rsidRDefault="00F66CFC" w:rsidP="00F66CFC">
      <w:pPr>
        <w:pStyle w:val="SingleTxtG"/>
      </w:pPr>
      <w:r>
        <w:t>68.</w:t>
      </w:r>
      <w:r>
        <w:tab/>
        <w:t>Деградация окружающей среды, изменение климата и утрата биоразнообразия представляют собой серьезную угрозу для здоровья, оказывая непропорциональное и несправедливое воздействие как внутри государств, так и на разные государства. Государствам-участникам следует принимать конкретные меры по защите и осуществлению права на здоровье лиц, в наибольшей степени страдающих от экологического ущерба. Для устранения трансграничных рисков для здоровья, связанных с деградацией окружающей среды, большое значение имеют международная помощь и сотрудничество.</w:t>
      </w:r>
    </w:p>
    <w:p w14:paraId="19BED20F" w14:textId="77777777" w:rsidR="00F66CFC" w:rsidRDefault="00F66CFC" w:rsidP="00F66CFC">
      <w:pPr>
        <w:pStyle w:val="SingleTxtG"/>
      </w:pPr>
      <w:r>
        <w:t>69.</w:t>
      </w:r>
      <w:r>
        <w:tab/>
        <w:t xml:space="preserve">Политика и программы в области здравоохранения должны быть направлены на устранение последствий деградации окружающей среды как для физического, так и для психического здоровья, в том числе путем создания доступных, устойчивых и жизнеспособных систем здравоохранения. Внимание следует также уделять обеспечению предоставления всем, включая коренные народы, приемлемых в </w:t>
      </w:r>
      <w:r>
        <w:lastRenderedPageBreak/>
        <w:t xml:space="preserve">культурном отношении медицинских услуг и защите практики и ресурсов традиционной медицины. Межсекторальное сотрудничество имеет жизненно важное значение для изучения взаимосвязей между здоровьем человека, животных и окружающей среды, а также для укрепления здоровья планеты, от которого </w:t>
      </w:r>
      <w:proofErr w:type="gramStart"/>
      <w:r>
        <w:t>в конечном итоге</w:t>
      </w:r>
      <w:proofErr w:type="gramEnd"/>
      <w:r>
        <w:t xml:space="preserve"> зависит здоровье человека. Для достижения более инклюзивных результатов на всех этапах планирования мероприятий по охране здоровья населения следует обеспечивать значимое участие организаций гражданского общества и представителей находящихся в неблагоприятном положении или маргинализированных групп.</w:t>
      </w:r>
    </w:p>
    <w:p w14:paraId="488D4C5C" w14:textId="77777777" w:rsidR="00F66CFC" w:rsidRDefault="00F66CFC" w:rsidP="00F66CFC">
      <w:pPr>
        <w:pStyle w:val="SingleTxtG"/>
      </w:pPr>
      <w:r>
        <w:t>70.</w:t>
      </w:r>
      <w:r>
        <w:tab/>
        <w:t>При разработке политики и выделении ресурсов на цели охраны здоровья населения необходимо учитывать долгосрочные вызовы в области здравоохранения, возникающие в результате экологических кризисов. Государства-участники должны разрабатывать, внедрять и поддерживать системы и службы здравоохранения, устойчивые к экологическим потрясениям и связанным с ними экономическим и социальным последствиям. Важнейшую роль играют устойчивые государственные инвестиции, причем как в обеспечение основополагающих детерминантов здоровья, так и в укрепление самой системы здравоохранения, в том числе путем подготовки, найма и удержания достаточного количества медицинских работников, а также защиты их трудовых прав.</w:t>
      </w:r>
    </w:p>
    <w:p w14:paraId="6FB74720" w14:textId="77777777" w:rsidR="00F66CFC" w:rsidRDefault="00F66CFC" w:rsidP="00E178B1">
      <w:pPr>
        <w:pStyle w:val="H23G"/>
      </w:pPr>
      <w:r>
        <w:tab/>
      </w:r>
      <w:r>
        <w:tab/>
        <w:t>Право на образование (статьи 13 и 14)</w:t>
      </w:r>
    </w:p>
    <w:p w14:paraId="6530916E" w14:textId="63EC9E2B" w:rsidR="00F66CFC" w:rsidRDefault="00F66CFC" w:rsidP="00F66CFC">
      <w:pPr>
        <w:pStyle w:val="SingleTxtG"/>
      </w:pPr>
      <w:r>
        <w:t>71.</w:t>
      </w:r>
      <w:r>
        <w:tab/>
        <w:t xml:space="preserve">Деградация окружающей среды все больше сказывается на доступе к образованию, инфраструктуре и качестве результатов обучения. Экстремальные погодные условия, повышение уровня моря, наводнения, чрезмерная жара или холод, нехватка воды и перемещение населения оказывают существенное влияние на процесс обучения, благополучие учащихся, качество и непрерывность образования. Эти проблемы требуют принятия мер по адаптации в соответствии с обязательствами в области прав человека, включая создание климатоустойчивой инфраструктуры, инклюзивное планирование и обеспечение готовности к стихийным бедствиям. Государствам-участникам следует гарантировать непрерывное качественное образование для перемещенных детей, в том числе в неформальных поселениях, </w:t>
      </w:r>
      <w:r w:rsidR="000F52A2">
        <w:br/>
      </w:r>
      <w:r>
        <w:t>и обеспечивать, чтобы школьные учреждения были безопасными, физически доступными, соответствовали требованиям и имели безопасные пути доступа и надежные системы водоснабжения и санитарии.</w:t>
      </w:r>
    </w:p>
    <w:p w14:paraId="13481E14" w14:textId="21040460" w:rsidR="00F66CFC" w:rsidRDefault="00F66CFC" w:rsidP="00F66CFC">
      <w:pPr>
        <w:pStyle w:val="SingleTxtG"/>
      </w:pPr>
      <w:r>
        <w:t>72.</w:t>
      </w:r>
      <w:r>
        <w:tab/>
        <w:t xml:space="preserve">Просвещение по вопросам устойчивого развития, прав человека и охраны окружающей среды является важнейшим компонентом качественного образования и обучения на протяжении всей жизни. Государствам-участникам следует </w:t>
      </w:r>
      <w:r w:rsidR="00227A8E">
        <w:t>интегрировать</w:t>
      </w:r>
      <w:r>
        <w:t xml:space="preserve"> просвещение по экологическим и климатическим вопросам, включая защиту биоразнообразия, в учебные программы на всех уровнях образования, увязывая его с правами человека и экологической справедливостью. Экологические ценности должны быть включены в учебные программы, программы подготовки учителей, педагогические процессы и должны соблюдаться в школьной среде. Учащиеся всех возрастов должны обладать знаниями, навыками и умениями, необходимыми для решения глобальных проблем и принятия осознанных мер по защите окружающей среды и содействию устойчивому развитию.</w:t>
      </w:r>
    </w:p>
    <w:p w14:paraId="50B69512" w14:textId="77777777" w:rsidR="00F66CFC" w:rsidRDefault="00F66CFC" w:rsidP="00E178B1">
      <w:pPr>
        <w:pStyle w:val="H23G"/>
      </w:pPr>
      <w:r>
        <w:tab/>
      </w:r>
      <w:r>
        <w:tab/>
        <w:t>Право на участие в культурной жизни и пользование результатами научного прогресса (статья 15)</w:t>
      </w:r>
    </w:p>
    <w:p w14:paraId="0781A909" w14:textId="2856BA44" w:rsidR="00F66CFC" w:rsidRDefault="00F66CFC" w:rsidP="00F66CFC">
      <w:pPr>
        <w:pStyle w:val="SingleTxtG"/>
      </w:pPr>
      <w:r>
        <w:t>73.</w:t>
      </w:r>
      <w:r>
        <w:tab/>
        <w:t>Культура формирует и отражает то, как люди и общины относятся к природе и ведут свою экономическую, социальную и политическую жизнь</w:t>
      </w:r>
      <w:r w:rsidR="00E178B1">
        <w:rPr>
          <w:rStyle w:val="a8"/>
        </w:rPr>
        <w:footnoteReference w:id="117"/>
      </w:r>
      <w:r>
        <w:t>. Культурные права требуют от государств-участников уважать, защищать и поощрять различные формы культурного самовыражения, виды практики и системы знаний. Оторванность людей от природы и доминирование одних групп людей над природой и другими группами людей являются одними из основных причин утраты биоразнообразия и связанной с этим деградации окружающей среды</w:t>
      </w:r>
      <w:r w:rsidR="00E178B1">
        <w:rPr>
          <w:rStyle w:val="a8"/>
        </w:rPr>
        <w:footnoteReference w:id="118"/>
      </w:r>
      <w:r>
        <w:t xml:space="preserve">. Поэтому культурные права имеют решающее </w:t>
      </w:r>
      <w:r>
        <w:lastRenderedPageBreak/>
        <w:t>значение для устойчивого развития. Коренные народы, крестьяне и местные общины часто имеют культурные традиции и системы знаний, которые поддерживают благополучие как человека, так и природы</w:t>
      </w:r>
      <w:r w:rsidR="00E178B1">
        <w:rPr>
          <w:rStyle w:val="a8"/>
        </w:rPr>
        <w:footnoteReference w:id="119"/>
      </w:r>
      <w:r>
        <w:t>. Государства-участники должны интегрировать культурные права в стратегии в области развития и содействовать межкультурному диалогу и обмену знаниями для устранения коренных причин и последствий изменения климата, утраты биоразнообразия и загрязнения окружающей среды.</w:t>
      </w:r>
    </w:p>
    <w:p w14:paraId="143E7B6A" w14:textId="77777777" w:rsidR="00F66CFC" w:rsidRDefault="00F66CFC" w:rsidP="00F66CFC">
      <w:pPr>
        <w:pStyle w:val="SingleTxtG"/>
      </w:pPr>
      <w:r>
        <w:t>74.</w:t>
      </w:r>
      <w:r>
        <w:tab/>
        <w:t>Изменение климата все больше угрожает культурному наследию. Наводнения, повышение уровня моря, береговая эрозия, природные пожары и экстремальные погодные условия наносят ущерб как материальному, так и нематериальному наследию. Для обеспечения устойчивого осуществления культурных прав государствам-участникам следует учитывать долгосрочные потребности при предоставлении поддержки творческим работникам, культурным учреждениям и научным организациям. Необходимо поддерживать отдельных лиц и общины в их усилиях по сохранению культурных объектов, традиций и практики в контексте изменения окружающей среды.</w:t>
      </w:r>
    </w:p>
    <w:p w14:paraId="3C114D60" w14:textId="5698C801" w:rsidR="00F66CFC" w:rsidRDefault="00F66CFC" w:rsidP="00F66CFC">
      <w:pPr>
        <w:pStyle w:val="SingleTxtG"/>
      </w:pPr>
      <w:r>
        <w:t>75.</w:t>
      </w:r>
      <w:r>
        <w:tab/>
        <w:t>Право на науку подразумевает доступ к научному образованию и знаниям, справедливое распределение результатов научного прогресса и обязательство содействовать исследованиям, направленным на удовлетворение приоритетных потребностей людей, особенно тех, кто находится в уязвимом и маргинализированном положении</w:t>
      </w:r>
      <w:r w:rsidR="00C334E4">
        <w:rPr>
          <w:rStyle w:val="a8"/>
        </w:rPr>
        <w:footnoteReference w:id="120"/>
      </w:r>
      <w:r>
        <w:t>. Учитывая важнейшую роль науки и технологий в преодолении экологических кризисов и поддержке устойчивых преобразований в моделях производства и потребления, государства-участники должны принимать экологические стратегии, основанные на фактических данных, обеспечивать доступ общественности к экологической информации, не допускать ложной информации, особенно в отношении изменения климата, и содействовать равному доступу к результатам научного прогресса</w:t>
      </w:r>
      <w:r w:rsidR="00C334E4">
        <w:rPr>
          <w:rStyle w:val="a8"/>
        </w:rPr>
        <w:footnoteReference w:id="121"/>
      </w:r>
      <w:r>
        <w:t>. В соответствии с принципом предосторожности государства-участники должны регулировать использование непроверенных технологий, связанных с климатом. Международное сотрудничество имеет важнейшее значение для справедливого обмена научными знаниями и передачи экологически безопасных технологий.</w:t>
      </w:r>
    </w:p>
    <w:p w14:paraId="7ED23ABB" w14:textId="262ED93B" w:rsidR="00F66CFC" w:rsidRDefault="00C334E4" w:rsidP="00C334E4">
      <w:pPr>
        <w:pStyle w:val="HChG"/>
      </w:pPr>
      <w:r>
        <w:tab/>
      </w:r>
      <w:r w:rsidR="00F66CFC">
        <w:t>V.</w:t>
      </w:r>
      <w:r w:rsidR="00F66CFC">
        <w:tab/>
      </w:r>
      <w:r w:rsidR="00F66CFC">
        <w:tab/>
        <w:t>Отдельные лица и группы, находящиеся в особо уязвимом положении</w:t>
      </w:r>
    </w:p>
    <w:p w14:paraId="6224167C" w14:textId="202DF4C5" w:rsidR="00F66CFC" w:rsidRDefault="00F66CFC" w:rsidP="00F66CFC">
      <w:pPr>
        <w:pStyle w:val="SingleTxtG"/>
      </w:pPr>
      <w:r>
        <w:t>76.</w:t>
      </w:r>
      <w:r>
        <w:tab/>
        <w:t>Деградация окружающей среды, включая изменение климата, усиливает уязвимость отдельных лиц и групп, которые исторически подвергались и/или подвергаются маргинализации. Эта уязвимость формируется под воздействием таких пересекающихся факторов, как социально-экономический статус, расовая, этническая и гендерная принадлежность, инвалидность, возраст, миграционный статус, сексуальная ориентация и гендерная идентичность</w:t>
      </w:r>
      <w:r w:rsidR="00C334E4">
        <w:rPr>
          <w:rStyle w:val="a8"/>
        </w:rPr>
        <w:footnoteReference w:id="122"/>
      </w:r>
      <w:r>
        <w:t>. Последствия экологического ущерба варьируются как внутри групп, так и между ними, в зависимости от контекста. Особому риску подвергаются лица, сталкивающиеся со множественными и перекрестными формами дискриминации, которые усугубляют последствия экологического ущерба и еще больше ограничивают доступ к средствам правовой защиты, ресурсам и мерам по повышению устойчивости к потрясениям.</w:t>
      </w:r>
    </w:p>
    <w:p w14:paraId="1D7F8B4F" w14:textId="77777777" w:rsidR="00F66CFC" w:rsidRDefault="00F66CFC" w:rsidP="00F66CFC">
      <w:pPr>
        <w:pStyle w:val="SingleTxtG"/>
      </w:pPr>
      <w:r>
        <w:t>77.</w:t>
      </w:r>
      <w:r>
        <w:tab/>
        <w:t xml:space="preserve">Государства-участники должны выявлять тех, кто подвергается наибольшему риску, устранять структурное неравенство, усиливающее их уязвимость к экологическому ущербу, и обеспечивать защиту от рисков для прав человека, возникающих в результате как деградации окружающей среды, так и принятия ответных мер. Обеспечение значимого участия затрагиваемых лиц и групп на всех этапах принятия решений имеет ключевое значение. Хотя негативные последствия </w:t>
      </w:r>
      <w:r>
        <w:lastRenderedPageBreak/>
        <w:t>деградации окружающей среды могут затронуть многих, в настоящем разделе основное внимание уделяется детям, коренным народам, крестьянам, скотоводам и рыбакам, чьи средства к существованию и культура тесно связаны с природой, а также перемещенным лицам.</w:t>
      </w:r>
    </w:p>
    <w:p w14:paraId="41101DA1" w14:textId="77777777" w:rsidR="00F66CFC" w:rsidRDefault="00F66CFC" w:rsidP="00C334E4">
      <w:pPr>
        <w:pStyle w:val="H23G"/>
      </w:pPr>
      <w:r>
        <w:tab/>
      </w:r>
      <w:r>
        <w:tab/>
        <w:t>Дети</w:t>
      </w:r>
    </w:p>
    <w:p w14:paraId="224D91B7" w14:textId="47154834" w:rsidR="00F66CFC" w:rsidRDefault="00F66CFC" w:rsidP="00F66CFC">
      <w:pPr>
        <w:pStyle w:val="SingleTxtG"/>
      </w:pPr>
      <w:r>
        <w:t>78.</w:t>
      </w:r>
      <w:r>
        <w:tab/>
        <w:t>Изменение климата, утрата биоразнообразия и загрязнение окружающей среды существенно влияют на права и благополучие детей. Дети младшего возраста особенно восприимчивы к экологическому ущербу, обусловленному загрязнением окружающей среды и токсичными химическими веществами, которые могут оказывать долгосрочное влияние на их здоровье и развитие</w:t>
      </w:r>
      <w:r w:rsidR="00C334E4">
        <w:rPr>
          <w:rStyle w:val="a8"/>
        </w:rPr>
        <w:footnoteReference w:id="123"/>
      </w:r>
      <w:r>
        <w:t>. Отсутствие продовольственной безопасности и недостаточно надежная обеспеченность водными ресурсами, усугубляемые деградацией окружающей среды, повышают риск острого и хронического недоедания и заболеваний</w:t>
      </w:r>
      <w:r w:rsidR="00C334E4">
        <w:rPr>
          <w:rStyle w:val="a8"/>
        </w:rPr>
        <w:footnoteReference w:id="124"/>
      </w:r>
      <w:r>
        <w:t>. Потеря семьями средств к существованию, особенно если речь идет о работниках неформального сектора, может приводить к увеличению числа случаев детского труда и обострению нищеты, а факторы экологического стресса и климатические бедствия могут нарушать процесс получения образования, увеличивать показатели отсева из школ, влиять на психическое здоровье и усиливать уязвимость к насилию, эксплуатации и детским бракам</w:t>
      </w:r>
      <w:r w:rsidR="00C334E4">
        <w:rPr>
          <w:rStyle w:val="a8"/>
        </w:rPr>
        <w:footnoteReference w:id="125"/>
      </w:r>
      <w:r>
        <w:t>. Дети, находящиеся в уязвимом положении, в том числе живущие в условиях нищеты, перемещения или социальной изоляции, часто подвергаются непропорциональному воздействию. Комитет признает также тот факт, что дети во всем мире находятся в авангарде деятельности по борьбе с изменением климата, привлекая внимание к последствиям деградации окружающей среды для прав человека</w:t>
      </w:r>
      <w:r w:rsidR="00C334E4">
        <w:rPr>
          <w:rStyle w:val="a8"/>
        </w:rPr>
        <w:footnoteReference w:id="126"/>
      </w:r>
      <w:r>
        <w:t>.</w:t>
      </w:r>
    </w:p>
    <w:p w14:paraId="14DBE65C" w14:textId="15692CB3" w:rsidR="00F66CFC" w:rsidRDefault="00F66CFC" w:rsidP="00F66CFC">
      <w:pPr>
        <w:pStyle w:val="SingleTxtG"/>
      </w:pPr>
      <w:r>
        <w:t>79.</w:t>
      </w:r>
      <w:r>
        <w:tab/>
        <w:t>Государства-участники должны принимать меры по охране окружающей среды, учитывающие интересы детей, соответствующие принципу наилучшего обеспечения интересов ребенка</w:t>
      </w:r>
      <w:r w:rsidR="00C334E4">
        <w:rPr>
          <w:rStyle w:val="a8"/>
        </w:rPr>
        <w:footnoteReference w:id="127"/>
      </w:r>
      <w:r>
        <w:t xml:space="preserve"> и основанные на научных данных и международных стандартах. Дети должны быть надлежащим образом защищены от токсичных веществ, загрязнения окружающей среды и других видов экологического ущерба в соответствии с их правом на наивысший достижимый уровень здоровья. При долгосрочной оценке рисков должны учитываться конкретные последствия деградации окружающей среды для детей. Право детей быть заслышанными и их право на участие должны соблюдаться в рамках всех соответствующих процессов. Государствам-участникам следует также признавать роль и обеспечивать защиту защитников прав ребенка и создавать безопасные и эффективные механизмы для их участия в природоохранной и климатической деятельности</w:t>
      </w:r>
      <w:r w:rsidR="00C334E4">
        <w:rPr>
          <w:rStyle w:val="a8"/>
        </w:rPr>
        <w:footnoteReference w:id="128"/>
      </w:r>
      <w:r>
        <w:t>.</w:t>
      </w:r>
    </w:p>
    <w:p w14:paraId="532118D5" w14:textId="77777777" w:rsidR="00F66CFC" w:rsidRDefault="00F66CFC" w:rsidP="00C334E4">
      <w:pPr>
        <w:pStyle w:val="H23G"/>
      </w:pPr>
      <w:r>
        <w:tab/>
      </w:r>
      <w:r>
        <w:tab/>
        <w:t>Коренные народы</w:t>
      </w:r>
    </w:p>
    <w:p w14:paraId="37C2932C" w14:textId="77B21750" w:rsidR="00F66CFC" w:rsidRDefault="00F66CFC" w:rsidP="00F66CFC">
      <w:pPr>
        <w:pStyle w:val="SingleTxtG"/>
      </w:pPr>
      <w:r>
        <w:t>80.</w:t>
      </w:r>
      <w:r>
        <w:tab/>
        <w:t>Коренные народы относятся к категориям населения, в наибольшей степени затронутым изменением климата, обезлесением, загрязнением окружающей среды и утратой биоразнообразия, особенно в части средств к существованию, здоровья и культурной самобытности. Экологический ущерб может приводить к утрате как материального, так и нематериального культурного наследия, что ведет к серьезному размыванию самобытности, традиционных знаний, культурных обычаев и связи с землями предков</w:t>
      </w:r>
      <w:r w:rsidR="00C334E4">
        <w:rPr>
          <w:rStyle w:val="a8"/>
        </w:rPr>
        <w:footnoteReference w:id="129"/>
      </w:r>
      <w:r>
        <w:t>.</w:t>
      </w:r>
    </w:p>
    <w:p w14:paraId="3E94D920" w14:textId="77777777" w:rsidR="00F66CFC" w:rsidRDefault="00F66CFC" w:rsidP="00F66CFC">
      <w:pPr>
        <w:pStyle w:val="SingleTxtG"/>
      </w:pPr>
      <w:r>
        <w:lastRenderedPageBreak/>
        <w:t>81.</w:t>
      </w:r>
      <w:r>
        <w:tab/>
        <w:t>Глубокая связь между коренными народами и их исконными землями составляет основу их культурной, духовной и социальной самобытности, а также обеспечивает их основные потребности и средства к существованию. Благодаря этой связи они создают, во многих случаях, системы знаний, управления и руководства, которые содействуют жизни в гармонии с природой и способствуют сохранению биоразнообразия и экосистем. Этот вклад имеет большое значение для обеспечения устойчивого развития и охраны окружающей среды.</w:t>
      </w:r>
    </w:p>
    <w:p w14:paraId="6F5A67CE" w14:textId="634B6CE5" w:rsidR="00F66CFC" w:rsidRDefault="00F66CFC" w:rsidP="00F66CFC">
      <w:pPr>
        <w:pStyle w:val="SingleTxtG"/>
      </w:pPr>
      <w:r>
        <w:t>82.</w:t>
      </w:r>
      <w:r>
        <w:tab/>
        <w:t>Государства-участники должны признавать неотъемлемые права коренных народов на их исконные земли и территории и их природные ресурсы и в полной мере уважать их право на свободное, предварительное и осознанное согласие во всех вопросах, затрагивающих их права</w:t>
      </w:r>
      <w:r w:rsidR="00C334E4">
        <w:rPr>
          <w:rStyle w:val="a8"/>
        </w:rPr>
        <w:footnoteReference w:id="130"/>
      </w:r>
      <w:r>
        <w:t>. В рамках своих усилий по реализации принципа должной осмотрительности в вопросах прав человека государства-участники должны обеспечивать, чтобы меры по защите окружающей среды, включая меры по предотвращению изменения климата и адаптации к нему, а также схемы компенсации для сохранения биоразнообразия, не приводили к захвату земель, лесов или водных ресурсов на территориях коренных народов и не подрывали права коренных народов иным образом.</w:t>
      </w:r>
    </w:p>
    <w:p w14:paraId="7A4D391A" w14:textId="77777777" w:rsidR="00F66CFC" w:rsidRDefault="00F66CFC" w:rsidP="00C334E4">
      <w:pPr>
        <w:pStyle w:val="H23G"/>
      </w:pPr>
      <w:r>
        <w:tab/>
      </w:r>
      <w:r>
        <w:tab/>
        <w:t>Крестьяне, скотоводы, рыбаки и другие жители сельских районов</w:t>
      </w:r>
    </w:p>
    <w:p w14:paraId="7F94909B" w14:textId="77777777" w:rsidR="00F66CFC" w:rsidRDefault="00F66CFC" w:rsidP="00F66CFC">
      <w:pPr>
        <w:pStyle w:val="SingleTxtG"/>
      </w:pPr>
      <w:r>
        <w:t>83.</w:t>
      </w:r>
      <w:r>
        <w:tab/>
        <w:t>Крестьяне, скотоводы и другие жители сельских районов, включая мелких фермеров и рыбаков-кустарей, в значительной степени страдают от изменения климата, загрязнения окружающей среды и утраты биоразнообразия. Эти экологические кризисы приводят к изменениям в запасах водных ресурсов, растительном покрове и сезонных циклах, являются факторами повышения уровня моря, опустынивания и изменений в землепользовании, а также нарушают процессы ведения сельского хозяйства и рыболовства и обуславливают исчезновение традиционных источников средств к существованию. Экстремальные погодные явления и деградация окружающей среды сокращают биоразнообразие, подрывают традиционные системы семеноводства и скотоводства и истощают водные ресурсы в результате потепления и загрязнения. Все эти виды воздействия в своей совокупности угрожают праву сельских общин на питание, праву на достаточный уровень жизни и праву на культурную самобытность. Государства-участники должны обеспечивать их защиту от этих неблагоприятных последствий.</w:t>
      </w:r>
    </w:p>
    <w:p w14:paraId="017C7563" w14:textId="76A611C0" w:rsidR="00F66CFC" w:rsidRDefault="00F66CFC" w:rsidP="00F66CFC">
      <w:pPr>
        <w:pStyle w:val="SingleTxtG"/>
      </w:pPr>
      <w:r>
        <w:t>84.</w:t>
      </w:r>
      <w:r>
        <w:tab/>
        <w:t>Признавая важнейший вклад крестьян, скотоводов и других жителей сельских районов в устойчивое использование природных ресурсов и экосистем и управление ими, государства-участники должны защищать и поощрять их традиционные знания, инновации и практику</w:t>
      </w:r>
      <w:r w:rsidR="00C334E4">
        <w:rPr>
          <w:rStyle w:val="a8"/>
        </w:rPr>
        <w:footnoteReference w:id="131"/>
      </w:r>
      <w:r>
        <w:t>, а также обеспечивать их права на гарантированное владение землей и другими природными ресурсами, имеющими решающее значение для наличия у них средств к существованию, и справедливый доступ к ним</w:t>
      </w:r>
      <w:r w:rsidR="00C334E4">
        <w:rPr>
          <w:rStyle w:val="a8"/>
        </w:rPr>
        <w:footnoteReference w:id="132"/>
      </w:r>
      <w:r>
        <w:t>. Государства-участники должны также гарантировать их значимое участие в разработке, принятии и мониторинге мер по охране окружающей среды.</w:t>
      </w:r>
    </w:p>
    <w:p w14:paraId="1EAFF9CF" w14:textId="1D17C669" w:rsidR="00F66CFC" w:rsidRDefault="00F66CFC" w:rsidP="00F66CFC">
      <w:pPr>
        <w:pStyle w:val="SingleTxtG"/>
      </w:pPr>
      <w:r>
        <w:t>85.</w:t>
      </w:r>
      <w:r>
        <w:tab/>
        <w:t>Особые меры необходимы для защиты наиболее маргинализированных слоев населения, проживающих в сельских районах, таких как безземельные крестьяне, сельскохозяйственные рабочие, рыбаки-кустари и сельские женщины, которые часто сталкиваются с системной дискриминацией при получении доступа к земле и другим природным ресурсам, включая воду, семена, леса и водные экосистемы</w:t>
      </w:r>
      <w:r w:rsidR="00C334E4">
        <w:rPr>
          <w:rStyle w:val="a8"/>
        </w:rPr>
        <w:footnoteReference w:id="133"/>
      </w:r>
      <w:r>
        <w:t xml:space="preserve">. Скотоводство по-прежнему является устойчивым источником средств к существованию, способным поддерживать биоразнообразие и хрупкие экосистемы засушливых и высокогорных районов, но на нем все сильнее сказываются изменения в растительных зонах, жара и засуха. Политика в области адаптации должна включать </w:t>
      </w:r>
      <w:r>
        <w:lastRenderedPageBreak/>
        <w:t>поддержку скотоводческих общин. Государства-участники должны также уважать и, насколько это возможно, защищать основанные на обычаях права рыболовецких общин на пользование морями, реками, озерами и водными ресурсами, поощряя при этом альтернативные возможности получения дохода</w:t>
      </w:r>
      <w:r w:rsidR="00C334E4">
        <w:rPr>
          <w:rStyle w:val="a8"/>
        </w:rPr>
        <w:footnoteReference w:id="134"/>
      </w:r>
      <w:r>
        <w:t>.</w:t>
      </w:r>
    </w:p>
    <w:p w14:paraId="600F3F6F" w14:textId="77777777" w:rsidR="00F66CFC" w:rsidRDefault="00F66CFC" w:rsidP="00C334E4">
      <w:pPr>
        <w:pStyle w:val="H23G"/>
      </w:pPr>
      <w:r>
        <w:tab/>
      </w:r>
      <w:r>
        <w:tab/>
        <w:t>Лица, перемещенные в контексте изменения климата и стихийных бедствий</w:t>
      </w:r>
    </w:p>
    <w:p w14:paraId="4401645F" w14:textId="1C9C66C0" w:rsidR="00F66CFC" w:rsidRDefault="00F66CFC" w:rsidP="00F66CFC">
      <w:pPr>
        <w:pStyle w:val="SingleTxtG"/>
      </w:pPr>
      <w:r>
        <w:t>86.</w:t>
      </w:r>
      <w:r>
        <w:tab/>
        <w:t>Государства-участники должны предотвращать перемещение населения, вызванное изменением климата, путем укрепления мер по смягчению последствий, адаптации и снижению риска бедствий. В тех случаях, когда перемещение или переселение неизбежны для целей защиты жизни и здоровья, они должны рассматриваться как крайняя мера и производиться в полном соответствии с международными стандартами в области прав человека и на основе конструктивных консультаций с затрагиваемыми общинами</w:t>
      </w:r>
      <w:r w:rsidR="00C334E4">
        <w:rPr>
          <w:rStyle w:val="a8"/>
        </w:rPr>
        <w:footnoteReference w:id="135"/>
      </w:r>
      <w:r>
        <w:t xml:space="preserve">. Перемещенные лица должны иметь равный доступ к закрепленным в Пакте правам, включая права на питание, воду и санитарию, жилище, медицинское обслуживание, образование, средства к существованию и участие в культурной жизни. Минимальные основные обязательства, предусмотренные Пактом, в равной степени относятся к перемещенным лицам. Что касается лиц, переместившихся через границу в связи с изменением климата, то государства-участники должны придерживаться принципа </w:t>
      </w:r>
      <w:proofErr w:type="spellStart"/>
      <w:r w:rsidR="00227A8E">
        <w:t>невысылки</w:t>
      </w:r>
      <w:proofErr w:type="spellEnd"/>
      <w:r>
        <w:t xml:space="preserve"> и предоставлять им правовую защиту</w:t>
      </w:r>
      <w:r w:rsidR="00C334E4">
        <w:rPr>
          <w:rStyle w:val="a8"/>
        </w:rPr>
        <w:footnoteReference w:id="136"/>
      </w:r>
      <w:r>
        <w:t>. В соответствии с принципом общей, но дифференцированной ответственности государства-участники должны сотрудничать на международном уровне в целях мобилизации ресурсов для поддержки перемещенных лиц, в том числе в рамках механизмов компенсации потерь и ущерба, связанных с изменением климата</w:t>
      </w:r>
      <w:r w:rsidR="00C334E4">
        <w:rPr>
          <w:rStyle w:val="a8"/>
        </w:rPr>
        <w:footnoteReference w:id="137"/>
      </w:r>
      <w:r>
        <w:t>.</w:t>
      </w:r>
    </w:p>
    <w:p w14:paraId="047466FC" w14:textId="707EF48F" w:rsidR="00F66CFC" w:rsidRDefault="00C334E4" w:rsidP="00C334E4">
      <w:pPr>
        <w:pStyle w:val="HChG"/>
      </w:pPr>
      <w:r>
        <w:tab/>
      </w:r>
      <w:r w:rsidR="00F66CFC">
        <w:t>VI.</w:t>
      </w:r>
      <w:r w:rsidR="00F66CFC">
        <w:tab/>
      </w:r>
      <w:r w:rsidR="00F66CFC">
        <w:tab/>
        <w:t>Средства правовой защиты и подотчетность</w:t>
      </w:r>
    </w:p>
    <w:p w14:paraId="009F7631" w14:textId="3CF96009" w:rsidR="00F66CFC" w:rsidRDefault="00F66CFC" w:rsidP="00F66CFC">
      <w:pPr>
        <w:pStyle w:val="SingleTxtG"/>
      </w:pPr>
      <w:r>
        <w:t>87.</w:t>
      </w:r>
      <w:r>
        <w:tab/>
        <w:t>Уважение, защита и осуществление закрепленных в Пакте прав требуют от государств-участников принятия мер по предотвращению, смягчению и возмещению ущерба, обусловленного изменением климата, загрязнением окружающей среды и утратой биоразнообразия. Непринятие государством надлежащих мер по защите климатической системы от выбросов парниковых газов может представлять собой международно-противоправное деяние со стороны государства</w:t>
      </w:r>
      <w:r w:rsidR="00C334E4">
        <w:rPr>
          <w:rStyle w:val="a8"/>
        </w:rPr>
        <w:footnoteReference w:id="138"/>
      </w:r>
      <w:r>
        <w:t>. В случае нарушения закрепленных в Пакте прав вследствие деградации окружающей среды государства-участники должны обеспечивать доступ к своевременным, приемлемым по затратам и эффективным судебным и внесудебным средствам правовой защиты</w:t>
      </w:r>
      <w:r w:rsidR="00C334E4">
        <w:rPr>
          <w:rStyle w:val="a8"/>
        </w:rPr>
        <w:footnoteReference w:id="139"/>
      </w:r>
      <w:r>
        <w:t>, предоставляя жертвам доступ к возмещению ущерба, включая реституцию, компенсацию, реабилитацию, сатисфакцию и гарантии неповторения</w:t>
      </w:r>
      <w:r w:rsidR="00C334E4">
        <w:rPr>
          <w:rStyle w:val="a8"/>
        </w:rPr>
        <w:footnoteReference w:id="140"/>
      </w:r>
      <w:r>
        <w:t xml:space="preserve">. Государствам-участникам следует также обеспечивать в тех случаях, когда это необходимо, коллективную процессуальную правоспособность и доступ к правосудию, в частности, для тех, кто действует в интересах будущих поколений, включая представителей молодежи, опекунов ad litem и организации, представляющие общественные интересы, и </w:t>
      </w:r>
      <w:r>
        <w:lastRenderedPageBreak/>
        <w:t>использовать применительно к правилам доказывания гибкие критерии с целью избежания возникновения процессуальных препятствий для жертв</w:t>
      </w:r>
      <w:r w:rsidR="00C334E4">
        <w:rPr>
          <w:rStyle w:val="a8"/>
        </w:rPr>
        <w:footnoteReference w:id="141"/>
      </w:r>
      <w:r>
        <w:t>.</w:t>
      </w:r>
    </w:p>
    <w:p w14:paraId="0085E276" w14:textId="59691602" w:rsidR="00F66CFC" w:rsidRDefault="00F66CFC" w:rsidP="00F66CFC">
      <w:pPr>
        <w:pStyle w:val="SingleTxtG"/>
      </w:pPr>
      <w:r>
        <w:t>88.</w:t>
      </w:r>
      <w:r>
        <w:tab/>
        <w:t>Государства-участники обязаны также принимать меры для предупреждения и устранения последствий нарушения закрепленных в Пакте прав в результате экологического ущерба, наносимого предприятиями и другими негосударственными субъектами, находящимися под их юрисдикцией или контролем, в том числе действующими за рубежом</w:t>
      </w:r>
      <w:r w:rsidR="00C334E4">
        <w:rPr>
          <w:rStyle w:val="a8"/>
        </w:rPr>
        <w:footnoteReference w:id="142"/>
      </w:r>
      <w:r>
        <w:t>. Государства-участники, особенно государства происхождения субъектов, ответственных за причинение ущерба, должны принимать надлежащие меры для обеспечения жертвам трансграничного ущерба доступа к эффективным механизмам возмещения, особенно если такие средства правовой защиты отсутствуют или являются неэффективными в государствах, на территории которых был нанесен ущерб.</w:t>
      </w:r>
    </w:p>
    <w:p w14:paraId="2B4D863C" w14:textId="77777777" w:rsidR="00F66CFC" w:rsidRDefault="00F66CFC" w:rsidP="00F66CFC">
      <w:pPr>
        <w:pStyle w:val="SingleTxtG"/>
      </w:pPr>
      <w:r>
        <w:t>89.</w:t>
      </w:r>
      <w:r>
        <w:tab/>
        <w:t>Государства-участники должны добросовестно сотрудничать в целях устранения негативных последствий деградации окружающей среды, включая экономические и неэкономические потери и ущерб, в рамках своего обязательства по возмещению нанесенного ущерба. Это предусматривает выделение надлежащих ресурсов для работы таких механизмов, как фонд возмещения потерь и ущерба, связанных с климатом, и обеспечение затрагиваемым лицам и общинам справедливого доступа к эффективным средствам правовой защиты и возмещению ущерба.</w:t>
      </w:r>
    </w:p>
    <w:p w14:paraId="34F976A5" w14:textId="58238811" w:rsidR="004A3718" w:rsidRPr="000363F0" w:rsidRDefault="00F66CFC" w:rsidP="00F66CFC">
      <w:pPr>
        <w:pStyle w:val="SingleTxtG"/>
      </w:pPr>
      <w:r>
        <w:t>90.</w:t>
      </w:r>
      <w:r>
        <w:tab/>
        <w:t>Государства-участники должны также обеспечивать, чтобы механизмы привлечения к ответственности, мониторинга и проведения расследований были эффективными с точки зрения предотвращения и устранения любых непреднамеренных негативных последствий законов и политики, связанных с изменением климата, утратой биоразнообразия и загрязнением окружающей среды, особенно для отдельных лиц или групп, находящихся в неблагоприятном или маргинализированном положении. Национальные правозащитные учреждения, омбудсмены и аналогичные органы должны быть наделены полномочиями для принятия мер в связи с нарушениями закрепленных в Пакте прав и контроля за их соблюдением. Процессы мониторинга должны быть инклюзивными и основанными на широком участии, а также подкрепляться качественным анализом и дезагрегированными количественными данными.</w:t>
      </w:r>
    </w:p>
    <w:p w14:paraId="4BE59765" w14:textId="2C2A70F2" w:rsidR="00381C24" w:rsidRPr="00F66CFC" w:rsidRDefault="00F66CFC" w:rsidP="00F66CFC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F66CFC" w:rsidSect="004A3718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C050C9" w14:textId="77777777" w:rsidR="007B6E97" w:rsidRPr="00A312BC" w:rsidRDefault="007B6E97" w:rsidP="00A312BC"/>
  </w:endnote>
  <w:endnote w:type="continuationSeparator" w:id="0">
    <w:p w14:paraId="264161C3" w14:textId="77777777" w:rsidR="007B6E97" w:rsidRPr="00A312BC" w:rsidRDefault="007B6E97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A71165" w14:textId="1050ECEE" w:rsidR="004A3718" w:rsidRPr="004A3718" w:rsidRDefault="004A3718">
    <w:pPr>
      <w:pStyle w:val="aa"/>
    </w:pPr>
    <w:r w:rsidRPr="004A3718">
      <w:rPr>
        <w:b/>
        <w:sz w:val="18"/>
      </w:rPr>
      <w:fldChar w:fldCharType="begin"/>
    </w:r>
    <w:r w:rsidRPr="004A3718">
      <w:rPr>
        <w:b/>
        <w:sz w:val="18"/>
      </w:rPr>
      <w:instrText xml:space="preserve"> PAGE  \* MERGEFORMAT </w:instrText>
    </w:r>
    <w:r w:rsidRPr="004A3718">
      <w:rPr>
        <w:b/>
        <w:sz w:val="18"/>
      </w:rPr>
      <w:fldChar w:fldCharType="separate"/>
    </w:r>
    <w:r w:rsidRPr="004A3718">
      <w:rPr>
        <w:b/>
        <w:noProof/>
        <w:sz w:val="18"/>
      </w:rPr>
      <w:t>2</w:t>
    </w:r>
    <w:r w:rsidRPr="004A3718">
      <w:rPr>
        <w:b/>
        <w:sz w:val="18"/>
      </w:rPr>
      <w:fldChar w:fldCharType="end"/>
    </w:r>
    <w:r>
      <w:rPr>
        <w:b/>
        <w:sz w:val="18"/>
      </w:rPr>
      <w:tab/>
    </w:r>
    <w:r>
      <w:t>GE.25-15926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AFB08D" w14:textId="251CB57C" w:rsidR="004A3718" w:rsidRPr="004A3718" w:rsidRDefault="004A3718" w:rsidP="004A3718">
    <w:pPr>
      <w:pStyle w:val="aa"/>
      <w:tabs>
        <w:tab w:val="clear" w:pos="9639"/>
        <w:tab w:val="right" w:pos="9638"/>
      </w:tabs>
      <w:rPr>
        <w:b/>
        <w:sz w:val="18"/>
      </w:rPr>
    </w:pPr>
    <w:r>
      <w:t>GE.25-15926</w:t>
    </w:r>
    <w:r>
      <w:tab/>
    </w:r>
    <w:r w:rsidRPr="004A3718">
      <w:rPr>
        <w:b/>
        <w:sz w:val="18"/>
      </w:rPr>
      <w:fldChar w:fldCharType="begin"/>
    </w:r>
    <w:r w:rsidRPr="004A3718">
      <w:rPr>
        <w:b/>
        <w:sz w:val="18"/>
      </w:rPr>
      <w:instrText xml:space="preserve"> PAGE  \* MERGEFORMAT </w:instrText>
    </w:r>
    <w:r w:rsidRPr="004A3718">
      <w:rPr>
        <w:b/>
        <w:sz w:val="18"/>
      </w:rPr>
      <w:fldChar w:fldCharType="separate"/>
    </w:r>
    <w:r w:rsidRPr="004A3718">
      <w:rPr>
        <w:b/>
        <w:noProof/>
        <w:sz w:val="18"/>
      </w:rPr>
      <w:t>3</w:t>
    </w:r>
    <w:r w:rsidRPr="004A3718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B4FE6C" w14:textId="0C0176B9" w:rsidR="00042B72" w:rsidRPr="004A3718" w:rsidRDefault="004A3718" w:rsidP="004A3718">
    <w:pPr>
      <w:spacing w:before="120" w:line="240" w:lineRule="auto"/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5C79A9F1" wp14:editId="592BC42D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25-15926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242C126B" wp14:editId="14E8F45E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334E4">
      <w:t xml:space="preserve">  101225  121225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0083EB" w14:textId="77777777" w:rsidR="007B6E97" w:rsidRPr="001075E9" w:rsidRDefault="007B6E97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7A35080C" w14:textId="77777777" w:rsidR="007B6E97" w:rsidRDefault="007B6E97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383044C3" w14:textId="37222C55" w:rsidR="00816950" w:rsidRPr="00816950" w:rsidRDefault="00816950">
      <w:pPr>
        <w:pStyle w:val="af"/>
        <w:rPr>
          <w:sz w:val="20"/>
        </w:rPr>
      </w:pPr>
      <w:r>
        <w:tab/>
      </w:r>
      <w:r w:rsidRPr="00816950">
        <w:rPr>
          <w:rStyle w:val="a8"/>
          <w:sz w:val="20"/>
          <w:vertAlign w:val="baseline"/>
        </w:rPr>
        <w:t>*</w:t>
      </w:r>
      <w:r w:rsidRPr="00816950">
        <w:rPr>
          <w:rStyle w:val="a8"/>
          <w:vertAlign w:val="baseline"/>
        </w:rPr>
        <w:tab/>
      </w:r>
      <w:r>
        <w:t>Принято Комитетом на его семьдесят восьмой сессии (8–26 сентября 2025 года).</w:t>
      </w:r>
    </w:p>
  </w:footnote>
  <w:footnote w:id="2">
    <w:p w14:paraId="4EF1831A" w14:textId="25857B90" w:rsidR="008C52C1" w:rsidRPr="008C52C1" w:rsidRDefault="008C52C1">
      <w:pPr>
        <w:pStyle w:val="af"/>
        <w:rPr>
          <w:lang w:val="en-US"/>
        </w:rPr>
      </w:pPr>
      <w:r>
        <w:tab/>
      </w:r>
      <w:r>
        <w:rPr>
          <w:rStyle w:val="a8"/>
        </w:rPr>
        <w:footnoteRef/>
      </w:r>
      <w:r w:rsidRPr="008C52C1">
        <w:rPr>
          <w:lang w:val="en-US"/>
        </w:rPr>
        <w:tab/>
      </w:r>
      <w:r w:rsidRPr="00FB1FA0">
        <w:rPr>
          <w:lang w:val="en-US"/>
        </w:rPr>
        <w:t xml:space="preserve">Intergovernmental Panel on Climate Change, </w:t>
      </w:r>
      <w:r w:rsidRPr="00FB1FA0">
        <w:rPr>
          <w:i/>
          <w:iCs/>
          <w:lang w:val="en-US"/>
        </w:rPr>
        <w:t>Climate Change 2023: Synthesis Report, Contribution of Working Groups I, II and III to the Sixth Assessment Report of the Intergovernmental Panel on Climate Change</w:t>
      </w:r>
      <w:r w:rsidRPr="00FB1FA0">
        <w:rPr>
          <w:lang w:val="en-US"/>
        </w:rPr>
        <w:t>, pp. 5–7.</w:t>
      </w:r>
    </w:p>
  </w:footnote>
  <w:footnote w:id="3">
    <w:p w14:paraId="5DB1C3EF" w14:textId="39537FA4" w:rsidR="008C52C1" w:rsidRPr="008C52C1" w:rsidRDefault="008C52C1">
      <w:pPr>
        <w:pStyle w:val="af"/>
      </w:pPr>
      <w:r w:rsidRPr="008C52C1">
        <w:rPr>
          <w:lang w:val="en-US"/>
        </w:rPr>
        <w:tab/>
      </w:r>
      <w:r>
        <w:rPr>
          <w:rStyle w:val="a8"/>
        </w:rPr>
        <w:footnoteRef/>
      </w:r>
      <w:r>
        <w:tab/>
        <w:t>Резюме для директивных органов доклада о глобальной оценке биоразнообразия и</w:t>
      </w:r>
      <w:r w:rsidR="00C334E4">
        <w:t> </w:t>
      </w:r>
      <w:r>
        <w:t xml:space="preserve">экосистемных услуг </w:t>
      </w:r>
      <w:proofErr w:type="spellStart"/>
      <w:r>
        <w:t>IPBES</w:t>
      </w:r>
      <w:proofErr w:type="spellEnd"/>
      <w:r>
        <w:t>/7/10/Add.1, с</w:t>
      </w:r>
      <w:r w:rsidR="009268CE">
        <w:t>с</w:t>
      </w:r>
      <w:r>
        <w:t>. 5–8.</w:t>
      </w:r>
    </w:p>
  </w:footnote>
  <w:footnote w:id="4">
    <w:p w14:paraId="070783B1" w14:textId="1A0C861F" w:rsidR="008C52C1" w:rsidRDefault="008C52C1">
      <w:pPr>
        <w:pStyle w:val="af"/>
      </w:pPr>
      <w:r>
        <w:tab/>
      </w:r>
      <w:r>
        <w:rPr>
          <w:rStyle w:val="a8"/>
        </w:rPr>
        <w:footnoteRef/>
      </w:r>
      <w:r>
        <w:tab/>
        <w:t>Резюме для директивных органов тематической оценки по вопросам коренных причин утраты биоразнообразия и определяющих факторов преобразовательных изменений и вариантов реализации Концепции в области биоразнообразия на период до 2050 года, IPBES/11/12/Add.2, с. 5.</w:t>
      </w:r>
    </w:p>
  </w:footnote>
  <w:footnote w:id="5">
    <w:p w14:paraId="2302B097" w14:textId="01AC18D1" w:rsidR="008C52C1" w:rsidRDefault="008C52C1">
      <w:pPr>
        <w:pStyle w:val="af"/>
      </w:pPr>
      <w:r>
        <w:tab/>
      </w:r>
      <w:r>
        <w:rPr>
          <w:rStyle w:val="a8"/>
        </w:rPr>
        <w:footnoteRef/>
      </w:r>
      <w:r>
        <w:tab/>
        <w:t>Там же. с</w:t>
      </w:r>
      <w:r w:rsidR="00DD62BF">
        <w:t>с</w:t>
      </w:r>
      <w:r>
        <w:t>. 6 и 15.</w:t>
      </w:r>
    </w:p>
  </w:footnote>
  <w:footnote w:id="6">
    <w:p w14:paraId="35CC9A29" w14:textId="744ABA83" w:rsidR="008C52C1" w:rsidRDefault="008C52C1">
      <w:pPr>
        <w:pStyle w:val="af"/>
      </w:pPr>
      <w:r>
        <w:tab/>
      </w:r>
      <w:r>
        <w:rPr>
          <w:rStyle w:val="a8"/>
        </w:rPr>
        <w:footnoteRef/>
      </w:r>
      <w:r>
        <w:tab/>
      </w:r>
      <w:hyperlink r:id="rId1" w:history="1">
        <w:r w:rsidRPr="00DD62BF">
          <w:rPr>
            <w:rStyle w:val="a7"/>
          </w:rPr>
          <w:t>A/79/270</w:t>
        </w:r>
      </w:hyperlink>
      <w:r>
        <w:t xml:space="preserve">, </w:t>
      </w:r>
      <w:proofErr w:type="spellStart"/>
      <w:r>
        <w:t>п</w:t>
      </w:r>
      <w:r w:rsidR="00DD62BF">
        <w:t>п</w:t>
      </w:r>
      <w:proofErr w:type="spellEnd"/>
      <w:r w:rsidR="00DD62BF">
        <w:t>.</w:t>
      </w:r>
      <w:r>
        <w:t xml:space="preserve"> 84 и 85.</w:t>
      </w:r>
    </w:p>
  </w:footnote>
  <w:footnote w:id="7">
    <w:p w14:paraId="42E3A817" w14:textId="7A5B5EC0" w:rsidR="008C52C1" w:rsidRDefault="008C52C1">
      <w:pPr>
        <w:pStyle w:val="af"/>
      </w:pPr>
      <w:r>
        <w:tab/>
      </w:r>
      <w:r>
        <w:rPr>
          <w:rStyle w:val="a8"/>
        </w:rPr>
        <w:footnoteRef/>
      </w:r>
      <w:r>
        <w:tab/>
      </w:r>
      <w:hyperlink r:id="rId2" w:history="1">
        <w:r w:rsidRPr="00DD62BF">
          <w:rPr>
            <w:rStyle w:val="a7"/>
          </w:rPr>
          <w:t>A/42/427</w:t>
        </w:r>
      </w:hyperlink>
      <w:r>
        <w:t>, с. 23.</w:t>
      </w:r>
    </w:p>
  </w:footnote>
  <w:footnote w:id="8">
    <w:p w14:paraId="74B15246" w14:textId="1EC36D91" w:rsidR="008C52C1" w:rsidRDefault="008C52C1">
      <w:pPr>
        <w:pStyle w:val="af"/>
      </w:pPr>
      <w:r>
        <w:tab/>
      </w:r>
      <w:r>
        <w:rPr>
          <w:rStyle w:val="a8"/>
        </w:rPr>
        <w:footnoteRef/>
      </w:r>
      <w:r>
        <w:tab/>
      </w:r>
      <w:hyperlink r:id="rId3" w:history="1">
        <w:r w:rsidRPr="00DD62BF">
          <w:rPr>
            <w:rStyle w:val="a7"/>
          </w:rPr>
          <w:t>E/2003/22-E/C.12/2002/13</w:t>
        </w:r>
      </w:hyperlink>
      <w:r>
        <w:t>, приложение VI, п</w:t>
      </w:r>
      <w:r w:rsidR="00DD62BF">
        <w:t>п.</w:t>
      </w:r>
      <w:r>
        <w:t xml:space="preserve"> 2 и 4; и </w:t>
      </w:r>
      <w:hyperlink r:id="rId4" w:history="1">
        <w:r w:rsidRPr="00DD62BF">
          <w:rPr>
            <w:rStyle w:val="a7"/>
          </w:rPr>
          <w:t>E/C.12/2012/1</w:t>
        </w:r>
      </w:hyperlink>
      <w:r>
        <w:t>, п</w:t>
      </w:r>
      <w:r w:rsidR="00DD62BF">
        <w:t>.</w:t>
      </w:r>
      <w:r>
        <w:t xml:space="preserve"> 5.</w:t>
      </w:r>
    </w:p>
  </w:footnote>
  <w:footnote w:id="9">
    <w:p w14:paraId="58F8C6ED" w14:textId="25D0FABB" w:rsidR="008C52C1" w:rsidRDefault="008C52C1">
      <w:pPr>
        <w:pStyle w:val="af"/>
      </w:pPr>
      <w:r>
        <w:tab/>
      </w:r>
      <w:r>
        <w:rPr>
          <w:rStyle w:val="a8"/>
        </w:rPr>
        <w:footnoteRef/>
      </w:r>
      <w:r>
        <w:tab/>
      </w:r>
      <w:hyperlink r:id="rId5" w:history="1">
        <w:r w:rsidRPr="00DD62BF">
          <w:rPr>
            <w:rStyle w:val="a7"/>
          </w:rPr>
          <w:t>E/C.12/2019/1</w:t>
        </w:r>
      </w:hyperlink>
      <w:r>
        <w:t>, п</w:t>
      </w:r>
      <w:r w:rsidR="00DD62BF">
        <w:t>п.</w:t>
      </w:r>
      <w:r>
        <w:t xml:space="preserve"> 4 и 5.</w:t>
      </w:r>
    </w:p>
  </w:footnote>
  <w:footnote w:id="10">
    <w:p w14:paraId="222D9E7B" w14:textId="22739FBE" w:rsidR="008C52C1" w:rsidRDefault="008C52C1">
      <w:pPr>
        <w:pStyle w:val="af"/>
      </w:pPr>
      <w:r>
        <w:tab/>
      </w:r>
      <w:r>
        <w:rPr>
          <w:rStyle w:val="a8"/>
        </w:rPr>
        <w:footnoteRef/>
      </w:r>
      <w:r>
        <w:tab/>
        <w:t>Замечание общего порядка № 14 (2000), п</w:t>
      </w:r>
      <w:r w:rsidR="00DD62BF">
        <w:t>п.</w:t>
      </w:r>
      <w:r>
        <w:t xml:space="preserve"> 11, 15 и 36.</w:t>
      </w:r>
    </w:p>
  </w:footnote>
  <w:footnote w:id="11">
    <w:p w14:paraId="56120EDA" w14:textId="637E7570" w:rsidR="008C52C1" w:rsidRDefault="008C52C1">
      <w:pPr>
        <w:pStyle w:val="af"/>
      </w:pPr>
      <w:r>
        <w:tab/>
      </w:r>
      <w:r>
        <w:rPr>
          <w:rStyle w:val="a8"/>
        </w:rPr>
        <w:footnoteRef/>
      </w:r>
      <w:r>
        <w:tab/>
        <w:t>Замечание общего порядка № 21 (2009), п</w:t>
      </w:r>
      <w:r w:rsidR="00DD62BF">
        <w:t xml:space="preserve">. </w:t>
      </w:r>
      <w:r>
        <w:t>16.</w:t>
      </w:r>
    </w:p>
  </w:footnote>
  <w:footnote w:id="12">
    <w:p w14:paraId="4598B1AE" w14:textId="6085CD63" w:rsidR="008C52C1" w:rsidRDefault="008C52C1">
      <w:pPr>
        <w:pStyle w:val="af"/>
      </w:pPr>
      <w:r>
        <w:tab/>
      </w:r>
      <w:r>
        <w:rPr>
          <w:rStyle w:val="a8"/>
        </w:rPr>
        <w:footnoteRef/>
      </w:r>
      <w:r>
        <w:tab/>
        <w:t xml:space="preserve">Резолюция </w:t>
      </w:r>
      <w:hyperlink r:id="rId6" w:history="1">
        <w:r w:rsidRPr="00DD62BF">
          <w:rPr>
            <w:rStyle w:val="a7"/>
          </w:rPr>
          <w:t>76/300</w:t>
        </w:r>
      </w:hyperlink>
      <w:r>
        <w:t xml:space="preserve"> Генеральной Ассамблеи.</w:t>
      </w:r>
    </w:p>
  </w:footnote>
  <w:footnote w:id="13">
    <w:p w14:paraId="48BA3903" w14:textId="39551AF3" w:rsidR="008C52C1" w:rsidRPr="008C52C1" w:rsidRDefault="008C52C1">
      <w:pPr>
        <w:pStyle w:val="af"/>
        <w:rPr>
          <w:lang w:val="en-US"/>
        </w:rPr>
      </w:pPr>
      <w:r>
        <w:tab/>
      </w:r>
      <w:r>
        <w:rPr>
          <w:rStyle w:val="a8"/>
        </w:rPr>
        <w:footnoteRef/>
      </w:r>
      <w:r>
        <w:tab/>
        <w:t>Шарм-эш-Шейхский план осуществления, решение 1/CMA.4 (2022), преамбула; результаты первого глобального подведения итогов, решение 1/CMA.5 (2023), преамбула;</w:t>
      </w:r>
      <w:r w:rsidR="00DD62BF">
        <w:t xml:space="preserve"> </w:t>
      </w:r>
      <w:r>
        <w:t>Куньминско-Монреальская глобальная рамочная программа в области биоразнообразия, решение 15/4 (2022), приложение, п</w:t>
      </w:r>
      <w:r w:rsidR="00DD62BF">
        <w:t>.</w:t>
      </w:r>
      <w:r>
        <w:t xml:space="preserve"> 7 g); Комитет по правам ребенка, замечание общего порядка № 26 (2023), п</w:t>
      </w:r>
      <w:r w:rsidR="00DD62BF">
        <w:t>.</w:t>
      </w:r>
      <w:r>
        <w:t xml:space="preserve"> 8; и International Court of Justice, </w:t>
      </w:r>
      <w:r>
        <w:rPr>
          <w:i/>
          <w:iCs/>
        </w:rPr>
        <w:t>Obligations of States in respect of Climate Change, Advisory Opinion</w:t>
      </w:r>
      <w:r>
        <w:t xml:space="preserve">, 23 July 2025, para. </w:t>
      </w:r>
      <w:r w:rsidRPr="00FB1FA0">
        <w:rPr>
          <w:lang w:val="en-US"/>
        </w:rPr>
        <w:t>393.</w:t>
      </w:r>
    </w:p>
  </w:footnote>
  <w:footnote w:id="14">
    <w:p w14:paraId="1C4E0E15" w14:textId="7B287B30" w:rsidR="008C52C1" w:rsidRPr="008C52C1" w:rsidRDefault="008C52C1">
      <w:pPr>
        <w:pStyle w:val="af"/>
        <w:rPr>
          <w:lang w:val="en-US"/>
        </w:rPr>
      </w:pPr>
      <w:r w:rsidRPr="008C52C1">
        <w:rPr>
          <w:lang w:val="en-US"/>
        </w:rPr>
        <w:tab/>
      </w:r>
      <w:r>
        <w:rPr>
          <w:rStyle w:val="a8"/>
        </w:rPr>
        <w:footnoteRef/>
      </w:r>
      <w:r w:rsidRPr="008C52C1">
        <w:rPr>
          <w:lang w:val="en-US"/>
        </w:rPr>
        <w:tab/>
      </w:r>
      <w:hyperlink r:id="rId7" w:history="1">
        <w:r w:rsidRPr="00DD62BF">
          <w:rPr>
            <w:rStyle w:val="a7"/>
            <w:lang w:val="en-US"/>
          </w:rPr>
          <w:t>A/</w:t>
        </w:r>
        <w:proofErr w:type="spellStart"/>
        <w:r w:rsidRPr="00DD62BF">
          <w:rPr>
            <w:rStyle w:val="a7"/>
            <w:lang w:val="en-US"/>
          </w:rPr>
          <w:t>HRC</w:t>
        </w:r>
        <w:proofErr w:type="spellEnd"/>
        <w:r w:rsidRPr="00DD62BF">
          <w:rPr>
            <w:rStyle w:val="a7"/>
            <w:lang w:val="en-US"/>
          </w:rPr>
          <w:t>/57/30</w:t>
        </w:r>
      </w:hyperlink>
      <w:r w:rsidRPr="00FB1FA0">
        <w:rPr>
          <w:lang w:val="en-US"/>
        </w:rPr>
        <w:t xml:space="preserve">, </w:t>
      </w:r>
      <w:r>
        <w:t>п</w:t>
      </w:r>
      <w:r w:rsidR="00DD62BF" w:rsidRPr="00DD62BF">
        <w:rPr>
          <w:lang w:val="en-US"/>
        </w:rPr>
        <w:t>.</w:t>
      </w:r>
      <w:r w:rsidRPr="00FB1FA0">
        <w:rPr>
          <w:lang w:val="en-US"/>
        </w:rPr>
        <w:t xml:space="preserve"> 6.</w:t>
      </w:r>
    </w:p>
  </w:footnote>
  <w:footnote w:id="15">
    <w:p w14:paraId="7220B978" w14:textId="174A457C" w:rsidR="008C52C1" w:rsidRPr="008C52C1" w:rsidRDefault="008C52C1">
      <w:pPr>
        <w:pStyle w:val="af"/>
        <w:rPr>
          <w:lang w:val="en-US"/>
        </w:rPr>
      </w:pPr>
      <w:r w:rsidRPr="008C52C1">
        <w:rPr>
          <w:lang w:val="en-US"/>
        </w:rPr>
        <w:tab/>
      </w:r>
      <w:r>
        <w:rPr>
          <w:rStyle w:val="a8"/>
        </w:rPr>
        <w:footnoteRef/>
      </w:r>
      <w:r w:rsidRPr="008C52C1">
        <w:rPr>
          <w:lang w:val="en-US"/>
        </w:rPr>
        <w:tab/>
      </w:r>
      <w:hyperlink r:id="rId8" w:history="1">
        <w:r w:rsidRPr="00DD62BF">
          <w:rPr>
            <w:rStyle w:val="a7"/>
            <w:lang w:val="en-US"/>
          </w:rPr>
          <w:t>A/</w:t>
        </w:r>
        <w:proofErr w:type="spellStart"/>
        <w:r w:rsidRPr="00DD62BF">
          <w:rPr>
            <w:rStyle w:val="a7"/>
            <w:lang w:val="en-US"/>
          </w:rPr>
          <w:t>HRC</w:t>
        </w:r>
        <w:proofErr w:type="spellEnd"/>
        <w:r w:rsidRPr="00DD62BF">
          <w:rPr>
            <w:rStyle w:val="a7"/>
            <w:lang w:val="en-US"/>
          </w:rPr>
          <w:t>/54/27</w:t>
        </w:r>
      </w:hyperlink>
      <w:r w:rsidRPr="00FB1FA0">
        <w:rPr>
          <w:lang w:val="en-US"/>
        </w:rPr>
        <w:t xml:space="preserve">, </w:t>
      </w:r>
      <w:r>
        <w:t>п</w:t>
      </w:r>
      <w:r w:rsidR="00DD62BF">
        <w:t>п</w:t>
      </w:r>
      <w:r w:rsidR="00DD62BF" w:rsidRPr="00DD62BF">
        <w:rPr>
          <w:lang w:val="en-US"/>
        </w:rPr>
        <w:t>.</w:t>
      </w:r>
      <w:r w:rsidRPr="00FB1FA0">
        <w:rPr>
          <w:lang w:val="en-US"/>
        </w:rPr>
        <w:t xml:space="preserve"> 50–52; </w:t>
      </w:r>
      <w:r>
        <w:t>и</w:t>
      </w:r>
      <w:r w:rsidRPr="00FB1FA0">
        <w:rPr>
          <w:lang w:val="en-US"/>
        </w:rPr>
        <w:t xml:space="preserve"> </w:t>
      </w:r>
      <w:hyperlink r:id="rId9" w:history="1">
        <w:r w:rsidRPr="00DD62BF">
          <w:rPr>
            <w:rStyle w:val="a7"/>
            <w:lang w:val="en-US"/>
          </w:rPr>
          <w:t>A/</w:t>
        </w:r>
        <w:proofErr w:type="spellStart"/>
        <w:r w:rsidRPr="00DD62BF">
          <w:rPr>
            <w:rStyle w:val="a7"/>
            <w:lang w:val="en-US"/>
          </w:rPr>
          <w:t>HRC</w:t>
        </w:r>
        <w:proofErr w:type="spellEnd"/>
        <w:r w:rsidRPr="00DD62BF">
          <w:rPr>
            <w:rStyle w:val="a7"/>
            <w:lang w:val="en-US"/>
          </w:rPr>
          <w:t>/44/44</w:t>
        </w:r>
      </w:hyperlink>
      <w:r w:rsidRPr="00FB1FA0">
        <w:rPr>
          <w:lang w:val="en-US"/>
        </w:rPr>
        <w:t xml:space="preserve">, </w:t>
      </w:r>
      <w:r>
        <w:t>п</w:t>
      </w:r>
      <w:r w:rsidR="00DD62BF">
        <w:t>п</w:t>
      </w:r>
      <w:r w:rsidR="00DD62BF" w:rsidRPr="00DD62BF">
        <w:rPr>
          <w:lang w:val="en-US"/>
        </w:rPr>
        <w:t>.</w:t>
      </w:r>
      <w:r w:rsidRPr="00FB1FA0">
        <w:rPr>
          <w:lang w:val="en-US"/>
        </w:rPr>
        <w:t xml:space="preserve"> 29–32.</w:t>
      </w:r>
    </w:p>
  </w:footnote>
  <w:footnote w:id="16">
    <w:p w14:paraId="683DB7D8" w14:textId="3449B186" w:rsidR="008C52C1" w:rsidRDefault="008C52C1">
      <w:pPr>
        <w:pStyle w:val="af"/>
      </w:pPr>
      <w:r w:rsidRPr="008C52C1">
        <w:rPr>
          <w:lang w:val="en-US"/>
        </w:rPr>
        <w:tab/>
      </w:r>
      <w:r>
        <w:rPr>
          <w:rStyle w:val="a8"/>
        </w:rPr>
        <w:footnoteRef/>
      </w:r>
      <w:r w:rsidRPr="008C52C1">
        <w:rPr>
          <w:lang w:val="en-US"/>
        </w:rPr>
        <w:tab/>
      </w:r>
      <w:r>
        <w:t>Комитет</w:t>
      </w:r>
      <w:r w:rsidRPr="00FB1FA0">
        <w:rPr>
          <w:lang w:val="en-US"/>
        </w:rPr>
        <w:t xml:space="preserve"> </w:t>
      </w:r>
      <w:r>
        <w:t>по</w:t>
      </w:r>
      <w:r w:rsidRPr="00FB1FA0">
        <w:rPr>
          <w:lang w:val="en-US"/>
        </w:rPr>
        <w:t xml:space="preserve"> </w:t>
      </w:r>
      <w:r>
        <w:t>правам</w:t>
      </w:r>
      <w:r w:rsidRPr="00FB1FA0">
        <w:rPr>
          <w:lang w:val="en-US"/>
        </w:rPr>
        <w:t xml:space="preserve"> </w:t>
      </w:r>
      <w:r>
        <w:t>человека</w:t>
      </w:r>
      <w:r w:rsidRPr="00FB1FA0">
        <w:rPr>
          <w:lang w:val="en-US"/>
        </w:rPr>
        <w:t xml:space="preserve">, </w:t>
      </w:r>
      <w:r>
        <w:t>замечание</w:t>
      </w:r>
      <w:r w:rsidRPr="00FB1FA0">
        <w:rPr>
          <w:lang w:val="en-US"/>
        </w:rPr>
        <w:t xml:space="preserve"> </w:t>
      </w:r>
      <w:r>
        <w:t>общего</w:t>
      </w:r>
      <w:r w:rsidRPr="00FB1FA0">
        <w:rPr>
          <w:lang w:val="en-US"/>
        </w:rPr>
        <w:t xml:space="preserve"> </w:t>
      </w:r>
      <w:r>
        <w:t>порядка</w:t>
      </w:r>
      <w:r w:rsidRPr="00FB1FA0">
        <w:rPr>
          <w:lang w:val="en-US"/>
        </w:rPr>
        <w:t xml:space="preserve"> № 36 (2018), </w:t>
      </w:r>
      <w:r>
        <w:t>п</w:t>
      </w:r>
      <w:r w:rsidR="00DD62BF" w:rsidRPr="00DD62BF">
        <w:rPr>
          <w:lang w:val="en-US"/>
        </w:rPr>
        <w:t>.</w:t>
      </w:r>
      <w:r w:rsidRPr="00FB1FA0">
        <w:rPr>
          <w:lang w:val="en-US"/>
        </w:rPr>
        <w:t xml:space="preserve"> 62; Inter-American Court of Human Rights, advisory opinion OC-23/17 of 15 November 2017 on the environment and human rights, para. 44; </w:t>
      </w:r>
      <w:r>
        <w:t>и</w:t>
      </w:r>
      <w:r w:rsidRPr="00FB1FA0">
        <w:rPr>
          <w:lang w:val="en-US"/>
        </w:rPr>
        <w:t xml:space="preserve"> European Court of Human Rights, </w:t>
      </w:r>
      <w:r w:rsidRPr="00FB1FA0">
        <w:rPr>
          <w:i/>
          <w:iCs/>
          <w:lang w:val="en-US"/>
        </w:rPr>
        <w:t>Verein Klimaseniorinnen Schweiz et al. v. Switzerland</w:t>
      </w:r>
      <w:r w:rsidRPr="00FB1FA0">
        <w:rPr>
          <w:lang w:val="en-US"/>
        </w:rPr>
        <w:t xml:space="preserve"> (application No. 53600/20), judgment of 9 April 2024, para. </w:t>
      </w:r>
      <w:r>
        <w:t>434.</w:t>
      </w:r>
    </w:p>
  </w:footnote>
  <w:footnote w:id="17">
    <w:p w14:paraId="7A539642" w14:textId="61A8A143" w:rsidR="008C52C1" w:rsidRDefault="008C52C1">
      <w:pPr>
        <w:pStyle w:val="af"/>
      </w:pPr>
      <w:r>
        <w:tab/>
      </w:r>
      <w:r>
        <w:rPr>
          <w:rStyle w:val="a8"/>
        </w:rPr>
        <w:footnoteRef/>
      </w:r>
      <w:r>
        <w:tab/>
        <w:t>Декларация о будущих поколениях; Венская декларация и Программа действий, п</w:t>
      </w:r>
      <w:r w:rsidR="00DD62BF">
        <w:t>.</w:t>
      </w:r>
      <w:r>
        <w:t xml:space="preserve"> 11; и</w:t>
      </w:r>
      <w:r w:rsidR="00DD62BF">
        <w:t> </w:t>
      </w:r>
      <w:r>
        <w:t>Декларация о праве на развитие.</w:t>
      </w:r>
    </w:p>
  </w:footnote>
  <w:footnote w:id="18">
    <w:p w14:paraId="78649DC7" w14:textId="2731BFD7" w:rsidR="008C52C1" w:rsidRDefault="008C52C1">
      <w:pPr>
        <w:pStyle w:val="af"/>
      </w:pPr>
      <w:r>
        <w:tab/>
      </w:r>
      <w:r>
        <w:rPr>
          <w:rStyle w:val="a8"/>
        </w:rPr>
        <w:footnoteRef/>
      </w:r>
      <w:r>
        <w:tab/>
        <w:t>Рио-де-Жанейрская декларация, принцип 3; Парижское соглашение, преамбула; и Конвенция о</w:t>
      </w:r>
      <w:r w:rsidR="00DD62BF">
        <w:t> </w:t>
      </w:r>
      <w:r>
        <w:t>биологическом разнообразии, преамбула и статья 2.</w:t>
      </w:r>
    </w:p>
  </w:footnote>
  <w:footnote w:id="19">
    <w:p w14:paraId="54EADB0D" w14:textId="06EB971C" w:rsidR="008C52C1" w:rsidRDefault="008C52C1">
      <w:pPr>
        <w:pStyle w:val="af"/>
      </w:pPr>
      <w:r>
        <w:tab/>
      </w:r>
      <w:r>
        <w:rPr>
          <w:rStyle w:val="a8"/>
        </w:rPr>
        <w:footnoteRef/>
      </w:r>
      <w:r>
        <w:tab/>
      </w:r>
      <w:r w:rsidR="00D5290E">
        <w:t>Рио-де-</w:t>
      </w:r>
      <w:proofErr w:type="spellStart"/>
      <w:r w:rsidR="00D5290E">
        <w:t>Жанейрская</w:t>
      </w:r>
      <w:proofErr w:type="spellEnd"/>
      <w:r w:rsidR="00D5290E">
        <w:t xml:space="preserve"> декларация, принцип 7; Рамочная конвенция Организации Объединенных Наций об изменении климата, пункт 1 статьи 3; и Парижское соглашение, пункт 2 статьи 2.</w:t>
      </w:r>
    </w:p>
  </w:footnote>
  <w:footnote w:id="20">
    <w:p w14:paraId="427D032B" w14:textId="1710B81C" w:rsidR="008C52C1" w:rsidRDefault="008C52C1">
      <w:pPr>
        <w:pStyle w:val="af"/>
      </w:pPr>
      <w:r>
        <w:tab/>
      </w:r>
      <w:r>
        <w:rPr>
          <w:rStyle w:val="a8"/>
        </w:rPr>
        <w:footnoteRef/>
      </w:r>
      <w:r>
        <w:tab/>
      </w:r>
      <w:r w:rsidR="00D5290E">
        <w:t>Рио-де-</w:t>
      </w:r>
      <w:proofErr w:type="spellStart"/>
      <w:r w:rsidR="00D5290E">
        <w:t>Жанейрская</w:t>
      </w:r>
      <w:proofErr w:type="spellEnd"/>
      <w:r w:rsidR="00D5290E">
        <w:t xml:space="preserve"> декларация, принцип 15; Рамочная конвенция Организации Объединенных Наций об изменении климата, пункт 3 статьи 3; и Конвенция о биологическом разнообразии, преамбула.</w:t>
      </w:r>
    </w:p>
  </w:footnote>
  <w:footnote w:id="21">
    <w:p w14:paraId="43292786" w14:textId="35F8F718" w:rsidR="008C52C1" w:rsidRPr="00DD62BF" w:rsidRDefault="008C52C1">
      <w:pPr>
        <w:pStyle w:val="af"/>
        <w:rPr>
          <w:lang w:val="en-US"/>
        </w:rPr>
      </w:pPr>
      <w:r>
        <w:tab/>
      </w:r>
      <w:r>
        <w:rPr>
          <w:rStyle w:val="a8"/>
        </w:rPr>
        <w:footnoteRef/>
      </w:r>
      <w:r w:rsidRPr="008C52C1">
        <w:rPr>
          <w:lang w:val="en-US"/>
        </w:rPr>
        <w:tab/>
      </w:r>
      <w:r w:rsidRPr="00FB1FA0">
        <w:rPr>
          <w:lang w:val="en-US"/>
        </w:rPr>
        <w:t xml:space="preserve">Inter-American Court of Human Rights, </w:t>
      </w:r>
      <w:r w:rsidRPr="00FB1FA0">
        <w:rPr>
          <w:i/>
          <w:iCs/>
          <w:lang w:val="en-US"/>
        </w:rPr>
        <w:t>Inhabitants of La Oroya v. Peru</w:t>
      </w:r>
      <w:r w:rsidRPr="00FB1FA0">
        <w:rPr>
          <w:lang w:val="en-US"/>
        </w:rPr>
        <w:t>, judgment of 27 November 2023, para. 126; International Tribunal for the Law of the Sea, advisory opinion of 21 May 2024 on</w:t>
      </w:r>
      <w:r w:rsidR="00DD62BF" w:rsidRPr="00DD62BF">
        <w:rPr>
          <w:lang w:val="en-US"/>
        </w:rPr>
        <w:t> </w:t>
      </w:r>
      <w:r w:rsidRPr="00FB1FA0">
        <w:rPr>
          <w:lang w:val="en-US"/>
        </w:rPr>
        <w:t xml:space="preserve">climate change and international law, para. 239; Inter-American Court of Human Rights, advisory opinion OC-32/25 of 29 May 2025 on the climate emergency and human rights, paras. 232–235; </w:t>
      </w:r>
      <w:r>
        <w:t>и</w:t>
      </w:r>
      <w:r w:rsidR="00DD62BF" w:rsidRPr="00DD62BF">
        <w:rPr>
          <w:lang w:val="en-US"/>
        </w:rPr>
        <w:t> </w:t>
      </w:r>
      <w:r w:rsidRPr="00FB1FA0">
        <w:rPr>
          <w:lang w:val="en-US"/>
        </w:rPr>
        <w:t xml:space="preserve">International Court of Justice, </w:t>
      </w:r>
      <w:r w:rsidRPr="00FB1FA0">
        <w:rPr>
          <w:i/>
          <w:iCs/>
          <w:lang w:val="en-US"/>
        </w:rPr>
        <w:t>Obligations of States in respect of Climate Change, Advisory Opinion</w:t>
      </w:r>
      <w:r w:rsidRPr="00FB1FA0">
        <w:rPr>
          <w:lang w:val="en-US"/>
        </w:rPr>
        <w:t>, paras. 280–300.</w:t>
      </w:r>
    </w:p>
  </w:footnote>
  <w:footnote w:id="22">
    <w:p w14:paraId="19B0B5DE" w14:textId="5528034C" w:rsidR="008C52C1" w:rsidRDefault="008C52C1">
      <w:pPr>
        <w:pStyle w:val="af"/>
      </w:pPr>
      <w:r w:rsidRPr="00DD62BF">
        <w:rPr>
          <w:lang w:val="en-US"/>
        </w:rPr>
        <w:tab/>
      </w:r>
      <w:r>
        <w:rPr>
          <w:rStyle w:val="a8"/>
        </w:rPr>
        <w:footnoteRef/>
      </w:r>
      <w:r w:rsidRPr="008C52C1">
        <w:rPr>
          <w:lang w:val="en-US"/>
        </w:rPr>
        <w:tab/>
      </w:r>
      <w:r>
        <w:t>Замечание</w:t>
      </w:r>
      <w:r w:rsidRPr="00FB1FA0">
        <w:rPr>
          <w:lang w:val="en-US"/>
        </w:rPr>
        <w:t xml:space="preserve"> </w:t>
      </w:r>
      <w:r>
        <w:t>общего</w:t>
      </w:r>
      <w:r w:rsidRPr="00FB1FA0">
        <w:rPr>
          <w:lang w:val="en-US"/>
        </w:rPr>
        <w:t xml:space="preserve"> </w:t>
      </w:r>
      <w:r>
        <w:t>порядка</w:t>
      </w:r>
      <w:r w:rsidRPr="00FB1FA0">
        <w:rPr>
          <w:lang w:val="en-US"/>
        </w:rPr>
        <w:t xml:space="preserve"> № 25 (2020), </w:t>
      </w:r>
      <w:r>
        <w:t>п</w:t>
      </w:r>
      <w:r w:rsidR="00DD62BF" w:rsidRPr="00DD62BF">
        <w:rPr>
          <w:lang w:val="en-US"/>
        </w:rPr>
        <w:t>.</w:t>
      </w:r>
      <w:r w:rsidRPr="00FB1FA0">
        <w:rPr>
          <w:lang w:val="en-US"/>
        </w:rPr>
        <w:t xml:space="preserve"> 56; </w:t>
      </w:r>
      <w:r>
        <w:t>и</w:t>
      </w:r>
      <w:r w:rsidRPr="00FB1FA0">
        <w:rPr>
          <w:lang w:val="en-US"/>
        </w:rPr>
        <w:t xml:space="preserve"> Inter-American Court of Human Rights, advisory opinion OC-23/17, para. </w:t>
      </w:r>
      <w:r>
        <w:t>242.</w:t>
      </w:r>
    </w:p>
  </w:footnote>
  <w:footnote w:id="23">
    <w:p w14:paraId="5AE662B4" w14:textId="391CA702" w:rsidR="008C52C1" w:rsidRDefault="008C52C1">
      <w:pPr>
        <w:pStyle w:val="af"/>
      </w:pPr>
      <w:r>
        <w:tab/>
      </w:r>
      <w:r>
        <w:rPr>
          <w:rStyle w:val="a8"/>
        </w:rPr>
        <w:footnoteRef/>
      </w:r>
      <w:r>
        <w:tab/>
        <w:t>Замечания общего порядка № 26 (2022), п</w:t>
      </w:r>
      <w:r w:rsidR="00DD62BF">
        <w:t>.</w:t>
      </w:r>
      <w:r>
        <w:t xml:space="preserve"> 38; и № 15 (2002), п</w:t>
      </w:r>
      <w:r w:rsidR="00DD62BF">
        <w:t>.</w:t>
      </w:r>
      <w:r>
        <w:t xml:space="preserve"> 28.</w:t>
      </w:r>
    </w:p>
  </w:footnote>
  <w:footnote w:id="24">
    <w:p w14:paraId="674C4E61" w14:textId="798882A8" w:rsidR="008C52C1" w:rsidRDefault="008C52C1">
      <w:pPr>
        <w:pStyle w:val="af"/>
      </w:pPr>
      <w:r>
        <w:tab/>
      </w:r>
      <w:r>
        <w:rPr>
          <w:rStyle w:val="a8"/>
        </w:rPr>
        <w:footnoteRef/>
      </w:r>
      <w:r>
        <w:tab/>
      </w:r>
      <w:hyperlink r:id="rId10" w:history="1">
        <w:r w:rsidRPr="00DD62BF">
          <w:rPr>
            <w:rStyle w:val="a7"/>
          </w:rPr>
          <w:t>A/</w:t>
        </w:r>
        <w:proofErr w:type="spellStart"/>
        <w:r w:rsidRPr="00DD62BF">
          <w:rPr>
            <w:rStyle w:val="a7"/>
          </w:rPr>
          <w:t>HRC</w:t>
        </w:r>
        <w:proofErr w:type="spellEnd"/>
        <w:r w:rsidRPr="00DD62BF">
          <w:rPr>
            <w:rStyle w:val="a7"/>
          </w:rPr>
          <w:t>/17/31</w:t>
        </w:r>
      </w:hyperlink>
      <w:r>
        <w:t>, приложение, п</w:t>
      </w:r>
      <w:r w:rsidR="00DD62BF">
        <w:t>.</w:t>
      </w:r>
      <w:r>
        <w:t xml:space="preserve"> 25.</w:t>
      </w:r>
    </w:p>
  </w:footnote>
  <w:footnote w:id="25">
    <w:p w14:paraId="3BD75432" w14:textId="48690CDF" w:rsidR="008C52C1" w:rsidRDefault="008C52C1">
      <w:pPr>
        <w:pStyle w:val="af"/>
      </w:pPr>
      <w:r>
        <w:tab/>
      </w:r>
      <w:r>
        <w:rPr>
          <w:rStyle w:val="a8"/>
        </w:rPr>
        <w:footnoteRef/>
      </w:r>
      <w:r>
        <w:tab/>
        <w:t>Замечания общего порядка № 24 (2017), п</w:t>
      </w:r>
      <w:r w:rsidR="00DD62BF">
        <w:t>.</w:t>
      </w:r>
      <w:r>
        <w:t xml:space="preserve"> 16; и № 26 (2022), п</w:t>
      </w:r>
      <w:r w:rsidR="00DD62BF">
        <w:t>.</w:t>
      </w:r>
      <w:r>
        <w:t xml:space="preserve"> 30.</w:t>
      </w:r>
    </w:p>
  </w:footnote>
  <w:footnote w:id="26">
    <w:p w14:paraId="3017E0D8" w14:textId="792CC2F9" w:rsidR="008C52C1" w:rsidRDefault="008C52C1">
      <w:pPr>
        <w:pStyle w:val="af"/>
      </w:pPr>
      <w:r>
        <w:tab/>
      </w:r>
      <w:r>
        <w:rPr>
          <w:rStyle w:val="a8"/>
        </w:rPr>
        <w:footnoteRef/>
      </w:r>
      <w:r>
        <w:tab/>
        <w:t>Замечание общего порядка № 25 (2020), п</w:t>
      </w:r>
      <w:r w:rsidR="00DD62BF">
        <w:t>п.</w:t>
      </w:r>
      <w:r>
        <w:t xml:space="preserve"> 53–56; Рио-де-Жанейрская декларация, принцип</w:t>
      </w:r>
      <w:r w:rsidR="00DD62BF">
        <w:t> </w:t>
      </w:r>
      <w:r>
        <w:t>10; Орхусская конвенция; и Соглашение Эскаcу.</w:t>
      </w:r>
    </w:p>
  </w:footnote>
  <w:footnote w:id="27">
    <w:p w14:paraId="268F7095" w14:textId="1CE7096E" w:rsidR="008C52C1" w:rsidRDefault="008C52C1">
      <w:pPr>
        <w:pStyle w:val="af"/>
      </w:pPr>
      <w:r>
        <w:tab/>
      </w:r>
      <w:r>
        <w:rPr>
          <w:rStyle w:val="a8"/>
        </w:rPr>
        <w:footnoteRef/>
      </w:r>
      <w:r>
        <w:tab/>
      </w:r>
      <w:r>
        <w:rPr>
          <w:i/>
          <w:iCs/>
        </w:rPr>
        <w:t xml:space="preserve">Ж.Т. и др. против Финляндии </w:t>
      </w:r>
      <w:r>
        <w:t>(</w:t>
      </w:r>
      <w:hyperlink r:id="rId11" w:history="1">
        <w:r w:rsidRPr="00DD62BF">
          <w:rPr>
            <w:rStyle w:val="a7"/>
          </w:rPr>
          <w:t>E/C.12/76/D/251/2022-E/C.12/76/D/289/2022</w:t>
        </w:r>
      </w:hyperlink>
      <w:r>
        <w:t>), п</w:t>
      </w:r>
      <w:r w:rsidR="00DD62BF">
        <w:t>.</w:t>
      </w:r>
      <w:r>
        <w:t xml:space="preserve"> 14.6; и</w:t>
      </w:r>
      <w:r w:rsidR="00DD62BF">
        <w:t> </w:t>
      </w:r>
      <w:r>
        <w:t>замечание общего порядка № 24 (2017), п</w:t>
      </w:r>
      <w:r w:rsidR="00DD62BF">
        <w:t>п.</w:t>
      </w:r>
      <w:r>
        <w:t xml:space="preserve"> 12 и 17.</w:t>
      </w:r>
    </w:p>
  </w:footnote>
  <w:footnote w:id="28">
    <w:p w14:paraId="477038EF" w14:textId="5DAB72C5" w:rsidR="008C52C1" w:rsidRDefault="008C52C1">
      <w:pPr>
        <w:pStyle w:val="af"/>
      </w:pPr>
      <w:r>
        <w:tab/>
      </w:r>
      <w:r>
        <w:rPr>
          <w:rStyle w:val="a8"/>
        </w:rPr>
        <w:footnoteRef/>
      </w:r>
      <w:r>
        <w:tab/>
        <w:t>Замечания общего порядка № 15 (2002), п</w:t>
      </w:r>
      <w:r w:rsidR="00DD62BF">
        <w:t>.</w:t>
      </w:r>
      <w:r>
        <w:t xml:space="preserve"> 59; и № 18 (2005), п</w:t>
      </w:r>
      <w:r w:rsidR="00DD62BF">
        <w:t>.</w:t>
      </w:r>
      <w:r>
        <w:t xml:space="preserve"> 51.</w:t>
      </w:r>
    </w:p>
  </w:footnote>
  <w:footnote w:id="29">
    <w:p w14:paraId="3EE18FA0" w14:textId="70320A20" w:rsidR="008C52C1" w:rsidRDefault="008C52C1">
      <w:pPr>
        <w:pStyle w:val="af"/>
      </w:pPr>
      <w:r>
        <w:tab/>
      </w:r>
      <w:r>
        <w:rPr>
          <w:rStyle w:val="a8"/>
        </w:rPr>
        <w:footnoteRef/>
      </w:r>
      <w:r>
        <w:tab/>
        <w:t xml:space="preserve">Резолюция </w:t>
      </w:r>
      <w:hyperlink r:id="rId12" w:history="1">
        <w:r w:rsidRPr="00DD62BF">
          <w:rPr>
            <w:rStyle w:val="a7"/>
          </w:rPr>
          <w:t>78/216</w:t>
        </w:r>
      </w:hyperlink>
      <w:r>
        <w:t xml:space="preserve"> Генеральной Ассамблеи, </w:t>
      </w:r>
      <w:proofErr w:type="spellStart"/>
      <w:r>
        <w:t>п</w:t>
      </w:r>
      <w:r w:rsidR="00DD62BF">
        <w:t>п</w:t>
      </w:r>
      <w:proofErr w:type="spellEnd"/>
      <w:r w:rsidR="00DD62BF">
        <w:t>.</w:t>
      </w:r>
      <w:r>
        <w:t xml:space="preserve"> 18, 21 и 27.</w:t>
      </w:r>
    </w:p>
  </w:footnote>
  <w:footnote w:id="30">
    <w:p w14:paraId="03E06B81" w14:textId="10CACE49" w:rsidR="008C52C1" w:rsidRDefault="008C52C1">
      <w:pPr>
        <w:pStyle w:val="af"/>
      </w:pPr>
      <w:r>
        <w:tab/>
      </w:r>
      <w:r>
        <w:rPr>
          <w:rStyle w:val="a8"/>
        </w:rPr>
        <w:footnoteRef/>
      </w:r>
      <w:r w:rsidRPr="008C52C1">
        <w:rPr>
          <w:lang w:val="en-US"/>
        </w:rPr>
        <w:tab/>
      </w:r>
      <w:r w:rsidRPr="00FB1FA0">
        <w:rPr>
          <w:i/>
          <w:iCs/>
          <w:lang w:val="en-US"/>
        </w:rPr>
        <w:t>Pulp Mills on the River Uruguay (Argentina v. Uruguay), Judgment, I.C.J. Reports 2010</w:t>
      </w:r>
      <w:r w:rsidRPr="00FB1FA0">
        <w:rPr>
          <w:lang w:val="en-US"/>
        </w:rPr>
        <w:t xml:space="preserve">, para. 204; </w:t>
      </w:r>
      <w:r>
        <w:t>и</w:t>
      </w:r>
      <w:r w:rsidR="00DD62BF" w:rsidRPr="00DD62BF">
        <w:rPr>
          <w:lang w:val="en-US"/>
        </w:rPr>
        <w:t> </w:t>
      </w:r>
      <w:r w:rsidRPr="00FB1FA0">
        <w:rPr>
          <w:lang w:val="en-US"/>
        </w:rPr>
        <w:t xml:space="preserve">Inter-American Court of Human Rights, advisory opinion OC-23/17, para. </w:t>
      </w:r>
      <w:r>
        <w:t>160.</w:t>
      </w:r>
    </w:p>
  </w:footnote>
  <w:footnote w:id="31">
    <w:p w14:paraId="71D0FCC0" w14:textId="134C7AC8" w:rsidR="008C52C1" w:rsidRDefault="008C52C1">
      <w:pPr>
        <w:pStyle w:val="af"/>
      </w:pPr>
      <w:r>
        <w:tab/>
      </w:r>
      <w:r>
        <w:rPr>
          <w:rStyle w:val="a8"/>
        </w:rPr>
        <w:footnoteRef/>
      </w:r>
      <w:r>
        <w:tab/>
      </w:r>
      <w:r>
        <w:rPr>
          <w:i/>
          <w:iCs/>
        </w:rPr>
        <w:t>Ж.Т. и др. против Финляндии</w:t>
      </w:r>
      <w:r>
        <w:t>, п</w:t>
      </w:r>
      <w:r w:rsidR="00DD62BF">
        <w:t>.</w:t>
      </w:r>
      <w:r>
        <w:t xml:space="preserve"> 14.6.</w:t>
      </w:r>
    </w:p>
  </w:footnote>
  <w:footnote w:id="32">
    <w:p w14:paraId="29C86153" w14:textId="49DE7B8B" w:rsidR="008C52C1" w:rsidRDefault="008C52C1">
      <w:pPr>
        <w:pStyle w:val="af"/>
      </w:pPr>
      <w:r>
        <w:tab/>
      </w:r>
      <w:r>
        <w:rPr>
          <w:rStyle w:val="a8"/>
        </w:rPr>
        <w:footnoteRef/>
      </w:r>
      <w:r>
        <w:tab/>
        <w:t xml:space="preserve">См. URL: </w:t>
      </w:r>
      <w:hyperlink r:id="rId13" w:history="1">
        <w:r w:rsidRPr="008C52C1">
          <w:rPr>
            <w:rStyle w:val="a7"/>
          </w:rPr>
          <w:t>https://www.ohchr.org/sites/default/files/documents/hrbodies/crpd/statements/2024-11-19-stm-disability-Inclusion-Climate-Action.docx</w:t>
        </w:r>
      </w:hyperlink>
      <w:r>
        <w:t>.</w:t>
      </w:r>
    </w:p>
  </w:footnote>
  <w:footnote w:id="33">
    <w:p w14:paraId="4D3FBE97" w14:textId="22E95ED6" w:rsidR="008C52C1" w:rsidRDefault="008C52C1">
      <w:pPr>
        <w:pStyle w:val="af"/>
      </w:pPr>
      <w:r>
        <w:tab/>
      </w:r>
      <w:r>
        <w:rPr>
          <w:rStyle w:val="a8"/>
        </w:rPr>
        <w:footnoteRef/>
      </w:r>
      <w:r>
        <w:tab/>
      </w:r>
      <w:hyperlink r:id="rId14" w:history="1">
        <w:proofErr w:type="spellStart"/>
        <w:r w:rsidRPr="00DD62BF">
          <w:rPr>
            <w:rStyle w:val="a7"/>
          </w:rPr>
          <w:t>HRI</w:t>
        </w:r>
        <w:proofErr w:type="spellEnd"/>
        <w:r w:rsidRPr="00DD62BF">
          <w:rPr>
            <w:rStyle w:val="a7"/>
          </w:rPr>
          <w:t>/2019/1</w:t>
        </w:r>
      </w:hyperlink>
      <w:r>
        <w:t>, п</w:t>
      </w:r>
      <w:r w:rsidR="00C42E61">
        <w:t>.</w:t>
      </w:r>
      <w:r>
        <w:t xml:space="preserve"> 13.</w:t>
      </w:r>
    </w:p>
  </w:footnote>
  <w:footnote w:id="34">
    <w:p w14:paraId="6BD910C7" w14:textId="2E966207" w:rsidR="008C52C1" w:rsidRDefault="008C52C1">
      <w:pPr>
        <w:pStyle w:val="af"/>
      </w:pPr>
      <w:r>
        <w:tab/>
      </w:r>
      <w:r>
        <w:rPr>
          <w:rStyle w:val="a8"/>
        </w:rPr>
        <w:footnoteRef/>
      </w:r>
      <w:r>
        <w:tab/>
        <w:t>Парижское соглашение, ст</w:t>
      </w:r>
      <w:r w:rsidR="00BD07E9">
        <w:t>.</w:t>
      </w:r>
      <w:r>
        <w:t xml:space="preserve"> 2; Глазговский климатический пакт, решение 1/CMA/3, п</w:t>
      </w:r>
      <w:r w:rsidR="00DD62BF">
        <w:t>.</w:t>
      </w:r>
      <w:r>
        <w:t xml:space="preserve"> 21; результаты первого глобального подведения итогов, решение 1/CMA.5 (2023), п</w:t>
      </w:r>
      <w:r w:rsidR="00DD62BF">
        <w:t>.</w:t>
      </w:r>
      <w:r>
        <w:t xml:space="preserve"> 38; и</w:t>
      </w:r>
      <w:r w:rsidR="00DD62BF">
        <w:t> </w:t>
      </w:r>
      <w:r>
        <w:t xml:space="preserve">International Court of Justice, </w:t>
      </w:r>
      <w:r>
        <w:rPr>
          <w:i/>
          <w:iCs/>
        </w:rPr>
        <w:t>Obligations of States in respect of Climate Change, Advisory Opinion</w:t>
      </w:r>
      <w:r>
        <w:t>, para. 224.</w:t>
      </w:r>
    </w:p>
  </w:footnote>
  <w:footnote w:id="35">
    <w:p w14:paraId="55A36946" w14:textId="6C8845A8" w:rsidR="008C52C1" w:rsidRDefault="008C52C1">
      <w:pPr>
        <w:pStyle w:val="af"/>
      </w:pPr>
      <w:r>
        <w:tab/>
      </w:r>
      <w:r>
        <w:rPr>
          <w:rStyle w:val="a8"/>
        </w:rPr>
        <w:footnoteRef/>
      </w:r>
      <w:r>
        <w:tab/>
      </w:r>
      <w:hyperlink r:id="rId15" w:history="1">
        <w:r w:rsidR="00697194" w:rsidRPr="00DD62BF">
          <w:rPr>
            <w:rStyle w:val="a7"/>
          </w:rPr>
          <w:t>E/C.12/</w:t>
        </w:r>
        <w:proofErr w:type="spellStart"/>
        <w:r w:rsidR="00697194" w:rsidRPr="00DD62BF">
          <w:rPr>
            <w:rStyle w:val="a7"/>
          </w:rPr>
          <w:t>NOR</w:t>
        </w:r>
        <w:proofErr w:type="spellEnd"/>
        <w:r w:rsidR="00697194" w:rsidRPr="00DD62BF">
          <w:rPr>
            <w:rStyle w:val="a7"/>
          </w:rPr>
          <w:t>/CO/6</w:t>
        </w:r>
      </w:hyperlink>
      <w:r w:rsidR="00697194">
        <w:t>, п</w:t>
      </w:r>
      <w:r w:rsidR="00DD62BF">
        <w:t>.</w:t>
      </w:r>
      <w:r w:rsidR="00697194">
        <w:t xml:space="preserve"> 11; </w:t>
      </w:r>
      <w:hyperlink r:id="rId16" w:history="1">
        <w:proofErr w:type="spellStart"/>
        <w:r w:rsidR="00697194" w:rsidRPr="00DD62BF">
          <w:rPr>
            <w:rStyle w:val="a7"/>
          </w:rPr>
          <w:t>HRI</w:t>
        </w:r>
        <w:proofErr w:type="spellEnd"/>
        <w:r w:rsidR="00697194" w:rsidRPr="00DD62BF">
          <w:rPr>
            <w:rStyle w:val="a7"/>
          </w:rPr>
          <w:t>/2019/1</w:t>
        </w:r>
      </w:hyperlink>
      <w:r w:rsidR="00697194">
        <w:t>, п</w:t>
      </w:r>
      <w:r w:rsidR="00DD62BF">
        <w:t>.</w:t>
      </w:r>
      <w:r w:rsidR="00697194">
        <w:t xml:space="preserve"> 12; и Рамочная конвенция Организации Объединенных Наций об изменении климата, решение 1/CMA.5, п</w:t>
      </w:r>
      <w:r w:rsidR="00DD62BF">
        <w:t>.</w:t>
      </w:r>
      <w:r w:rsidR="00697194">
        <w:t xml:space="preserve"> 28.</w:t>
      </w:r>
    </w:p>
  </w:footnote>
  <w:footnote w:id="36">
    <w:p w14:paraId="7B1C3149" w14:textId="6C6F598C" w:rsidR="008C52C1" w:rsidRDefault="008C52C1">
      <w:pPr>
        <w:pStyle w:val="af"/>
      </w:pPr>
      <w:r>
        <w:tab/>
      </w:r>
      <w:r>
        <w:rPr>
          <w:rStyle w:val="a8"/>
        </w:rPr>
        <w:footnoteRef/>
      </w:r>
      <w:r>
        <w:tab/>
      </w:r>
      <w:r w:rsidR="00697194">
        <w:t xml:space="preserve">Пакт во имя будущего, резолюция </w:t>
      </w:r>
      <w:hyperlink r:id="rId17" w:history="1">
        <w:r w:rsidR="00697194" w:rsidRPr="00DD62BF">
          <w:rPr>
            <w:rStyle w:val="a7"/>
          </w:rPr>
          <w:t>79/1</w:t>
        </w:r>
      </w:hyperlink>
      <w:r w:rsidR="00697194">
        <w:t xml:space="preserve"> Генеральной Ассамблеи, п</w:t>
      </w:r>
      <w:r w:rsidR="00DD62BF">
        <w:t>.</w:t>
      </w:r>
      <w:r w:rsidR="00697194">
        <w:t xml:space="preserve"> 28 с).</w:t>
      </w:r>
    </w:p>
  </w:footnote>
  <w:footnote w:id="37">
    <w:p w14:paraId="1C88E86D" w14:textId="111DF795" w:rsidR="008C52C1" w:rsidRPr="00697194" w:rsidRDefault="008C52C1">
      <w:pPr>
        <w:pStyle w:val="af"/>
        <w:rPr>
          <w:lang w:val="en-US"/>
        </w:rPr>
      </w:pPr>
      <w:r>
        <w:tab/>
      </w:r>
      <w:r>
        <w:rPr>
          <w:rStyle w:val="a8"/>
        </w:rPr>
        <w:footnoteRef/>
      </w:r>
      <w:r w:rsidRPr="00697194">
        <w:rPr>
          <w:lang w:val="en-US"/>
        </w:rPr>
        <w:tab/>
      </w:r>
      <w:r w:rsidR="00697194">
        <w:t>Парижское</w:t>
      </w:r>
      <w:r w:rsidR="00697194" w:rsidRPr="00FB1FA0">
        <w:rPr>
          <w:lang w:val="en-US"/>
        </w:rPr>
        <w:t xml:space="preserve"> </w:t>
      </w:r>
      <w:r w:rsidR="00697194">
        <w:t>соглашение</w:t>
      </w:r>
      <w:r w:rsidR="00697194" w:rsidRPr="00FB1FA0">
        <w:rPr>
          <w:lang w:val="en-US"/>
        </w:rPr>
        <w:t xml:space="preserve">, </w:t>
      </w:r>
      <w:r w:rsidR="00697194">
        <w:t>п</w:t>
      </w:r>
      <w:r w:rsidR="00BD07E9" w:rsidRPr="00BD07E9">
        <w:rPr>
          <w:lang w:val="en-US"/>
        </w:rPr>
        <w:t>.</w:t>
      </w:r>
      <w:r w:rsidR="00697194" w:rsidRPr="00FB1FA0">
        <w:rPr>
          <w:lang w:val="en-US"/>
        </w:rPr>
        <w:t xml:space="preserve"> 4 </w:t>
      </w:r>
      <w:proofErr w:type="spellStart"/>
      <w:r w:rsidR="00697194">
        <w:t>ст</w:t>
      </w:r>
      <w:proofErr w:type="spellEnd"/>
      <w:r w:rsidR="00BD07E9" w:rsidRPr="00BD07E9">
        <w:rPr>
          <w:lang w:val="en-US"/>
        </w:rPr>
        <w:t>.</w:t>
      </w:r>
      <w:r w:rsidR="00697194" w:rsidRPr="00FB1FA0">
        <w:rPr>
          <w:lang w:val="en-US"/>
        </w:rPr>
        <w:t xml:space="preserve"> 4; International Court of Justice, </w:t>
      </w:r>
      <w:r w:rsidR="00697194" w:rsidRPr="00FB1FA0">
        <w:rPr>
          <w:i/>
          <w:iCs/>
          <w:lang w:val="en-US"/>
        </w:rPr>
        <w:t>Obligations of States in respect of Climate Change, Advisory Opinion</w:t>
      </w:r>
      <w:r w:rsidR="00697194" w:rsidRPr="00FB1FA0">
        <w:rPr>
          <w:lang w:val="en-US"/>
        </w:rPr>
        <w:t xml:space="preserve">, paras. 247 and 248; </w:t>
      </w:r>
      <w:r w:rsidR="00697194">
        <w:t>и</w:t>
      </w:r>
      <w:r w:rsidR="00697194" w:rsidRPr="00FB1FA0">
        <w:rPr>
          <w:lang w:val="en-US"/>
        </w:rPr>
        <w:t xml:space="preserve"> Inter-American Court of Human Rights, advisory opinion OC-32/25, paras. 328–330.</w:t>
      </w:r>
    </w:p>
  </w:footnote>
  <w:footnote w:id="38">
    <w:p w14:paraId="77F4D2EF" w14:textId="45C14979" w:rsidR="008C52C1" w:rsidRPr="00697194" w:rsidRDefault="008C52C1">
      <w:pPr>
        <w:pStyle w:val="af"/>
        <w:rPr>
          <w:lang w:val="en-US"/>
        </w:rPr>
      </w:pPr>
      <w:r w:rsidRPr="00697194">
        <w:rPr>
          <w:lang w:val="en-US"/>
        </w:rPr>
        <w:tab/>
      </w:r>
      <w:r>
        <w:rPr>
          <w:rStyle w:val="a8"/>
        </w:rPr>
        <w:footnoteRef/>
      </w:r>
      <w:r w:rsidRPr="00697194">
        <w:rPr>
          <w:lang w:val="en-US"/>
        </w:rPr>
        <w:tab/>
      </w:r>
      <w:hyperlink r:id="rId18" w:history="1">
        <w:r w:rsidR="00697194" w:rsidRPr="00DD62BF">
          <w:rPr>
            <w:rStyle w:val="a7"/>
            <w:lang w:val="en-US"/>
          </w:rPr>
          <w:t>A/</w:t>
        </w:r>
        <w:proofErr w:type="spellStart"/>
        <w:r w:rsidR="00697194" w:rsidRPr="00DD62BF">
          <w:rPr>
            <w:rStyle w:val="a7"/>
            <w:lang w:val="en-US"/>
          </w:rPr>
          <w:t>HRC</w:t>
        </w:r>
        <w:proofErr w:type="spellEnd"/>
        <w:r w:rsidR="00697194" w:rsidRPr="00DD62BF">
          <w:rPr>
            <w:rStyle w:val="a7"/>
            <w:lang w:val="en-US"/>
          </w:rPr>
          <w:t>/56/46</w:t>
        </w:r>
      </w:hyperlink>
      <w:r w:rsidR="00697194" w:rsidRPr="00FB1FA0">
        <w:rPr>
          <w:lang w:val="en-US"/>
        </w:rPr>
        <w:t xml:space="preserve">, </w:t>
      </w:r>
      <w:r w:rsidR="00697194">
        <w:t>п</w:t>
      </w:r>
      <w:r w:rsidR="00DD62BF">
        <w:t>п</w:t>
      </w:r>
      <w:r w:rsidR="00DD62BF" w:rsidRPr="00DD62BF">
        <w:rPr>
          <w:lang w:val="en-US"/>
        </w:rPr>
        <w:t>.</w:t>
      </w:r>
      <w:r w:rsidR="00697194" w:rsidRPr="00FB1FA0">
        <w:rPr>
          <w:lang w:val="en-US"/>
        </w:rPr>
        <w:t xml:space="preserve"> 7–14.</w:t>
      </w:r>
    </w:p>
  </w:footnote>
  <w:footnote w:id="39">
    <w:p w14:paraId="08004524" w14:textId="7EEE116A" w:rsidR="008C52C1" w:rsidRPr="00697194" w:rsidRDefault="008C52C1">
      <w:pPr>
        <w:pStyle w:val="af"/>
        <w:rPr>
          <w:lang w:val="en-US"/>
        </w:rPr>
      </w:pPr>
      <w:r w:rsidRPr="00697194">
        <w:rPr>
          <w:lang w:val="en-US"/>
        </w:rPr>
        <w:tab/>
      </w:r>
      <w:r>
        <w:rPr>
          <w:rStyle w:val="a8"/>
        </w:rPr>
        <w:footnoteRef/>
      </w:r>
      <w:r w:rsidRPr="00697194">
        <w:rPr>
          <w:lang w:val="en-US"/>
        </w:rPr>
        <w:tab/>
      </w:r>
      <w:r w:rsidR="00697194">
        <w:t>Резолюция</w:t>
      </w:r>
      <w:r w:rsidR="00697194" w:rsidRPr="00FB1FA0">
        <w:rPr>
          <w:lang w:val="en-US"/>
        </w:rPr>
        <w:t xml:space="preserve"> </w:t>
      </w:r>
      <w:hyperlink r:id="rId19" w:history="1">
        <w:r w:rsidR="00697194" w:rsidRPr="00DD62BF">
          <w:rPr>
            <w:rStyle w:val="a7"/>
            <w:lang w:val="en-US"/>
          </w:rPr>
          <w:t>79/1</w:t>
        </w:r>
      </w:hyperlink>
      <w:r w:rsidR="00697194" w:rsidRPr="00FB1FA0">
        <w:rPr>
          <w:lang w:val="en-US"/>
        </w:rPr>
        <w:t xml:space="preserve"> </w:t>
      </w:r>
      <w:r w:rsidR="00697194">
        <w:t>Генеральной</w:t>
      </w:r>
      <w:r w:rsidR="00697194" w:rsidRPr="00FB1FA0">
        <w:rPr>
          <w:lang w:val="en-US"/>
        </w:rPr>
        <w:t xml:space="preserve"> </w:t>
      </w:r>
      <w:r w:rsidR="00697194">
        <w:t>Ассамблеи</w:t>
      </w:r>
      <w:r w:rsidR="00697194" w:rsidRPr="00FB1FA0">
        <w:rPr>
          <w:lang w:val="en-US"/>
        </w:rPr>
        <w:t xml:space="preserve">, </w:t>
      </w:r>
      <w:r w:rsidR="00697194">
        <w:t>п</w:t>
      </w:r>
      <w:r w:rsidR="00DD62BF" w:rsidRPr="00DD62BF">
        <w:rPr>
          <w:lang w:val="en-US"/>
        </w:rPr>
        <w:t>.</w:t>
      </w:r>
      <w:r w:rsidR="00697194" w:rsidRPr="00FB1FA0">
        <w:rPr>
          <w:lang w:val="en-US"/>
        </w:rPr>
        <w:t xml:space="preserve"> 28 </w:t>
      </w:r>
      <w:r w:rsidR="00697194">
        <w:t>е</w:t>
      </w:r>
      <w:r w:rsidR="00697194" w:rsidRPr="00FB1FA0">
        <w:rPr>
          <w:lang w:val="en-US"/>
        </w:rPr>
        <w:t xml:space="preserve">); </w:t>
      </w:r>
      <w:r w:rsidR="00697194">
        <w:t>и</w:t>
      </w:r>
      <w:r w:rsidR="00697194" w:rsidRPr="00FB1FA0">
        <w:rPr>
          <w:lang w:val="en-US"/>
        </w:rPr>
        <w:t xml:space="preserve"> International Tribunal for the Law of the Sea, advisory opinion on climate change and international law, pp. 151 and 152.</w:t>
      </w:r>
    </w:p>
  </w:footnote>
  <w:footnote w:id="40">
    <w:p w14:paraId="777D5E34" w14:textId="341683F3" w:rsidR="008C52C1" w:rsidRDefault="008C52C1">
      <w:pPr>
        <w:pStyle w:val="af"/>
      </w:pPr>
      <w:r w:rsidRPr="00697194">
        <w:rPr>
          <w:lang w:val="en-US"/>
        </w:rPr>
        <w:tab/>
      </w:r>
      <w:r>
        <w:rPr>
          <w:rStyle w:val="a8"/>
        </w:rPr>
        <w:footnoteRef/>
      </w:r>
      <w:r>
        <w:tab/>
      </w:r>
      <w:hyperlink r:id="rId20" w:history="1">
        <w:r w:rsidR="00697194" w:rsidRPr="00DD62BF">
          <w:rPr>
            <w:rStyle w:val="a7"/>
          </w:rPr>
          <w:t>A/74/161</w:t>
        </w:r>
      </w:hyperlink>
      <w:r w:rsidR="00697194">
        <w:t>, п</w:t>
      </w:r>
      <w:r w:rsidR="00DD62BF">
        <w:t>.</w:t>
      </w:r>
      <w:r w:rsidR="00697194">
        <w:t xml:space="preserve"> 83; и Конференция Сторон Конвенции о биологическом разнообразии, решение</w:t>
      </w:r>
      <w:r w:rsidR="00DD62BF">
        <w:t> </w:t>
      </w:r>
      <w:r w:rsidR="00697194">
        <w:t>X/33 (2010), п</w:t>
      </w:r>
      <w:r w:rsidR="00DD62BF">
        <w:t>.</w:t>
      </w:r>
      <w:r w:rsidR="00697194">
        <w:t xml:space="preserve"> 8 w), и решение XIII/14 (2016), п</w:t>
      </w:r>
      <w:r w:rsidR="00DD62BF">
        <w:t>.</w:t>
      </w:r>
      <w:r w:rsidR="00697194">
        <w:t xml:space="preserve"> 6.</w:t>
      </w:r>
    </w:p>
  </w:footnote>
  <w:footnote w:id="41">
    <w:p w14:paraId="7AEE10AD" w14:textId="0B8755B0" w:rsidR="00697194" w:rsidRDefault="00697194">
      <w:pPr>
        <w:pStyle w:val="af"/>
      </w:pPr>
      <w:r>
        <w:tab/>
      </w:r>
      <w:r>
        <w:rPr>
          <w:rStyle w:val="a8"/>
        </w:rPr>
        <w:footnoteRef/>
      </w:r>
      <w:r>
        <w:tab/>
        <w:t>Замечание общего порядка № 3 (1990), п</w:t>
      </w:r>
      <w:r w:rsidR="00DD62BF">
        <w:t>.</w:t>
      </w:r>
      <w:r>
        <w:t xml:space="preserve"> 9.</w:t>
      </w:r>
    </w:p>
  </w:footnote>
  <w:footnote w:id="42">
    <w:p w14:paraId="0BEE46A6" w14:textId="29316084" w:rsidR="00697194" w:rsidRDefault="00697194">
      <w:pPr>
        <w:pStyle w:val="af"/>
      </w:pPr>
      <w:r>
        <w:tab/>
      </w:r>
      <w:r>
        <w:rPr>
          <w:rStyle w:val="a8"/>
        </w:rPr>
        <w:footnoteRef/>
      </w:r>
      <w:r>
        <w:tab/>
        <w:t>Замечание общего порядка № 3 (1990), п</w:t>
      </w:r>
      <w:r w:rsidR="00DD62BF">
        <w:t>.</w:t>
      </w:r>
      <w:r>
        <w:t xml:space="preserve"> 9.</w:t>
      </w:r>
    </w:p>
  </w:footnote>
  <w:footnote w:id="43">
    <w:p w14:paraId="6216ECA7" w14:textId="772B8D07" w:rsidR="00697194" w:rsidRDefault="00697194">
      <w:pPr>
        <w:pStyle w:val="af"/>
      </w:pPr>
      <w:r>
        <w:tab/>
      </w:r>
      <w:r>
        <w:rPr>
          <w:rStyle w:val="a8"/>
        </w:rPr>
        <w:footnoteRef/>
      </w:r>
      <w:r>
        <w:tab/>
      </w:r>
      <w:hyperlink r:id="rId21" w:history="1">
        <w:r w:rsidRPr="00DD62BF">
          <w:rPr>
            <w:rStyle w:val="a7"/>
          </w:rPr>
          <w:t>E/C.12/2016/1</w:t>
        </w:r>
      </w:hyperlink>
      <w:r>
        <w:t>, п</w:t>
      </w:r>
      <w:r w:rsidR="00DD62BF">
        <w:t>.</w:t>
      </w:r>
      <w:r>
        <w:t xml:space="preserve"> 4; </w:t>
      </w:r>
      <w:hyperlink r:id="rId22" w:history="1">
        <w:r w:rsidRPr="00DD62BF">
          <w:rPr>
            <w:rStyle w:val="a7"/>
          </w:rPr>
          <w:t>E/C.12/2007/1</w:t>
        </w:r>
      </w:hyperlink>
      <w:r>
        <w:t>, п</w:t>
      </w:r>
      <w:r w:rsidR="00DD62BF">
        <w:t>.</w:t>
      </w:r>
      <w:r>
        <w:t xml:space="preserve"> 10; и </w:t>
      </w:r>
      <w:r>
        <w:rPr>
          <w:i/>
          <w:iCs/>
        </w:rPr>
        <w:t>Бен Джазия и Беллили против Испании</w:t>
      </w:r>
      <w:r>
        <w:t xml:space="preserve"> (</w:t>
      </w:r>
      <w:hyperlink r:id="rId23" w:history="1">
        <w:r w:rsidRPr="00DD62BF">
          <w:rPr>
            <w:rStyle w:val="a7"/>
          </w:rPr>
          <w:t>E/C.12/61/D/5/2015</w:t>
        </w:r>
      </w:hyperlink>
      <w:r>
        <w:t>), п</w:t>
      </w:r>
      <w:r w:rsidR="00DD62BF">
        <w:t>.</w:t>
      </w:r>
      <w:r>
        <w:t xml:space="preserve"> 17.6.</w:t>
      </w:r>
    </w:p>
  </w:footnote>
  <w:footnote w:id="44">
    <w:p w14:paraId="09F662D4" w14:textId="77777777" w:rsidR="002E0677" w:rsidRDefault="002E0677" w:rsidP="002E0677">
      <w:pPr>
        <w:pStyle w:val="af"/>
      </w:pPr>
      <w:r>
        <w:tab/>
      </w:r>
      <w:r>
        <w:rPr>
          <w:rStyle w:val="a8"/>
        </w:rPr>
        <w:footnoteRef/>
      </w:r>
      <w:r w:rsidRPr="00697194">
        <w:rPr>
          <w:lang w:val="en-US"/>
        </w:rPr>
        <w:tab/>
      </w:r>
      <w:r w:rsidRPr="00FB1FA0">
        <w:rPr>
          <w:lang w:val="en-US"/>
        </w:rPr>
        <w:t xml:space="preserve">Inter-American Court of Human Rights, </w:t>
      </w:r>
      <w:r w:rsidRPr="00FB1FA0">
        <w:rPr>
          <w:i/>
          <w:iCs/>
          <w:lang w:val="en-US"/>
        </w:rPr>
        <w:t>Inhabitants of La Oroya v. Peru</w:t>
      </w:r>
      <w:r w:rsidRPr="00FB1FA0">
        <w:rPr>
          <w:lang w:val="en-US"/>
        </w:rPr>
        <w:t xml:space="preserve">, judgment of 27 November 2023, paras. </w:t>
      </w:r>
      <w:r w:rsidRPr="00697194">
        <w:t xml:space="preserve">186 </w:t>
      </w:r>
      <w:r w:rsidRPr="00FB1FA0">
        <w:rPr>
          <w:lang w:val="en-US"/>
        </w:rPr>
        <w:t>and</w:t>
      </w:r>
      <w:r w:rsidRPr="00697194">
        <w:t xml:space="preserve"> 187.</w:t>
      </w:r>
    </w:p>
  </w:footnote>
  <w:footnote w:id="45">
    <w:p w14:paraId="480F4FCD" w14:textId="608519A9" w:rsidR="00697194" w:rsidRDefault="00697194">
      <w:pPr>
        <w:pStyle w:val="af"/>
      </w:pPr>
      <w:r>
        <w:tab/>
      </w:r>
      <w:r>
        <w:rPr>
          <w:rStyle w:val="a8"/>
        </w:rPr>
        <w:footnoteRef/>
      </w:r>
      <w:r>
        <w:tab/>
        <w:t>Замечания</w:t>
      </w:r>
      <w:r w:rsidRPr="00F927D4">
        <w:t xml:space="preserve"> </w:t>
      </w:r>
      <w:r>
        <w:t>общего</w:t>
      </w:r>
      <w:r w:rsidRPr="00F927D4">
        <w:t xml:space="preserve"> </w:t>
      </w:r>
      <w:r>
        <w:t>порядка</w:t>
      </w:r>
      <w:r w:rsidRPr="00F927D4">
        <w:t xml:space="preserve"> № 3 (1990), </w:t>
      </w:r>
      <w:r>
        <w:t>п</w:t>
      </w:r>
      <w:r w:rsidR="00DD62BF">
        <w:t>.</w:t>
      </w:r>
      <w:r w:rsidRPr="00F927D4">
        <w:t xml:space="preserve"> 13; </w:t>
      </w:r>
      <w:r>
        <w:t>и</w:t>
      </w:r>
      <w:r w:rsidRPr="00F927D4">
        <w:t xml:space="preserve"> № 24 (2017), </w:t>
      </w:r>
      <w:r>
        <w:t>п</w:t>
      </w:r>
      <w:r w:rsidR="00DD62BF">
        <w:t>.</w:t>
      </w:r>
      <w:r w:rsidRPr="00F927D4">
        <w:t xml:space="preserve"> 23.</w:t>
      </w:r>
    </w:p>
  </w:footnote>
  <w:footnote w:id="46">
    <w:p w14:paraId="5C9A1294" w14:textId="6E74A525" w:rsidR="00697194" w:rsidRPr="00697194" w:rsidRDefault="00697194">
      <w:pPr>
        <w:pStyle w:val="af"/>
      </w:pPr>
      <w:r>
        <w:tab/>
      </w:r>
      <w:r>
        <w:rPr>
          <w:rStyle w:val="a8"/>
        </w:rPr>
        <w:footnoteRef/>
      </w:r>
      <w:r>
        <w:tab/>
        <w:t>См</w:t>
      </w:r>
      <w:r w:rsidRPr="00697194">
        <w:t xml:space="preserve">. </w:t>
      </w:r>
      <w:hyperlink r:id="rId24" w:history="1">
        <w:r w:rsidRPr="00DD62BF">
          <w:rPr>
            <w:rStyle w:val="a7"/>
            <w:lang w:val="en-US"/>
          </w:rPr>
          <w:t>E</w:t>
        </w:r>
        <w:r w:rsidRPr="00DD62BF">
          <w:rPr>
            <w:rStyle w:val="a7"/>
          </w:rPr>
          <w:t>/</w:t>
        </w:r>
        <w:r w:rsidRPr="00DD62BF">
          <w:rPr>
            <w:rStyle w:val="a7"/>
            <w:lang w:val="en-US"/>
          </w:rPr>
          <w:t>C</w:t>
        </w:r>
        <w:r w:rsidRPr="00DD62BF">
          <w:rPr>
            <w:rStyle w:val="a7"/>
          </w:rPr>
          <w:t>.12/2025/1</w:t>
        </w:r>
      </w:hyperlink>
      <w:r w:rsidRPr="00697194">
        <w:t>.</w:t>
      </w:r>
    </w:p>
  </w:footnote>
  <w:footnote w:id="47">
    <w:p w14:paraId="35240DA8" w14:textId="14F5B8B5" w:rsidR="00697194" w:rsidRPr="00697194" w:rsidRDefault="00697194">
      <w:pPr>
        <w:pStyle w:val="af"/>
        <w:rPr>
          <w:lang w:val="en-US"/>
        </w:rPr>
      </w:pPr>
      <w:r>
        <w:tab/>
      </w:r>
      <w:r>
        <w:rPr>
          <w:rStyle w:val="a8"/>
        </w:rPr>
        <w:footnoteRef/>
      </w:r>
      <w:r w:rsidRPr="00697194">
        <w:rPr>
          <w:lang w:val="en-US"/>
        </w:rPr>
        <w:tab/>
      </w:r>
      <w:r w:rsidRPr="00FB1FA0">
        <w:rPr>
          <w:lang w:val="en-US"/>
        </w:rPr>
        <w:t xml:space="preserve">Millennium Ecosystem Assessment, </w:t>
      </w:r>
      <w:r w:rsidRPr="00FB1FA0">
        <w:rPr>
          <w:i/>
          <w:iCs/>
          <w:lang w:val="en-US"/>
        </w:rPr>
        <w:t>Ecosystems and Human Well-being: Synthesis</w:t>
      </w:r>
      <w:r w:rsidRPr="00FB1FA0">
        <w:rPr>
          <w:lang w:val="en-US"/>
        </w:rPr>
        <w:t xml:space="preserve"> (Washington, D.C., Island Press, 2005).</w:t>
      </w:r>
    </w:p>
  </w:footnote>
  <w:footnote w:id="48">
    <w:p w14:paraId="35FDABB2" w14:textId="4E6DAF02" w:rsidR="00697194" w:rsidRDefault="00697194">
      <w:pPr>
        <w:pStyle w:val="af"/>
      </w:pPr>
      <w:r w:rsidRPr="00697194">
        <w:rPr>
          <w:lang w:val="en-US"/>
        </w:rPr>
        <w:tab/>
      </w:r>
      <w:r>
        <w:rPr>
          <w:rStyle w:val="a8"/>
        </w:rPr>
        <w:footnoteRef/>
      </w:r>
      <w:r>
        <w:tab/>
        <w:t>Замечание общего порядка № 26 (2022), п</w:t>
      </w:r>
      <w:r w:rsidR="00DD62BF">
        <w:t>.</w:t>
      </w:r>
      <w:r>
        <w:t xml:space="preserve"> 38; резолюция </w:t>
      </w:r>
      <w:hyperlink r:id="rId25" w:history="1">
        <w:r w:rsidRPr="00DD62BF">
          <w:rPr>
            <w:rStyle w:val="a7"/>
          </w:rPr>
          <w:t>73/284</w:t>
        </w:r>
      </w:hyperlink>
      <w:r>
        <w:t xml:space="preserve"> Генеральной Ассамблеи, п</w:t>
      </w:r>
      <w:r w:rsidR="00DD62BF">
        <w:t>.</w:t>
      </w:r>
      <w:r>
        <w:t xml:space="preserve"> 3; Конвенция о биологическом разнообразии, ст</w:t>
      </w:r>
      <w:r w:rsidR="00D60505">
        <w:t>.</w:t>
      </w:r>
      <w:r>
        <w:t xml:space="preserve"> 2; и Конференция Сторон Конвенции о биологическом разнообразии, решение V/16 (2000).</w:t>
      </w:r>
    </w:p>
  </w:footnote>
  <w:footnote w:id="49">
    <w:p w14:paraId="6A72CB0E" w14:textId="5E4FD8DA" w:rsidR="00697194" w:rsidRDefault="00697194">
      <w:pPr>
        <w:pStyle w:val="af"/>
      </w:pPr>
      <w:r>
        <w:tab/>
      </w:r>
      <w:r>
        <w:rPr>
          <w:rStyle w:val="a8"/>
        </w:rPr>
        <w:footnoteRef/>
      </w:r>
      <w:r>
        <w:tab/>
        <w:t>Конференция Сторон Конвенции о биологическом разнообразии, решение X/33 (2010), п</w:t>
      </w:r>
      <w:r w:rsidR="00DD62BF">
        <w:t>.</w:t>
      </w:r>
      <w:r>
        <w:t xml:space="preserve"> 8 i) и</w:t>
      </w:r>
      <w:r w:rsidR="00DD62BF">
        <w:t> </w:t>
      </w:r>
      <w:r>
        <w:t>v).</w:t>
      </w:r>
    </w:p>
  </w:footnote>
  <w:footnote w:id="50">
    <w:p w14:paraId="483DCC60" w14:textId="68663B6C" w:rsidR="00697194" w:rsidRDefault="00697194">
      <w:pPr>
        <w:pStyle w:val="af"/>
      </w:pPr>
      <w:r>
        <w:tab/>
      </w:r>
      <w:r>
        <w:rPr>
          <w:rStyle w:val="a8"/>
        </w:rPr>
        <w:footnoteRef/>
      </w:r>
      <w:r>
        <w:tab/>
      </w:r>
      <w:hyperlink r:id="rId26" w:history="1">
        <w:r w:rsidRPr="00DD62BF">
          <w:rPr>
            <w:rStyle w:val="a7"/>
          </w:rPr>
          <w:t>E/C.12/2001/10</w:t>
        </w:r>
      </w:hyperlink>
      <w:r>
        <w:t>, п</w:t>
      </w:r>
      <w:r w:rsidR="00DD62BF">
        <w:t>.</w:t>
      </w:r>
      <w:r>
        <w:t xml:space="preserve"> 17.</w:t>
      </w:r>
    </w:p>
  </w:footnote>
  <w:footnote w:id="51">
    <w:p w14:paraId="737FB11A" w14:textId="40C71D63" w:rsidR="00697194" w:rsidRDefault="00697194">
      <w:pPr>
        <w:pStyle w:val="af"/>
      </w:pPr>
      <w:r>
        <w:tab/>
      </w:r>
      <w:r>
        <w:rPr>
          <w:rStyle w:val="a8"/>
        </w:rPr>
        <w:footnoteRef/>
      </w:r>
      <w:r>
        <w:tab/>
      </w:r>
      <w:hyperlink r:id="rId27" w:history="1">
        <w:r w:rsidRPr="00DD62BF">
          <w:rPr>
            <w:rStyle w:val="a7"/>
          </w:rPr>
          <w:t>E/C.12/2015/1</w:t>
        </w:r>
      </w:hyperlink>
      <w:r>
        <w:t>, п</w:t>
      </w:r>
      <w:r w:rsidR="00DD62BF">
        <w:t>.</w:t>
      </w:r>
      <w:r>
        <w:t xml:space="preserve"> 8.</w:t>
      </w:r>
    </w:p>
  </w:footnote>
  <w:footnote w:id="52">
    <w:p w14:paraId="49A6409C" w14:textId="0D2D0874" w:rsidR="00697194" w:rsidRDefault="00697194">
      <w:pPr>
        <w:pStyle w:val="af"/>
      </w:pPr>
      <w:r>
        <w:tab/>
      </w:r>
      <w:r>
        <w:rPr>
          <w:rStyle w:val="a8"/>
        </w:rPr>
        <w:footnoteRef/>
      </w:r>
      <w:r>
        <w:tab/>
        <w:t>Замечание общего порядка № 23 (2016), п</w:t>
      </w:r>
      <w:r w:rsidR="00DD62BF">
        <w:t>.</w:t>
      </w:r>
      <w:r>
        <w:t xml:space="preserve"> 65.</w:t>
      </w:r>
    </w:p>
  </w:footnote>
  <w:footnote w:id="53">
    <w:p w14:paraId="3475FFD1" w14:textId="687445D3" w:rsidR="00697194" w:rsidRDefault="00697194">
      <w:pPr>
        <w:pStyle w:val="af"/>
      </w:pPr>
      <w:r>
        <w:tab/>
      </w:r>
      <w:r>
        <w:rPr>
          <w:rStyle w:val="a8"/>
        </w:rPr>
        <w:footnoteRef/>
      </w:r>
      <w:r>
        <w:tab/>
        <w:t>Замечания общего порядка № 21 (2009), п</w:t>
      </w:r>
      <w:r w:rsidR="00DD62BF">
        <w:t>.</w:t>
      </w:r>
      <w:r>
        <w:t xml:space="preserve"> 55; и № 25 (2020), п</w:t>
      </w:r>
      <w:r w:rsidR="00DD62BF">
        <w:t>.</w:t>
      </w:r>
      <w:r>
        <w:t xml:space="preserve"> 52.</w:t>
      </w:r>
    </w:p>
  </w:footnote>
  <w:footnote w:id="54">
    <w:p w14:paraId="1B1D91AD" w14:textId="6A07904C" w:rsidR="00697194" w:rsidRDefault="00697194">
      <w:pPr>
        <w:pStyle w:val="af"/>
      </w:pPr>
      <w:r>
        <w:tab/>
      </w:r>
      <w:r>
        <w:rPr>
          <w:rStyle w:val="a8"/>
        </w:rPr>
        <w:footnoteRef/>
      </w:r>
      <w:r>
        <w:tab/>
        <w:t>Замечание общего порядка № 3 (1990), п</w:t>
      </w:r>
      <w:r w:rsidR="00DD62BF">
        <w:t>.</w:t>
      </w:r>
      <w:r>
        <w:t xml:space="preserve"> 10.</w:t>
      </w:r>
    </w:p>
  </w:footnote>
  <w:footnote w:id="55">
    <w:p w14:paraId="24BCBCB0" w14:textId="527F17D6" w:rsidR="00697194" w:rsidRDefault="00697194">
      <w:pPr>
        <w:pStyle w:val="af"/>
      </w:pPr>
      <w:r>
        <w:tab/>
      </w:r>
      <w:r>
        <w:rPr>
          <w:rStyle w:val="a8"/>
        </w:rPr>
        <w:footnoteRef/>
      </w:r>
      <w:r>
        <w:tab/>
        <w:t>Замечание общего порядка № 14 (2000), п</w:t>
      </w:r>
      <w:r w:rsidR="00DD62BF">
        <w:t>.</w:t>
      </w:r>
      <w:r>
        <w:t xml:space="preserve"> 45.</w:t>
      </w:r>
    </w:p>
  </w:footnote>
  <w:footnote w:id="56">
    <w:p w14:paraId="2C40A7C6" w14:textId="581D9C7F" w:rsidR="00697194" w:rsidRDefault="00697194">
      <w:pPr>
        <w:pStyle w:val="af"/>
      </w:pPr>
      <w:r>
        <w:tab/>
      </w:r>
      <w:r>
        <w:rPr>
          <w:rStyle w:val="a8"/>
        </w:rPr>
        <w:footnoteRef/>
      </w:r>
      <w:r>
        <w:tab/>
        <w:t>Замечания общего порядка № 15 (2002), п</w:t>
      </w:r>
      <w:r w:rsidR="00DD62BF">
        <w:t>.</w:t>
      </w:r>
      <w:r>
        <w:t xml:space="preserve"> 31; № 24 (2017), п</w:t>
      </w:r>
      <w:r w:rsidR="00DD62BF">
        <w:t>п.</w:t>
      </w:r>
      <w:r>
        <w:t xml:space="preserve"> 26–37; и № 26 (2022), п</w:t>
      </w:r>
      <w:r w:rsidR="00DD62BF">
        <w:t>п.</w:t>
      </w:r>
      <w:r>
        <w:t xml:space="preserve"> 40–47.</w:t>
      </w:r>
    </w:p>
  </w:footnote>
  <w:footnote w:id="57">
    <w:p w14:paraId="239C09CC" w14:textId="212DFAC5" w:rsidR="00697194" w:rsidRDefault="00697194">
      <w:pPr>
        <w:pStyle w:val="af"/>
      </w:pPr>
      <w:r>
        <w:tab/>
      </w:r>
      <w:r>
        <w:rPr>
          <w:rStyle w:val="a8"/>
        </w:rPr>
        <w:footnoteRef/>
      </w:r>
      <w:r>
        <w:tab/>
      </w:r>
      <w:r>
        <w:rPr>
          <w:i/>
          <w:iCs/>
        </w:rPr>
        <w:t>Сакки и др. против Аргентины</w:t>
      </w:r>
      <w:r>
        <w:t xml:space="preserve"> (</w:t>
      </w:r>
      <w:proofErr w:type="spellStart"/>
      <w:r w:rsidR="00DD62BF">
        <w:fldChar w:fldCharType="begin"/>
      </w:r>
      <w:r w:rsidR="00DD62BF">
        <w:instrText>HYPERLINK "https://docs.un.org/ru/CRC/C/88/D/104/2019"</w:instrText>
      </w:r>
      <w:r w:rsidR="00DD62BF">
        <w:fldChar w:fldCharType="separate"/>
      </w:r>
      <w:r w:rsidRPr="00DD62BF">
        <w:rPr>
          <w:rStyle w:val="a7"/>
        </w:rPr>
        <w:t>CRC</w:t>
      </w:r>
      <w:proofErr w:type="spellEnd"/>
      <w:r w:rsidRPr="00DD62BF">
        <w:rPr>
          <w:rStyle w:val="a7"/>
        </w:rPr>
        <w:t>/C/88/D/104/2019</w:t>
      </w:r>
      <w:r w:rsidR="00DD62BF">
        <w:fldChar w:fldCharType="end"/>
      </w:r>
      <w:r>
        <w:t>), п</w:t>
      </w:r>
      <w:r w:rsidR="00DD62BF">
        <w:t>.</w:t>
      </w:r>
      <w:r>
        <w:t xml:space="preserve"> 10.5.</w:t>
      </w:r>
    </w:p>
  </w:footnote>
  <w:footnote w:id="58">
    <w:p w14:paraId="299B75B8" w14:textId="53916F97" w:rsidR="00697194" w:rsidRPr="00697194" w:rsidRDefault="00697194">
      <w:pPr>
        <w:pStyle w:val="af"/>
        <w:rPr>
          <w:lang w:val="en-US"/>
        </w:rPr>
      </w:pPr>
      <w:r>
        <w:tab/>
      </w:r>
      <w:r>
        <w:rPr>
          <w:rStyle w:val="a8"/>
        </w:rPr>
        <w:footnoteRef/>
      </w:r>
      <w:r w:rsidRPr="00697194">
        <w:rPr>
          <w:lang w:val="en-US"/>
        </w:rPr>
        <w:tab/>
      </w:r>
      <w:r w:rsidRPr="00FB1FA0">
        <w:rPr>
          <w:lang w:val="en-US"/>
        </w:rPr>
        <w:t xml:space="preserve">International Court of Justice, </w:t>
      </w:r>
      <w:r w:rsidRPr="00FB1FA0">
        <w:rPr>
          <w:i/>
          <w:iCs/>
          <w:lang w:val="en-US"/>
        </w:rPr>
        <w:t>Obligations of States in respect of Climate Change, Advisory Opinion</w:t>
      </w:r>
      <w:r w:rsidRPr="00FB1FA0">
        <w:rPr>
          <w:lang w:val="en-US"/>
        </w:rPr>
        <w:t>, para. 272.</w:t>
      </w:r>
    </w:p>
  </w:footnote>
  <w:footnote w:id="59">
    <w:p w14:paraId="27C7D759" w14:textId="509BDAAE" w:rsidR="00697194" w:rsidRPr="00697194" w:rsidRDefault="00697194">
      <w:pPr>
        <w:pStyle w:val="af"/>
        <w:rPr>
          <w:lang w:val="en-US"/>
        </w:rPr>
      </w:pPr>
      <w:r w:rsidRPr="00697194">
        <w:rPr>
          <w:lang w:val="en-US"/>
        </w:rPr>
        <w:tab/>
      </w:r>
      <w:r>
        <w:rPr>
          <w:rStyle w:val="a8"/>
        </w:rPr>
        <w:footnoteRef/>
      </w:r>
      <w:r w:rsidRPr="00697194">
        <w:rPr>
          <w:lang w:val="en-US"/>
        </w:rPr>
        <w:tab/>
      </w:r>
      <w:r w:rsidRPr="00FB1FA0">
        <w:rPr>
          <w:i/>
          <w:iCs/>
          <w:lang w:val="en-US"/>
        </w:rPr>
        <w:t>Pulp Mills on the River Uruguay (Argentina v. Uruguay), Judgment, I.C.J. Reports 2010</w:t>
      </w:r>
      <w:r w:rsidRPr="00FB1FA0">
        <w:rPr>
          <w:lang w:val="en-US"/>
        </w:rPr>
        <w:t>, para. 101.</w:t>
      </w:r>
    </w:p>
  </w:footnote>
  <w:footnote w:id="60">
    <w:p w14:paraId="2734BD40" w14:textId="47A43457" w:rsidR="00697194" w:rsidRPr="00DB2F7F" w:rsidRDefault="00697194">
      <w:pPr>
        <w:pStyle w:val="af"/>
        <w:rPr>
          <w:lang w:val="en-US"/>
        </w:rPr>
      </w:pPr>
      <w:r w:rsidRPr="00697194">
        <w:rPr>
          <w:lang w:val="en-US"/>
        </w:rPr>
        <w:tab/>
      </w:r>
      <w:r>
        <w:rPr>
          <w:rStyle w:val="a8"/>
        </w:rPr>
        <w:footnoteRef/>
      </w:r>
      <w:r w:rsidRPr="00697194">
        <w:rPr>
          <w:lang w:val="en-US"/>
        </w:rPr>
        <w:tab/>
      </w:r>
      <w:r w:rsidRPr="00FB1FA0">
        <w:rPr>
          <w:lang w:val="en-US"/>
        </w:rPr>
        <w:t>Inter-American Court of Human Rights, advisory opinion OC-32/25, paras. 345–350.</w:t>
      </w:r>
    </w:p>
  </w:footnote>
  <w:footnote w:id="61">
    <w:p w14:paraId="7B5F5285" w14:textId="44D6B308" w:rsidR="00697194" w:rsidRDefault="00697194">
      <w:pPr>
        <w:pStyle w:val="af"/>
      </w:pPr>
      <w:r w:rsidRPr="00DB2F7F">
        <w:rPr>
          <w:lang w:val="en-US"/>
        </w:rPr>
        <w:tab/>
      </w:r>
      <w:r>
        <w:rPr>
          <w:rStyle w:val="a8"/>
        </w:rPr>
        <w:footnoteRef/>
      </w:r>
      <w:r w:rsidRPr="00697194">
        <w:rPr>
          <w:lang w:val="en-US"/>
        </w:rPr>
        <w:tab/>
      </w:r>
      <w:r>
        <w:t>Замечание</w:t>
      </w:r>
      <w:r w:rsidRPr="00FB1FA0">
        <w:rPr>
          <w:lang w:val="en-US"/>
        </w:rPr>
        <w:t xml:space="preserve"> </w:t>
      </w:r>
      <w:r>
        <w:t>общего</w:t>
      </w:r>
      <w:r w:rsidRPr="00FB1FA0">
        <w:rPr>
          <w:lang w:val="en-US"/>
        </w:rPr>
        <w:t xml:space="preserve"> </w:t>
      </w:r>
      <w:r>
        <w:t>порядка</w:t>
      </w:r>
      <w:r w:rsidRPr="00FB1FA0">
        <w:rPr>
          <w:lang w:val="en-US"/>
        </w:rPr>
        <w:t xml:space="preserve"> № 26 (2022), </w:t>
      </w:r>
      <w:r>
        <w:t>п</w:t>
      </w:r>
      <w:r w:rsidR="00DD62BF" w:rsidRPr="00DD62BF">
        <w:rPr>
          <w:lang w:val="en-US"/>
        </w:rPr>
        <w:t>.</w:t>
      </w:r>
      <w:r w:rsidRPr="00FB1FA0">
        <w:rPr>
          <w:lang w:val="en-US"/>
        </w:rPr>
        <w:t xml:space="preserve"> 44; </w:t>
      </w:r>
      <w:r>
        <w:t>и</w:t>
      </w:r>
      <w:r w:rsidRPr="00FB1FA0">
        <w:rPr>
          <w:lang w:val="en-US"/>
        </w:rPr>
        <w:t xml:space="preserve"> Inter-American Court of Human Rights, advisory opinion OC-32/25, para. </w:t>
      </w:r>
      <w:r>
        <w:t>351.</w:t>
      </w:r>
    </w:p>
  </w:footnote>
  <w:footnote w:id="62">
    <w:p w14:paraId="19F863F4" w14:textId="45297752" w:rsidR="00697194" w:rsidRDefault="00697194">
      <w:pPr>
        <w:pStyle w:val="af"/>
      </w:pPr>
      <w:r>
        <w:tab/>
      </w:r>
      <w:r>
        <w:rPr>
          <w:rStyle w:val="a8"/>
        </w:rPr>
        <w:footnoteRef/>
      </w:r>
      <w:r>
        <w:tab/>
        <w:t xml:space="preserve">См. </w:t>
      </w:r>
      <w:hyperlink r:id="rId28" w:history="1">
        <w:r w:rsidRPr="00DD62BF">
          <w:rPr>
            <w:rStyle w:val="a7"/>
          </w:rPr>
          <w:t>A/78/168</w:t>
        </w:r>
      </w:hyperlink>
      <w:r>
        <w:t>.</w:t>
      </w:r>
    </w:p>
  </w:footnote>
  <w:footnote w:id="63">
    <w:p w14:paraId="2C61DE6D" w14:textId="326BECB9" w:rsidR="00697194" w:rsidRDefault="00697194">
      <w:pPr>
        <w:pStyle w:val="af"/>
      </w:pPr>
      <w:r>
        <w:tab/>
      </w:r>
      <w:r>
        <w:rPr>
          <w:rStyle w:val="a8"/>
        </w:rPr>
        <w:footnoteRef/>
      </w:r>
      <w:r>
        <w:tab/>
        <w:t>Рамочная конвенция Организации Объединенных Наций об изменении климата, преамбула и п</w:t>
      </w:r>
      <w:r w:rsidR="00340E09">
        <w:t>.</w:t>
      </w:r>
      <w:r>
        <w:t xml:space="preserve"> 1 ст</w:t>
      </w:r>
      <w:r w:rsidR="00340E09">
        <w:t>.</w:t>
      </w:r>
      <w:r>
        <w:t xml:space="preserve"> 3; и Парижское соглашение, п</w:t>
      </w:r>
      <w:r w:rsidR="00340E09">
        <w:t>.</w:t>
      </w:r>
      <w:r>
        <w:t xml:space="preserve"> 2 ст</w:t>
      </w:r>
      <w:r w:rsidR="00340E09">
        <w:t>.</w:t>
      </w:r>
      <w:r>
        <w:t xml:space="preserve"> 2.</w:t>
      </w:r>
    </w:p>
  </w:footnote>
  <w:footnote w:id="64">
    <w:p w14:paraId="3686AA2D" w14:textId="46D9F333" w:rsidR="00697194" w:rsidRDefault="00697194">
      <w:pPr>
        <w:pStyle w:val="af"/>
      </w:pPr>
      <w:r>
        <w:tab/>
      </w:r>
      <w:r>
        <w:rPr>
          <w:rStyle w:val="a8"/>
        </w:rPr>
        <w:footnoteRef/>
      </w:r>
      <w:r>
        <w:tab/>
      </w:r>
      <w:r w:rsidR="00C56814">
        <w:t>Замечание общего порядка № 26 (2022), п</w:t>
      </w:r>
      <w:r w:rsidR="00DD62BF">
        <w:t>.</w:t>
      </w:r>
      <w:r w:rsidR="00C56814">
        <w:t xml:space="preserve"> 58; и Комитет по правам ребенка, замечание общего порядка № 26 (2023), п</w:t>
      </w:r>
      <w:r w:rsidR="00DD62BF">
        <w:t>п.</w:t>
      </w:r>
      <w:r w:rsidR="00C56814">
        <w:t xml:space="preserve"> 111–115.</w:t>
      </w:r>
    </w:p>
  </w:footnote>
  <w:footnote w:id="65">
    <w:p w14:paraId="57741205" w14:textId="5F3F5F81" w:rsidR="00697194" w:rsidRDefault="00697194">
      <w:pPr>
        <w:pStyle w:val="af"/>
      </w:pPr>
      <w:r>
        <w:tab/>
      </w:r>
      <w:r>
        <w:rPr>
          <w:rStyle w:val="a8"/>
        </w:rPr>
        <w:footnoteRef/>
      </w:r>
      <w:r>
        <w:tab/>
      </w:r>
      <w:r w:rsidR="00C56814">
        <w:t xml:space="preserve">Резолюция </w:t>
      </w:r>
      <w:hyperlink r:id="rId29" w:history="1">
        <w:r w:rsidR="00C56814" w:rsidRPr="00DD62BF">
          <w:rPr>
            <w:rStyle w:val="a7"/>
          </w:rPr>
          <w:t>79/1</w:t>
        </w:r>
      </w:hyperlink>
      <w:r w:rsidR="00C56814">
        <w:t xml:space="preserve"> Генеральной Ассамблеи, п</w:t>
      </w:r>
      <w:r w:rsidR="00DD62BF">
        <w:t>.</w:t>
      </w:r>
      <w:r w:rsidR="00C56814">
        <w:t xml:space="preserve"> 28; и </w:t>
      </w:r>
      <w:hyperlink r:id="rId30" w:history="1">
        <w:r w:rsidR="00C56814" w:rsidRPr="00DD62BF">
          <w:rPr>
            <w:rStyle w:val="a7"/>
          </w:rPr>
          <w:t>A/</w:t>
        </w:r>
        <w:proofErr w:type="spellStart"/>
        <w:r w:rsidR="00C56814" w:rsidRPr="00DD62BF">
          <w:rPr>
            <w:rStyle w:val="a7"/>
          </w:rPr>
          <w:t>HRC</w:t>
        </w:r>
        <w:proofErr w:type="spellEnd"/>
        <w:r w:rsidR="00C56814" w:rsidRPr="00DD62BF">
          <w:rPr>
            <w:rStyle w:val="a7"/>
          </w:rPr>
          <w:t>/55/54</w:t>
        </w:r>
      </w:hyperlink>
      <w:r w:rsidR="00C56814">
        <w:t>, п</w:t>
      </w:r>
      <w:r w:rsidR="00DD62BF">
        <w:t>.</w:t>
      </w:r>
      <w:r w:rsidR="00C56814">
        <w:t xml:space="preserve"> 53.</w:t>
      </w:r>
    </w:p>
  </w:footnote>
  <w:footnote w:id="66">
    <w:p w14:paraId="42E20C1E" w14:textId="4F73CD95" w:rsidR="00697194" w:rsidRDefault="00697194">
      <w:pPr>
        <w:pStyle w:val="af"/>
      </w:pPr>
      <w:r>
        <w:tab/>
      </w:r>
      <w:r>
        <w:rPr>
          <w:rStyle w:val="a8"/>
        </w:rPr>
        <w:footnoteRef/>
      </w:r>
      <w:r>
        <w:tab/>
      </w:r>
      <w:r w:rsidR="00C56814">
        <w:t>Цель 10 в области устойчивого развития.</w:t>
      </w:r>
    </w:p>
  </w:footnote>
  <w:footnote w:id="67">
    <w:p w14:paraId="2048AAA8" w14:textId="7D42DB5B" w:rsidR="00C56814" w:rsidRDefault="00C56814">
      <w:pPr>
        <w:pStyle w:val="af"/>
      </w:pPr>
      <w:r>
        <w:tab/>
      </w:r>
      <w:r>
        <w:rPr>
          <w:rStyle w:val="a8"/>
        </w:rPr>
        <w:footnoteRef/>
      </w:r>
      <w:r>
        <w:tab/>
      </w:r>
      <w:hyperlink r:id="rId31" w:history="1">
        <w:r w:rsidRPr="00DD62BF">
          <w:rPr>
            <w:rStyle w:val="a7"/>
          </w:rPr>
          <w:t>E/C.12/2018/1</w:t>
        </w:r>
      </w:hyperlink>
      <w:r>
        <w:t>, п</w:t>
      </w:r>
      <w:r w:rsidR="00DD62BF">
        <w:t>.</w:t>
      </w:r>
      <w:r>
        <w:t xml:space="preserve"> 7; и замечание общего порядка № 25 (2020), п</w:t>
      </w:r>
      <w:r w:rsidR="00DD62BF">
        <w:t>п.</w:t>
      </w:r>
      <w:r>
        <w:t xml:space="preserve"> 62, 79 и 80.</w:t>
      </w:r>
    </w:p>
  </w:footnote>
  <w:footnote w:id="68">
    <w:p w14:paraId="08472ED6" w14:textId="2C168E29" w:rsidR="00C56814" w:rsidRDefault="00C56814">
      <w:pPr>
        <w:pStyle w:val="af"/>
      </w:pPr>
      <w:r>
        <w:tab/>
      </w:r>
      <w:r>
        <w:rPr>
          <w:rStyle w:val="a8"/>
        </w:rPr>
        <w:footnoteRef/>
      </w:r>
      <w:r>
        <w:tab/>
        <w:t>Конвенция о биологическом разнообразии, ст</w:t>
      </w:r>
      <w:r w:rsidR="000D6EA0">
        <w:t>.</w:t>
      </w:r>
      <w:r>
        <w:t xml:space="preserve"> 8 j).</w:t>
      </w:r>
    </w:p>
  </w:footnote>
  <w:footnote w:id="69">
    <w:p w14:paraId="64E2EDEC" w14:textId="6311622F" w:rsidR="00C56814" w:rsidRDefault="00C56814">
      <w:pPr>
        <w:pStyle w:val="af"/>
      </w:pPr>
      <w:r>
        <w:tab/>
      </w:r>
      <w:r>
        <w:rPr>
          <w:rStyle w:val="a8"/>
        </w:rPr>
        <w:footnoteRef/>
      </w:r>
      <w:r>
        <w:tab/>
        <w:t>Маастрихтские принципы в отношении экстерриториальных обязательств государств в области экономических, социальных и культурных прав, принцип 32.</w:t>
      </w:r>
    </w:p>
  </w:footnote>
  <w:footnote w:id="70">
    <w:p w14:paraId="5696CE89" w14:textId="5F54B06A" w:rsidR="00C56814" w:rsidRDefault="00C56814">
      <w:pPr>
        <w:pStyle w:val="af"/>
      </w:pPr>
      <w:r>
        <w:tab/>
      </w:r>
      <w:r>
        <w:rPr>
          <w:rStyle w:val="a8"/>
        </w:rPr>
        <w:footnoteRef/>
      </w:r>
      <w:r>
        <w:tab/>
        <w:t>Там же, принцип 34.</w:t>
      </w:r>
    </w:p>
  </w:footnote>
  <w:footnote w:id="71">
    <w:p w14:paraId="530655D1" w14:textId="1FAA3E3A" w:rsidR="00C56814" w:rsidRDefault="00C56814">
      <w:pPr>
        <w:pStyle w:val="af"/>
      </w:pPr>
      <w:r>
        <w:tab/>
      </w:r>
      <w:r>
        <w:rPr>
          <w:rStyle w:val="a8"/>
        </w:rPr>
        <w:footnoteRef/>
      </w:r>
      <w:r>
        <w:tab/>
        <w:t>Там же, принцип 29.</w:t>
      </w:r>
    </w:p>
  </w:footnote>
  <w:footnote w:id="72">
    <w:p w14:paraId="73C00751" w14:textId="4A1B36C3" w:rsidR="00C56814" w:rsidRPr="00C56814" w:rsidRDefault="00C56814">
      <w:pPr>
        <w:pStyle w:val="af"/>
        <w:rPr>
          <w:lang w:val="en-US"/>
        </w:rPr>
      </w:pPr>
      <w:r>
        <w:tab/>
      </w:r>
      <w:r>
        <w:rPr>
          <w:rStyle w:val="a8"/>
        </w:rPr>
        <w:footnoteRef/>
      </w:r>
      <w:r w:rsidRPr="00C56814">
        <w:rPr>
          <w:lang w:val="en-US"/>
        </w:rPr>
        <w:tab/>
      </w:r>
      <w:hyperlink r:id="rId32" w:history="1">
        <w:r w:rsidRPr="00DD62BF">
          <w:rPr>
            <w:rStyle w:val="a7"/>
            <w:lang w:val="en-US"/>
          </w:rPr>
          <w:t>E/C.12/2016/1</w:t>
        </w:r>
      </w:hyperlink>
      <w:r w:rsidRPr="00FB1FA0">
        <w:rPr>
          <w:lang w:val="en-US"/>
        </w:rPr>
        <w:t xml:space="preserve">, </w:t>
      </w:r>
      <w:r>
        <w:t>п</w:t>
      </w:r>
      <w:r w:rsidR="00DD62BF">
        <w:t>п</w:t>
      </w:r>
      <w:r w:rsidR="00DD62BF" w:rsidRPr="00DD62BF">
        <w:rPr>
          <w:lang w:val="en-US"/>
        </w:rPr>
        <w:t>.</w:t>
      </w:r>
      <w:r w:rsidRPr="00FB1FA0">
        <w:rPr>
          <w:lang w:val="en-US"/>
        </w:rPr>
        <w:t xml:space="preserve"> 7–9.</w:t>
      </w:r>
    </w:p>
  </w:footnote>
  <w:footnote w:id="73">
    <w:p w14:paraId="4851A057" w14:textId="45C4696D" w:rsidR="00C56814" w:rsidRPr="00C56814" w:rsidRDefault="00C56814">
      <w:pPr>
        <w:pStyle w:val="af"/>
        <w:rPr>
          <w:lang w:val="en-US"/>
        </w:rPr>
      </w:pPr>
      <w:r w:rsidRPr="00C56814">
        <w:rPr>
          <w:lang w:val="en-US"/>
        </w:rPr>
        <w:tab/>
      </w:r>
      <w:r>
        <w:rPr>
          <w:rStyle w:val="a8"/>
        </w:rPr>
        <w:footnoteRef/>
      </w:r>
      <w:r w:rsidRPr="00C56814">
        <w:rPr>
          <w:lang w:val="en-US"/>
        </w:rPr>
        <w:tab/>
      </w:r>
      <w:r w:rsidRPr="00FB1FA0">
        <w:rPr>
          <w:lang w:val="en-US"/>
        </w:rPr>
        <w:t xml:space="preserve">Intergovernmental Panel on Climate Change, Summary for policymakers, in </w:t>
      </w:r>
      <w:r w:rsidRPr="00FB1FA0">
        <w:rPr>
          <w:i/>
          <w:iCs/>
          <w:lang w:val="en-US"/>
        </w:rPr>
        <w:t xml:space="preserve">Climate Change 2023: Synthesis Report, Contribution of Working Groups I, II and III to the Sixth Assessment Report of the Intergovernmental Panel on Climate </w:t>
      </w:r>
      <w:r w:rsidRPr="00FB1FA0">
        <w:rPr>
          <w:lang w:val="en-US"/>
        </w:rPr>
        <w:t xml:space="preserve">Change; </w:t>
      </w:r>
      <w:r>
        <w:t>и</w:t>
      </w:r>
      <w:r w:rsidRPr="00FB1FA0">
        <w:rPr>
          <w:lang w:val="en-US"/>
        </w:rPr>
        <w:t xml:space="preserve"> </w:t>
      </w:r>
      <w:hyperlink r:id="rId33" w:history="1">
        <w:r w:rsidRPr="00DD62BF">
          <w:rPr>
            <w:rStyle w:val="a7"/>
            <w:lang w:val="en-US"/>
          </w:rPr>
          <w:t>A/79/270</w:t>
        </w:r>
      </w:hyperlink>
      <w:r w:rsidRPr="00FB1FA0">
        <w:rPr>
          <w:lang w:val="en-US"/>
        </w:rPr>
        <w:t xml:space="preserve">, </w:t>
      </w:r>
      <w:r>
        <w:t>п</w:t>
      </w:r>
      <w:r w:rsidR="00DD62BF" w:rsidRPr="00DD62BF">
        <w:rPr>
          <w:lang w:val="en-US"/>
        </w:rPr>
        <w:t xml:space="preserve">. </w:t>
      </w:r>
      <w:r w:rsidRPr="00FB1FA0">
        <w:rPr>
          <w:lang w:val="en-US"/>
        </w:rPr>
        <w:t>88.</w:t>
      </w:r>
    </w:p>
  </w:footnote>
  <w:footnote w:id="74">
    <w:p w14:paraId="2AA310AF" w14:textId="3B8096C1" w:rsidR="00C56814" w:rsidRDefault="00C56814">
      <w:pPr>
        <w:pStyle w:val="af"/>
      </w:pPr>
      <w:r w:rsidRPr="00C56814">
        <w:rPr>
          <w:lang w:val="en-US"/>
        </w:rPr>
        <w:tab/>
      </w:r>
      <w:r>
        <w:rPr>
          <w:rStyle w:val="a8"/>
        </w:rPr>
        <w:footnoteRef/>
      </w:r>
      <w:r>
        <w:tab/>
      </w:r>
      <w:hyperlink r:id="rId34" w:history="1">
        <w:r w:rsidRPr="00DD62BF">
          <w:rPr>
            <w:rStyle w:val="a7"/>
          </w:rPr>
          <w:t>E/C.12/2019/1</w:t>
        </w:r>
      </w:hyperlink>
      <w:r>
        <w:t>, п</w:t>
      </w:r>
      <w:r w:rsidR="00DD62BF">
        <w:t>п.</w:t>
      </w:r>
      <w:r>
        <w:t xml:space="preserve"> 6–10.</w:t>
      </w:r>
    </w:p>
  </w:footnote>
  <w:footnote w:id="75">
    <w:p w14:paraId="703365D8" w14:textId="03E3DC60" w:rsidR="00C56814" w:rsidRDefault="00C56814">
      <w:pPr>
        <w:pStyle w:val="af"/>
      </w:pPr>
      <w:r>
        <w:tab/>
      </w:r>
      <w:r>
        <w:rPr>
          <w:rStyle w:val="a8"/>
        </w:rPr>
        <w:footnoteRef/>
      </w:r>
      <w:r>
        <w:tab/>
        <w:t>Маастрихтские принципы прав человека будущих поколений, принцип 6.</w:t>
      </w:r>
    </w:p>
  </w:footnote>
  <w:footnote w:id="76">
    <w:p w14:paraId="58BCC3C0" w14:textId="3AFCB415" w:rsidR="00C56814" w:rsidRDefault="00C56814">
      <w:pPr>
        <w:pStyle w:val="af"/>
      </w:pPr>
      <w:r>
        <w:tab/>
      </w:r>
      <w:r>
        <w:rPr>
          <w:rStyle w:val="a8"/>
        </w:rPr>
        <w:footnoteRef/>
      </w:r>
      <w:r>
        <w:tab/>
      </w:r>
      <w:hyperlink r:id="rId35" w:history="1">
        <w:r w:rsidRPr="00DD62BF">
          <w:rPr>
            <w:rStyle w:val="a7"/>
            <w:lang w:val="en-US"/>
          </w:rPr>
          <w:t>A</w:t>
        </w:r>
        <w:r w:rsidRPr="00DD62BF">
          <w:rPr>
            <w:rStyle w:val="a7"/>
          </w:rPr>
          <w:t>/</w:t>
        </w:r>
        <w:proofErr w:type="spellStart"/>
        <w:r w:rsidRPr="00DD62BF">
          <w:rPr>
            <w:rStyle w:val="a7"/>
            <w:lang w:val="en-US"/>
          </w:rPr>
          <w:t>HRC</w:t>
        </w:r>
        <w:proofErr w:type="spellEnd"/>
        <w:r w:rsidRPr="00DD62BF">
          <w:rPr>
            <w:rStyle w:val="a7"/>
          </w:rPr>
          <w:t>/49/53</w:t>
        </w:r>
      </w:hyperlink>
      <w:r w:rsidRPr="006F1F25">
        <w:t xml:space="preserve">, </w:t>
      </w:r>
      <w:r>
        <w:t>п</w:t>
      </w:r>
      <w:r w:rsidR="00DD62BF">
        <w:t>.</w:t>
      </w:r>
      <w:r w:rsidRPr="006F1F25">
        <w:t xml:space="preserve"> 28.</w:t>
      </w:r>
    </w:p>
  </w:footnote>
  <w:footnote w:id="77">
    <w:p w14:paraId="64297A05" w14:textId="7E605564" w:rsidR="00C56814" w:rsidRDefault="00C56814">
      <w:pPr>
        <w:pStyle w:val="af"/>
      </w:pPr>
      <w:r>
        <w:tab/>
      </w:r>
      <w:r>
        <w:rPr>
          <w:rStyle w:val="a8"/>
        </w:rPr>
        <w:footnoteRef/>
      </w:r>
      <w:r>
        <w:tab/>
      </w:r>
      <w:hyperlink r:id="rId36" w:history="1">
        <w:r w:rsidRPr="00DD62BF">
          <w:rPr>
            <w:rStyle w:val="a7"/>
            <w:lang w:val="en-US"/>
          </w:rPr>
          <w:t>A</w:t>
        </w:r>
        <w:r w:rsidRPr="00DD62BF">
          <w:rPr>
            <w:rStyle w:val="a7"/>
          </w:rPr>
          <w:t>/77/549</w:t>
        </w:r>
      </w:hyperlink>
      <w:r w:rsidRPr="006F1F25">
        <w:t xml:space="preserve">, </w:t>
      </w:r>
      <w:r>
        <w:t>п</w:t>
      </w:r>
      <w:r w:rsidR="00DD62BF">
        <w:t>.</w:t>
      </w:r>
      <w:r w:rsidRPr="006F1F25">
        <w:t xml:space="preserve"> 77.</w:t>
      </w:r>
    </w:p>
  </w:footnote>
  <w:footnote w:id="78">
    <w:p w14:paraId="55870CB4" w14:textId="5CFDF443" w:rsidR="00C56814" w:rsidRDefault="00C56814">
      <w:pPr>
        <w:pStyle w:val="af"/>
      </w:pPr>
      <w:r>
        <w:tab/>
      </w:r>
      <w:r>
        <w:rPr>
          <w:rStyle w:val="a8"/>
        </w:rPr>
        <w:footnoteRef/>
      </w:r>
      <w:r>
        <w:tab/>
      </w:r>
      <w:hyperlink r:id="rId37" w:history="1">
        <w:r w:rsidRPr="00DD62BF">
          <w:rPr>
            <w:rStyle w:val="a7"/>
            <w:lang w:val="en-US"/>
          </w:rPr>
          <w:t>A</w:t>
        </w:r>
        <w:r w:rsidRPr="00DD62BF">
          <w:rPr>
            <w:rStyle w:val="a7"/>
          </w:rPr>
          <w:t>/</w:t>
        </w:r>
        <w:proofErr w:type="spellStart"/>
        <w:r w:rsidRPr="00DD62BF">
          <w:rPr>
            <w:rStyle w:val="a7"/>
            <w:lang w:val="en-US"/>
          </w:rPr>
          <w:t>HRC</w:t>
        </w:r>
        <w:proofErr w:type="spellEnd"/>
        <w:r w:rsidRPr="00DD62BF">
          <w:rPr>
            <w:rStyle w:val="a7"/>
          </w:rPr>
          <w:t>/49/53</w:t>
        </w:r>
      </w:hyperlink>
      <w:r w:rsidRPr="006F1F25">
        <w:t xml:space="preserve">, </w:t>
      </w:r>
      <w:r>
        <w:t>п</w:t>
      </w:r>
      <w:r w:rsidR="00DD62BF">
        <w:t>.</w:t>
      </w:r>
      <w:r w:rsidRPr="006F1F25">
        <w:t xml:space="preserve"> 57.</w:t>
      </w:r>
    </w:p>
  </w:footnote>
  <w:footnote w:id="79">
    <w:p w14:paraId="3B9D2A13" w14:textId="0A62748F" w:rsidR="00C56814" w:rsidRDefault="00C56814">
      <w:pPr>
        <w:pStyle w:val="af"/>
      </w:pPr>
      <w:r>
        <w:tab/>
      </w:r>
      <w:r>
        <w:rPr>
          <w:rStyle w:val="a8"/>
        </w:rPr>
        <w:footnoteRef/>
      </w:r>
      <w:r>
        <w:tab/>
      </w:r>
      <w:hyperlink r:id="rId38" w:history="1">
        <w:r w:rsidR="00E178B1" w:rsidRPr="00DD62BF">
          <w:rPr>
            <w:rStyle w:val="a7"/>
            <w:lang w:val="en-US"/>
          </w:rPr>
          <w:t>E</w:t>
        </w:r>
        <w:r w:rsidR="00E178B1" w:rsidRPr="00DD62BF">
          <w:rPr>
            <w:rStyle w:val="a7"/>
          </w:rPr>
          <w:t>/2022/27</w:t>
        </w:r>
      </w:hyperlink>
      <w:r w:rsidR="00E178B1" w:rsidRPr="006F1F25">
        <w:t xml:space="preserve">, </w:t>
      </w:r>
      <w:r w:rsidR="00E178B1">
        <w:t>глава</w:t>
      </w:r>
      <w:r w:rsidR="00E178B1" w:rsidRPr="006F1F25">
        <w:t xml:space="preserve"> </w:t>
      </w:r>
      <w:r w:rsidR="00E178B1" w:rsidRPr="00F927D4">
        <w:rPr>
          <w:lang w:val="en-US"/>
        </w:rPr>
        <w:t>I</w:t>
      </w:r>
      <w:r w:rsidR="00E178B1" w:rsidRPr="006F1F25">
        <w:t xml:space="preserve">, </w:t>
      </w:r>
      <w:r w:rsidR="00E178B1">
        <w:t>разд</w:t>
      </w:r>
      <w:r w:rsidR="00F37A69">
        <w:t>.</w:t>
      </w:r>
      <w:r w:rsidR="00E178B1" w:rsidRPr="006F1F25">
        <w:t xml:space="preserve"> </w:t>
      </w:r>
      <w:r w:rsidR="00E178B1" w:rsidRPr="00F927D4">
        <w:rPr>
          <w:lang w:val="en-US"/>
        </w:rPr>
        <w:t>A</w:t>
      </w:r>
      <w:r w:rsidR="00E178B1" w:rsidRPr="006F1F25">
        <w:t xml:space="preserve">, </w:t>
      </w:r>
      <w:r w:rsidR="00E178B1">
        <w:t>п</w:t>
      </w:r>
      <w:r w:rsidR="00DD62BF">
        <w:t>.</w:t>
      </w:r>
      <w:r w:rsidR="00E178B1" w:rsidRPr="006F1F25">
        <w:t xml:space="preserve"> 46.</w:t>
      </w:r>
    </w:p>
  </w:footnote>
  <w:footnote w:id="80">
    <w:p w14:paraId="61A3A1FC" w14:textId="515ECDA5" w:rsidR="00E178B1" w:rsidRDefault="00E178B1">
      <w:pPr>
        <w:pStyle w:val="af"/>
      </w:pPr>
      <w:r>
        <w:tab/>
      </w:r>
      <w:r>
        <w:rPr>
          <w:rStyle w:val="a8"/>
        </w:rPr>
        <w:footnoteRef/>
      </w:r>
      <w:r>
        <w:tab/>
      </w:r>
      <w:hyperlink r:id="rId39" w:history="1">
        <w:r w:rsidRPr="00DD62BF">
          <w:rPr>
            <w:rStyle w:val="a7"/>
          </w:rPr>
          <w:t>A/</w:t>
        </w:r>
        <w:proofErr w:type="spellStart"/>
        <w:r w:rsidRPr="00DD62BF">
          <w:rPr>
            <w:rStyle w:val="a7"/>
          </w:rPr>
          <w:t>HRC</w:t>
        </w:r>
        <w:proofErr w:type="spellEnd"/>
        <w:r w:rsidRPr="00DD62BF">
          <w:rPr>
            <w:rStyle w:val="a7"/>
          </w:rPr>
          <w:t>/52/33</w:t>
        </w:r>
      </w:hyperlink>
      <w:r>
        <w:t xml:space="preserve">, </w:t>
      </w:r>
      <w:proofErr w:type="spellStart"/>
      <w:r>
        <w:t>п</w:t>
      </w:r>
      <w:r w:rsidR="00DD62BF">
        <w:t>п</w:t>
      </w:r>
      <w:proofErr w:type="spellEnd"/>
      <w:r w:rsidR="00DD62BF">
        <w:t>.</w:t>
      </w:r>
      <w:r>
        <w:t xml:space="preserve"> 15, 18, 29 и 33.</w:t>
      </w:r>
    </w:p>
  </w:footnote>
  <w:footnote w:id="81">
    <w:p w14:paraId="3916B7DC" w14:textId="5DA4FAC3" w:rsidR="00E178B1" w:rsidRDefault="00E178B1">
      <w:pPr>
        <w:pStyle w:val="af"/>
      </w:pPr>
      <w:r>
        <w:tab/>
      </w:r>
      <w:r>
        <w:rPr>
          <w:rStyle w:val="a8"/>
        </w:rPr>
        <w:footnoteRef/>
      </w:r>
      <w:r>
        <w:tab/>
        <w:t>Замечание общего порядка № 26 (2022), п</w:t>
      </w:r>
      <w:r w:rsidR="00DD62BF">
        <w:t>.</w:t>
      </w:r>
      <w:r>
        <w:t xml:space="preserve"> 14.</w:t>
      </w:r>
    </w:p>
  </w:footnote>
  <w:footnote w:id="82">
    <w:p w14:paraId="13A5C536" w14:textId="10FC3B79" w:rsidR="00E178B1" w:rsidRDefault="00E178B1">
      <w:pPr>
        <w:pStyle w:val="af"/>
      </w:pPr>
      <w:r>
        <w:tab/>
      </w:r>
      <w:r>
        <w:rPr>
          <w:rStyle w:val="a8"/>
        </w:rPr>
        <w:footnoteRef/>
      </w:r>
      <w:r>
        <w:tab/>
        <w:t>Замечание общего порядка № 16 (2005), п</w:t>
      </w:r>
      <w:r w:rsidR="00DD62BF">
        <w:t>.</w:t>
      </w:r>
      <w:r>
        <w:t xml:space="preserve"> 28.</w:t>
      </w:r>
    </w:p>
  </w:footnote>
  <w:footnote w:id="83">
    <w:p w14:paraId="1EDA02C4" w14:textId="4567C51C" w:rsidR="00E178B1" w:rsidRDefault="00E178B1">
      <w:pPr>
        <w:pStyle w:val="af"/>
      </w:pPr>
      <w:r>
        <w:tab/>
      </w:r>
      <w:r>
        <w:rPr>
          <w:rStyle w:val="a8"/>
        </w:rPr>
        <w:footnoteRef/>
      </w:r>
      <w:r>
        <w:tab/>
      </w:r>
      <w:hyperlink r:id="rId40" w:history="1">
        <w:r w:rsidRPr="00DD62BF">
          <w:rPr>
            <w:rStyle w:val="a7"/>
          </w:rPr>
          <w:t>E/2022/27</w:t>
        </w:r>
      </w:hyperlink>
      <w:r>
        <w:t>, гл</w:t>
      </w:r>
      <w:r w:rsidR="00C94242">
        <w:t>.</w:t>
      </w:r>
      <w:r>
        <w:t xml:space="preserve"> I, разд</w:t>
      </w:r>
      <w:r w:rsidR="00C94242">
        <w:t>.</w:t>
      </w:r>
      <w:r>
        <w:t xml:space="preserve"> A, п</w:t>
      </w:r>
      <w:r w:rsidR="00DD62BF">
        <w:t>п.</w:t>
      </w:r>
      <w:r>
        <w:t xml:space="preserve"> 23, 38, 47 и 62 </w:t>
      </w:r>
      <w:proofErr w:type="spellStart"/>
      <w:r>
        <w:t>jj</w:t>
      </w:r>
      <w:proofErr w:type="spellEnd"/>
      <w:r>
        <w:t xml:space="preserve">); и </w:t>
      </w:r>
      <w:hyperlink r:id="rId41" w:history="1">
        <w:r w:rsidRPr="00DD62BF">
          <w:rPr>
            <w:rStyle w:val="a7"/>
          </w:rPr>
          <w:t>A/</w:t>
        </w:r>
        <w:proofErr w:type="spellStart"/>
        <w:r w:rsidRPr="00DD62BF">
          <w:rPr>
            <w:rStyle w:val="a7"/>
          </w:rPr>
          <w:t>HRC</w:t>
        </w:r>
        <w:proofErr w:type="spellEnd"/>
        <w:r w:rsidRPr="00DD62BF">
          <w:rPr>
            <w:rStyle w:val="a7"/>
          </w:rPr>
          <w:t>/41/26</w:t>
        </w:r>
      </w:hyperlink>
      <w:r>
        <w:t>, п</w:t>
      </w:r>
      <w:r w:rsidR="00DD62BF">
        <w:t>.</w:t>
      </w:r>
      <w:r>
        <w:t xml:space="preserve"> 8.</w:t>
      </w:r>
    </w:p>
  </w:footnote>
  <w:footnote w:id="84">
    <w:p w14:paraId="099F17D6" w14:textId="261FF489" w:rsidR="00E178B1" w:rsidRDefault="00E178B1">
      <w:pPr>
        <w:pStyle w:val="af"/>
      </w:pPr>
      <w:r>
        <w:tab/>
      </w:r>
      <w:r>
        <w:rPr>
          <w:rStyle w:val="a8"/>
        </w:rPr>
        <w:footnoteRef/>
      </w:r>
      <w:r>
        <w:tab/>
      </w:r>
      <w:hyperlink r:id="rId42" w:history="1">
        <w:r w:rsidRPr="00DD62BF">
          <w:rPr>
            <w:rStyle w:val="a7"/>
          </w:rPr>
          <w:t>A/</w:t>
        </w:r>
        <w:proofErr w:type="spellStart"/>
        <w:r w:rsidRPr="00DD62BF">
          <w:rPr>
            <w:rStyle w:val="a7"/>
          </w:rPr>
          <w:t>HRC</w:t>
        </w:r>
        <w:proofErr w:type="spellEnd"/>
        <w:r w:rsidRPr="00DD62BF">
          <w:rPr>
            <w:rStyle w:val="a7"/>
          </w:rPr>
          <w:t>/58/43</w:t>
        </w:r>
      </w:hyperlink>
      <w:r>
        <w:t>, п</w:t>
      </w:r>
      <w:r w:rsidR="00DD62BF">
        <w:t>.</w:t>
      </w:r>
      <w:r>
        <w:t xml:space="preserve"> 72 a).</w:t>
      </w:r>
    </w:p>
  </w:footnote>
  <w:footnote w:id="85">
    <w:p w14:paraId="2AB9DB41" w14:textId="7B4715F7" w:rsidR="00E178B1" w:rsidRDefault="00E178B1">
      <w:pPr>
        <w:pStyle w:val="af"/>
      </w:pPr>
      <w:r>
        <w:tab/>
      </w:r>
      <w:r>
        <w:rPr>
          <w:rStyle w:val="a8"/>
        </w:rPr>
        <w:footnoteRef/>
      </w:r>
      <w:r>
        <w:tab/>
        <w:t>Комитет по ликвидации дискриминации в отношении женщин, общая рекомендация № 37 (2018), п</w:t>
      </w:r>
      <w:r w:rsidR="00DD62BF">
        <w:t>.</w:t>
      </w:r>
      <w:r>
        <w:t xml:space="preserve"> 26; и </w:t>
      </w:r>
      <w:hyperlink r:id="rId43" w:history="1">
        <w:r w:rsidRPr="00DD62BF">
          <w:rPr>
            <w:rStyle w:val="a7"/>
          </w:rPr>
          <w:t>A/</w:t>
        </w:r>
        <w:proofErr w:type="spellStart"/>
        <w:r w:rsidRPr="00DD62BF">
          <w:rPr>
            <w:rStyle w:val="a7"/>
          </w:rPr>
          <w:t>HRC</w:t>
        </w:r>
        <w:proofErr w:type="spellEnd"/>
        <w:r w:rsidRPr="00DD62BF">
          <w:rPr>
            <w:rStyle w:val="a7"/>
          </w:rPr>
          <w:t>/41/26</w:t>
        </w:r>
      </w:hyperlink>
      <w:r>
        <w:t>.</w:t>
      </w:r>
    </w:p>
  </w:footnote>
  <w:footnote w:id="86">
    <w:p w14:paraId="45881C26" w14:textId="55FF1A86" w:rsidR="00E178B1" w:rsidRPr="00DD62BF" w:rsidRDefault="00E178B1">
      <w:pPr>
        <w:pStyle w:val="af"/>
        <w:rPr>
          <w:lang w:val="en-US"/>
        </w:rPr>
      </w:pPr>
      <w:r>
        <w:tab/>
      </w:r>
      <w:r>
        <w:rPr>
          <w:rStyle w:val="a8"/>
        </w:rPr>
        <w:footnoteRef/>
      </w:r>
      <w:r w:rsidRPr="00DD62BF">
        <w:rPr>
          <w:lang w:val="en-US"/>
        </w:rPr>
        <w:tab/>
      </w:r>
      <w:hyperlink r:id="rId44" w:history="1">
        <w:r w:rsidRPr="00DD62BF">
          <w:rPr>
            <w:rStyle w:val="a7"/>
            <w:lang w:val="en-US"/>
          </w:rPr>
          <w:t>A/</w:t>
        </w:r>
        <w:proofErr w:type="spellStart"/>
        <w:r w:rsidRPr="00DD62BF">
          <w:rPr>
            <w:rStyle w:val="a7"/>
            <w:lang w:val="en-US"/>
          </w:rPr>
          <w:t>HRC</w:t>
        </w:r>
        <w:proofErr w:type="spellEnd"/>
        <w:r w:rsidRPr="00DD62BF">
          <w:rPr>
            <w:rStyle w:val="a7"/>
            <w:lang w:val="en-US"/>
          </w:rPr>
          <w:t>/52/33</w:t>
        </w:r>
      </w:hyperlink>
      <w:r w:rsidRPr="00DD62BF">
        <w:rPr>
          <w:lang w:val="en-US"/>
        </w:rPr>
        <w:t xml:space="preserve">, </w:t>
      </w:r>
      <w:r>
        <w:t>п</w:t>
      </w:r>
      <w:r w:rsidR="00DD62BF" w:rsidRPr="00DD62BF">
        <w:rPr>
          <w:lang w:val="en-US"/>
        </w:rPr>
        <w:t>.</w:t>
      </w:r>
      <w:r w:rsidRPr="00DD62BF">
        <w:rPr>
          <w:lang w:val="en-US"/>
        </w:rPr>
        <w:t xml:space="preserve"> 66.</w:t>
      </w:r>
    </w:p>
  </w:footnote>
  <w:footnote w:id="87">
    <w:p w14:paraId="77D31B5F" w14:textId="51A2B073" w:rsidR="00E178B1" w:rsidRPr="00DD62BF" w:rsidRDefault="00E178B1">
      <w:pPr>
        <w:pStyle w:val="af"/>
        <w:rPr>
          <w:lang w:val="en-US"/>
        </w:rPr>
      </w:pPr>
      <w:r w:rsidRPr="00DD62BF">
        <w:rPr>
          <w:lang w:val="en-US"/>
        </w:rPr>
        <w:tab/>
      </w:r>
      <w:r>
        <w:rPr>
          <w:rStyle w:val="a8"/>
        </w:rPr>
        <w:footnoteRef/>
      </w:r>
      <w:r w:rsidRPr="00DD62BF">
        <w:rPr>
          <w:lang w:val="en-US"/>
        </w:rPr>
        <w:tab/>
      </w:r>
      <w:hyperlink r:id="rId45" w:history="1">
        <w:r w:rsidRPr="00DD62BF">
          <w:rPr>
            <w:rStyle w:val="a7"/>
            <w:lang w:val="en-US"/>
          </w:rPr>
          <w:t>E/C.12/COD/CO/4</w:t>
        </w:r>
      </w:hyperlink>
      <w:r w:rsidRPr="00DD62BF">
        <w:rPr>
          <w:lang w:val="en-US"/>
        </w:rPr>
        <w:t xml:space="preserve">, </w:t>
      </w:r>
      <w:r>
        <w:t>п</w:t>
      </w:r>
      <w:r w:rsidR="00DD62BF" w:rsidRPr="00DD62BF">
        <w:rPr>
          <w:lang w:val="en-US"/>
        </w:rPr>
        <w:t>.</w:t>
      </w:r>
      <w:r w:rsidRPr="00DD62BF">
        <w:rPr>
          <w:lang w:val="en-US"/>
        </w:rPr>
        <w:t xml:space="preserve"> 13; </w:t>
      </w:r>
      <w:hyperlink r:id="rId46" w:history="1">
        <w:r w:rsidRPr="00DD62BF">
          <w:rPr>
            <w:rStyle w:val="a7"/>
            <w:lang w:val="en-US"/>
          </w:rPr>
          <w:t>E/C.12/</w:t>
        </w:r>
        <w:proofErr w:type="spellStart"/>
        <w:r w:rsidRPr="00DD62BF">
          <w:rPr>
            <w:rStyle w:val="a7"/>
            <w:lang w:val="en-US"/>
          </w:rPr>
          <w:t>MRT</w:t>
        </w:r>
        <w:proofErr w:type="spellEnd"/>
        <w:r w:rsidRPr="00DD62BF">
          <w:rPr>
            <w:rStyle w:val="a7"/>
            <w:lang w:val="en-US"/>
          </w:rPr>
          <w:t>/CO/1</w:t>
        </w:r>
      </w:hyperlink>
      <w:r w:rsidRPr="00DD62BF">
        <w:rPr>
          <w:lang w:val="en-US"/>
        </w:rPr>
        <w:t xml:space="preserve">, </w:t>
      </w:r>
      <w:r>
        <w:t>п</w:t>
      </w:r>
      <w:r w:rsidR="00DD62BF" w:rsidRPr="00DD62BF">
        <w:rPr>
          <w:lang w:val="en-US"/>
        </w:rPr>
        <w:t>.</w:t>
      </w:r>
      <w:r w:rsidRPr="00DD62BF">
        <w:rPr>
          <w:lang w:val="en-US"/>
        </w:rPr>
        <w:t xml:space="preserve"> 8; </w:t>
      </w:r>
      <w:r>
        <w:t>и</w:t>
      </w:r>
      <w:r w:rsidRPr="00DD62BF">
        <w:rPr>
          <w:lang w:val="en-US"/>
        </w:rPr>
        <w:t xml:space="preserve"> </w:t>
      </w:r>
      <w:hyperlink r:id="rId47" w:history="1">
        <w:r w:rsidRPr="00DD62BF">
          <w:rPr>
            <w:rStyle w:val="a7"/>
            <w:lang w:val="en-US"/>
          </w:rPr>
          <w:t>E/C.12/1/Add.33</w:t>
        </w:r>
      </w:hyperlink>
      <w:r w:rsidRPr="00DD62BF">
        <w:rPr>
          <w:lang w:val="en-US"/>
        </w:rPr>
        <w:t xml:space="preserve">, </w:t>
      </w:r>
      <w:r>
        <w:t>п</w:t>
      </w:r>
      <w:r w:rsidR="00DD62BF" w:rsidRPr="00DD62BF">
        <w:rPr>
          <w:lang w:val="en-US"/>
        </w:rPr>
        <w:t>.</w:t>
      </w:r>
      <w:r w:rsidRPr="00DD62BF">
        <w:rPr>
          <w:lang w:val="en-US"/>
        </w:rPr>
        <w:t xml:space="preserve"> 10.</w:t>
      </w:r>
    </w:p>
  </w:footnote>
  <w:footnote w:id="88">
    <w:p w14:paraId="4F1173EE" w14:textId="3251425F" w:rsidR="00E178B1" w:rsidRPr="00E178B1" w:rsidRDefault="00E178B1">
      <w:pPr>
        <w:pStyle w:val="af"/>
        <w:rPr>
          <w:lang w:val="es-ES"/>
        </w:rPr>
      </w:pPr>
      <w:r w:rsidRPr="00DD62BF">
        <w:rPr>
          <w:lang w:val="en-US"/>
        </w:rPr>
        <w:tab/>
      </w:r>
      <w:r>
        <w:rPr>
          <w:rStyle w:val="a8"/>
        </w:rPr>
        <w:footnoteRef/>
      </w:r>
      <w:r w:rsidRPr="00E178B1">
        <w:rPr>
          <w:lang w:val="es-ES"/>
        </w:rPr>
        <w:tab/>
      </w:r>
      <w:hyperlink r:id="rId48" w:history="1">
        <w:r w:rsidRPr="00DD62BF">
          <w:rPr>
            <w:rStyle w:val="a7"/>
            <w:lang w:val="es-ES"/>
          </w:rPr>
          <w:t>E/C.12/</w:t>
        </w:r>
        <w:proofErr w:type="spellStart"/>
        <w:r w:rsidRPr="00DD62BF">
          <w:rPr>
            <w:rStyle w:val="a7"/>
            <w:lang w:val="es-ES"/>
          </w:rPr>
          <w:t>CMR</w:t>
        </w:r>
        <w:proofErr w:type="spellEnd"/>
        <w:r w:rsidRPr="00DD62BF">
          <w:rPr>
            <w:rStyle w:val="a7"/>
            <w:lang w:val="es-ES"/>
          </w:rPr>
          <w:t>/CO/4</w:t>
        </w:r>
      </w:hyperlink>
      <w:r w:rsidRPr="00FB1FA0">
        <w:rPr>
          <w:lang w:val="es-ES"/>
        </w:rPr>
        <w:t xml:space="preserve">, </w:t>
      </w:r>
      <w:r>
        <w:t>п</w:t>
      </w:r>
      <w:r w:rsidR="00DD62BF" w:rsidRPr="00DD62BF">
        <w:rPr>
          <w:lang w:val="es-ES"/>
        </w:rPr>
        <w:t>.</w:t>
      </w:r>
      <w:r w:rsidRPr="00FB1FA0">
        <w:rPr>
          <w:lang w:val="es-ES"/>
        </w:rPr>
        <w:t xml:space="preserve"> 15; </w:t>
      </w:r>
      <w:r>
        <w:t>и</w:t>
      </w:r>
      <w:r w:rsidRPr="00FB1FA0">
        <w:rPr>
          <w:lang w:val="es-ES"/>
        </w:rPr>
        <w:t xml:space="preserve"> </w:t>
      </w:r>
      <w:hyperlink r:id="rId49" w:history="1">
        <w:r w:rsidRPr="00DD62BF">
          <w:rPr>
            <w:rStyle w:val="a7"/>
            <w:lang w:val="es-ES"/>
          </w:rPr>
          <w:t>E/C.12/FIN/CO/6</w:t>
        </w:r>
      </w:hyperlink>
      <w:r w:rsidRPr="00FB1FA0">
        <w:rPr>
          <w:lang w:val="es-ES"/>
        </w:rPr>
        <w:t xml:space="preserve">, </w:t>
      </w:r>
      <w:r>
        <w:t>п</w:t>
      </w:r>
      <w:r w:rsidR="00DD62BF" w:rsidRPr="00DD62BF">
        <w:rPr>
          <w:lang w:val="es-ES"/>
        </w:rPr>
        <w:t>.</w:t>
      </w:r>
      <w:r w:rsidRPr="00FB1FA0">
        <w:rPr>
          <w:lang w:val="es-ES"/>
        </w:rPr>
        <w:t xml:space="preserve"> 9 </w:t>
      </w:r>
      <w:r>
        <w:t>с</w:t>
      </w:r>
      <w:r w:rsidRPr="00FB1FA0">
        <w:rPr>
          <w:lang w:val="es-ES"/>
        </w:rPr>
        <w:t>).</w:t>
      </w:r>
    </w:p>
  </w:footnote>
  <w:footnote w:id="89">
    <w:p w14:paraId="77F40B14" w14:textId="2D7ADA6D" w:rsidR="00E178B1" w:rsidRDefault="00E178B1">
      <w:pPr>
        <w:pStyle w:val="af"/>
      </w:pPr>
      <w:r w:rsidRPr="00E178B1">
        <w:rPr>
          <w:lang w:val="es-ES"/>
        </w:rPr>
        <w:tab/>
      </w:r>
      <w:r>
        <w:rPr>
          <w:rStyle w:val="a8"/>
        </w:rPr>
        <w:footnoteRef/>
      </w:r>
      <w:r>
        <w:tab/>
        <w:t>Замечание общего порядка № 25 (2020), п</w:t>
      </w:r>
      <w:r w:rsidR="00DD62BF">
        <w:t>п.</w:t>
      </w:r>
      <w:r>
        <w:t xml:space="preserve"> 53–56.</w:t>
      </w:r>
    </w:p>
  </w:footnote>
  <w:footnote w:id="90">
    <w:p w14:paraId="31FD222B" w14:textId="3D98BABB" w:rsidR="00E178B1" w:rsidRDefault="00E178B1">
      <w:pPr>
        <w:pStyle w:val="af"/>
      </w:pPr>
      <w:r>
        <w:tab/>
      </w:r>
      <w:r>
        <w:rPr>
          <w:rStyle w:val="a8"/>
        </w:rPr>
        <w:footnoteRef/>
      </w:r>
      <w:r>
        <w:tab/>
        <w:t>Замечание общего порядка № 26 (2022), п</w:t>
      </w:r>
      <w:r w:rsidR="00DD62BF">
        <w:t>п.</w:t>
      </w:r>
      <w:r>
        <w:t xml:space="preserve"> 15, 21 и 58; и </w:t>
      </w:r>
      <w:r>
        <w:rPr>
          <w:i/>
          <w:iCs/>
        </w:rPr>
        <w:t>Ж.Т. и др. против Финляндии</w:t>
      </w:r>
      <w:r>
        <w:t>, п</w:t>
      </w:r>
      <w:r w:rsidR="00DD62BF">
        <w:t>. </w:t>
      </w:r>
      <w:r>
        <w:t>14.6.</w:t>
      </w:r>
    </w:p>
  </w:footnote>
  <w:footnote w:id="91">
    <w:p w14:paraId="045D00DA" w14:textId="6CC71CB4" w:rsidR="00E178B1" w:rsidRDefault="00E178B1">
      <w:pPr>
        <w:pStyle w:val="af"/>
      </w:pPr>
      <w:r>
        <w:tab/>
      </w:r>
      <w:r>
        <w:rPr>
          <w:rStyle w:val="a8"/>
        </w:rPr>
        <w:footnoteRef/>
      </w:r>
      <w:r>
        <w:tab/>
      </w:r>
      <w:hyperlink r:id="rId50" w:history="1">
        <w:r w:rsidRPr="00DD62BF">
          <w:rPr>
            <w:rStyle w:val="a7"/>
            <w:lang w:val="en-US"/>
          </w:rPr>
          <w:t>E</w:t>
        </w:r>
        <w:r w:rsidRPr="00DD62BF">
          <w:rPr>
            <w:rStyle w:val="a7"/>
          </w:rPr>
          <w:t>/</w:t>
        </w:r>
        <w:r w:rsidRPr="00DD62BF">
          <w:rPr>
            <w:rStyle w:val="a7"/>
            <w:lang w:val="en-US"/>
          </w:rPr>
          <w:t>C</w:t>
        </w:r>
        <w:r w:rsidRPr="00DD62BF">
          <w:rPr>
            <w:rStyle w:val="a7"/>
          </w:rPr>
          <w:t>.12/</w:t>
        </w:r>
        <w:r w:rsidRPr="00DD62BF">
          <w:rPr>
            <w:rStyle w:val="a7"/>
            <w:lang w:val="en-US"/>
          </w:rPr>
          <w:t>KAZ</w:t>
        </w:r>
        <w:r w:rsidRPr="00DD62BF">
          <w:rPr>
            <w:rStyle w:val="a7"/>
          </w:rPr>
          <w:t>/</w:t>
        </w:r>
        <w:r w:rsidRPr="00DD62BF">
          <w:rPr>
            <w:rStyle w:val="a7"/>
            <w:lang w:val="en-US"/>
          </w:rPr>
          <w:t>CO</w:t>
        </w:r>
        <w:r w:rsidRPr="00DD62BF">
          <w:rPr>
            <w:rStyle w:val="a7"/>
          </w:rPr>
          <w:t>/2</w:t>
        </w:r>
      </w:hyperlink>
      <w:r w:rsidRPr="006F1F25">
        <w:t xml:space="preserve">, </w:t>
      </w:r>
      <w:r>
        <w:t>п</w:t>
      </w:r>
      <w:r w:rsidR="00DD62BF">
        <w:t>.</w:t>
      </w:r>
      <w:r w:rsidRPr="006F1F25">
        <w:t xml:space="preserve"> 17 </w:t>
      </w:r>
      <w:r w:rsidRPr="00F927D4">
        <w:rPr>
          <w:lang w:val="en-US"/>
        </w:rPr>
        <w:t>e</w:t>
      </w:r>
      <w:r w:rsidRPr="006F1F25">
        <w:t>).</w:t>
      </w:r>
    </w:p>
  </w:footnote>
  <w:footnote w:id="92">
    <w:p w14:paraId="083C75D4" w14:textId="40284FBE" w:rsidR="00E178B1" w:rsidRDefault="00E178B1">
      <w:pPr>
        <w:pStyle w:val="af"/>
      </w:pPr>
      <w:r>
        <w:tab/>
      </w:r>
      <w:r>
        <w:rPr>
          <w:rStyle w:val="a8"/>
        </w:rPr>
        <w:footnoteRef/>
      </w:r>
      <w:r>
        <w:tab/>
        <w:t>Замечание общего порядка № 24 (2017), п</w:t>
      </w:r>
      <w:r w:rsidR="00DD62BF">
        <w:t>п.</w:t>
      </w:r>
      <w:r>
        <w:t xml:space="preserve"> 17, 18 и 32; и Декларация Организации Объединенных Наций о правах крестьян и других лиц, работающих в сельских районах, п</w:t>
      </w:r>
      <w:r w:rsidR="009061BD">
        <w:t>.</w:t>
      </w:r>
      <w:r w:rsidR="00DD62BF">
        <w:t> </w:t>
      </w:r>
      <w:r>
        <w:t>2 ст</w:t>
      </w:r>
      <w:r w:rsidR="009061BD">
        <w:t>.</w:t>
      </w:r>
      <w:r>
        <w:t xml:space="preserve"> 5.</w:t>
      </w:r>
    </w:p>
  </w:footnote>
  <w:footnote w:id="93">
    <w:p w14:paraId="2B35E490" w14:textId="43941D24" w:rsidR="00E178B1" w:rsidRDefault="00E178B1">
      <w:pPr>
        <w:pStyle w:val="af"/>
      </w:pPr>
      <w:r>
        <w:tab/>
      </w:r>
      <w:r>
        <w:rPr>
          <w:rStyle w:val="a8"/>
        </w:rPr>
        <w:footnoteRef/>
      </w:r>
      <w:r>
        <w:tab/>
        <w:t>Рио-де-Жанейрская декларация, принципы 2 и 3.</w:t>
      </w:r>
    </w:p>
  </w:footnote>
  <w:footnote w:id="94">
    <w:p w14:paraId="53F82A5E" w14:textId="7B05B8F9" w:rsidR="00E178B1" w:rsidRDefault="00E178B1">
      <w:pPr>
        <w:pStyle w:val="af"/>
      </w:pPr>
      <w:r>
        <w:tab/>
      </w:r>
      <w:r>
        <w:rPr>
          <w:rStyle w:val="a8"/>
        </w:rPr>
        <w:footnoteRef/>
      </w:r>
      <w:r>
        <w:tab/>
        <w:t xml:space="preserve">Рио-де-Жанейрская декларация, принцип 16; и </w:t>
      </w:r>
      <w:hyperlink r:id="rId51" w:history="1">
        <w:r w:rsidRPr="00DD62BF">
          <w:rPr>
            <w:rStyle w:val="a7"/>
          </w:rPr>
          <w:t>E/C.12/</w:t>
        </w:r>
        <w:proofErr w:type="spellStart"/>
        <w:r w:rsidRPr="00DD62BF">
          <w:rPr>
            <w:rStyle w:val="a7"/>
          </w:rPr>
          <w:t>MLI</w:t>
        </w:r>
        <w:proofErr w:type="spellEnd"/>
        <w:r w:rsidRPr="00DD62BF">
          <w:rPr>
            <w:rStyle w:val="a7"/>
          </w:rPr>
          <w:t>/CO/1</w:t>
        </w:r>
      </w:hyperlink>
      <w:r>
        <w:t>, п</w:t>
      </w:r>
      <w:r w:rsidR="00DD62BF">
        <w:t>.</w:t>
      </w:r>
      <w:r>
        <w:t xml:space="preserve"> 44.</w:t>
      </w:r>
    </w:p>
  </w:footnote>
  <w:footnote w:id="95">
    <w:p w14:paraId="67DA76BE" w14:textId="097AF18F" w:rsidR="00E178B1" w:rsidRDefault="00E178B1">
      <w:pPr>
        <w:pStyle w:val="af"/>
      </w:pPr>
      <w:r>
        <w:tab/>
      </w:r>
      <w:r>
        <w:rPr>
          <w:rStyle w:val="a8"/>
        </w:rPr>
        <w:footnoteRef/>
      </w:r>
      <w:r>
        <w:tab/>
        <w:t>МОТ, Рекомендации по справедливому переходу к экологически устойчивой модели экономики и общества в общих интересах, п</w:t>
      </w:r>
      <w:r w:rsidR="00DD62BF">
        <w:t>.</w:t>
      </w:r>
      <w:r>
        <w:t xml:space="preserve"> 12 d).</w:t>
      </w:r>
    </w:p>
  </w:footnote>
  <w:footnote w:id="96">
    <w:p w14:paraId="0A797C33" w14:textId="0EF3D9B5" w:rsidR="00E178B1" w:rsidRDefault="00E178B1">
      <w:pPr>
        <w:pStyle w:val="af"/>
      </w:pPr>
      <w:r>
        <w:tab/>
      </w:r>
      <w:r>
        <w:rPr>
          <w:rStyle w:val="a8"/>
        </w:rPr>
        <w:footnoteRef/>
      </w:r>
      <w:r>
        <w:tab/>
        <w:t>МОТ, ILC.111/Резолюция V, п</w:t>
      </w:r>
      <w:r w:rsidR="00DD62BF">
        <w:t>.</w:t>
      </w:r>
      <w:r>
        <w:t xml:space="preserve"> 21 g).</w:t>
      </w:r>
    </w:p>
  </w:footnote>
  <w:footnote w:id="97">
    <w:p w14:paraId="5CC59F15" w14:textId="101BF37E" w:rsidR="00E178B1" w:rsidRDefault="00E178B1">
      <w:pPr>
        <w:pStyle w:val="af"/>
      </w:pPr>
      <w:r>
        <w:tab/>
      </w:r>
      <w:r>
        <w:rPr>
          <w:rStyle w:val="a8"/>
        </w:rPr>
        <w:footnoteRef/>
      </w:r>
      <w:r>
        <w:tab/>
        <w:t>МОТ, Рекомендации по справедливому переходу, п</w:t>
      </w:r>
      <w:r w:rsidR="00DD62BF">
        <w:t>.</w:t>
      </w:r>
      <w:r>
        <w:t xml:space="preserve"> 29 f).</w:t>
      </w:r>
    </w:p>
  </w:footnote>
  <w:footnote w:id="98">
    <w:p w14:paraId="1CDF5397" w14:textId="3D425B30" w:rsidR="00E178B1" w:rsidRPr="00E178B1" w:rsidRDefault="00E178B1">
      <w:pPr>
        <w:pStyle w:val="af"/>
        <w:rPr>
          <w:lang w:val="en-US"/>
        </w:rPr>
      </w:pPr>
      <w:r>
        <w:tab/>
      </w:r>
      <w:r>
        <w:rPr>
          <w:rStyle w:val="a8"/>
        </w:rPr>
        <w:footnoteRef/>
      </w:r>
      <w:r w:rsidRPr="00E178B1">
        <w:rPr>
          <w:lang w:val="en-US"/>
        </w:rPr>
        <w:tab/>
      </w:r>
      <w:r>
        <w:t>Там</w:t>
      </w:r>
      <w:r w:rsidRPr="00FB1FA0">
        <w:rPr>
          <w:lang w:val="en-US"/>
        </w:rPr>
        <w:t xml:space="preserve"> </w:t>
      </w:r>
      <w:r>
        <w:t>же</w:t>
      </w:r>
      <w:r w:rsidRPr="00FB1FA0">
        <w:rPr>
          <w:lang w:val="en-US"/>
        </w:rPr>
        <w:t xml:space="preserve">, </w:t>
      </w:r>
      <w:r>
        <w:t>п</w:t>
      </w:r>
      <w:r w:rsidR="00DD62BF" w:rsidRPr="00DB2F7F">
        <w:rPr>
          <w:lang w:val="en-US"/>
        </w:rPr>
        <w:t>.</w:t>
      </w:r>
      <w:r w:rsidRPr="00FB1FA0">
        <w:rPr>
          <w:lang w:val="en-US"/>
        </w:rPr>
        <w:t xml:space="preserve"> 26 j).</w:t>
      </w:r>
    </w:p>
  </w:footnote>
  <w:footnote w:id="99">
    <w:p w14:paraId="4E9E68D8" w14:textId="5435BB6C" w:rsidR="00E178B1" w:rsidRPr="00E178B1" w:rsidRDefault="00E178B1">
      <w:pPr>
        <w:pStyle w:val="af"/>
        <w:rPr>
          <w:lang w:val="en-US"/>
        </w:rPr>
      </w:pPr>
      <w:r w:rsidRPr="00E178B1">
        <w:rPr>
          <w:lang w:val="en-US"/>
        </w:rPr>
        <w:tab/>
      </w:r>
      <w:r>
        <w:rPr>
          <w:rStyle w:val="a8"/>
        </w:rPr>
        <w:footnoteRef/>
      </w:r>
      <w:r w:rsidRPr="00E178B1">
        <w:rPr>
          <w:lang w:val="en-US"/>
        </w:rPr>
        <w:tab/>
      </w:r>
      <w:r w:rsidRPr="00FB1FA0">
        <w:rPr>
          <w:lang w:val="en-US"/>
        </w:rPr>
        <w:t xml:space="preserve">ILO, </w:t>
      </w:r>
      <w:r w:rsidRPr="00FB1FA0">
        <w:rPr>
          <w:i/>
          <w:iCs/>
          <w:lang w:val="en-US"/>
        </w:rPr>
        <w:t>Greening Enterprises: Transforming Processes and Workplaces</w:t>
      </w:r>
      <w:r w:rsidRPr="00FB1FA0">
        <w:rPr>
          <w:lang w:val="en-US"/>
        </w:rPr>
        <w:t>.</w:t>
      </w:r>
    </w:p>
  </w:footnote>
  <w:footnote w:id="100">
    <w:p w14:paraId="1EA1741E" w14:textId="6EE57E62" w:rsidR="00E178B1" w:rsidRPr="00E178B1" w:rsidRDefault="00E178B1">
      <w:pPr>
        <w:pStyle w:val="af"/>
        <w:rPr>
          <w:lang w:val="en-US"/>
        </w:rPr>
      </w:pPr>
      <w:r w:rsidRPr="00E178B1">
        <w:rPr>
          <w:lang w:val="en-US"/>
        </w:rPr>
        <w:tab/>
      </w:r>
      <w:r>
        <w:rPr>
          <w:rStyle w:val="a8"/>
        </w:rPr>
        <w:footnoteRef/>
      </w:r>
      <w:r w:rsidRPr="00E178B1">
        <w:rPr>
          <w:lang w:val="en-US"/>
        </w:rPr>
        <w:tab/>
      </w:r>
      <w:r w:rsidRPr="00FB1FA0">
        <w:rPr>
          <w:lang w:val="en-US"/>
        </w:rPr>
        <w:t xml:space="preserve">ILO, </w:t>
      </w:r>
      <w:r w:rsidRPr="00FB1FA0">
        <w:rPr>
          <w:i/>
          <w:iCs/>
          <w:lang w:val="en-US"/>
        </w:rPr>
        <w:t>World Social Protection Report 2024–26</w:t>
      </w:r>
      <w:r w:rsidRPr="00FB1FA0">
        <w:rPr>
          <w:lang w:val="en-US"/>
        </w:rPr>
        <w:t>, p. 76.</w:t>
      </w:r>
    </w:p>
  </w:footnote>
  <w:footnote w:id="101">
    <w:p w14:paraId="5DE52CB9" w14:textId="526B61EC" w:rsidR="00E178B1" w:rsidRDefault="00E178B1">
      <w:pPr>
        <w:pStyle w:val="af"/>
      </w:pPr>
      <w:r w:rsidRPr="00E178B1">
        <w:rPr>
          <w:lang w:val="en-US"/>
        </w:rPr>
        <w:tab/>
      </w:r>
      <w:r>
        <w:rPr>
          <w:rStyle w:val="a8"/>
        </w:rPr>
        <w:footnoteRef/>
      </w:r>
      <w:r>
        <w:tab/>
        <w:t>Ibid., p. 31.</w:t>
      </w:r>
    </w:p>
  </w:footnote>
  <w:footnote w:id="102">
    <w:p w14:paraId="62B5E250" w14:textId="021BEBA3" w:rsidR="00E178B1" w:rsidRDefault="00E178B1">
      <w:pPr>
        <w:pStyle w:val="af"/>
      </w:pPr>
      <w:r>
        <w:tab/>
      </w:r>
      <w:r>
        <w:rPr>
          <w:rStyle w:val="a8"/>
        </w:rPr>
        <w:footnoteRef/>
      </w:r>
      <w:r>
        <w:tab/>
        <w:t>Замечание общего порядка № 19 (2007), п</w:t>
      </w:r>
      <w:r w:rsidR="000F52A2">
        <w:t>.</w:t>
      </w:r>
      <w:r>
        <w:t xml:space="preserve"> 59 а); и </w:t>
      </w:r>
      <w:hyperlink r:id="rId52" w:history="1">
        <w:r w:rsidRPr="00DD62BF">
          <w:rPr>
            <w:rStyle w:val="a7"/>
          </w:rPr>
          <w:t>E/C.12/2015/1</w:t>
        </w:r>
      </w:hyperlink>
      <w:r>
        <w:t>, п</w:t>
      </w:r>
      <w:r w:rsidR="000F52A2">
        <w:t>п.</w:t>
      </w:r>
      <w:r>
        <w:t xml:space="preserve"> 7–9.</w:t>
      </w:r>
    </w:p>
  </w:footnote>
  <w:footnote w:id="103">
    <w:p w14:paraId="3CC7324B" w14:textId="0AC6BA3E" w:rsidR="00E178B1" w:rsidRDefault="00E178B1">
      <w:pPr>
        <w:pStyle w:val="af"/>
      </w:pPr>
      <w:r>
        <w:tab/>
      </w:r>
      <w:r>
        <w:rPr>
          <w:rStyle w:val="a8"/>
        </w:rPr>
        <w:footnoteRef/>
      </w:r>
      <w:r>
        <w:tab/>
        <w:t>Замечания общего порядка № 4 (1991); № 12 (1999): № 15 (2002).</w:t>
      </w:r>
    </w:p>
  </w:footnote>
  <w:footnote w:id="104">
    <w:p w14:paraId="65BD67CD" w14:textId="1643FEA8" w:rsidR="00E178B1" w:rsidRDefault="00E178B1">
      <w:pPr>
        <w:pStyle w:val="af"/>
      </w:pPr>
      <w:r>
        <w:tab/>
      </w:r>
      <w:r>
        <w:rPr>
          <w:rStyle w:val="a8"/>
        </w:rPr>
        <w:footnoteRef/>
      </w:r>
      <w:r>
        <w:tab/>
        <w:t>Продовольственная и сельскохозяйственная организация Объединенных Наций (ФАО), Добровольные руководящие принципы в поддержку постепенного осуществления права на</w:t>
      </w:r>
      <w:r w:rsidR="000F52A2">
        <w:t> </w:t>
      </w:r>
      <w:r>
        <w:t>достаточное питание в контексте национальной продовольственной безопасности: руководящий принцип 8Е.</w:t>
      </w:r>
    </w:p>
  </w:footnote>
  <w:footnote w:id="105">
    <w:p w14:paraId="554FC35D" w14:textId="4B188E3B" w:rsidR="00E178B1" w:rsidRDefault="00E178B1">
      <w:pPr>
        <w:pStyle w:val="af"/>
      </w:pPr>
      <w:r>
        <w:tab/>
      </w:r>
      <w:r>
        <w:rPr>
          <w:rStyle w:val="a8"/>
        </w:rPr>
        <w:footnoteRef/>
      </w:r>
      <w:r>
        <w:tab/>
        <w:t>Замечание общего порядка № 26 (2022), п</w:t>
      </w:r>
      <w:r w:rsidR="000F52A2">
        <w:t>п.</w:t>
      </w:r>
      <w:r>
        <w:t xml:space="preserve"> 22–33.</w:t>
      </w:r>
    </w:p>
  </w:footnote>
  <w:footnote w:id="106">
    <w:p w14:paraId="76B6760F" w14:textId="2E2E7813" w:rsidR="00E178B1" w:rsidRDefault="00E178B1">
      <w:pPr>
        <w:pStyle w:val="af"/>
      </w:pPr>
      <w:r>
        <w:tab/>
      </w:r>
      <w:r>
        <w:rPr>
          <w:rStyle w:val="a8"/>
        </w:rPr>
        <w:footnoteRef/>
      </w:r>
      <w:r>
        <w:tab/>
        <w:t>Декларация Организации Объединенных Наций о правах крестьян и других лиц, работающих в</w:t>
      </w:r>
      <w:r w:rsidR="002A60C7">
        <w:t> </w:t>
      </w:r>
      <w:r>
        <w:t>сельских районах, преамбула и п</w:t>
      </w:r>
      <w:r w:rsidR="00373001">
        <w:t>.</w:t>
      </w:r>
      <w:r>
        <w:t xml:space="preserve"> 7.</w:t>
      </w:r>
    </w:p>
  </w:footnote>
  <w:footnote w:id="107">
    <w:p w14:paraId="27E0B8D1" w14:textId="1AA99F75" w:rsidR="00E178B1" w:rsidRPr="00E178B1" w:rsidRDefault="00E178B1">
      <w:pPr>
        <w:pStyle w:val="af"/>
        <w:rPr>
          <w:lang w:val="en-US"/>
        </w:rPr>
      </w:pPr>
      <w:r>
        <w:tab/>
      </w:r>
      <w:r>
        <w:rPr>
          <w:rStyle w:val="a8"/>
        </w:rPr>
        <w:footnoteRef/>
      </w:r>
      <w:r w:rsidRPr="00E178B1">
        <w:rPr>
          <w:lang w:val="en-US"/>
        </w:rPr>
        <w:tab/>
      </w:r>
      <w:r w:rsidRPr="00FB1FA0">
        <w:rPr>
          <w:lang w:val="en-US"/>
        </w:rPr>
        <w:t xml:space="preserve">Intergovernmental Panel on Climate Change, </w:t>
      </w:r>
      <w:r w:rsidRPr="00FB1FA0">
        <w:rPr>
          <w:i/>
          <w:iCs/>
          <w:lang w:val="en-US"/>
        </w:rPr>
        <w:t>Climate Change and Land: An IPCC Special Report</w:t>
      </w:r>
      <w:r w:rsidRPr="00FB1FA0">
        <w:rPr>
          <w:lang w:val="en-US"/>
        </w:rPr>
        <w:t xml:space="preserve"> (2019), p. 439.</w:t>
      </w:r>
    </w:p>
  </w:footnote>
  <w:footnote w:id="108">
    <w:p w14:paraId="7FB537A6" w14:textId="3AFC599D" w:rsidR="00E178B1" w:rsidRPr="00E178B1" w:rsidRDefault="00E178B1">
      <w:pPr>
        <w:pStyle w:val="af"/>
        <w:rPr>
          <w:lang w:val="en-US"/>
        </w:rPr>
      </w:pPr>
      <w:r w:rsidRPr="00E178B1">
        <w:rPr>
          <w:lang w:val="en-US"/>
        </w:rPr>
        <w:tab/>
      </w:r>
      <w:r>
        <w:rPr>
          <w:rStyle w:val="a8"/>
        </w:rPr>
        <w:footnoteRef/>
      </w:r>
      <w:r w:rsidRPr="00E178B1">
        <w:rPr>
          <w:lang w:val="en-US"/>
        </w:rPr>
        <w:tab/>
      </w:r>
      <w:hyperlink r:id="rId53" w:history="1">
        <w:r w:rsidRPr="00DD62BF">
          <w:rPr>
            <w:rStyle w:val="a7"/>
            <w:lang w:val="en-US"/>
          </w:rPr>
          <w:t>A/</w:t>
        </w:r>
        <w:proofErr w:type="spellStart"/>
        <w:r w:rsidRPr="00DD62BF">
          <w:rPr>
            <w:rStyle w:val="a7"/>
            <w:lang w:val="en-US"/>
          </w:rPr>
          <w:t>HRC</w:t>
        </w:r>
        <w:proofErr w:type="spellEnd"/>
        <w:r w:rsidRPr="00DD62BF">
          <w:rPr>
            <w:rStyle w:val="a7"/>
            <w:lang w:val="en-US"/>
          </w:rPr>
          <w:t>/46/28</w:t>
        </w:r>
      </w:hyperlink>
      <w:r w:rsidRPr="00FB1FA0">
        <w:rPr>
          <w:lang w:val="en-US"/>
        </w:rPr>
        <w:t xml:space="preserve">, </w:t>
      </w:r>
      <w:r>
        <w:t>п</w:t>
      </w:r>
      <w:r w:rsidR="00016277" w:rsidRPr="00016277">
        <w:rPr>
          <w:lang w:val="en-US"/>
        </w:rPr>
        <w:t>.</w:t>
      </w:r>
      <w:r w:rsidRPr="00FB1FA0">
        <w:rPr>
          <w:lang w:val="en-US"/>
        </w:rPr>
        <w:t xml:space="preserve"> 31; </w:t>
      </w:r>
      <w:r>
        <w:t>и</w:t>
      </w:r>
      <w:r w:rsidRPr="00FB1FA0">
        <w:rPr>
          <w:lang w:val="en-US"/>
        </w:rPr>
        <w:t xml:space="preserve"> UN-Water and UNESCO, </w:t>
      </w:r>
      <w:r w:rsidRPr="00FB1FA0">
        <w:rPr>
          <w:i/>
          <w:iCs/>
          <w:lang w:val="en-US"/>
        </w:rPr>
        <w:t>United Nations World Water Development Report 2020: Water and Climate Change</w:t>
      </w:r>
      <w:r w:rsidRPr="00FB1FA0">
        <w:rPr>
          <w:lang w:val="en-US"/>
        </w:rPr>
        <w:t>, p. 2.</w:t>
      </w:r>
    </w:p>
  </w:footnote>
  <w:footnote w:id="109">
    <w:p w14:paraId="200A2190" w14:textId="33229CB0" w:rsidR="00E178B1" w:rsidRDefault="00E178B1">
      <w:pPr>
        <w:pStyle w:val="af"/>
      </w:pPr>
      <w:r w:rsidRPr="00E178B1">
        <w:rPr>
          <w:lang w:val="en-US"/>
        </w:rPr>
        <w:tab/>
      </w:r>
      <w:r>
        <w:rPr>
          <w:rStyle w:val="a8"/>
        </w:rPr>
        <w:footnoteRef/>
      </w:r>
      <w:r>
        <w:tab/>
        <w:t>Замечание общего порядка № 15 (2002), п</w:t>
      </w:r>
      <w:r w:rsidR="000F52A2">
        <w:t>.</w:t>
      </w:r>
      <w:r>
        <w:t xml:space="preserve"> 37.</w:t>
      </w:r>
    </w:p>
  </w:footnote>
  <w:footnote w:id="110">
    <w:p w14:paraId="576D6BAE" w14:textId="63020BE9" w:rsidR="00E178B1" w:rsidRDefault="00E178B1">
      <w:pPr>
        <w:pStyle w:val="af"/>
      </w:pPr>
      <w:r>
        <w:tab/>
      </w:r>
      <w:r>
        <w:rPr>
          <w:rStyle w:val="a8"/>
        </w:rPr>
        <w:footnoteRef/>
      </w:r>
      <w:r>
        <w:tab/>
        <w:t>Там же, п</w:t>
      </w:r>
      <w:r w:rsidR="000F52A2">
        <w:t>.</w:t>
      </w:r>
      <w:r>
        <w:t xml:space="preserve"> 28.</w:t>
      </w:r>
    </w:p>
  </w:footnote>
  <w:footnote w:id="111">
    <w:p w14:paraId="11774664" w14:textId="08FD1EAF" w:rsidR="00E178B1" w:rsidRPr="00E178B1" w:rsidRDefault="00E178B1">
      <w:pPr>
        <w:pStyle w:val="af"/>
        <w:rPr>
          <w:lang w:val="en-US"/>
        </w:rPr>
      </w:pPr>
      <w:r>
        <w:tab/>
      </w:r>
      <w:r>
        <w:rPr>
          <w:rStyle w:val="a8"/>
        </w:rPr>
        <w:footnoteRef/>
      </w:r>
      <w:r w:rsidRPr="00E178B1">
        <w:rPr>
          <w:lang w:val="en-US"/>
        </w:rPr>
        <w:tab/>
      </w:r>
      <w:hyperlink r:id="rId54" w:history="1">
        <w:r w:rsidRPr="00DD62BF">
          <w:rPr>
            <w:rStyle w:val="a7"/>
            <w:lang w:val="en-US"/>
          </w:rPr>
          <w:t>A/</w:t>
        </w:r>
        <w:proofErr w:type="spellStart"/>
        <w:r w:rsidRPr="00DD62BF">
          <w:rPr>
            <w:rStyle w:val="a7"/>
            <w:lang w:val="en-US"/>
          </w:rPr>
          <w:t>HRC</w:t>
        </w:r>
        <w:proofErr w:type="spellEnd"/>
        <w:r w:rsidRPr="00DD62BF">
          <w:rPr>
            <w:rStyle w:val="a7"/>
            <w:lang w:val="en-US"/>
          </w:rPr>
          <w:t>/46/28</w:t>
        </w:r>
      </w:hyperlink>
      <w:r w:rsidRPr="00FB1FA0">
        <w:rPr>
          <w:lang w:val="en-US"/>
        </w:rPr>
        <w:t xml:space="preserve">, </w:t>
      </w:r>
      <w:r>
        <w:t>п</w:t>
      </w:r>
      <w:r w:rsidR="000F52A2" w:rsidRPr="00DB2F7F">
        <w:rPr>
          <w:lang w:val="en-US"/>
        </w:rPr>
        <w:t>.</w:t>
      </w:r>
      <w:r w:rsidRPr="00FB1FA0">
        <w:rPr>
          <w:lang w:val="en-US"/>
        </w:rPr>
        <w:t xml:space="preserve"> 73.</w:t>
      </w:r>
    </w:p>
  </w:footnote>
  <w:footnote w:id="112">
    <w:p w14:paraId="25A30E3A" w14:textId="53CF5561" w:rsidR="00E178B1" w:rsidRPr="00E178B1" w:rsidRDefault="00E178B1">
      <w:pPr>
        <w:pStyle w:val="af"/>
        <w:rPr>
          <w:lang w:val="en-US"/>
        </w:rPr>
      </w:pPr>
      <w:r w:rsidRPr="00E178B1">
        <w:rPr>
          <w:lang w:val="en-US"/>
        </w:rPr>
        <w:tab/>
      </w:r>
      <w:r>
        <w:rPr>
          <w:rStyle w:val="a8"/>
        </w:rPr>
        <w:footnoteRef/>
      </w:r>
      <w:r w:rsidRPr="00E178B1">
        <w:rPr>
          <w:lang w:val="en-US"/>
        </w:rPr>
        <w:tab/>
      </w:r>
      <w:r w:rsidRPr="00FB1FA0">
        <w:rPr>
          <w:lang w:val="en-US"/>
        </w:rPr>
        <w:t xml:space="preserve">UN-Water and UNESCO, </w:t>
      </w:r>
      <w:r w:rsidRPr="00FB1FA0">
        <w:rPr>
          <w:i/>
          <w:iCs/>
          <w:lang w:val="en-US"/>
        </w:rPr>
        <w:t>United Nations World Water Development Report 2024: Water for Prosperity and Peace</w:t>
      </w:r>
      <w:r w:rsidRPr="00FB1FA0">
        <w:rPr>
          <w:lang w:val="en-US"/>
        </w:rPr>
        <w:t>, p. 7.</w:t>
      </w:r>
    </w:p>
  </w:footnote>
  <w:footnote w:id="113">
    <w:p w14:paraId="75B6FC7D" w14:textId="10741DB0" w:rsidR="00E178B1" w:rsidRDefault="00E178B1">
      <w:pPr>
        <w:pStyle w:val="af"/>
      </w:pPr>
      <w:r w:rsidRPr="00DB2F7F">
        <w:rPr>
          <w:lang w:val="en-US"/>
        </w:rPr>
        <w:tab/>
      </w:r>
      <w:r>
        <w:rPr>
          <w:rStyle w:val="a8"/>
        </w:rPr>
        <w:footnoteRef/>
      </w:r>
      <w:r>
        <w:tab/>
      </w:r>
      <w:hyperlink r:id="rId55" w:history="1">
        <w:r w:rsidRPr="00DD62BF">
          <w:rPr>
            <w:rStyle w:val="a7"/>
          </w:rPr>
          <w:t>A/</w:t>
        </w:r>
        <w:proofErr w:type="spellStart"/>
        <w:r w:rsidRPr="00DD62BF">
          <w:rPr>
            <w:rStyle w:val="a7"/>
          </w:rPr>
          <w:t>HRC</w:t>
        </w:r>
        <w:proofErr w:type="spellEnd"/>
        <w:r w:rsidRPr="00DD62BF">
          <w:rPr>
            <w:rStyle w:val="a7"/>
          </w:rPr>
          <w:t>/52/28</w:t>
        </w:r>
      </w:hyperlink>
      <w:r>
        <w:t>, п</w:t>
      </w:r>
      <w:r w:rsidR="000F52A2">
        <w:t>.</w:t>
      </w:r>
      <w:r>
        <w:t xml:space="preserve"> 70.</w:t>
      </w:r>
    </w:p>
  </w:footnote>
  <w:footnote w:id="114">
    <w:p w14:paraId="1E68392B" w14:textId="5BFD7C28" w:rsidR="00E178B1" w:rsidRDefault="00E178B1">
      <w:pPr>
        <w:pStyle w:val="af"/>
      </w:pPr>
      <w:r>
        <w:tab/>
      </w:r>
      <w:r>
        <w:rPr>
          <w:rStyle w:val="a8"/>
        </w:rPr>
        <w:footnoteRef/>
      </w:r>
      <w:r>
        <w:tab/>
        <w:t>Цель 11 в области устойчивого развития.</w:t>
      </w:r>
    </w:p>
  </w:footnote>
  <w:footnote w:id="115">
    <w:p w14:paraId="4B40D312" w14:textId="2B92046D" w:rsidR="00E178B1" w:rsidRDefault="00E178B1">
      <w:pPr>
        <w:pStyle w:val="af"/>
      </w:pPr>
      <w:r>
        <w:tab/>
      </w:r>
      <w:r>
        <w:rPr>
          <w:rStyle w:val="a8"/>
        </w:rPr>
        <w:footnoteRef/>
      </w:r>
      <w:r>
        <w:tab/>
        <w:t>Замечание общего порядка № 14 (2000), п</w:t>
      </w:r>
      <w:r w:rsidR="000F52A2">
        <w:t>п.</w:t>
      </w:r>
      <w:r>
        <w:t xml:space="preserve"> 4, 11 и 12.</w:t>
      </w:r>
    </w:p>
  </w:footnote>
  <w:footnote w:id="116">
    <w:p w14:paraId="24D2422D" w14:textId="6DC61A52" w:rsidR="00E178B1" w:rsidRDefault="00E178B1">
      <w:pPr>
        <w:pStyle w:val="af"/>
      </w:pPr>
      <w:r>
        <w:tab/>
      </w:r>
      <w:r>
        <w:rPr>
          <w:rStyle w:val="a8"/>
        </w:rPr>
        <w:footnoteRef/>
      </w:r>
      <w:r>
        <w:tab/>
        <w:t>Там же, п</w:t>
      </w:r>
      <w:r w:rsidR="000F52A2">
        <w:t>п.</w:t>
      </w:r>
      <w:r>
        <w:t xml:space="preserve"> 36 и 51.</w:t>
      </w:r>
    </w:p>
  </w:footnote>
  <w:footnote w:id="117">
    <w:p w14:paraId="1D89B855" w14:textId="64A710C0" w:rsidR="00E178B1" w:rsidRDefault="00E178B1">
      <w:pPr>
        <w:pStyle w:val="af"/>
      </w:pPr>
      <w:r>
        <w:tab/>
      </w:r>
      <w:r>
        <w:rPr>
          <w:rStyle w:val="a8"/>
        </w:rPr>
        <w:footnoteRef/>
      </w:r>
      <w:r>
        <w:tab/>
        <w:t>Замечание общего порядка № 21 (2009), п</w:t>
      </w:r>
      <w:r w:rsidR="000F52A2">
        <w:t>п.</w:t>
      </w:r>
      <w:r>
        <w:t xml:space="preserve"> 13 и 36.</w:t>
      </w:r>
    </w:p>
  </w:footnote>
  <w:footnote w:id="118">
    <w:p w14:paraId="02222EC4" w14:textId="75DD59C1" w:rsidR="00E178B1" w:rsidRDefault="00E178B1">
      <w:pPr>
        <w:pStyle w:val="af"/>
      </w:pPr>
      <w:r>
        <w:tab/>
      </w:r>
      <w:r>
        <w:rPr>
          <w:rStyle w:val="a8"/>
        </w:rPr>
        <w:footnoteRef/>
      </w:r>
      <w:r>
        <w:tab/>
        <w:t>IPBES/11/12/Add.2, п</w:t>
      </w:r>
      <w:r w:rsidR="000F52A2">
        <w:t>.</w:t>
      </w:r>
      <w:r>
        <w:t xml:space="preserve"> 5.</w:t>
      </w:r>
    </w:p>
  </w:footnote>
  <w:footnote w:id="119">
    <w:p w14:paraId="22347C7A" w14:textId="7AC50250" w:rsidR="00E178B1" w:rsidRDefault="00E178B1">
      <w:pPr>
        <w:pStyle w:val="af"/>
      </w:pPr>
      <w:r>
        <w:tab/>
      </w:r>
      <w:r>
        <w:rPr>
          <w:rStyle w:val="a8"/>
        </w:rPr>
        <w:footnoteRef/>
      </w:r>
      <w:r>
        <w:tab/>
      </w:r>
      <w:hyperlink r:id="rId56" w:history="1">
        <w:r w:rsidRPr="00DD62BF">
          <w:rPr>
            <w:rStyle w:val="a7"/>
          </w:rPr>
          <w:t>A/77/290</w:t>
        </w:r>
      </w:hyperlink>
      <w:r>
        <w:t xml:space="preserve">, </w:t>
      </w:r>
      <w:proofErr w:type="spellStart"/>
      <w:r>
        <w:t>п</w:t>
      </w:r>
      <w:r w:rsidR="000F52A2">
        <w:t>п</w:t>
      </w:r>
      <w:proofErr w:type="spellEnd"/>
      <w:r w:rsidR="000F52A2">
        <w:t>.</w:t>
      </w:r>
      <w:r>
        <w:t xml:space="preserve"> 32 и 33.</w:t>
      </w:r>
    </w:p>
  </w:footnote>
  <w:footnote w:id="120">
    <w:p w14:paraId="2EA4D78E" w14:textId="7BF313B1" w:rsidR="00C334E4" w:rsidRDefault="00C334E4">
      <w:pPr>
        <w:pStyle w:val="af"/>
      </w:pPr>
      <w:r>
        <w:tab/>
      </w:r>
      <w:r>
        <w:rPr>
          <w:rStyle w:val="a8"/>
        </w:rPr>
        <w:footnoteRef/>
      </w:r>
      <w:r>
        <w:tab/>
        <w:t>Замечание общего порядка № 25 (2020), п</w:t>
      </w:r>
      <w:r w:rsidR="000F52A2">
        <w:t>.</w:t>
      </w:r>
      <w:r>
        <w:t xml:space="preserve"> 52.</w:t>
      </w:r>
    </w:p>
  </w:footnote>
  <w:footnote w:id="121">
    <w:p w14:paraId="3E3D9FD0" w14:textId="483B56E3" w:rsidR="00C334E4" w:rsidRDefault="00C334E4">
      <w:pPr>
        <w:pStyle w:val="af"/>
      </w:pPr>
      <w:r>
        <w:tab/>
      </w:r>
      <w:r>
        <w:rPr>
          <w:rStyle w:val="a8"/>
        </w:rPr>
        <w:footnoteRef/>
      </w:r>
      <w:r>
        <w:tab/>
      </w:r>
      <w:hyperlink r:id="rId57" w:history="1">
        <w:r w:rsidRPr="00DD62BF">
          <w:rPr>
            <w:rStyle w:val="a7"/>
          </w:rPr>
          <w:t>A/79/176</w:t>
        </w:r>
      </w:hyperlink>
      <w:r>
        <w:t>, п</w:t>
      </w:r>
      <w:r w:rsidR="000F52A2">
        <w:t>.</w:t>
      </w:r>
      <w:r>
        <w:t xml:space="preserve"> 52.</w:t>
      </w:r>
    </w:p>
  </w:footnote>
  <w:footnote w:id="122">
    <w:p w14:paraId="1E13F5EC" w14:textId="22102C84" w:rsidR="00C334E4" w:rsidRDefault="00C334E4">
      <w:pPr>
        <w:pStyle w:val="af"/>
      </w:pPr>
      <w:r>
        <w:tab/>
      </w:r>
      <w:r>
        <w:rPr>
          <w:rStyle w:val="a8"/>
        </w:rPr>
        <w:footnoteRef/>
      </w:r>
      <w:r>
        <w:tab/>
      </w:r>
      <w:hyperlink r:id="rId58" w:history="1">
        <w:r w:rsidRPr="00DD62BF">
          <w:rPr>
            <w:rStyle w:val="a7"/>
          </w:rPr>
          <w:t>A/79/270</w:t>
        </w:r>
      </w:hyperlink>
      <w:r>
        <w:t>, п</w:t>
      </w:r>
      <w:r w:rsidR="000F52A2">
        <w:t>.</w:t>
      </w:r>
      <w:r>
        <w:t xml:space="preserve"> 88.</w:t>
      </w:r>
    </w:p>
  </w:footnote>
  <w:footnote w:id="123">
    <w:p w14:paraId="48706397" w14:textId="6EDED9CB" w:rsidR="00C334E4" w:rsidRDefault="00C334E4">
      <w:pPr>
        <w:pStyle w:val="af"/>
      </w:pPr>
      <w:r>
        <w:tab/>
      </w:r>
      <w:r>
        <w:rPr>
          <w:rStyle w:val="a8"/>
        </w:rPr>
        <w:footnoteRef/>
      </w:r>
      <w:r>
        <w:tab/>
        <w:t>Комитет по правам ребенка, замечание общего порядка № 26 (2023), п</w:t>
      </w:r>
      <w:r w:rsidR="000F52A2">
        <w:t>п.</w:t>
      </w:r>
      <w:r>
        <w:t xml:space="preserve"> 38–41; и </w:t>
      </w:r>
      <w:hyperlink r:id="rId59" w:history="1">
        <w:proofErr w:type="spellStart"/>
        <w:r w:rsidRPr="00DD62BF">
          <w:rPr>
            <w:rStyle w:val="a7"/>
          </w:rPr>
          <w:t>HRI</w:t>
        </w:r>
        <w:proofErr w:type="spellEnd"/>
        <w:r w:rsidRPr="00DD62BF">
          <w:rPr>
            <w:rStyle w:val="a7"/>
          </w:rPr>
          <w:t>/2019/1</w:t>
        </w:r>
      </w:hyperlink>
      <w:r>
        <w:t>, п</w:t>
      </w:r>
      <w:r w:rsidR="000F52A2">
        <w:t>.</w:t>
      </w:r>
      <w:r>
        <w:t xml:space="preserve"> 3.</w:t>
      </w:r>
    </w:p>
  </w:footnote>
  <w:footnote w:id="124">
    <w:p w14:paraId="3E04B9AD" w14:textId="65A7A05D" w:rsidR="00C334E4" w:rsidRDefault="00C334E4">
      <w:pPr>
        <w:pStyle w:val="af"/>
      </w:pPr>
      <w:r>
        <w:tab/>
      </w:r>
      <w:r>
        <w:rPr>
          <w:rStyle w:val="a8"/>
        </w:rPr>
        <w:footnoteRef/>
      </w:r>
      <w:r>
        <w:tab/>
      </w:r>
      <w:hyperlink r:id="rId60" w:history="1">
        <w:r w:rsidRPr="00DD62BF">
          <w:rPr>
            <w:rStyle w:val="a7"/>
          </w:rPr>
          <w:t>A/</w:t>
        </w:r>
        <w:proofErr w:type="spellStart"/>
        <w:r w:rsidRPr="00DD62BF">
          <w:rPr>
            <w:rStyle w:val="a7"/>
          </w:rPr>
          <w:t>HRC</w:t>
        </w:r>
        <w:proofErr w:type="spellEnd"/>
        <w:r w:rsidRPr="00DD62BF">
          <w:rPr>
            <w:rStyle w:val="a7"/>
          </w:rPr>
          <w:t>/46/28</w:t>
        </w:r>
      </w:hyperlink>
      <w:r>
        <w:t>, п</w:t>
      </w:r>
      <w:r w:rsidR="000F52A2">
        <w:t>.</w:t>
      </w:r>
      <w:r>
        <w:t xml:space="preserve"> 44.</w:t>
      </w:r>
    </w:p>
  </w:footnote>
  <w:footnote w:id="125">
    <w:p w14:paraId="56D14DE6" w14:textId="649CB54E" w:rsidR="00C334E4" w:rsidRDefault="00C334E4">
      <w:pPr>
        <w:pStyle w:val="af"/>
      </w:pPr>
      <w:r>
        <w:tab/>
      </w:r>
      <w:r>
        <w:rPr>
          <w:rStyle w:val="a8"/>
        </w:rPr>
        <w:footnoteRef/>
      </w:r>
      <w:r>
        <w:tab/>
        <w:t>Комитет по правам ребенка, замечание общего порядка № 26 (2023), п</w:t>
      </w:r>
      <w:r w:rsidR="000F52A2">
        <w:t>.</w:t>
      </w:r>
      <w:r>
        <w:t xml:space="preserve"> 35.</w:t>
      </w:r>
    </w:p>
  </w:footnote>
  <w:footnote w:id="126">
    <w:p w14:paraId="167FD5A6" w14:textId="613A8791" w:rsidR="00C334E4" w:rsidRDefault="00C334E4">
      <w:pPr>
        <w:pStyle w:val="af"/>
      </w:pPr>
      <w:r>
        <w:tab/>
      </w:r>
      <w:r>
        <w:rPr>
          <w:rStyle w:val="a8"/>
        </w:rPr>
        <w:footnoteRef/>
      </w:r>
      <w:r>
        <w:tab/>
        <w:t>При подготовке настоящего замечания общего порядка были использованы примеры из жизни и конструктивные комментарии детей, полученные в ходе пяти региональных рабочих совещаний, проведенных в рамках процесса консультаций.</w:t>
      </w:r>
    </w:p>
  </w:footnote>
  <w:footnote w:id="127">
    <w:p w14:paraId="7CA089DC" w14:textId="5671E8FF" w:rsidR="00C334E4" w:rsidRDefault="00C334E4">
      <w:pPr>
        <w:pStyle w:val="af"/>
      </w:pPr>
      <w:r>
        <w:tab/>
      </w:r>
      <w:r>
        <w:rPr>
          <w:rStyle w:val="a8"/>
        </w:rPr>
        <w:footnoteRef/>
      </w:r>
      <w:r>
        <w:tab/>
        <w:t>Комитет по правам ребенка, замечание общего порядка № 26 (2023), п</w:t>
      </w:r>
      <w:r w:rsidR="000F52A2">
        <w:t>.</w:t>
      </w:r>
      <w:r>
        <w:t xml:space="preserve"> 16.</w:t>
      </w:r>
    </w:p>
  </w:footnote>
  <w:footnote w:id="128">
    <w:p w14:paraId="7EE49D06" w14:textId="2318F718" w:rsidR="00C334E4" w:rsidRDefault="00C334E4">
      <w:pPr>
        <w:pStyle w:val="af"/>
      </w:pPr>
      <w:r>
        <w:tab/>
      </w:r>
      <w:r>
        <w:rPr>
          <w:rStyle w:val="a8"/>
        </w:rPr>
        <w:footnoteRef/>
      </w:r>
      <w:r>
        <w:tab/>
        <w:t>Межамериканская комиссия по правам человека, резолюция 3/2021, п</w:t>
      </w:r>
      <w:r w:rsidR="000F52A2">
        <w:t>.</w:t>
      </w:r>
      <w:r>
        <w:t xml:space="preserve"> 29.</w:t>
      </w:r>
    </w:p>
  </w:footnote>
  <w:footnote w:id="129">
    <w:p w14:paraId="06354131" w14:textId="3F11FDCA" w:rsidR="00C334E4" w:rsidRPr="00C334E4" w:rsidRDefault="00C334E4">
      <w:pPr>
        <w:pStyle w:val="af"/>
        <w:rPr>
          <w:lang w:val="en-US"/>
        </w:rPr>
      </w:pPr>
      <w:r>
        <w:tab/>
      </w:r>
      <w:r>
        <w:rPr>
          <w:rStyle w:val="a8"/>
        </w:rPr>
        <w:footnoteRef/>
      </w:r>
      <w:r w:rsidRPr="00C334E4">
        <w:rPr>
          <w:lang w:val="en-US"/>
        </w:rPr>
        <w:tab/>
      </w:r>
      <w:r w:rsidRPr="00FB1FA0">
        <w:rPr>
          <w:lang w:val="en-US"/>
        </w:rPr>
        <w:t xml:space="preserve">Intergovernmental Panel on Climate Change, </w:t>
      </w:r>
      <w:r w:rsidRPr="00FB1FA0">
        <w:rPr>
          <w:i/>
          <w:iCs/>
          <w:lang w:val="en-US"/>
        </w:rPr>
        <w:t>Climate Change 2023: Synthesis Report, Contribution of Working Groups I, II and III to the Sixth Assessment Report of the Intergovernmental Panel on Climate Change</w:t>
      </w:r>
      <w:r w:rsidRPr="00FB1FA0">
        <w:rPr>
          <w:lang w:val="en-US"/>
        </w:rPr>
        <w:t>, p. 51.</w:t>
      </w:r>
    </w:p>
  </w:footnote>
  <w:footnote w:id="130">
    <w:p w14:paraId="5F9D7E55" w14:textId="24F72FE7" w:rsidR="00C334E4" w:rsidRDefault="00C334E4">
      <w:pPr>
        <w:pStyle w:val="af"/>
      </w:pPr>
      <w:r w:rsidRPr="00DB2F7F">
        <w:rPr>
          <w:lang w:val="en-US"/>
        </w:rPr>
        <w:tab/>
      </w:r>
      <w:r>
        <w:rPr>
          <w:rStyle w:val="a8"/>
        </w:rPr>
        <w:footnoteRef/>
      </w:r>
      <w:r>
        <w:tab/>
      </w:r>
      <w:proofErr w:type="spellStart"/>
      <w:r>
        <w:rPr>
          <w:i/>
          <w:iCs/>
        </w:rPr>
        <w:t>Ж.Т</w:t>
      </w:r>
      <w:proofErr w:type="spellEnd"/>
      <w:r>
        <w:rPr>
          <w:i/>
          <w:iCs/>
        </w:rPr>
        <w:t>. и др. против Финляндии</w:t>
      </w:r>
      <w:r>
        <w:t>, п</w:t>
      </w:r>
      <w:r w:rsidR="000F52A2">
        <w:t>.</w:t>
      </w:r>
      <w:r>
        <w:t xml:space="preserve"> 14.6.</w:t>
      </w:r>
    </w:p>
  </w:footnote>
  <w:footnote w:id="131">
    <w:p w14:paraId="05516D2C" w14:textId="17F672E6" w:rsidR="00C334E4" w:rsidRDefault="00C334E4">
      <w:pPr>
        <w:pStyle w:val="af"/>
      </w:pPr>
      <w:r>
        <w:tab/>
      </w:r>
      <w:r>
        <w:rPr>
          <w:rStyle w:val="a8"/>
        </w:rPr>
        <w:footnoteRef/>
      </w:r>
      <w:r>
        <w:tab/>
        <w:t>Замечание общего порядка № 25 (2020), п</w:t>
      </w:r>
      <w:r w:rsidR="000F52A2">
        <w:t>.</w:t>
      </w:r>
      <w:r>
        <w:t xml:space="preserve"> 39.</w:t>
      </w:r>
    </w:p>
  </w:footnote>
  <w:footnote w:id="132">
    <w:p w14:paraId="1E437525" w14:textId="60B6B5ED" w:rsidR="00C334E4" w:rsidRDefault="00C334E4">
      <w:pPr>
        <w:pStyle w:val="af"/>
      </w:pPr>
      <w:r>
        <w:tab/>
      </w:r>
      <w:r>
        <w:rPr>
          <w:rStyle w:val="a8"/>
        </w:rPr>
        <w:footnoteRef/>
      </w:r>
      <w:r>
        <w:tab/>
        <w:t>Замечание общего порядка № 26, п</w:t>
      </w:r>
      <w:r w:rsidR="000F52A2">
        <w:t>п.</w:t>
      </w:r>
      <w:r>
        <w:t xml:space="preserve"> 18 и 19; и Декларация Организации Объединенных Наций о правах крестьян и других лиц, работающих в сельских районах, п</w:t>
      </w:r>
      <w:r w:rsidR="000F52A2">
        <w:t>п.</w:t>
      </w:r>
      <w:r>
        <w:t xml:space="preserve"> 17 и 19.</w:t>
      </w:r>
    </w:p>
  </w:footnote>
  <w:footnote w:id="133">
    <w:p w14:paraId="2519D25A" w14:textId="0829E8EA" w:rsidR="00C334E4" w:rsidRDefault="00C334E4">
      <w:pPr>
        <w:pStyle w:val="af"/>
      </w:pPr>
      <w:r>
        <w:tab/>
      </w:r>
      <w:r>
        <w:rPr>
          <w:rStyle w:val="a8"/>
        </w:rPr>
        <w:footnoteRef/>
      </w:r>
      <w:r>
        <w:tab/>
        <w:t>Декларация Организации Объединенных Наций о правах крестьян и других лиц, работающих в</w:t>
      </w:r>
      <w:r w:rsidR="000F52A2">
        <w:t> </w:t>
      </w:r>
      <w:r>
        <w:t>сельских районах, статья 17.</w:t>
      </w:r>
    </w:p>
  </w:footnote>
  <w:footnote w:id="134">
    <w:p w14:paraId="34236890" w14:textId="0405BF9E" w:rsidR="00C334E4" w:rsidRDefault="00C334E4">
      <w:pPr>
        <w:pStyle w:val="af"/>
      </w:pPr>
      <w:r>
        <w:tab/>
      </w:r>
      <w:r>
        <w:rPr>
          <w:rStyle w:val="a8"/>
        </w:rPr>
        <w:footnoteRef/>
      </w:r>
      <w:r>
        <w:tab/>
        <w:t>ФАО, «Добровольные руководящие принципы обеспечения устойчивого маломасштабного рыболовства в контексте продовольственной безопасности и искоренения бедности», п</w:t>
      </w:r>
      <w:r w:rsidR="000F52A2">
        <w:t>.</w:t>
      </w:r>
      <w:r>
        <w:t xml:space="preserve"> 7.10.</w:t>
      </w:r>
    </w:p>
  </w:footnote>
  <w:footnote w:id="135">
    <w:p w14:paraId="04759C03" w14:textId="2B880410" w:rsidR="00C334E4" w:rsidRDefault="00C334E4">
      <w:pPr>
        <w:pStyle w:val="af"/>
      </w:pPr>
      <w:r>
        <w:tab/>
      </w:r>
      <w:r>
        <w:rPr>
          <w:rStyle w:val="a8"/>
        </w:rPr>
        <w:footnoteRef/>
      </w:r>
      <w:r>
        <w:tab/>
      </w:r>
      <w:hyperlink r:id="rId61" w:history="1">
        <w:r w:rsidRPr="00DD62BF">
          <w:rPr>
            <w:rStyle w:val="a7"/>
            <w:lang w:val="en-US"/>
          </w:rPr>
          <w:t>A</w:t>
        </w:r>
        <w:r w:rsidRPr="00DD62BF">
          <w:rPr>
            <w:rStyle w:val="a7"/>
          </w:rPr>
          <w:t>/</w:t>
        </w:r>
        <w:proofErr w:type="spellStart"/>
        <w:r w:rsidRPr="00DD62BF">
          <w:rPr>
            <w:rStyle w:val="a7"/>
            <w:lang w:val="en-US"/>
          </w:rPr>
          <w:t>HRC</w:t>
        </w:r>
        <w:proofErr w:type="spellEnd"/>
        <w:r w:rsidRPr="00DD62BF">
          <w:rPr>
            <w:rStyle w:val="a7"/>
          </w:rPr>
          <w:t>/56/47</w:t>
        </w:r>
      </w:hyperlink>
      <w:r w:rsidRPr="00F927D4">
        <w:t xml:space="preserve">, </w:t>
      </w:r>
      <w:proofErr w:type="spellStart"/>
      <w:r>
        <w:t>п</w:t>
      </w:r>
      <w:r w:rsidR="000F52A2">
        <w:t>п</w:t>
      </w:r>
      <w:proofErr w:type="spellEnd"/>
      <w:r w:rsidR="000F52A2">
        <w:t>.</w:t>
      </w:r>
      <w:r w:rsidRPr="00F927D4">
        <w:t xml:space="preserve"> 13–15; </w:t>
      </w:r>
      <w:r>
        <w:t>и</w:t>
      </w:r>
      <w:r w:rsidRPr="00F927D4">
        <w:t xml:space="preserve"> </w:t>
      </w:r>
      <w:hyperlink r:id="rId62" w:history="1">
        <w:r w:rsidRPr="00DD62BF">
          <w:rPr>
            <w:rStyle w:val="a7"/>
            <w:lang w:val="en-US"/>
          </w:rPr>
          <w:t>A</w:t>
        </w:r>
        <w:r w:rsidRPr="00DD62BF">
          <w:rPr>
            <w:rStyle w:val="a7"/>
          </w:rPr>
          <w:t>/79/317</w:t>
        </w:r>
      </w:hyperlink>
      <w:r w:rsidRPr="00F927D4">
        <w:t xml:space="preserve">, </w:t>
      </w:r>
      <w:r>
        <w:t>п</w:t>
      </w:r>
      <w:r w:rsidR="000F52A2">
        <w:t>.</w:t>
      </w:r>
      <w:r w:rsidRPr="00F927D4">
        <w:t xml:space="preserve"> 87 </w:t>
      </w:r>
      <w:r w:rsidRPr="008D008F">
        <w:rPr>
          <w:lang w:val="en-US"/>
        </w:rPr>
        <w:t>b</w:t>
      </w:r>
      <w:r w:rsidRPr="00F927D4">
        <w:t>).</w:t>
      </w:r>
    </w:p>
  </w:footnote>
  <w:footnote w:id="136">
    <w:p w14:paraId="093B824D" w14:textId="580E613E" w:rsidR="00C334E4" w:rsidRDefault="00C334E4">
      <w:pPr>
        <w:pStyle w:val="af"/>
      </w:pPr>
      <w:r>
        <w:tab/>
      </w:r>
      <w:r>
        <w:rPr>
          <w:rStyle w:val="a8"/>
        </w:rPr>
        <w:footnoteRef/>
      </w:r>
      <w:r>
        <w:tab/>
      </w:r>
      <w:hyperlink r:id="rId63" w:history="1">
        <w:r w:rsidRPr="00DD62BF">
          <w:rPr>
            <w:rStyle w:val="a7"/>
          </w:rPr>
          <w:t>A/</w:t>
        </w:r>
        <w:proofErr w:type="spellStart"/>
        <w:r w:rsidRPr="00DD62BF">
          <w:rPr>
            <w:rStyle w:val="a7"/>
          </w:rPr>
          <w:t>HRC</w:t>
        </w:r>
        <w:proofErr w:type="spellEnd"/>
        <w:r w:rsidRPr="00DD62BF">
          <w:rPr>
            <w:rStyle w:val="a7"/>
          </w:rPr>
          <w:t>/53/34</w:t>
        </w:r>
      </w:hyperlink>
      <w:r>
        <w:t xml:space="preserve">, </w:t>
      </w:r>
      <w:proofErr w:type="spellStart"/>
      <w:r>
        <w:t>п</w:t>
      </w:r>
      <w:r w:rsidR="000F52A2">
        <w:t>п</w:t>
      </w:r>
      <w:proofErr w:type="spellEnd"/>
      <w:r w:rsidR="000F52A2">
        <w:t>.</w:t>
      </w:r>
      <w:r>
        <w:t xml:space="preserve"> 68 и 69; и </w:t>
      </w:r>
      <w:r>
        <w:rPr>
          <w:i/>
          <w:iCs/>
        </w:rPr>
        <w:t xml:space="preserve">Тейтиота против Новой Зеландии </w:t>
      </w:r>
      <w:r>
        <w:t>(</w:t>
      </w:r>
      <w:proofErr w:type="spellStart"/>
      <w:r w:rsidR="00DD62BF">
        <w:fldChar w:fldCharType="begin"/>
      </w:r>
      <w:r w:rsidR="00DD62BF">
        <w:instrText>HYPERLINK "https://docs.un.org/ru/CCPR/C/127/D/2728/2016"</w:instrText>
      </w:r>
      <w:r w:rsidR="00DD62BF">
        <w:fldChar w:fldCharType="separate"/>
      </w:r>
      <w:r w:rsidRPr="00DD62BF">
        <w:rPr>
          <w:rStyle w:val="a7"/>
        </w:rPr>
        <w:t>CCPR</w:t>
      </w:r>
      <w:proofErr w:type="spellEnd"/>
      <w:r w:rsidRPr="00DD62BF">
        <w:rPr>
          <w:rStyle w:val="a7"/>
        </w:rPr>
        <w:t>/C/127/D/2728/2016</w:t>
      </w:r>
      <w:r w:rsidR="00DD62BF">
        <w:fldChar w:fldCharType="end"/>
      </w:r>
      <w:r>
        <w:t>), п</w:t>
      </w:r>
      <w:r w:rsidR="000F52A2">
        <w:t>. </w:t>
      </w:r>
      <w:r>
        <w:t>9.11.</w:t>
      </w:r>
    </w:p>
  </w:footnote>
  <w:footnote w:id="137">
    <w:p w14:paraId="5445114A" w14:textId="5C2595CA" w:rsidR="00C334E4" w:rsidRPr="00C334E4" w:rsidRDefault="00C334E4">
      <w:pPr>
        <w:pStyle w:val="af"/>
        <w:rPr>
          <w:lang w:val="en-US"/>
        </w:rPr>
      </w:pPr>
      <w:r>
        <w:tab/>
      </w:r>
      <w:r>
        <w:rPr>
          <w:rStyle w:val="a8"/>
        </w:rPr>
        <w:footnoteRef/>
      </w:r>
      <w:r w:rsidRPr="00C334E4">
        <w:rPr>
          <w:lang w:val="en-US"/>
        </w:rPr>
        <w:tab/>
      </w:r>
      <w:hyperlink r:id="rId64" w:history="1">
        <w:r w:rsidRPr="00DD62BF">
          <w:rPr>
            <w:rStyle w:val="a7"/>
            <w:lang w:val="en-US"/>
          </w:rPr>
          <w:t>A/</w:t>
        </w:r>
        <w:proofErr w:type="spellStart"/>
        <w:r w:rsidRPr="00DD62BF">
          <w:rPr>
            <w:rStyle w:val="a7"/>
            <w:lang w:val="en-US"/>
          </w:rPr>
          <w:t>HRC</w:t>
        </w:r>
        <w:proofErr w:type="spellEnd"/>
        <w:r w:rsidRPr="00DD62BF">
          <w:rPr>
            <w:rStyle w:val="a7"/>
            <w:lang w:val="en-US"/>
          </w:rPr>
          <w:t>/56/47</w:t>
        </w:r>
      </w:hyperlink>
      <w:r w:rsidRPr="00FB1FA0">
        <w:rPr>
          <w:lang w:val="en-US"/>
        </w:rPr>
        <w:t xml:space="preserve">, </w:t>
      </w:r>
      <w:r>
        <w:t>п</w:t>
      </w:r>
      <w:r w:rsidR="000F52A2" w:rsidRPr="00DB2F7F">
        <w:rPr>
          <w:lang w:val="en-US"/>
        </w:rPr>
        <w:t>.</w:t>
      </w:r>
      <w:r w:rsidRPr="00FB1FA0">
        <w:rPr>
          <w:lang w:val="en-US"/>
        </w:rPr>
        <w:t xml:space="preserve"> 35.</w:t>
      </w:r>
    </w:p>
  </w:footnote>
  <w:footnote w:id="138">
    <w:p w14:paraId="6CC6D1FF" w14:textId="7053CBE4" w:rsidR="00C334E4" w:rsidRDefault="00C334E4">
      <w:pPr>
        <w:pStyle w:val="af"/>
      </w:pPr>
      <w:r w:rsidRPr="00C334E4">
        <w:rPr>
          <w:lang w:val="en-US"/>
        </w:rPr>
        <w:tab/>
      </w:r>
      <w:r>
        <w:rPr>
          <w:rStyle w:val="a8"/>
        </w:rPr>
        <w:footnoteRef/>
      </w:r>
      <w:r w:rsidRPr="00C334E4">
        <w:rPr>
          <w:lang w:val="en-US"/>
        </w:rPr>
        <w:tab/>
      </w:r>
      <w:r w:rsidRPr="00FB1FA0">
        <w:rPr>
          <w:lang w:val="en-US"/>
        </w:rPr>
        <w:t xml:space="preserve">International Court of Justice, </w:t>
      </w:r>
      <w:r w:rsidRPr="00FB1FA0">
        <w:rPr>
          <w:i/>
          <w:iCs/>
          <w:lang w:val="en-US"/>
        </w:rPr>
        <w:t>Obligations of States in respect of Climate Change, Advisory Opinion</w:t>
      </w:r>
      <w:r w:rsidRPr="00FB1FA0">
        <w:rPr>
          <w:lang w:val="en-US"/>
        </w:rPr>
        <w:t xml:space="preserve">, para. </w:t>
      </w:r>
      <w:r>
        <w:t>427.</w:t>
      </w:r>
    </w:p>
  </w:footnote>
  <w:footnote w:id="139">
    <w:p w14:paraId="1A304F6F" w14:textId="2868C801" w:rsidR="00C334E4" w:rsidRDefault="00C334E4">
      <w:pPr>
        <w:pStyle w:val="af"/>
      </w:pPr>
      <w:r>
        <w:tab/>
      </w:r>
      <w:r>
        <w:rPr>
          <w:rStyle w:val="a8"/>
        </w:rPr>
        <w:footnoteRef/>
      </w:r>
      <w:r>
        <w:tab/>
        <w:t>Замечание общего порядка № 24, п</w:t>
      </w:r>
      <w:r w:rsidR="000F52A2">
        <w:t>.</w:t>
      </w:r>
      <w:r>
        <w:t xml:space="preserve"> 41.</w:t>
      </w:r>
    </w:p>
  </w:footnote>
  <w:footnote w:id="140">
    <w:p w14:paraId="45E61CC7" w14:textId="56C39AF0" w:rsidR="00C334E4" w:rsidRPr="00C334E4" w:rsidRDefault="00C334E4">
      <w:pPr>
        <w:pStyle w:val="af"/>
        <w:rPr>
          <w:lang w:val="en-US"/>
        </w:rPr>
      </w:pPr>
      <w:r>
        <w:tab/>
      </w:r>
      <w:r>
        <w:rPr>
          <w:rStyle w:val="a8"/>
        </w:rPr>
        <w:footnoteRef/>
      </w:r>
      <w:r>
        <w:tab/>
        <w:t>Основные принципы и руководящие положения, касающиеся права на правовую защиту и</w:t>
      </w:r>
      <w:r w:rsidR="000F52A2">
        <w:t> </w:t>
      </w:r>
      <w:r>
        <w:t xml:space="preserve">возмещение ущерба для жертв грубых нарушений международных норм в области прав человека и серьезных нарушений международного гуманитарного права; </w:t>
      </w:r>
      <w:hyperlink r:id="rId65" w:history="1">
        <w:r w:rsidRPr="00DD62BF">
          <w:rPr>
            <w:rStyle w:val="a7"/>
          </w:rPr>
          <w:t>A/77/226</w:t>
        </w:r>
      </w:hyperlink>
      <w:r>
        <w:t>, п</w:t>
      </w:r>
      <w:r w:rsidR="000F52A2">
        <w:t>.</w:t>
      </w:r>
      <w:r>
        <w:t xml:space="preserve"> 26; и</w:t>
      </w:r>
      <w:r w:rsidR="000F52A2">
        <w:t> </w:t>
      </w:r>
      <w:r>
        <w:t xml:space="preserve">International Court of Justice, </w:t>
      </w:r>
      <w:r>
        <w:rPr>
          <w:i/>
          <w:iCs/>
        </w:rPr>
        <w:t>Obligations of States in respect of Climate Change, Advisory Opinion</w:t>
      </w:r>
      <w:r>
        <w:t xml:space="preserve">, paras. </w:t>
      </w:r>
      <w:r w:rsidRPr="00FB1FA0">
        <w:rPr>
          <w:lang w:val="en-US"/>
        </w:rPr>
        <w:t>445 and 456.</w:t>
      </w:r>
    </w:p>
  </w:footnote>
  <w:footnote w:id="141">
    <w:p w14:paraId="602A846D" w14:textId="6CE3D318" w:rsidR="00C334E4" w:rsidRDefault="00C334E4">
      <w:pPr>
        <w:pStyle w:val="af"/>
      </w:pPr>
      <w:r w:rsidRPr="00C334E4">
        <w:rPr>
          <w:lang w:val="en-US"/>
        </w:rPr>
        <w:tab/>
      </w:r>
      <w:r>
        <w:rPr>
          <w:rStyle w:val="a8"/>
        </w:rPr>
        <w:footnoteRef/>
      </w:r>
      <w:r w:rsidRPr="00C334E4">
        <w:rPr>
          <w:lang w:val="en-US"/>
        </w:rPr>
        <w:tab/>
      </w:r>
      <w:r w:rsidRPr="00FB1FA0">
        <w:rPr>
          <w:lang w:val="en-US"/>
        </w:rPr>
        <w:t xml:space="preserve">Inter-American Court of Human Rights, advisory opinion OC-32/25, para. </w:t>
      </w:r>
      <w:r>
        <w:t>554.</w:t>
      </w:r>
    </w:p>
  </w:footnote>
  <w:footnote w:id="142">
    <w:p w14:paraId="2F7E3771" w14:textId="19378CB5" w:rsidR="00C334E4" w:rsidRDefault="00C334E4">
      <w:pPr>
        <w:pStyle w:val="af"/>
      </w:pPr>
      <w:r>
        <w:tab/>
      </w:r>
      <w:r>
        <w:rPr>
          <w:rStyle w:val="a8"/>
        </w:rPr>
        <w:footnoteRef/>
      </w:r>
      <w:r>
        <w:tab/>
        <w:t xml:space="preserve">Руководящие принципы предпринимательской деятельности в аспекте прав человека требуют обеспечения доступа к эффективным средствам правовой защиты в случае нарушений прав человека со стороны предприятий, в том числе в случае нарушений, связанных с нанесением ущерба окружающей среде. См. </w:t>
      </w:r>
      <w:hyperlink r:id="rId66" w:history="1">
        <w:r w:rsidRPr="00DD62BF">
          <w:rPr>
            <w:rStyle w:val="a7"/>
          </w:rPr>
          <w:t>A/</w:t>
        </w:r>
        <w:proofErr w:type="spellStart"/>
        <w:r w:rsidRPr="00DD62BF">
          <w:rPr>
            <w:rStyle w:val="a7"/>
          </w:rPr>
          <w:t>HRC</w:t>
        </w:r>
        <w:proofErr w:type="spellEnd"/>
        <w:r w:rsidRPr="00DD62BF">
          <w:rPr>
            <w:rStyle w:val="a7"/>
          </w:rPr>
          <w:t>/17/31</w:t>
        </w:r>
      </w:hyperlink>
      <w:r>
        <w:t xml:space="preserve">, приложение, </w:t>
      </w:r>
      <w:proofErr w:type="spellStart"/>
      <w:r>
        <w:t>п</w:t>
      </w:r>
      <w:r w:rsidR="000F52A2">
        <w:t>п</w:t>
      </w:r>
      <w:proofErr w:type="spellEnd"/>
      <w:r w:rsidR="000F52A2">
        <w:t>.</w:t>
      </w:r>
      <w:r>
        <w:t xml:space="preserve"> 25–31.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2CBADA" w14:textId="708DCBBD" w:rsidR="004A3718" w:rsidRPr="004A3718" w:rsidRDefault="00627B78">
    <w:pPr>
      <w:pStyle w:val="a5"/>
    </w:pPr>
    <w:fldSimple w:instr=" TITLE  \* MERGEFORMAT ">
      <w:r w:rsidR="00017BD7">
        <w:t>E/C.12/GC/27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3EE76D" w14:textId="1AB069BA" w:rsidR="004A3718" w:rsidRPr="004A3718" w:rsidRDefault="00627B78" w:rsidP="004A3718">
    <w:pPr>
      <w:pStyle w:val="a5"/>
      <w:jc w:val="right"/>
    </w:pPr>
    <w:fldSimple w:instr=" TITLE  \* MERGEFORMAT ">
      <w:r w:rsidR="00017BD7">
        <w:t>E/C.12/GC/27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183515647">
    <w:abstractNumId w:val="16"/>
  </w:num>
  <w:num w:numId="2" w16cid:durableId="165480186">
    <w:abstractNumId w:val="11"/>
  </w:num>
  <w:num w:numId="3" w16cid:durableId="797145407">
    <w:abstractNumId w:val="10"/>
  </w:num>
  <w:num w:numId="4" w16cid:durableId="2098402380">
    <w:abstractNumId w:val="17"/>
  </w:num>
  <w:num w:numId="5" w16cid:durableId="1213663139">
    <w:abstractNumId w:val="13"/>
  </w:num>
  <w:num w:numId="6" w16cid:durableId="1483742281">
    <w:abstractNumId w:val="8"/>
  </w:num>
  <w:num w:numId="7" w16cid:durableId="1972008872">
    <w:abstractNumId w:val="3"/>
  </w:num>
  <w:num w:numId="8" w16cid:durableId="1296915218">
    <w:abstractNumId w:val="2"/>
  </w:num>
  <w:num w:numId="9" w16cid:durableId="225263847">
    <w:abstractNumId w:val="1"/>
  </w:num>
  <w:num w:numId="10" w16cid:durableId="977731691">
    <w:abstractNumId w:val="0"/>
  </w:num>
  <w:num w:numId="11" w16cid:durableId="2060740775">
    <w:abstractNumId w:val="9"/>
  </w:num>
  <w:num w:numId="12" w16cid:durableId="1575359716">
    <w:abstractNumId w:val="7"/>
  </w:num>
  <w:num w:numId="13" w16cid:durableId="510802238">
    <w:abstractNumId w:val="6"/>
  </w:num>
  <w:num w:numId="14" w16cid:durableId="1008367470">
    <w:abstractNumId w:val="5"/>
  </w:num>
  <w:num w:numId="15" w16cid:durableId="1640961470">
    <w:abstractNumId w:val="4"/>
  </w:num>
  <w:num w:numId="16" w16cid:durableId="162210492">
    <w:abstractNumId w:val="15"/>
  </w:num>
  <w:num w:numId="17" w16cid:durableId="1171027790">
    <w:abstractNumId w:val="12"/>
  </w:num>
  <w:num w:numId="18" w16cid:durableId="443505298">
    <w:abstractNumId w:val="14"/>
  </w:num>
  <w:num w:numId="19" w16cid:durableId="1228803418">
    <w:abstractNumId w:val="15"/>
  </w:num>
  <w:num w:numId="20" w16cid:durableId="564492139">
    <w:abstractNumId w:val="12"/>
  </w:num>
  <w:num w:numId="21" w16cid:durableId="1685746452">
    <w:abstractNumId w:val="14"/>
  </w:num>
  <w:num w:numId="22" w16cid:durableId="795373002">
    <w:abstractNumId w:val="15"/>
  </w:num>
  <w:num w:numId="23" w16cid:durableId="1438671887">
    <w:abstractNumId w:val="12"/>
  </w:num>
  <w:num w:numId="24" w16cid:durableId="758906972">
    <w:abstractNumId w:val="14"/>
  </w:num>
  <w:num w:numId="25" w16cid:durableId="1085809168">
    <w:abstractNumId w:val="15"/>
  </w:num>
  <w:num w:numId="26" w16cid:durableId="2042632279">
    <w:abstractNumId w:val="12"/>
  </w:num>
  <w:num w:numId="27" w16cid:durableId="255287582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6E97"/>
    <w:rsid w:val="000041D5"/>
    <w:rsid w:val="00016277"/>
    <w:rsid w:val="00017BD7"/>
    <w:rsid w:val="00033EE1"/>
    <w:rsid w:val="000363F0"/>
    <w:rsid w:val="00037DA8"/>
    <w:rsid w:val="00042B72"/>
    <w:rsid w:val="00043B08"/>
    <w:rsid w:val="000558BD"/>
    <w:rsid w:val="000857D2"/>
    <w:rsid w:val="000B57E7"/>
    <w:rsid w:val="000B6373"/>
    <w:rsid w:val="000D23DE"/>
    <w:rsid w:val="000D6EA0"/>
    <w:rsid w:val="000F09DF"/>
    <w:rsid w:val="000F52A2"/>
    <w:rsid w:val="000F61B2"/>
    <w:rsid w:val="001075E9"/>
    <w:rsid w:val="001253D8"/>
    <w:rsid w:val="0014152F"/>
    <w:rsid w:val="00142F5E"/>
    <w:rsid w:val="00180183"/>
    <w:rsid w:val="0018024D"/>
    <w:rsid w:val="0018649F"/>
    <w:rsid w:val="00196389"/>
    <w:rsid w:val="001B3EF6"/>
    <w:rsid w:val="001C7A89"/>
    <w:rsid w:val="001D5C5A"/>
    <w:rsid w:val="00203065"/>
    <w:rsid w:val="00227A8E"/>
    <w:rsid w:val="002979E2"/>
    <w:rsid w:val="002A2EFC"/>
    <w:rsid w:val="002A60C7"/>
    <w:rsid w:val="002B74B1"/>
    <w:rsid w:val="002C0E18"/>
    <w:rsid w:val="002D5AAC"/>
    <w:rsid w:val="002E0677"/>
    <w:rsid w:val="002E5067"/>
    <w:rsid w:val="002F405F"/>
    <w:rsid w:val="002F7011"/>
    <w:rsid w:val="002F7EEC"/>
    <w:rsid w:val="00301299"/>
    <w:rsid w:val="00305C08"/>
    <w:rsid w:val="00307FB6"/>
    <w:rsid w:val="00317339"/>
    <w:rsid w:val="00322004"/>
    <w:rsid w:val="00330681"/>
    <w:rsid w:val="003402C2"/>
    <w:rsid w:val="00340E09"/>
    <w:rsid w:val="00373001"/>
    <w:rsid w:val="00381C24"/>
    <w:rsid w:val="003958D0"/>
    <w:rsid w:val="003A0D43"/>
    <w:rsid w:val="003B00E5"/>
    <w:rsid w:val="003D6A5D"/>
    <w:rsid w:val="003D6B66"/>
    <w:rsid w:val="00407B78"/>
    <w:rsid w:val="00424203"/>
    <w:rsid w:val="0042551A"/>
    <w:rsid w:val="00452493"/>
    <w:rsid w:val="00453318"/>
    <w:rsid w:val="00454E07"/>
    <w:rsid w:val="00461F8B"/>
    <w:rsid w:val="00472C5C"/>
    <w:rsid w:val="004A3718"/>
    <w:rsid w:val="0050108D"/>
    <w:rsid w:val="00513081"/>
    <w:rsid w:val="00517901"/>
    <w:rsid w:val="00526683"/>
    <w:rsid w:val="005647DF"/>
    <w:rsid w:val="005709E0"/>
    <w:rsid w:val="00572E19"/>
    <w:rsid w:val="005961C8"/>
    <w:rsid w:val="005966F1"/>
    <w:rsid w:val="005B2F86"/>
    <w:rsid w:val="005D7914"/>
    <w:rsid w:val="005E2B41"/>
    <w:rsid w:val="005F0B42"/>
    <w:rsid w:val="005F1707"/>
    <w:rsid w:val="00627B78"/>
    <w:rsid w:val="00640F49"/>
    <w:rsid w:val="00654184"/>
    <w:rsid w:val="00681A10"/>
    <w:rsid w:val="00684933"/>
    <w:rsid w:val="00697194"/>
    <w:rsid w:val="006A16E3"/>
    <w:rsid w:val="006A1ED8"/>
    <w:rsid w:val="006C2031"/>
    <w:rsid w:val="006D461A"/>
    <w:rsid w:val="006F35EE"/>
    <w:rsid w:val="007021FF"/>
    <w:rsid w:val="00703D6F"/>
    <w:rsid w:val="00712895"/>
    <w:rsid w:val="00734ACB"/>
    <w:rsid w:val="00750565"/>
    <w:rsid w:val="00757357"/>
    <w:rsid w:val="00792497"/>
    <w:rsid w:val="007B6E97"/>
    <w:rsid w:val="00806737"/>
    <w:rsid w:val="00811570"/>
    <w:rsid w:val="00816950"/>
    <w:rsid w:val="00825F8D"/>
    <w:rsid w:val="008276E6"/>
    <w:rsid w:val="00831FBF"/>
    <w:rsid w:val="00834B71"/>
    <w:rsid w:val="0086445C"/>
    <w:rsid w:val="00881771"/>
    <w:rsid w:val="00894693"/>
    <w:rsid w:val="00896BA2"/>
    <w:rsid w:val="00897ECB"/>
    <w:rsid w:val="008A08D7"/>
    <w:rsid w:val="008B6909"/>
    <w:rsid w:val="008C30BC"/>
    <w:rsid w:val="008C52C1"/>
    <w:rsid w:val="009061BD"/>
    <w:rsid w:val="00906890"/>
    <w:rsid w:val="00911BE4"/>
    <w:rsid w:val="009268CE"/>
    <w:rsid w:val="00951972"/>
    <w:rsid w:val="009608F3"/>
    <w:rsid w:val="00994F86"/>
    <w:rsid w:val="009A24AC"/>
    <w:rsid w:val="009F1700"/>
    <w:rsid w:val="00A14DA8"/>
    <w:rsid w:val="00A21F00"/>
    <w:rsid w:val="00A312BC"/>
    <w:rsid w:val="00A33F87"/>
    <w:rsid w:val="00A64926"/>
    <w:rsid w:val="00A84021"/>
    <w:rsid w:val="00A84D35"/>
    <w:rsid w:val="00A917B3"/>
    <w:rsid w:val="00AB2DBD"/>
    <w:rsid w:val="00AB4B51"/>
    <w:rsid w:val="00AC3430"/>
    <w:rsid w:val="00B10CC7"/>
    <w:rsid w:val="00B36DF7"/>
    <w:rsid w:val="00B520D9"/>
    <w:rsid w:val="00B539E7"/>
    <w:rsid w:val="00B62458"/>
    <w:rsid w:val="00BC18B2"/>
    <w:rsid w:val="00BD07E9"/>
    <w:rsid w:val="00BD33EE"/>
    <w:rsid w:val="00BF21E1"/>
    <w:rsid w:val="00C106D6"/>
    <w:rsid w:val="00C334E4"/>
    <w:rsid w:val="00C42E61"/>
    <w:rsid w:val="00C56814"/>
    <w:rsid w:val="00C60F0C"/>
    <w:rsid w:val="00C805C9"/>
    <w:rsid w:val="00C92939"/>
    <w:rsid w:val="00C94242"/>
    <w:rsid w:val="00CA1679"/>
    <w:rsid w:val="00CB151C"/>
    <w:rsid w:val="00CE5A1A"/>
    <w:rsid w:val="00CF55F6"/>
    <w:rsid w:val="00D1565E"/>
    <w:rsid w:val="00D33D63"/>
    <w:rsid w:val="00D34308"/>
    <w:rsid w:val="00D454D2"/>
    <w:rsid w:val="00D5253A"/>
    <w:rsid w:val="00D5290E"/>
    <w:rsid w:val="00D60505"/>
    <w:rsid w:val="00D62A45"/>
    <w:rsid w:val="00D71F44"/>
    <w:rsid w:val="00D90028"/>
    <w:rsid w:val="00D90138"/>
    <w:rsid w:val="00DB2F7F"/>
    <w:rsid w:val="00DD1D1E"/>
    <w:rsid w:val="00DD44B1"/>
    <w:rsid w:val="00DD62BF"/>
    <w:rsid w:val="00DD78D1"/>
    <w:rsid w:val="00DE32CD"/>
    <w:rsid w:val="00DF71B9"/>
    <w:rsid w:val="00E178B1"/>
    <w:rsid w:val="00E73F76"/>
    <w:rsid w:val="00E77A26"/>
    <w:rsid w:val="00E90403"/>
    <w:rsid w:val="00EA2C9F"/>
    <w:rsid w:val="00EA420E"/>
    <w:rsid w:val="00ED0BDA"/>
    <w:rsid w:val="00EE142A"/>
    <w:rsid w:val="00EF1360"/>
    <w:rsid w:val="00EF3220"/>
    <w:rsid w:val="00F20BD1"/>
    <w:rsid w:val="00F37A69"/>
    <w:rsid w:val="00F43903"/>
    <w:rsid w:val="00F66CFC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D76BE00"/>
  <w15:docId w15:val="{83503FB9-81C1-4B50-9B6E-EBB782725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896BA2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1253D8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81157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81157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81157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81157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81157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81157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81157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81157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unhideWhenUsed/>
    <w:rsid w:val="0081157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rsid w:val="00811570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1253D8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1253D8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1253D8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88177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1253D8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1253D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1253D8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1253D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1253D8"/>
    <w:pPr>
      <w:numPr>
        <w:numId w:val="25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1253D8"/>
    <w:pPr>
      <w:numPr>
        <w:numId w:val="2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881771"/>
    <w:pPr>
      <w:numPr>
        <w:numId w:val="27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1253D8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1253D8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1253D8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1253D8"/>
    <w:rPr>
      <w:b/>
      <w:sz w:val="18"/>
      <w:lang w:val="en-GB" w:eastAsia="ru-RU"/>
    </w:rPr>
  </w:style>
  <w:style w:type="character" w:styleId="a7">
    <w:name w:val="Hyperlink"/>
    <w:basedOn w:val="a0"/>
    <w:rsid w:val="001253D8"/>
    <w:rPr>
      <w:color w:val="0000FF"/>
      <w:u w:val="none"/>
    </w:rPr>
  </w:style>
  <w:style w:type="character" w:styleId="a8">
    <w:name w:val="footnote reference"/>
    <w:aliases w:val="4_G"/>
    <w:basedOn w:val="a0"/>
    <w:qFormat/>
    <w:rsid w:val="001253D8"/>
    <w:rPr>
      <w:rFonts w:ascii="Times New Roman" w:hAnsi="Times New Roman"/>
      <w:dstrike w:val="0"/>
      <w:sz w:val="18"/>
      <w:vertAlign w:val="superscript"/>
    </w:rPr>
  </w:style>
  <w:style w:type="character" w:styleId="a9">
    <w:name w:val="endnote reference"/>
    <w:aliases w:val="1_G"/>
    <w:basedOn w:val="a8"/>
    <w:qFormat/>
    <w:rsid w:val="001253D8"/>
    <w:rPr>
      <w:rFonts w:ascii="Times New Roman" w:hAnsi="Times New Roman"/>
      <w:dstrike w:val="0"/>
      <w:sz w:val="18"/>
      <w:vertAlign w:val="superscript"/>
    </w:rPr>
  </w:style>
  <w:style w:type="paragraph" w:styleId="aa">
    <w:name w:val="footer"/>
    <w:aliases w:val="3_G"/>
    <w:basedOn w:val="a"/>
    <w:link w:val="ab"/>
    <w:qFormat/>
    <w:rsid w:val="001253D8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b">
    <w:name w:val="Нижний колонтитул Знак"/>
    <w:aliases w:val="3_G Знак"/>
    <w:basedOn w:val="a0"/>
    <w:link w:val="aa"/>
    <w:rsid w:val="001253D8"/>
    <w:rPr>
      <w:sz w:val="16"/>
      <w:lang w:val="en-GB" w:eastAsia="ru-RU"/>
    </w:rPr>
  </w:style>
  <w:style w:type="character" w:styleId="ac">
    <w:name w:val="page number"/>
    <w:aliases w:val="7_G"/>
    <w:basedOn w:val="a0"/>
    <w:qFormat/>
    <w:rsid w:val="001253D8"/>
    <w:rPr>
      <w:rFonts w:ascii="Times New Roman" w:hAnsi="Times New Roman"/>
      <w:b/>
      <w:sz w:val="18"/>
    </w:rPr>
  </w:style>
  <w:style w:type="character" w:styleId="ad">
    <w:name w:val="FollowedHyperlink"/>
    <w:basedOn w:val="a0"/>
    <w:rsid w:val="001253D8"/>
    <w:rPr>
      <w:color w:val="0000FF"/>
      <w:u w:val="none"/>
    </w:rPr>
  </w:style>
  <w:style w:type="table" w:styleId="ae">
    <w:name w:val="Table Grid"/>
    <w:basedOn w:val="a1"/>
    <w:uiPriority w:val="59"/>
    <w:rsid w:val="00896BA2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f">
    <w:name w:val="footnote text"/>
    <w:aliases w:val="5_G"/>
    <w:basedOn w:val="a"/>
    <w:link w:val="af0"/>
    <w:qFormat/>
    <w:rsid w:val="001253D8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f0">
    <w:name w:val="Текст сноски Знак"/>
    <w:aliases w:val="5_G Знак"/>
    <w:basedOn w:val="a0"/>
    <w:link w:val="af"/>
    <w:rsid w:val="001253D8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1253D8"/>
    <w:rPr>
      <w:rFonts w:cs="Arial"/>
      <w:b/>
      <w:bCs/>
      <w:szCs w:val="32"/>
      <w:lang w:val="ru-RU" w:eastAsia="ru-RU"/>
    </w:rPr>
  </w:style>
  <w:style w:type="paragraph" w:styleId="af1">
    <w:name w:val="endnote text"/>
    <w:aliases w:val="2_G"/>
    <w:basedOn w:val="af"/>
    <w:link w:val="af2"/>
    <w:qFormat/>
    <w:rsid w:val="001253D8"/>
  </w:style>
  <w:style w:type="character" w:customStyle="1" w:styleId="af2">
    <w:name w:val="Текст концевой сноски Знак"/>
    <w:aliases w:val="2_G Знак"/>
    <w:basedOn w:val="a0"/>
    <w:link w:val="af1"/>
    <w:rsid w:val="001253D8"/>
    <w:rPr>
      <w:sz w:val="18"/>
      <w:lang w:val="ru-RU" w:eastAsia="ru-RU"/>
    </w:rPr>
  </w:style>
  <w:style w:type="character" w:styleId="af3">
    <w:name w:val="Unresolved Mention"/>
    <w:basedOn w:val="a0"/>
    <w:uiPriority w:val="99"/>
    <w:semiHidden/>
    <w:unhideWhenUsed/>
    <w:rsid w:val="008C52C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ohchr.org/sites/default/files/documents/hrbodies/crpd/statements/2024-11-19-stm-disability-Inclusion-Climate-Action.docx" TargetMode="External"/><Relationship Id="rId18" Type="http://schemas.openxmlformats.org/officeDocument/2006/relationships/hyperlink" Target="https://docs.un.org/ru/A/HRC/56/46" TargetMode="External"/><Relationship Id="rId26" Type="http://schemas.openxmlformats.org/officeDocument/2006/relationships/hyperlink" Target="https://docs.un.org/ru/E/C.12/2001/10" TargetMode="External"/><Relationship Id="rId39" Type="http://schemas.openxmlformats.org/officeDocument/2006/relationships/hyperlink" Target="https://docs.un.org/ru/A/HRC/52/33" TargetMode="External"/><Relationship Id="rId21" Type="http://schemas.openxmlformats.org/officeDocument/2006/relationships/hyperlink" Target="https://docs.un.org/ru/E/C.12/2016/1" TargetMode="External"/><Relationship Id="rId34" Type="http://schemas.openxmlformats.org/officeDocument/2006/relationships/hyperlink" Target="https://docs.un.org/ru/E/C.12/2019/1" TargetMode="External"/><Relationship Id="rId42" Type="http://schemas.openxmlformats.org/officeDocument/2006/relationships/hyperlink" Target="https://docs.un.org/ru/A/HRC/58/43" TargetMode="External"/><Relationship Id="rId47" Type="http://schemas.openxmlformats.org/officeDocument/2006/relationships/hyperlink" Target="https://docs.un.org/ru/E/C.12/1/Add.33" TargetMode="External"/><Relationship Id="rId50" Type="http://schemas.openxmlformats.org/officeDocument/2006/relationships/hyperlink" Target="https://docs.un.org/ru/E/C.12/KAZ/CO/2" TargetMode="External"/><Relationship Id="rId55" Type="http://schemas.openxmlformats.org/officeDocument/2006/relationships/hyperlink" Target="https://docs.un.org/ru/A/HRC/52/28" TargetMode="External"/><Relationship Id="rId63" Type="http://schemas.openxmlformats.org/officeDocument/2006/relationships/hyperlink" Target="https://docs.un.org/ru/A/HRC/53/34" TargetMode="External"/><Relationship Id="rId7" Type="http://schemas.openxmlformats.org/officeDocument/2006/relationships/hyperlink" Target="https://docs.un.org/ru/A/HRC/57/30" TargetMode="External"/><Relationship Id="rId2" Type="http://schemas.openxmlformats.org/officeDocument/2006/relationships/hyperlink" Target="https://docs.un.org/ru/A/42/427" TargetMode="External"/><Relationship Id="rId16" Type="http://schemas.openxmlformats.org/officeDocument/2006/relationships/hyperlink" Target="https://docs.un.org/ru/HRI/2019/1" TargetMode="External"/><Relationship Id="rId20" Type="http://schemas.openxmlformats.org/officeDocument/2006/relationships/hyperlink" Target="https://docs.un.org/ru/A/74/161" TargetMode="External"/><Relationship Id="rId29" Type="http://schemas.openxmlformats.org/officeDocument/2006/relationships/hyperlink" Target="https://docs.un.org/ru/A/RES/79/1" TargetMode="External"/><Relationship Id="rId41" Type="http://schemas.openxmlformats.org/officeDocument/2006/relationships/hyperlink" Target="https://docs.un.org/ru/A/HRC/41/26" TargetMode="External"/><Relationship Id="rId54" Type="http://schemas.openxmlformats.org/officeDocument/2006/relationships/hyperlink" Target="https://docs.un.org/ru/A/HRC/46/28" TargetMode="External"/><Relationship Id="rId62" Type="http://schemas.openxmlformats.org/officeDocument/2006/relationships/hyperlink" Target="https://docs.un.org/ru/A/79/317" TargetMode="External"/><Relationship Id="rId1" Type="http://schemas.openxmlformats.org/officeDocument/2006/relationships/hyperlink" Target="https://docs.un.org/ru/A/79/270" TargetMode="External"/><Relationship Id="rId6" Type="http://schemas.openxmlformats.org/officeDocument/2006/relationships/hyperlink" Target="https://docs.un.org/ru/A/RES/76/300" TargetMode="External"/><Relationship Id="rId11" Type="http://schemas.openxmlformats.org/officeDocument/2006/relationships/hyperlink" Target="https://docs.un.org/ru/E/C.12/76/D/251/2022" TargetMode="External"/><Relationship Id="rId24" Type="http://schemas.openxmlformats.org/officeDocument/2006/relationships/hyperlink" Target="https://docs.un.org/ru/E/C.12/2025/1" TargetMode="External"/><Relationship Id="rId32" Type="http://schemas.openxmlformats.org/officeDocument/2006/relationships/hyperlink" Target="https://docs.un.org/ru/E/C.12/2016/1" TargetMode="External"/><Relationship Id="rId37" Type="http://schemas.openxmlformats.org/officeDocument/2006/relationships/hyperlink" Target="https://docs.un.org/ru/A/HRC/49/53" TargetMode="External"/><Relationship Id="rId40" Type="http://schemas.openxmlformats.org/officeDocument/2006/relationships/hyperlink" Target="https://docs.un.org/ru/E/2022/27" TargetMode="External"/><Relationship Id="rId45" Type="http://schemas.openxmlformats.org/officeDocument/2006/relationships/hyperlink" Target="https://docs.un.org/ru/E/C.12/COD/CO/4" TargetMode="External"/><Relationship Id="rId53" Type="http://schemas.openxmlformats.org/officeDocument/2006/relationships/hyperlink" Target="https://docs.un.org/ru/A/HRC/46/28" TargetMode="External"/><Relationship Id="rId58" Type="http://schemas.openxmlformats.org/officeDocument/2006/relationships/hyperlink" Target="https://docs.un.org/ru/A/79/270" TargetMode="External"/><Relationship Id="rId66" Type="http://schemas.openxmlformats.org/officeDocument/2006/relationships/hyperlink" Target="https://docs.un.org/ru/A/HRC/17/31" TargetMode="External"/><Relationship Id="rId5" Type="http://schemas.openxmlformats.org/officeDocument/2006/relationships/hyperlink" Target="https://docs.un.org/ru/E/C.12/2019/1" TargetMode="External"/><Relationship Id="rId15" Type="http://schemas.openxmlformats.org/officeDocument/2006/relationships/hyperlink" Target="https://docs.un.org/ru/E/C.12/NOR/CO/6" TargetMode="External"/><Relationship Id="rId23" Type="http://schemas.openxmlformats.org/officeDocument/2006/relationships/hyperlink" Target="https://docs.un.org/ru/E/C.12/61/D/5/2015" TargetMode="External"/><Relationship Id="rId28" Type="http://schemas.openxmlformats.org/officeDocument/2006/relationships/hyperlink" Target="https://docs.un.org/ru/A/78/168" TargetMode="External"/><Relationship Id="rId36" Type="http://schemas.openxmlformats.org/officeDocument/2006/relationships/hyperlink" Target="https://docs.un.org/ru/A/77/549" TargetMode="External"/><Relationship Id="rId49" Type="http://schemas.openxmlformats.org/officeDocument/2006/relationships/hyperlink" Target="https://docs.un.org/ru/E/C.12/FIN/CO/6" TargetMode="External"/><Relationship Id="rId57" Type="http://schemas.openxmlformats.org/officeDocument/2006/relationships/hyperlink" Target="https://docs.un.org/ru/A/79/176" TargetMode="External"/><Relationship Id="rId61" Type="http://schemas.openxmlformats.org/officeDocument/2006/relationships/hyperlink" Target="https://docs.un.org/ru/A/HRC/56/47" TargetMode="External"/><Relationship Id="rId10" Type="http://schemas.openxmlformats.org/officeDocument/2006/relationships/hyperlink" Target="https://docs.un.org/ru/A/HRC/17/31" TargetMode="External"/><Relationship Id="rId19" Type="http://schemas.openxmlformats.org/officeDocument/2006/relationships/hyperlink" Target="https://docs.un.org/ru/A/RES/79/1" TargetMode="External"/><Relationship Id="rId31" Type="http://schemas.openxmlformats.org/officeDocument/2006/relationships/hyperlink" Target="https://docs.un.org/ru/E/C.12/2018/1" TargetMode="External"/><Relationship Id="rId44" Type="http://schemas.openxmlformats.org/officeDocument/2006/relationships/hyperlink" Target="https://docs.un.org/ru/A/HRC/52/33" TargetMode="External"/><Relationship Id="rId52" Type="http://schemas.openxmlformats.org/officeDocument/2006/relationships/hyperlink" Target="https://docs.un.org/ru/E/C.12/2015/1" TargetMode="External"/><Relationship Id="rId60" Type="http://schemas.openxmlformats.org/officeDocument/2006/relationships/hyperlink" Target="https://docs.un.org/ru/A/HRC/46/28" TargetMode="External"/><Relationship Id="rId65" Type="http://schemas.openxmlformats.org/officeDocument/2006/relationships/hyperlink" Target="https://docs.un.org/ru/A/77/226" TargetMode="External"/><Relationship Id="rId4" Type="http://schemas.openxmlformats.org/officeDocument/2006/relationships/hyperlink" Target="https://docs.un.org/ru/E/C.12/2012/1" TargetMode="External"/><Relationship Id="rId9" Type="http://schemas.openxmlformats.org/officeDocument/2006/relationships/hyperlink" Target="https://docs.un.org/ru/A/HRC/44/44" TargetMode="External"/><Relationship Id="rId14" Type="http://schemas.openxmlformats.org/officeDocument/2006/relationships/hyperlink" Target="https://docs.un.org/ru/HRI/2019/1" TargetMode="External"/><Relationship Id="rId22" Type="http://schemas.openxmlformats.org/officeDocument/2006/relationships/hyperlink" Target="https://docs.un.org/ru/E/C.12/2007/1" TargetMode="External"/><Relationship Id="rId27" Type="http://schemas.openxmlformats.org/officeDocument/2006/relationships/hyperlink" Target="https://docs.un.org/ru/E/C.12/2015/1" TargetMode="External"/><Relationship Id="rId30" Type="http://schemas.openxmlformats.org/officeDocument/2006/relationships/hyperlink" Target="https://docs.un.org/ru/A/HRC/55/54" TargetMode="External"/><Relationship Id="rId35" Type="http://schemas.openxmlformats.org/officeDocument/2006/relationships/hyperlink" Target="https://docs.un.org/ru/A/HRC/49/53" TargetMode="External"/><Relationship Id="rId43" Type="http://schemas.openxmlformats.org/officeDocument/2006/relationships/hyperlink" Target="https://docs.un.org/ru/A/HRC/41/26" TargetMode="External"/><Relationship Id="rId48" Type="http://schemas.openxmlformats.org/officeDocument/2006/relationships/hyperlink" Target="https://docs.un.org/ru/E/C.12/CMR/CO/4" TargetMode="External"/><Relationship Id="rId56" Type="http://schemas.openxmlformats.org/officeDocument/2006/relationships/hyperlink" Target="https://docs.un.org/ru/A/77/290" TargetMode="External"/><Relationship Id="rId64" Type="http://schemas.openxmlformats.org/officeDocument/2006/relationships/hyperlink" Target="https://docs.un.org/ru/A/HRC/56/47" TargetMode="External"/><Relationship Id="rId8" Type="http://schemas.openxmlformats.org/officeDocument/2006/relationships/hyperlink" Target="https://docs.un.org/ru/A/HRC/54/27" TargetMode="External"/><Relationship Id="rId51" Type="http://schemas.openxmlformats.org/officeDocument/2006/relationships/hyperlink" Target="https://docs.un.org/ru/E/C.12/MLI/CO/1" TargetMode="External"/><Relationship Id="rId3" Type="http://schemas.openxmlformats.org/officeDocument/2006/relationships/hyperlink" Target="https://docs.un.org/ru/E/2003/22(SUPP)" TargetMode="External"/><Relationship Id="rId12" Type="http://schemas.openxmlformats.org/officeDocument/2006/relationships/hyperlink" Target="https://docs.un.org/ru/A/RES/78/216" TargetMode="External"/><Relationship Id="rId17" Type="http://schemas.openxmlformats.org/officeDocument/2006/relationships/hyperlink" Target="https://docs.un.org/ru/A/RES/79/1" TargetMode="External"/><Relationship Id="rId25" Type="http://schemas.openxmlformats.org/officeDocument/2006/relationships/hyperlink" Target="https://docs.un.org/ru/A/RES/73/284" TargetMode="External"/><Relationship Id="rId33" Type="http://schemas.openxmlformats.org/officeDocument/2006/relationships/hyperlink" Target="https://docs.un.org/ru/A/79/270" TargetMode="External"/><Relationship Id="rId38" Type="http://schemas.openxmlformats.org/officeDocument/2006/relationships/hyperlink" Target="https://docs.un.org/ru/E/2022/27" TargetMode="External"/><Relationship Id="rId46" Type="http://schemas.openxmlformats.org/officeDocument/2006/relationships/hyperlink" Target="https://docs.un.org/ru/E/C.12/MRT/CO/1" TargetMode="External"/><Relationship Id="rId59" Type="http://schemas.openxmlformats.org/officeDocument/2006/relationships/hyperlink" Target="https://docs.un.org/ru/HRI/2019/1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E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606bed3f-efae-4d70-a15b-866bb27c918d}" enabled="1" method="Privileged" siteId="{0f9e35db-544f-4f60-bdcc-5ea416e6dc70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E.dotm</Template>
  <TotalTime>8</TotalTime>
  <Pages>26</Pages>
  <Words>10407</Words>
  <Characters>72749</Characters>
  <Application>Microsoft Office Word</Application>
  <DocSecurity>0</DocSecurity>
  <Lines>2508</Lines>
  <Paragraphs>1807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E/C.12/GC/27</vt:lpstr>
      <vt:lpstr>A/</vt:lpstr>
      <vt:lpstr>A/</vt:lpstr>
    </vt:vector>
  </TitlesOfParts>
  <Company>DCM</Company>
  <LinksUpToDate>false</LinksUpToDate>
  <CharactersWithSpaces>81349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E/C.12/GC/27</dc:title>
  <dc:subject/>
  <dc:creator>Anna PETELINA</dc:creator>
  <cp:keywords/>
  <cp:lastModifiedBy>Anna Taillandier</cp:lastModifiedBy>
  <cp:revision>3</cp:revision>
  <cp:lastPrinted>2025-12-12T13:34:00Z</cp:lastPrinted>
  <dcterms:created xsi:type="dcterms:W3CDTF">2025-12-12T13:34:00Z</dcterms:created>
  <dcterms:modified xsi:type="dcterms:W3CDTF">2025-12-12T13:34:00Z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