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D96DCD"/>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D96DCD" w:rsidP="00D96DCD">
            <w:pPr>
              <w:jc w:val="right"/>
            </w:pPr>
            <w:r w:rsidRPr="00D96DCD">
              <w:rPr>
                <w:sz w:val="40"/>
              </w:rPr>
              <w:t>CERD</w:t>
            </w:r>
            <w:r>
              <w:t>/C/BLR/Q/20-23</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D96DCD" w:rsidP="009D5F1A">
            <w:pPr>
              <w:spacing w:before="240"/>
            </w:pPr>
            <w:proofErr w:type="spellStart"/>
            <w:r>
              <w:t>Distr</w:t>
            </w:r>
            <w:proofErr w:type="spellEnd"/>
            <w:r>
              <w:t>. générale</w:t>
            </w:r>
          </w:p>
          <w:p w:rsidR="00D96DCD" w:rsidRDefault="00D96DCD" w:rsidP="00D96DCD">
            <w:pPr>
              <w:spacing w:line="240" w:lineRule="exact"/>
            </w:pPr>
            <w:r>
              <w:t>4 octobre 2017</w:t>
            </w:r>
          </w:p>
          <w:p w:rsidR="00D96DCD" w:rsidRDefault="00D96DCD" w:rsidP="00D96DCD">
            <w:pPr>
              <w:spacing w:line="240" w:lineRule="exact"/>
            </w:pPr>
            <w:r>
              <w:t>Français</w:t>
            </w:r>
          </w:p>
          <w:p w:rsidR="00D96DCD" w:rsidRDefault="00D96DCD" w:rsidP="00D96DCD">
            <w:pPr>
              <w:spacing w:line="240" w:lineRule="exact"/>
            </w:pPr>
            <w:r>
              <w:t>Original : anglais</w:t>
            </w:r>
          </w:p>
          <w:p w:rsidR="00EF1CE4" w:rsidRPr="00DB58B5" w:rsidRDefault="00EF1CE4" w:rsidP="00D96DCD">
            <w:pPr>
              <w:spacing w:line="240" w:lineRule="exact"/>
            </w:pPr>
            <w:r>
              <w:t xml:space="preserve">Anglais, espagnol, français </w:t>
            </w:r>
            <w:r>
              <w:br/>
              <w:t>et russe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D96DCD" w:rsidRPr="00D96DCD" w:rsidRDefault="00D96DCD" w:rsidP="00D96DCD">
      <w:pPr>
        <w:rPr>
          <w:b/>
        </w:rPr>
      </w:pPr>
      <w:r w:rsidRPr="00D96DCD">
        <w:rPr>
          <w:b/>
          <w:lang w:val="fr-FR"/>
        </w:rPr>
        <w:t>Quatre-vingt-quatorzième session</w:t>
      </w:r>
    </w:p>
    <w:p w:rsidR="00D96DCD" w:rsidRPr="00D96DCD" w:rsidRDefault="00D96DCD" w:rsidP="00D96DCD">
      <w:r w:rsidRPr="00D96DCD">
        <w:rPr>
          <w:lang w:val="fr-FR"/>
        </w:rPr>
        <w:t>20</w:t>
      </w:r>
      <w:r w:rsidR="00425148">
        <w:rPr>
          <w:lang w:val="fr-FR"/>
        </w:rPr>
        <w:t> </w:t>
      </w:r>
      <w:r w:rsidRPr="00D96DCD">
        <w:rPr>
          <w:lang w:val="fr-FR"/>
        </w:rPr>
        <w:t>novembre-8</w:t>
      </w:r>
      <w:r w:rsidR="00425148">
        <w:rPr>
          <w:lang w:val="fr-FR"/>
        </w:rPr>
        <w:t> </w:t>
      </w:r>
      <w:r w:rsidRPr="00D96DCD">
        <w:rPr>
          <w:lang w:val="fr-FR"/>
        </w:rPr>
        <w:t>décembre 2017</w:t>
      </w:r>
    </w:p>
    <w:p w:rsidR="00D96DCD" w:rsidRPr="00D96DCD" w:rsidRDefault="00D96DCD" w:rsidP="00D96DCD">
      <w:r w:rsidRPr="00D96DCD">
        <w:rPr>
          <w:lang w:val="fr-FR"/>
        </w:rPr>
        <w:t>Point 4 de l’ordre du jour provisoire</w:t>
      </w:r>
    </w:p>
    <w:p w:rsidR="00D96DCD" w:rsidRPr="00D96DCD" w:rsidRDefault="00D96DCD" w:rsidP="00D96DCD">
      <w:pPr>
        <w:rPr>
          <w:b/>
        </w:rPr>
      </w:pPr>
      <w:r w:rsidRPr="00D96DCD">
        <w:rPr>
          <w:b/>
          <w:lang w:val="fr-FR"/>
        </w:rPr>
        <w:t xml:space="preserve">Examen des rapports, </w:t>
      </w:r>
      <w:r>
        <w:rPr>
          <w:b/>
          <w:lang w:val="fr-FR"/>
        </w:rPr>
        <w:t xml:space="preserve">observations et renseignements </w:t>
      </w:r>
      <w:r w:rsidRPr="00D96DCD">
        <w:rPr>
          <w:b/>
          <w:lang w:val="fr-FR"/>
        </w:rPr>
        <w:t xml:space="preserve">soumis par </w:t>
      </w:r>
      <w:r>
        <w:rPr>
          <w:b/>
          <w:lang w:val="fr-FR"/>
        </w:rPr>
        <w:br/>
      </w:r>
      <w:r w:rsidRPr="00D96DCD">
        <w:rPr>
          <w:b/>
          <w:lang w:val="fr-FR"/>
        </w:rPr>
        <w:t>les États parties en application de l’article 9 de la Convention</w:t>
      </w:r>
    </w:p>
    <w:p w:rsidR="00D96DCD" w:rsidRPr="00D96DCD" w:rsidRDefault="00D96DCD" w:rsidP="00D96DCD">
      <w:pPr>
        <w:pStyle w:val="HChG"/>
      </w:pPr>
      <w:r w:rsidRPr="00D96DCD">
        <w:rPr>
          <w:lang w:val="fr-FR"/>
        </w:rPr>
        <w:tab/>
      </w:r>
      <w:r w:rsidRPr="00D96DCD">
        <w:rPr>
          <w:lang w:val="fr-FR"/>
        </w:rPr>
        <w:tab/>
        <w:t xml:space="preserve">Liste de thèmes concernant les vingtième à vingt-troisième rapports périodiques du </w:t>
      </w:r>
      <w:proofErr w:type="spellStart"/>
      <w:r w:rsidRPr="00D96DCD">
        <w:rPr>
          <w:lang w:val="fr-FR"/>
        </w:rPr>
        <w:t>Bélarus</w:t>
      </w:r>
      <w:proofErr w:type="spellEnd"/>
    </w:p>
    <w:p w:rsidR="00D96DCD" w:rsidRPr="00D96DCD" w:rsidRDefault="00D96DCD" w:rsidP="00D96DCD">
      <w:pPr>
        <w:pStyle w:val="H1G"/>
      </w:pPr>
      <w:r w:rsidRPr="00D96DCD">
        <w:rPr>
          <w:lang w:val="fr-FR"/>
        </w:rPr>
        <w:tab/>
      </w:r>
      <w:r w:rsidRPr="00D96DCD">
        <w:rPr>
          <w:lang w:val="fr-FR"/>
        </w:rPr>
        <w:tab/>
        <w:t>Note du rapporteur de pays</w:t>
      </w:r>
    </w:p>
    <w:p w:rsidR="00D96DCD" w:rsidRPr="00D96DCD" w:rsidRDefault="00D96DCD" w:rsidP="00D96DCD">
      <w:pPr>
        <w:pStyle w:val="SingleTxtG"/>
      </w:pPr>
      <w:r w:rsidRPr="00D96DCD">
        <w:rPr>
          <w:lang w:val="fr-FR"/>
        </w:rPr>
        <w:t>1.</w:t>
      </w:r>
      <w:r w:rsidRPr="00D96DCD">
        <w:rPr>
          <w:lang w:val="fr-FR"/>
        </w:rPr>
        <w:tab/>
        <w:t>À sa soixante-seizième session (A/65/18, par.</w:t>
      </w:r>
      <w:r>
        <w:rPr>
          <w:lang w:val="fr-FR"/>
        </w:rPr>
        <w:t> </w:t>
      </w:r>
      <w:r w:rsidRPr="00D96DCD">
        <w:rPr>
          <w:lang w:val="fr-FR"/>
        </w:rPr>
        <w:t xml:space="preserve">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 </w:t>
      </w:r>
    </w:p>
    <w:p w:rsidR="00D96DCD" w:rsidRPr="00D96DCD" w:rsidRDefault="00D96DCD" w:rsidP="00D96DCD">
      <w:pPr>
        <w:pStyle w:val="H23G"/>
      </w:pPr>
      <w:r w:rsidRPr="00D96DCD">
        <w:rPr>
          <w:lang w:val="fr-FR"/>
        </w:rPr>
        <w:tab/>
      </w:r>
      <w:r w:rsidRPr="00D96DCD">
        <w:rPr>
          <w:lang w:val="fr-FR"/>
        </w:rPr>
        <w:tab/>
        <w:t>Lutte contre la discrimination raciale</w:t>
      </w:r>
      <w:r w:rsidR="00425148">
        <w:rPr>
          <w:lang w:val="fr-FR"/>
        </w:rPr>
        <w:t> </w:t>
      </w:r>
      <w:r w:rsidRPr="00D96DCD">
        <w:rPr>
          <w:lang w:val="fr-FR"/>
        </w:rPr>
        <w:t xml:space="preserve">: cadre juridique et institutionnel, </w:t>
      </w:r>
      <w:r>
        <w:rPr>
          <w:lang w:val="fr-FR"/>
        </w:rPr>
        <w:br/>
      </w:r>
      <w:r w:rsidRPr="00D96DCD">
        <w:rPr>
          <w:lang w:val="fr-FR"/>
        </w:rPr>
        <w:t>et politiques publiques (art.</w:t>
      </w:r>
      <w:r>
        <w:rPr>
          <w:lang w:val="fr-FR"/>
        </w:rPr>
        <w:t> </w:t>
      </w:r>
      <w:r w:rsidRPr="00D96DCD">
        <w:rPr>
          <w:lang w:val="fr-FR"/>
        </w:rPr>
        <w:t>1</w:t>
      </w:r>
      <w:r w:rsidRPr="00D96DCD">
        <w:rPr>
          <w:vertAlign w:val="superscript"/>
          <w:lang w:val="fr-FR"/>
        </w:rPr>
        <w:t>er</w:t>
      </w:r>
      <w:r w:rsidRPr="00D96DCD">
        <w:rPr>
          <w:lang w:val="fr-FR"/>
        </w:rPr>
        <w:t xml:space="preserve"> à 7) </w:t>
      </w:r>
    </w:p>
    <w:p w:rsidR="00D96DCD" w:rsidRPr="00D96DCD" w:rsidRDefault="00D96DCD" w:rsidP="00D96DCD">
      <w:pPr>
        <w:pStyle w:val="SingleTxtG"/>
      </w:pPr>
      <w:r w:rsidRPr="00D96DCD">
        <w:rPr>
          <w:lang w:val="fr-FR"/>
        </w:rPr>
        <w:t>2.</w:t>
      </w:r>
      <w:r w:rsidRPr="00D96DCD">
        <w:rPr>
          <w:lang w:val="fr-FR"/>
        </w:rPr>
        <w:tab/>
        <w:t>Statistiques, ventilées par appartenance ethnique, sur la jouissance des droits économiques, sociaux et culturels, notamment l’accès aux soins de santé et aux services sociaux, à l’éducation et au logement (CERD/C/BLR/20-23, par.</w:t>
      </w:r>
      <w:r>
        <w:rPr>
          <w:lang w:val="fr-FR"/>
        </w:rPr>
        <w:t> </w:t>
      </w:r>
      <w:r w:rsidRPr="00D96DCD">
        <w:rPr>
          <w:lang w:val="fr-FR"/>
        </w:rPr>
        <w:t xml:space="preserve">29 et </w:t>
      </w:r>
      <w:r w:rsidR="00425148">
        <w:rPr>
          <w:lang w:val="fr-FR"/>
        </w:rPr>
        <w:t>30).</w:t>
      </w:r>
    </w:p>
    <w:p w:rsidR="00D96DCD" w:rsidRPr="00D96DCD" w:rsidRDefault="00D96DCD" w:rsidP="00D96DCD">
      <w:pPr>
        <w:pStyle w:val="SingleTxtG"/>
      </w:pPr>
      <w:r w:rsidRPr="00D96DCD">
        <w:rPr>
          <w:lang w:val="fr-FR"/>
        </w:rPr>
        <w:t>3.</w:t>
      </w:r>
      <w:r w:rsidRPr="00D96DCD">
        <w:rPr>
          <w:lang w:val="fr-FR"/>
        </w:rPr>
        <w:tab/>
        <w:t xml:space="preserve">Mesures prises en vue d’adopter une législation définissant la discrimination raciale de manière conforme à </w:t>
      </w:r>
      <w:r w:rsidRPr="00D96DCD">
        <w:rPr>
          <w:spacing w:val="-2"/>
          <w:lang w:val="fr-FR"/>
        </w:rPr>
        <w:t>l’article premier de la Convention (CERD/C/BLR/CO/18-19, par.</w:t>
      </w:r>
      <w:r>
        <w:rPr>
          <w:lang w:val="fr-FR"/>
        </w:rPr>
        <w:t> </w:t>
      </w:r>
      <w:r w:rsidRPr="00D96DCD">
        <w:rPr>
          <w:lang w:val="fr-FR"/>
        </w:rPr>
        <w:t>8).</w:t>
      </w:r>
    </w:p>
    <w:p w:rsidR="00D96DCD" w:rsidRPr="00D96DCD" w:rsidRDefault="00D96DCD" w:rsidP="00D96DCD">
      <w:pPr>
        <w:pStyle w:val="SingleTxtG"/>
      </w:pPr>
      <w:r w:rsidRPr="00D96DCD">
        <w:rPr>
          <w:lang w:val="fr-FR"/>
        </w:rPr>
        <w:t>4.</w:t>
      </w:r>
      <w:r w:rsidRPr="00D96DCD">
        <w:rPr>
          <w:lang w:val="fr-FR"/>
        </w:rPr>
        <w:tab/>
        <w:t>Mesures prises en vue d’adopter et de mettre en œuvre une législation interdisant l’incitation à la discrimination raciale, incriminant les organisations racistes, luttant contre les discours de haine et faisant de la motivation raciste d’un acte de violence une circonstance aggravante dans la détermination des sanctions à appliquer (CERD/C/</w:t>
      </w:r>
      <w:r w:rsidR="00425148">
        <w:rPr>
          <w:lang w:val="fr-FR"/>
        </w:rPr>
        <w:t xml:space="preserve"> </w:t>
      </w:r>
      <w:r w:rsidRPr="00D96DCD">
        <w:rPr>
          <w:lang w:val="fr-FR"/>
        </w:rPr>
        <w:t>BLR/CO/18-19, par.</w:t>
      </w:r>
      <w:r>
        <w:rPr>
          <w:lang w:val="fr-FR"/>
        </w:rPr>
        <w:t> </w:t>
      </w:r>
      <w:r w:rsidRPr="00D96DCD">
        <w:rPr>
          <w:lang w:val="fr-FR"/>
        </w:rPr>
        <w:t>9).</w:t>
      </w:r>
    </w:p>
    <w:p w:rsidR="00D96DCD" w:rsidRPr="00D96DCD" w:rsidRDefault="00D96DCD" w:rsidP="00D96DCD">
      <w:pPr>
        <w:pStyle w:val="SingleTxtG"/>
      </w:pPr>
      <w:r w:rsidRPr="00D96DCD">
        <w:rPr>
          <w:lang w:val="fr-FR"/>
        </w:rPr>
        <w:t>5.</w:t>
      </w:r>
      <w:r w:rsidRPr="00D96DCD">
        <w:rPr>
          <w:lang w:val="fr-FR"/>
        </w:rPr>
        <w:tab/>
        <w:t>Exemples d’application de la loi relative à la lutte contre l’extrémisme et de la loi relative à la lutte contre le terrorisme</w:t>
      </w:r>
      <w:r>
        <w:rPr>
          <w:lang w:val="fr-FR"/>
        </w:rPr>
        <w:t> </w:t>
      </w:r>
      <w:r w:rsidRPr="00D96DCD">
        <w:rPr>
          <w:lang w:val="fr-FR"/>
        </w:rPr>
        <w:t>; mesures adoptées pour garantir le respect de la Convention lors de l’application de ces lois</w:t>
      </w:r>
      <w:r>
        <w:rPr>
          <w:lang w:val="fr-FR"/>
        </w:rPr>
        <w:t> </w:t>
      </w:r>
      <w:r w:rsidRPr="00D96DCD">
        <w:rPr>
          <w:lang w:val="fr-FR"/>
        </w:rPr>
        <w:t>; exemples et résultats des études menées sur les contenus extrémistes par les commissions d’experts aux niveaux national et provincial</w:t>
      </w:r>
      <w:r>
        <w:rPr>
          <w:lang w:val="fr-FR"/>
        </w:rPr>
        <w:t xml:space="preserve"> </w:t>
      </w:r>
      <w:r w:rsidRPr="00D96DCD">
        <w:rPr>
          <w:lang w:val="fr-FR"/>
        </w:rPr>
        <w:t>(CERD/C/BLR/CO/18</w:t>
      </w:r>
      <w:r w:rsidRPr="00D96DCD">
        <w:rPr>
          <w:lang w:val="fr-FR"/>
        </w:rPr>
        <w:noBreakHyphen/>
        <w:t>19, par.</w:t>
      </w:r>
      <w:r>
        <w:rPr>
          <w:lang w:val="fr-FR"/>
        </w:rPr>
        <w:t> </w:t>
      </w:r>
      <w:r w:rsidRPr="00D96DCD">
        <w:rPr>
          <w:lang w:val="fr-FR"/>
        </w:rPr>
        <w:t>10</w:t>
      </w:r>
      <w:r>
        <w:rPr>
          <w:lang w:val="fr-FR"/>
        </w:rPr>
        <w:t> </w:t>
      </w:r>
      <w:r w:rsidRPr="00D96DCD">
        <w:rPr>
          <w:lang w:val="fr-FR"/>
        </w:rPr>
        <w:t>; CERD/C/BLR/20-23, par.</w:t>
      </w:r>
      <w:r>
        <w:rPr>
          <w:lang w:val="fr-FR"/>
        </w:rPr>
        <w:t> </w:t>
      </w:r>
      <w:r w:rsidRPr="00D96DCD">
        <w:rPr>
          <w:lang w:val="fr-FR"/>
        </w:rPr>
        <w:t>15 et 142 à 154</w:t>
      </w:r>
      <w:r>
        <w:rPr>
          <w:lang w:val="fr-FR"/>
        </w:rPr>
        <w:t> </w:t>
      </w:r>
      <w:r w:rsidRPr="00D96DCD">
        <w:rPr>
          <w:lang w:val="fr-FR"/>
        </w:rPr>
        <w:t>; CERD/C/</w:t>
      </w:r>
      <w:r>
        <w:rPr>
          <w:lang w:val="fr-FR"/>
        </w:rPr>
        <w:t xml:space="preserve"> </w:t>
      </w:r>
      <w:r w:rsidRPr="00D96DCD">
        <w:rPr>
          <w:lang w:val="fr-FR"/>
        </w:rPr>
        <w:t>BLR/CO/18-19/Add.1, par.</w:t>
      </w:r>
      <w:r>
        <w:rPr>
          <w:lang w:val="fr-FR"/>
        </w:rPr>
        <w:t> </w:t>
      </w:r>
      <w:r w:rsidR="00425148">
        <w:rPr>
          <w:lang w:val="fr-FR"/>
        </w:rPr>
        <w:t>1 à 7).</w:t>
      </w:r>
    </w:p>
    <w:p w:rsidR="00D96DCD" w:rsidRPr="00D96DCD" w:rsidRDefault="00D96DCD" w:rsidP="00D96DCD">
      <w:pPr>
        <w:pStyle w:val="SingleTxtG"/>
      </w:pPr>
      <w:r w:rsidRPr="00D96DCD">
        <w:rPr>
          <w:lang w:val="fr-FR"/>
        </w:rPr>
        <w:t>6.</w:t>
      </w:r>
      <w:r w:rsidRPr="00D96DCD">
        <w:rPr>
          <w:lang w:val="fr-FR"/>
        </w:rPr>
        <w:tab/>
        <w:t>Statistiques sur le nombre de plaintes pour discrimination raciale déposées en vertu de l’article 14 du Code du travail et les suites qui leur ont été données (CERD/C/BLR/</w:t>
      </w:r>
      <w:r>
        <w:rPr>
          <w:lang w:val="fr-FR"/>
        </w:rPr>
        <w:t xml:space="preserve"> </w:t>
      </w:r>
      <w:r w:rsidRPr="00D96DCD">
        <w:rPr>
          <w:lang w:val="fr-FR"/>
        </w:rPr>
        <w:t>CO/18-19, par.</w:t>
      </w:r>
      <w:r>
        <w:rPr>
          <w:lang w:val="fr-FR"/>
        </w:rPr>
        <w:t> </w:t>
      </w:r>
      <w:r w:rsidRPr="00D96DCD">
        <w:rPr>
          <w:lang w:val="fr-FR"/>
        </w:rPr>
        <w:t>11</w:t>
      </w:r>
      <w:r>
        <w:rPr>
          <w:lang w:val="fr-FR"/>
        </w:rPr>
        <w:t> </w:t>
      </w:r>
      <w:r w:rsidRPr="00D96DCD">
        <w:rPr>
          <w:lang w:val="fr-FR"/>
        </w:rPr>
        <w:t>; CERD/C/BLR/20-23, par.</w:t>
      </w:r>
      <w:r>
        <w:rPr>
          <w:lang w:val="fr-FR"/>
        </w:rPr>
        <w:t> 155 à 158).</w:t>
      </w:r>
    </w:p>
    <w:p w:rsidR="00D96DCD" w:rsidRPr="00D96DCD" w:rsidRDefault="00D96DCD" w:rsidP="006D32F2">
      <w:pPr>
        <w:pStyle w:val="SingleTxtG"/>
        <w:keepNext/>
        <w:keepLines/>
      </w:pPr>
      <w:r w:rsidRPr="00D96DCD">
        <w:rPr>
          <w:lang w:val="fr-FR"/>
        </w:rPr>
        <w:lastRenderedPageBreak/>
        <w:t>7.</w:t>
      </w:r>
      <w:r w:rsidRPr="00D96DCD">
        <w:rPr>
          <w:lang w:val="fr-FR"/>
        </w:rPr>
        <w:tab/>
        <w:t>Informations complètes sur le nombre et le type d’infractions à motivation raciale ayant fait l’objet de poursuites, ainsi que sur les condamnations et les peines prononcées, et les réparations offertes aux victimes (CERD/C/BLR/CO/18-19, par.</w:t>
      </w:r>
      <w:r>
        <w:rPr>
          <w:lang w:val="fr-FR"/>
        </w:rPr>
        <w:t> </w:t>
      </w:r>
      <w:r w:rsidRPr="00D96DCD">
        <w:rPr>
          <w:lang w:val="fr-FR"/>
        </w:rPr>
        <w:t>12</w:t>
      </w:r>
      <w:r>
        <w:rPr>
          <w:lang w:val="fr-FR"/>
        </w:rPr>
        <w:t> </w:t>
      </w:r>
      <w:r w:rsidRPr="00D96DCD">
        <w:rPr>
          <w:lang w:val="fr-FR"/>
        </w:rPr>
        <w:t>; CERD/C/</w:t>
      </w:r>
      <w:r>
        <w:rPr>
          <w:lang w:val="fr-FR"/>
        </w:rPr>
        <w:t xml:space="preserve"> </w:t>
      </w:r>
      <w:r w:rsidRPr="00D96DCD">
        <w:rPr>
          <w:lang w:val="fr-FR"/>
        </w:rPr>
        <w:t>BLR/20-23, par.</w:t>
      </w:r>
      <w:r w:rsidR="00425148">
        <w:rPr>
          <w:lang w:val="fr-FR"/>
        </w:rPr>
        <w:t> 159 à 162).</w:t>
      </w:r>
    </w:p>
    <w:p w:rsidR="00D96DCD" w:rsidRPr="00D96DCD" w:rsidRDefault="00D96DCD" w:rsidP="00D96DCD">
      <w:pPr>
        <w:pStyle w:val="SingleTxtG"/>
      </w:pPr>
      <w:r w:rsidRPr="00D96DCD">
        <w:rPr>
          <w:lang w:val="fr-FR"/>
        </w:rPr>
        <w:t>8.</w:t>
      </w:r>
      <w:r w:rsidRPr="00D96DCD">
        <w:rPr>
          <w:lang w:val="fr-FR"/>
        </w:rPr>
        <w:tab/>
        <w:t>Nombre et type d’affaires dans lesquelles les juges ont directement invoqué la Convention (CERD/C/BLR/CO/18-19, par.</w:t>
      </w:r>
      <w:r>
        <w:rPr>
          <w:lang w:val="fr-FR"/>
        </w:rPr>
        <w:t> </w:t>
      </w:r>
      <w:r w:rsidRPr="00D96DCD">
        <w:rPr>
          <w:lang w:val="fr-FR"/>
        </w:rPr>
        <w:t>12).</w:t>
      </w:r>
    </w:p>
    <w:p w:rsidR="00D96DCD" w:rsidRPr="00D96DCD" w:rsidRDefault="00D96DCD" w:rsidP="00D96DCD">
      <w:pPr>
        <w:pStyle w:val="SingleTxtG"/>
      </w:pPr>
      <w:r w:rsidRPr="00D96DCD">
        <w:rPr>
          <w:lang w:val="fr-FR"/>
        </w:rPr>
        <w:t>9.</w:t>
      </w:r>
      <w:r w:rsidRPr="00D96DCD">
        <w:rPr>
          <w:lang w:val="fr-FR"/>
        </w:rPr>
        <w:tab/>
        <w:t>Informations sur les mécanismes de plainte à disposition des victimes de discrimination raciale, ainsi que sur le nombre de plaintes déposées ; informations sur l’accès à l’aide juridictionnelle (CERD/C/BLR/CO/18</w:t>
      </w:r>
      <w:r w:rsidRPr="00D96DCD">
        <w:rPr>
          <w:lang w:val="fr-FR"/>
        </w:rPr>
        <w:noBreakHyphen/>
        <w:t>19, par.</w:t>
      </w:r>
      <w:r>
        <w:rPr>
          <w:lang w:val="fr-FR"/>
        </w:rPr>
        <w:t> </w:t>
      </w:r>
      <w:r w:rsidRPr="00D96DCD">
        <w:rPr>
          <w:lang w:val="fr-FR"/>
        </w:rPr>
        <w:t>12).</w:t>
      </w:r>
    </w:p>
    <w:p w:rsidR="00D96DCD" w:rsidRPr="00D96DCD" w:rsidRDefault="00D96DCD" w:rsidP="00D96DCD">
      <w:pPr>
        <w:pStyle w:val="SingleTxtG"/>
      </w:pPr>
      <w:r w:rsidRPr="00D96DCD">
        <w:rPr>
          <w:lang w:val="fr-FR"/>
        </w:rPr>
        <w:t>10.</w:t>
      </w:r>
      <w:r w:rsidRPr="00D96DCD">
        <w:rPr>
          <w:lang w:val="fr-FR"/>
        </w:rPr>
        <w:tab/>
        <w:t>Mesures prises pour adopter une législation prévoyant une indemnisation pour les actes de discrimination raciale</w:t>
      </w:r>
      <w:r>
        <w:rPr>
          <w:lang w:val="fr-FR"/>
        </w:rPr>
        <w:t> </w:t>
      </w:r>
      <w:r w:rsidRPr="00D96DCD">
        <w:rPr>
          <w:lang w:val="fr-FR"/>
        </w:rPr>
        <w:t xml:space="preserve">; information sur le nombre de demandes d’indemnisation et </w:t>
      </w:r>
      <w:r w:rsidRPr="00D96DCD">
        <w:rPr>
          <w:spacing w:val="-2"/>
          <w:lang w:val="fr-FR"/>
        </w:rPr>
        <w:t>les suites qui leur ont été données (CERD/C/BLR/CO/18-19, par.</w:t>
      </w:r>
      <w:r w:rsidR="00425148">
        <w:rPr>
          <w:spacing w:val="-2"/>
          <w:lang w:val="fr-FR"/>
        </w:rPr>
        <w:t> </w:t>
      </w:r>
      <w:r w:rsidRPr="00D96DCD">
        <w:rPr>
          <w:spacing w:val="-2"/>
          <w:lang w:val="fr-FR"/>
        </w:rPr>
        <w:t>13 ; CERD</w:t>
      </w:r>
      <w:r>
        <w:rPr>
          <w:lang w:val="fr-FR"/>
        </w:rPr>
        <w:t>/C/BLR/20-23, par. </w:t>
      </w:r>
      <w:r w:rsidR="00425148">
        <w:rPr>
          <w:lang w:val="fr-FR"/>
        </w:rPr>
        <w:t>163 à 168).</w:t>
      </w:r>
    </w:p>
    <w:p w:rsidR="00D96DCD" w:rsidRPr="00D96DCD" w:rsidRDefault="00D96DCD" w:rsidP="00D96DCD">
      <w:pPr>
        <w:pStyle w:val="SingleTxtG"/>
      </w:pPr>
      <w:r w:rsidRPr="00D96DCD">
        <w:rPr>
          <w:lang w:val="fr-FR"/>
        </w:rPr>
        <w:t>11.</w:t>
      </w:r>
      <w:r w:rsidRPr="00D96DCD">
        <w:rPr>
          <w:lang w:val="fr-FR"/>
        </w:rPr>
        <w:tab/>
        <w:t>Mesures adoptées pour assurer l’indépendance, l’impartialité et l’efficacité du pouvoir judiciaire afin de garantir sa capacité de protéger les victimes de discrimination raciale (CERD/C/BLR/CO/18-19, par.</w:t>
      </w:r>
      <w:r>
        <w:rPr>
          <w:lang w:val="fr-FR"/>
        </w:rPr>
        <w:t> </w:t>
      </w:r>
      <w:r w:rsidRPr="00D96DCD">
        <w:rPr>
          <w:lang w:val="fr-FR"/>
        </w:rPr>
        <w:t>14</w:t>
      </w:r>
      <w:r>
        <w:rPr>
          <w:lang w:val="fr-FR"/>
        </w:rPr>
        <w:t> </w:t>
      </w:r>
      <w:r w:rsidRPr="00D96DCD">
        <w:rPr>
          <w:lang w:val="fr-FR"/>
        </w:rPr>
        <w:t>; CERD/C/BLR/20-23, par.</w:t>
      </w:r>
      <w:r>
        <w:rPr>
          <w:lang w:val="fr-FR"/>
        </w:rPr>
        <w:t> </w:t>
      </w:r>
      <w:r w:rsidRPr="00D96DCD">
        <w:rPr>
          <w:lang w:val="fr-FR"/>
        </w:rPr>
        <w:t>169 à</w:t>
      </w:r>
      <w:r w:rsidR="00EF1CE4">
        <w:rPr>
          <w:lang w:val="fr-FR"/>
        </w:rPr>
        <w:t xml:space="preserve"> </w:t>
      </w:r>
      <w:r w:rsidRPr="00D96DCD">
        <w:rPr>
          <w:lang w:val="fr-FR"/>
        </w:rPr>
        <w:t xml:space="preserve">172). </w:t>
      </w:r>
    </w:p>
    <w:p w:rsidR="00D96DCD" w:rsidRPr="00D96DCD" w:rsidRDefault="00D96DCD" w:rsidP="00D96DCD">
      <w:pPr>
        <w:pStyle w:val="SingleTxtG"/>
      </w:pPr>
      <w:r w:rsidRPr="00D96DCD">
        <w:rPr>
          <w:lang w:val="fr-FR"/>
        </w:rPr>
        <w:t>12.</w:t>
      </w:r>
      <w:r w:rsidRPr="00D96DCD">
        <w:rPr>
          <w:lang w:val="fr-FR"/>
        </w:rPr>
        <w:tab/>
        <w:t>Mesures adoptées en vue de créer une institution nationale des droits de l’homme pleinement indépendante, conformément aux Principes concernant le statut et le fonctionnement des institutions nationales pour la protection et la promotion des droits de l’homme (Principes de Paris) (CERD/C/BLR/CO/18-19, par.</w:t>
      </w:r>
      <w:r>
        <w:rPr>
          <w:lang w:val="fr-FR"/>
        </w:rPr>
        <w:t> </w:t>
      </w:r>
      <w:r w:rsidRPr="00D96DCD">
        <w:rPr>
          <w:lang w:val="fr-FR"/>
        </w:rPr>
        <w:t>15</w:t>
      </w:r>
      <w:r>
        <w:rPr>
          <w:lang w:val="fr-FR"/>
        </w:rPr>
        <w:t> </w:t>
      </w:r>
      <w:r w:rsidRPr="00D96DCD">
        <w:rPr>
          <w:lang w:val="fr-FR"/>
        </w:rPr>
        <w:t>; CERD/C/BLR/20-23, par.</w:t>
      </w:r>
      <w:r>
        <w:rPr>
          <w:lang w:val="fr-FR"/>
        </w:rPr>
        <w:t> </w:t>
      </w:r>
      <w:r w:rsidRPr="00D96DCD">
        <w:rPr>
          <w:lang w:val="fr-FR"/>
        </w:rPr>
        <w:t>173 à 175</w:t>
      </w:r>
      <w:r>
        <w:rPr>
          <w:lang w:val="fr-FR"/>
        </w:rPr>
        <w:t> </w:t>
      </w:r>
      <w:r w:rsidRPr="00D96DCD">
        <w:rPr>
          <w:lang w:val="fr-FR"/>
        </w:rPr>
        <w:t>; CERD/C/BLR/CO/18-19/Add.1, par.</w:t>
      </w:r>
      <w:r>
        <w:rPr>
          <w:lang w:val="fr-FR"/>
        </w:rPr>
        <w:t> 8 à 15).</w:t>
      </w:r>
      <w:bookmarkStart w:id="0" w:name="_GoBack"/>
      <w:bookmarkEnd w:id="0"/>
    </w:p>
    <w:p w:rsidR="00D96DCD" w:rsidRPr="00D96DCD" w:rsidRDefault="00D96DCD" w:rsidP="00D96DCD">
      <w:pPr>
        <w:pStyle w:val="H23G"/>
      </w:pPr>
      <w:r w:rsidRPr="00D96DCD">
        <w:rPr>
          <w:lang w:val="fr-FR"/>
        </w:rPr>
        <w:tab/>
      </w:r>
      <w:r w:rsidRPr="00D96DCD">
        <w:rPr>
          <w:lang w:val="fr-FR"/>
        </w:rPr>
        <w:tab/>
        <w:t xml:space="preserve">Situation des </w:t>
      </w:r>
      <w:proofErr w:type="spellStart"/>
      <w:r w:rsidRPr="00D96DCD">
        <w:rPr>
          <w:lang w:val="fr-FR"/>
        </w:rPr>
        <w:t>Roms</w:t>
      </w:r>
      <w:proofErr w:type="spellEnd"/>
      <w:r w:rsidRPr="00D96DCD">
        <w:rPr>
          <w:lang w:val="fr-FR"/>
        </w:rPr>
        <w:t xml:space="preserve"> et d’autres minorités ethniques (art.</w:t>
      </w:r>
      <w:r>
        <w:rPr>
          <w:lang w:val="fr-FR"/>
        </w:rPr>
        <w:t> </w:t>
      </w:r>
      <w:r w:rsidRPr="00D96DCD">
        <w:rPr>
          <w:lang w:val="fr-FR"/>
        </w:rPr>
        <w:t xml:space="preserve">2 à 7) </w:t>
      </w:r>
    </w:p>
    <w:p w:rsidR="00D96DCD" w:rsidRPr="00D96DCD" w:rsidRDefault="00D96DCD" w:rsidP="00D96DCD">
      <w:pPr>
        <w:pStyle w:val="SingleTxtG"/>
      </w:pPr>
      <w:r w:rsidRPr="00D96DCD">
        <w:rPr>
          <w:lang w:val="fr-FR"/>
        </w:rPr>
        <w:t>13.</w:t>
      </w:r>
      <w:r w:rsidRPr="00D96DCD">
        <w:rPr>
          <w:lang w:val="fr-FR"/>
        </w:rPr>
        <w:tab/>
        <w:t xml:space="preserve">Mesures adoptées en vue de prévenir, surveiller et combattre tout discours de haine et tout acte d’incitation à la haine raciale et de discrimination à l’encontre des </w:t>
      </w:r>
      <w:proofErr w:type="spellStart"/>
      <w:r w:rsidRPr="00D96DCD">
        <w:rPr>
          <w:lang w:val="fr-FR"/>
        </w:rPr>
        <w:t>Roms</w:t>
      </w:r>
      <w:proofErr w:type="spellEnd"/>
      <w:r w:rsidRPr="00D96DCD">
        <w:rPr>
          <w:lang w:val="fr-FR"/>
        </w:rPr>
        <w:t>, des Polonais et d’autres minorités ethniques, y compris la discrimination dans l’application des lois et l’accès à l’éducation, à l’emploi, au logement, à des documents d’identité, aux lieux publics, aux services sociaux et autres services (CERD/C/BLR/CO/18-19, par.</w:t>
      </w:r>
      <w:r>
        <w:rPr>
          <w:lang w:val="fr-FR"/>
        </w:rPr>
        <w:t> </w:t>
      </w:r>
      <w:r w:rsidRPr="00D96DCD">
        <w:rPr>
          <w:lang w:val="fr-FR"/>
        </w:rPr>
        <w:t>16</w:t>
      </w:r>
      <w:r>
        <w:rPr>
          <w:lang w:val="fr-FR"/>
        </w:rPr>
        <w:t> </w:t>
      </w:r>
      <w:r w:rsidRPr="00D96DCD">
        <w:rPr>
          <w:lang w:val="fr-FR"/>
        </w:rPr>
        <w:t>; CERD/C/BLR/20-23, par.</w:t>
      </w:r>
      <w:r>
        <w:rPr>
          <w:lang w:val="fr-FR"/>
        </w:rPr>
        <w:t> </w:t>
      </w:r>
      <w:r w:rsidRPr="00D96DCD">
        <w:rPr>
          <w:lang w:val="fr-FR"/>
        </w:rPr>
        <w:t>176 à 179).</w:t>
      </w:r>
    </w:p>
    <w:p w:rsidR="00D96DCD" w:rsidRPr="00D96DCD" w:rsidRDefault="00D96DCD" w:rsidP="00D96DCD">
      <w:pPr>
        <w:pStyle w:val="H23G"/>
      </w:pPr>
      <w:r w:rsidRPr="00D96DCD">
        <w:rPr>
          <w:lang w:val="fr-FR"/>
        </w:rPr>
        <w:tab/>
      </w:r>
      <w:r w:rsidRPr="00D96DCD">
        <w:rPr>
          <w:lang w:val="fr-FR"/>
        </w:rPr>
        <w:tab/>
        <w:t xml:space="preserve">Situation des non-ressortissants, notamment des travailleurs migrants, </w:t>
      </w:r>
      <w:r>
        <w:rPr>
          <w:lang w:val="fr-FR"/>
        </w:rPr>
        <w:br/>
      </w:r>
      <w:r w:rsidRPr="00D96DCD">
        <w:rPr>
          <w:lang w:val="fr-FR"/>
        </w:rPr>
        <w:t xml:space="preserve">des demandeurs d’asile et des réfugiés (art. 5 à 7) </w:t>
      </w:r>
    </w:p>
    <w:p w:rsidR="00D96DCD" w:rsidRPr="00D96DCD" w:rsidRDefault="00D96DCD" w:rsidP="00D96DCD">
      <w:pPr>
        <w:pStyle w:val="SingleTxtG"/>
      </w:pPr>
      <w:r w:rsidRPr="00D96DCD">
        <w:rPr>
          <w:lang w:val="fr-FR"/>
        </w:rPr>
        <w:t>14.</w:t>
      </w:r>
      <w:r w:rsidRPr="00D96DCD">
        <w:rPr>
          <w:lang w:val="fr-FR"/>
        </w:rPr>
        <w:tab/>
        <w:t>Adéquation de la protection législative et humanitaire dont bénéficient les demandeurs d’asile, les réfugiées et les migrants ayant besoin d’une protection internationale (CERD/C/BLR/20-23, par.</w:t>
      </w:r>
      <w:r>
        <w:rPr>
          <w:lang w:val="fr-FR"/>
        </w:rPr>
        <w:t> </w:t>
      </w:r>
      <w:r w:rsidRPr="00D96DCD">
        <w:rPr>
          <w:lang w:val="fr-FR"/>
        </w:rPr>
        <w:t>75 à 95).</w:t>
      </w:r>
    </w:p>
    <w:p w:rsidR="00D96DCD" w:rsidRPr="00D96DCD" w:rsidRDefault="00D96DCD" w:rsidP="00D96DCD">
      <w:pPr>
        <w:pStyle w:val="SingleTxtG"/>
      </w:pPr>
      <w:r w:rsidRPr="00D96DCD">
        <w:rPr>
          <w:lang w:val="fr-FR"/>
        </w:rPr>
        <w:t>15.</w:t>
      </w:r>
      <w:r w:rsidRPr="00D96DCD">
        <w:rPr>
          <w:lang w:val="fr-FR"/>
        </w:rPr>
        <w:tab/>
        <w:t>Modifications récentes apportées à la loi relative à la lutte contre la traite des êtres humains ; mesures adoptées pour prévenir, déceler et combattre la traite, protéger et aider les personnes qui en sont victimes, ouvrir sans délai des enquêtes approfondies, et traduire en justice et punir les trafiquants (CERD/C/BLR/CO/18-19, par.</w:t>
      </w:r>
      <w:r>
        <w:rPr>
          <w:lang w:val="fr-FR"/>
        </w:rPr>
        <w:t> </w:t>
      </w:r>
      <w:r w:rsidRPr="00D96DCD">
        <w:rPr>
          <w:lang w:val="fr-FR"/>
        </w:rPr>
        <w:t>17</w:t>
      </w:r>
      <w:r>
        <w:rPr>
          <w:lang w:val="fr-FR"/>
        </w:rPr>
        <w:t> </w:t>
      </w:r>
      <w:r w:rsidRPr="00D96DCD">
        <w:rPr>
          <w:lang w:val="fr-FR"/>
        </w:rPr>
        <w:t>; CERD/C/BLR/20-23, par.</w:t>
      </w:r>
      <w:r>
        <w:rPr>
          <w:lang w:val="fr-FR"/>
        </w:rPr>
        <w:t> </w:t>
      </w:r>
      <w:r w:rsidRPr="00D96DCD">
        <w:rPr>
          <w:lang w:val="fr-FR"/>
        </w:rPr>
        <w:t>180 à 205</w:t>
      </w:r>
      <w:r>
        <w:rPr>
          <w:lang w:val="fr-FR"/>
        </w:rPr>
        <w:t> </w:t>
      </w:r>
      <w:r w:rsidRPr="00D96DCD">
        <w:rPr>
          <w:lang w:val="fr-FR"/>
        </w:rPr>
        <w:t>; CERD/C/BLR/CO/18-19/Add.1, par.</w:t>
      </w:r>
      <w:r>
        <w:rPr>
          <w:lang w:val="fr-FR"/>
        </w:rPr>
        <w:t> </w:t>
      </w:r>
      <w:r w:rsidRPr="00D96DCD">
        <w:rPr>
          <w:lang w:val="fr-FR"/>
        </w:rPr>
        <w:t>16</w:t>
      </w:r>
      <w:r w:rsidR="00425148">
        <w:rPr>
          <w:lang w:val="fr-FR"/>
        </w:rPr>
        <w:t xml:space="preserve"> à 39).</w:t>
      </w:r>
    </w:p>
    <w:p w:rsidR="00984B29" w:rsidRDefault="00D96DCD" w:rsidP="00D96DCD">
      <w:pPr>
        <w:pStyle w:val="SingleTxtG"/>
        <w:rPr>
          <w:lang w:val="fr-FR"/>
        </w:rPr>
      </w:pPr>
      <w:r w:rsidRPr="00D96DCD">
        <w:rPr>
          <w:lang w:val="fr-FR"/>
        </w:rPr>
        <w:t>16.</w:t>
      </w:r>
      <w:r w:rsidRPr="00D96DCD">
        <w:rPr>
          <w:lang w:val="fr-FR"/>
        </w:rPr>
        <w:tab/>
        <w:t>Formation dispensée aux agents chargés d’appliquer la loi et aux officiers de justice sur la Convention</w:t>
      </w:r>
      <w:r>
        <w:rPr>
          <w:lang w:val="fr-FR"/>
        </w:rPr>
        <w:t> </w:t>
      </w:r>
      <w:r w:rsidRPr="00D96DCD">
        <w:rPr>
          <w:lang w:val="fr-FR"/>
        </w:rPr>
        <w:t>; mesures adoptées pour évaluer l’efficacité d’une telle formation (CERD/C/BLR/CO/18-19, par.</w:t>
      </w:r>
      <w:r>
        <w:rPr>
          <w:lang w:val="fr-FR"/>
        </w:rPr>
        <w:t> </w:t>
      </w:r>
      <w:r w:rsidRPr="00D96DCD">
        <w:rPr>
          <w:lang w:val="fr-FR"/>
        </w:rPr>
        <w:t>18</w:t>
      </w:r>
      <w:r>
        <w:rPr>
          <w:lang w:val="fr-FR"/>
        </w:rPr>
        <w:t> </w:t>
      </w:r>
      <w:r w:rsidRPr="00D96DCD">
        <w:rPr>
          <w:lang w:val="fr-FR"/>
        </w:rPr>
        <w:t>; CERD/C/BLR/20-23, par.</w:t>
      </w:r>
      <w:r>
        <w:rPr>
          <w:lang w:val="fr-FR"/>
        </w:rPr>
        <w:t> </w:t>
      </w:r>
      <w:r w:rsidRPr="00D96DCD">
        <w:rPr>
          <w:lang w:val="fr-FR"/>
        </w:rPr>
        <w:t>206 à 215).</w:t>
      </w:r>
    </w:p>
    <w:p w:rsidR="00D96DCD" w:rsidRPr="00D96DCD" w:rsidRDefault="00D96DCD" w:rsidP="00D96DCD">
      <w:pPr>
        <w:pStyle w:val="SingleTxtG"/>
        <w:spacing w:before="240" w:after="0"/>
        <w:jc w:val="center"/>
        <w:rPr>
          <w:u w:val="single"/>
        </w:rPr>
      </w:pPr>
      <w:r>
        <w:rPr>
          <w:u w:val="single"/>
        </w:rPr>
        <w:tab/>
      </w:r>
      <w:r>
        <w:rPr>
          <w:u w:val="single"/>
        </w:rPr>
        <w:tab/>
      </w:r>
      <w:r>
        <w:rPr>
          <w:u w:val="single"/>
        </w:rPr>
        <w:tab/>
      </w:r>
    </w:p>
    <w:sectPr w:rsidR="00D96DCD" w:rsidRPr="00D96DCD" w:rsidSect="00D96DC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7DFD" w:rsidRDefault="00147DFD" w:rsidP="00F95C08">
      <w:pPr>
        <w:spacing w:line="240" w:lineRule="auto"/>
      </w:pPr>
    </w:p>
  </w:endnote>
  <w:endnote w:type="continuationSeparator" w:id="0">
    <w:p w:rsidR="00147DFD" w:rsidRPr="00AC3823" w:rsidRDefault="00147DFD" w:rsidP="00AC3823">
      <w:pPr>
        <w:pStyle w:val="Pieddepage"/>
      </w:pPr>
    </w:p>
  </w:endnote>
  <w:endnote w:type="continuationNotice" w:id="1">
    <w:p w:rsidR="00147DFD" w:rsidRDefault="00147D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DCD" w:rsidRPr="00D96DCD" w:rsidRDefault="00D96DCD" w:rsidP="00D96DCD">
    <w:pPr>
      <w:pStyle w:val="Pieddepage"/>
      <w:tabs>
        <w:tab w:val="right" w:pos="9638"/>
      </w:tabs>
    </w:pPr>
    <w:r w:rsidRPr="00D96DCD">
      <w:rPr>
        <w:b/>
        <w:sz w:val="18"/>
      </w:rPr>
      <w:fldChar w:fldCharType="begin"/>
    </w:r>
    <w:r w:rsidRPr="00D96DCD">
      <w:rPr>
        <w:b/>
        <w:sz w:val="18"/>
      </w:rPr>
      <w:instrText xml:space="preserve"> PAGE  \* MERGEFORMAT </w:instrText>
    </w:r>
    <w:r w:rsidRPr="00D96DCD">
      <w:rPr>
        <w:b/>
        <w:sz w:val="18"/>
      </w:rPr>
      <w:fldChar w:fldCharType="separate"/>
    </w:r>
    <w:r w:rsidR="00BE1668">
      <w:rPr>
        <w:b/>
        <w:noProof/>
        <w:sz w:val="18"/>
      </w:rPr>
      <w:t>2</w:t>
    </w:r>
    <w:r w:rsidRPr="00D96DCD">
      <w:rPr>
        <w:b/>
        <w:sz w:val="18"/>
      </w:rPr>
      <w:fldChar w:fldCharType="end"/>
    </w:r>
    <w:r>
      <w:rPr>
        <w:b/>
        <w:sz w:val="18"/>
      </w:rPr>
      <w:tab/>
    </w:r>
    <w:r>
      <w:t>GE.17-17419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DCD" w:rsidRPr="00D96DCD" w:rsidRDefault="00D96DCD" w:rsidP="00D96DCD">
    <w:pPr>
      <w:pStyle w:val="Pieddepage"/>
      <w:tabs>
        <w:tab w:val="right" w:pos="9638"/>
      </w:tabs>
      <w:rPr>
        <w:b/>
        <w:sz w:val="18"/>
      </w:rPr>
    </w:pPr>
    <w:r>
      <w:t>GE.17-17419</w:t>
    </w:r>
    <w:r>
      <w:tab/>
    </w:r>
    <w:r w:rsidRPr="00D96DCD">
      <w:rPr>
        <w:b/>
        <w:sz w:val="18"/>
      </w:rPr>
      <w:fldChar w:fldCharType="begin"/>
    </w:r>
    <w:r w:rsidRPr="00D96DCD">
      <w:rPr>
        <w:b/>
        <w:sz w:val="18"/>
      </w:rPr>
      <w:instrText xml:space="preserve"> PAGE  \* MERGEFORMAT </w:instrText>
    </w:r>
    <w:r w:rsidRPr="00D96DCD">
      <w:rPr>
        <w:b/>
        <w:sz w:val="18"/>
      </w:rPr>
      <w:fldChar w:fldCharType="separate"/>
    </w:r>
    <w:r w:rsidR="00425148">
      <w:rPr>
        <w:b/>
        <w:noProof/>
        <w:sz w:val="18"/>
      </w:rPr>
      <w:t>2</w:t>
    </w:r>
    <w:r w:rsidRPr="00D96D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D96DCD" w:rsidRDefault="00D96DCD" w:rsidP="00D96DCD">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17-17419  (F)    111017    121017</w:t>
    </w:r>
    <w:r>
      <w:rPr>
        <w:sz w:val="20"/>
      </w:rPr>
      <w:br/>
    </w:r>
    <w:r w:rsidRPr="00D96DCD">
      <w:rPr>
        <w:rFonts w:ascii="C39T30Lfz" w:hAnsi="C39T30Lfz"/>
        <w:sz w:val="56"/>
      </w:rPr>
      <w:t></w:t>
    </w:r>
    <w:r w:rsidRPr="00D96DCD">
      <w:rPr>
        <w:rFonts w:ascii="C39T30Lfz" w:hAnsi="C39T30Lfz"/>
        <w:sz w:val="56"/>
      </w:rPr>
      <w:t></w:t>
    </w:r>
    <w:r w:rsidRPr="00D96DCD">
      <w:rPr>
        <w:rFonts w:ascii="C39T30Lfz" w:hAnsi="C39T30Lfz"/>
        <w:sz w:val="56"/>
      </w:rPr>
      <w:t></w:t>
    </w:r>
    <w:r w:rsidRPr="00D96DCD">
      <w:rPr>
        <w:rFonts w:ascii="C39T30Lfz" w:hAnsi="C39T30Lfz"/>
        <w:sz w:val="56"/>
      </w:rPr>
      <w:t></w:t>
    </w:r>
    <w:r w:rsidRPr="00D96DCD">
      <w:rPr>
        <w:rFonts w:ascii="C39T30Lfz" w:hAnsi="C39T30Lfz"/>
        <w:sz w:val="56"/>
      </w:rPr>
      <w:t></w:t>
    </w:r>
    <w:r w:rsidRPr="00D96DCD">
      <w:rPr>
        <w:rFonts w:ascii="C39T30Lfz" w:hAnsi="C39T30Lfz"/>
        <w:sz w:val="56"/>
      </w:rPr>
      <w:t></w:t>
    </w:r>
    <w:r w:rsidRPr="00D96DCD">
      <w:rPr>
        <w:rFonts w:ascii="C39T30Lfz" w:hAnsi="C39T30Lfz"/>
        <w:sz w:val="56"/>
      </w:rPr>
      <w:t></w:t>
    </w:r>
    <w:r w:rsidRPr="00D96DCD">
      <w:rPr>
        <w:rFonts w:ascii="C39T30Lfz" w:hAnsi="C39T30Lfz"/>
        <w:sz w:val="56"/>
      </w:rPr>
      <w:t></w:t>
    </w:r>
    <w:r w:rsidRPr="00D96DC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BLR/Q/20-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BLR/Q/20-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7DFD" w:rsidRPr="00AC3823" w:rsidRDefault="00147DFD" w:rsidP="00AC3823">
      <w:pPr>
        <w:pStyle w:val="Pieddepage"/>
        <w:tabs>
          <w:tab w:val="right" w:pos="2155"/>
        </w:tabs>
        <w:spacing w:after="80" w:line="240" w:lineRule="atLeast"/>
        <w:ind w:left="680"/>
        <w:rPr>
          <w:u w:val="single"/>
        </w:rPr>
      </w:pPr>
      <w:r>
        <w:rPr>
          <w:u w:val="single"/>
        </w:rPr>
        <w:tab/>
      </w:r>
    </w:p>
  </w:footnote>
  <w:footnote w:type="continuationSeparator" w:id="0">
    <w:p w:rsidR="00147DFD" w:rsidRPr="00AC3823" w:rsidRDefault="00147DFD" w:rsidP="00AC3823">
      <w:pPr>
        <w:pStyle w:val="Pieddepage"/>
        <w:tabs>
          <w:tab w:val="right" w:pos="2155"/>
        </w:tabs>
        <w:spacing w:after="80" w:line="240" w:lineRule="atLeast"/>
        <w:ind w:left="680"/>
        <w:rPr>
          <w:u w:val="single"/>
        </w:rPr>
      </w:pPr>
      <w:r>
        <w:rPr>
          <w:u w:val="single"/>
        </w:rPr>
        <w:tab/>
      </w:r>
    </w:p>
  </w:footnote>
  <w:footnote w:type="continuationNotice" w:id="1">
    <w:p w:rsidR="00147DFD" w:rsidRPr="00AC3823" w:rsidRDefault="00147DF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DCD" w:rsidRPr="00D96DCD" w:rsidRDefault="00BE1668">
    <w:pPr>
      <w:pStyle w:val="En-tte"/>
    </w:pPr>
    <w:r>
      <w:fldChar w:fldCharType="begin"/>
    </w:r>
    <w:r>
      <w:instrText xml:space="preserve"> TITLE  \* MERGEFORMAT </w:instrText>
    </w:r>
    <w:r>
      <w:fldChar w:fldCharType="separate"/>
    </w:r>
    <w:r>
      <w:t>CERD/C/BLR/Q/20-23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DCD" w:rsidRPr="00D96DCD" w:rsidRDefault="00BE1668" w:rsidP="00D96DCD">
    <w:pPr>
      <w:pStyle w:val="En-tte"/>
      <w:jc w:val="right"/>
    </w:pPr>
    <w:r>
      <w:fldChar w:fldCharType="begin"/>
    </w:r>
    <w:r>
      <w:instrText xml:space="preserve"> TITLE  \* MERGEFORMAT </w:instrText>
    </w:r>
    <w:r>
      <w:fldChar w:fldCharType="separate"/>
    </w:r>
    <w:r>
      <w:t>CERD/C/BLR/Q/20-23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DFD"/>
    <w:rsid w:val="00017F94"/>
    <w:rsid w:val="00023842"/>
    <w:rsid w:val="000334F9"/>
    <w:rsid w:val="0007796D"/>
    <w:rsid w:val="000B7790"/>
    <w:rsid w:val="00111F2F"/>
    <w:rsid w:val="0014365E"/>
    <w:rsid w:val="00147DFD"/>
    <w:rsid w:val="00176178"/>
    <w:rsid w:val="001F525A"/>
    <w:rsid w:val="00215BEC"/>
    <w:rsid w:val="00223272"/>
    <w:rsid w:val="0024779E"/>
    <w:rsid w:val="002A0748"/>
    <w:rsid w:val="00425148"/>
    <w:rsid w:val="00446FE5"/>
    <w:rsid w:val="00452396"/>
    <w:rsid w:val="004F094E"/>
    <w:rsid w:val="005505B7"/>
    <w:rsid w:val="00573BE5"/>
    <w:rsid w:val="00586ED3"/>
    <w:rsid w:val="00596AA9"/>
    <w:rsid w:val="005F7216"/>
    <w:rsid w:val="00623CA8"/>
    <w:rsid w:val="006D32F2"/>
    <w:rsid w:val="00712E6E"/>
    <w:rsid w:val="0071601D"/>
    <w:rsid w:val="00780585"/>
    <w:rsid w:val="00783E9F"/>
    <w:rsid w:val="0078427F"/>
    <w:rsid w:val="007A62E6"/>
    <w:rsid w:val="0080684C"/>
    <w:rsid w:val="00871C75"/>
    <w:rsid w:val="008776DC"/>
    <w:rsid w:val="00905EE7"/>
    <w:rsid w:val="009705C8"/>
    <w:rsid w:val="00984B29"/>
    <w:rsid w:val="009D5F1A"/>
    <w:rsid w:val="00A30353"/>
    <w:rsid w:val="00AC3823"/>
    <w:rsid w:val="00AE323C"/>
    <w:rsid w:val="00B00181"/>
    <w:rsid w:val="00B765F7"/>
    <w:rsid w:val="00BA0CA9"/>
    <w:rsid w:val="00BB0B66"/>
    <w:rsid w:val="00BE1668"/>
    <w:rsid w:val="00C02897"/>
    <w:rsid w:val="00D3439C"/>
    <w:rsid w:val="00D96DCD"/>
    <w:rsid w:val="00DB1831"/>
    <w:rsid w:val="00DC0149"/>
    <w:rsid w:val="00DD3BFD"/>
    <w:rsid w:val="00DF6678"/>
    <w:rsid w:val="00EF1CE4"/>
    <w:rsid w:val="00F53E0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90B953"/>
  <w15:docId w15:val="{6D8786CF-1C57-4F3B-A7B0-F66C627B2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9</TotalTime>
  <Pages>2</Pages>
  <Words>908</Words>
  <Characters>4994</Characters>
  <Application>Microsoft Office Word</Application>
  <DocSecurity>0</DocSecurity>
  <Lines>41</Lines>
  <Paragraphs>11</Paragraphs>
  <ScaleCrop>false</ScaleCrop>
  <HeadingPairs>
    <vt:vector size="2" baseType="variant">
      <vt:variant>
        <vt:lpstr>Titre</vt:lpstr>
      </vt:variant>
      <vt:variant>
        <vt:i4>1</vt:i4>
      </vt:variant>
    </vt:vector>
  </HeadingPairs>
  <TitlesOfParts>
    <vt:vector size="1" baseType="lpstr">
      <vt:lpstr>CERD/C/BLR/Q/20-23</vt:lpstr>
    </vt:vector>
  </TitlesOfParts>
  <Company>DCM</Company>
  <LinksUpToDate>false</LinksUpToDate>
  <CharactersWithSpaces>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CERD/C/BLR/Q/20-23</dc:title>
  <dc:subject/>
  <dc:creator>Fabienne CRELIER</dc:creator>
  <cp:keywords/>
  <cp:lastModifiedBy>Fabienne CRELIER</cp:lastModifiedBy>
  <cp:revision>3</cp:revision>
  <cp:lastPrinted>2017-10-12T06:12:00Z</cp:lastPrinted>
  <dcterms:created xsi:type="dcterms:W3CDTF">2017-10-12T06:12:00Z</dcterms:created>
  <dcterms:modified xsi:type="dcterms:W3CDTF">2017-10-12T06:21:00Z</dcterms:modified>
</cp:coreProperties>
</file>