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38.05pt" to="552.75pt,238.0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2672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00"/>
      </w:pPr>
      <w:r>
        <w:t>Distr.</w:t>
      </w:r>
      <w:r>
        <w:br/>
        <w:t>GENERAL</w:t>
      </w:r>
    </w:p>
    <w:p w:rsidR="00000000" w:rsidRDefault="00000000">
      <w:pPr>
        <w:tabs>
          <w:tab w:val="left" w:pos="720"/>
        </w:tabs>
        <w:rPr>
          <w:lang w:val="fr-FR"/>
        </w:rPr>
      </w:pP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s-ES_tradnl"/>
        </w:rPr>
        <w:t xml:space="preserve">      CERD/C/MEX/CO/15</w:t>
      </w:r>
      <w:r>
        <w:rPr>
          <w:lang w:val="es-ES_tradnl"/>
        </w:rPr>
        <w:br/>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t xml:space="preserve">      </w:t>
      </w:r>
      <w:r>
        <w:rPr>
          <w:lang w:val="fr-FR"/>
        </w:rPr>
        <w:t>4 de avril de 2006</w:t>
      </w:r>
      <w:r>
        <w:rPr>
          <w:lang w:val="fr-FR"/>
        </w:rPr>
        <w:br/>
      </w:r>
    </w:p>
    <w:p w:rsidR="00000000" w:rsidRDefault="00000000">
      <w:pPr>
        <w:spacing w:after="240"/>
        <w:rPr>
          <w:lang w:val="es-ES_tradnl"/>
        </w:rPr>
      </w:pP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t xml:space="preserve">       </w:t>
      </w:r>
      <w:r>
        <w:br/>
      </w:r>
      <w:r>
        <w:tab/>
      </w:r>
      <w:r>
        <w:tab/>
      </w:r>
      <w:r>
        <w:tab/>
      </w:r>
      <w:r>
        <w:tab/>
      </w:r>
      <w:r>
        <w:tab/>
      </w:r>
      <w:r>
        <w:tab/>
      </w:r>
      <w:r>
        <w:tab/>
      </w:r>
      <w:r>
        <w:tab/>
      </w:r>
      <w:r>
        <w:tab/>
      </w:r>
      <w:r>
        <w:tab/>
      </w:r>
      <w:r>
        <w:tab/>
      </w:r>
      <w:r>
        <w:tab/>
        <w:t xml:space="preserve">       Original:  ESPAÑOL</w:t>
      </w:r>
    </w:p>
    <w:p w:rsidR="00000000" w:rsidRDefault="00000000">
      <w:r>
        <w:t>COMITÉ PARA LA ELIMINACIÓN DE</w:t>
      </w:r>
    </w:p>
    <w:p w:rsidR="00000000" w:rsidRDefault="00000000">
      <w:pPr>
        <w:ind w:left="340"/>
      </w:pPr>
      <w:r>
        <w:t>LA DISCRIMINACIÓN RACIAL</w:t>
      </w:r>
    </w:p>
    <w:p w:rsidR="00000000" w:rsidRDefault="00000000">
      <w:pPr>
        <w:spacing w:after="720"/>
        <w:rPr>
          <w:lang w:val="es-ES_tradnl"/>
        </w:rPr>
      </w:pPr>
      <w:r>
        <w:rPr>
          <w:lang w:val="es-ES_tradnl"/>
        </w:rPr>
        <w:t>68º período de sesiones</w:t>
      </w:r>
      <w:r>
        <w:rPr>
          <w:lang w:val="es-ES_tradnl"/>
        </w:rPr>
        <w:br/>
        <w:t>20 de febrero al 10 de marzo de 2006</w:t>
      </w:r>
    </w:p>
    <w:p w:rsidR="00000000" w:rsidRDefault="00000000">
      <w:pPr>
        <w:spacing w:after="360"/>
        <w:jc w:val="center"/>
        <w:rPr>
          <w:lang w:val="es-ES_tradnl"/>
        </w:rPr>
      </w:pPr>
      <w:r>
        <w:rPr>
          <w:b/>
          <w:bCs/>
          <w:lang w:val="es-ES_tradnl"/>
        </w:rPr>
        <w:t>EXAMEN DE LOS INFORMES PRESENTADOS POR LOS ESTADOS</w:t>
      </w:r>
      <w:r>
        <w:rPr>
          <w:b/>
          <w:bCs/>
          <w:lang w:val="es-ES_tradnl"/>
        </w:rPr>
        <w:br/>
        <w:t>PARTES DE CONFORMIDAD CON EL ARTÍCULO 9</w:t>
      </w:r>
      <w:r>
        <w:rPr>
          <w:b/>
          <w:bCs/>
          <w:lang w:val="es-ES_tradnl"/>
        </w:rPr>
        <w:br/>
        <w:t>DE LA CONVENCIÓN</w:t>
      </w:r>
    </w:p>
    <w:p w:rsidR="00000000" w:rsidRDefault="00000000">
      <w:pPr>
        <w:spacing w:after="480"/>
        <w:jc w:val="center"/>
        <w:rPr>
          <w:b/>
          <w:bCs/>
          <w:lang w:val="es-ES_tradnl"/>
        </w:rPr>
      </w:pPr>
      <w:r>
        <w:rPr>
          <w:b/>
          <w:bCs/>
          <w:lang w:val="es-ES_tradnl"/>
        </w:rPr>
        <w:t>Observaciones finales del Comité para la Eliminación</w:t>
      </w:r>
      <w:r>
        <w:rPr>
          <w:b/>
          <w:bCs/>
          <w:lang w:val="es-ES_tradnl"/>
        </w:rPr>
        <w:br/>
        <w:t>de la Discriminación Racial</w:t>
      </w:r>
    </w:p>
    <w:p w:rsidR="00000000" w:rsidRDefault="00000000">
      <w:pPr>
        <w:spacing w:after="240"/>
        <w:ind w:firstLine="720"/>
        <w:rPr>
          <w:b/>
          <w:bCs/>
        </w:rPr>
      </w:pPr>
      <w:r>
        <w:rPr>
          <w:b/>
          <w:bCs/>
        </w:rPr>
        <w:t xml:space="preserve">                                                     MEXICO</w:t>
      </w:r>
    </w:p>
    <w:p w:rsidR="00000000" w:rsidRDefault="00000000">
      <w:pPr>
        <w:spacing w:after="240"/>
        <w:ind w:firstLine="720"/>
        <w:jc w:val="center"/>
        <w:rPr>
          <w:b/>
          <w:bCs/>
        </w:rPr>
      </w:pPr>
    </w:p>
    <w:p w:rsidR="00000000" w:rsidRDefault="00000000">
      <w:pPr>
        <w:numPr>
          <w:ilvl w:val="0"/>
          <w:numId w:val="110"/>
        </w:numPr>
        <w:spacing w:after="240"/>
        <w:jc w:val="both"/>
      </w:pPr>
      <w:r>
        <w:t>El Comité examinó en sus sesiones 1731 y 1732 (CERD/C/SR.1731 y 1732), celebradas los días 20 y 21 de febrero de 2006, los informes periódicos 12 al 15 de México que deberían de haberse presentado el 22 de diciembre de 1998, 2000, 2002 y 2004 respectivamente, y que se presentaron refundidos en un solo documento (CERD/C/473/</w:t>
      </w:r>
      <w:proofErr w:type="spellStart"/>
      <w:r>
        <w:t>Add</w:t>
      </w:r>
      <w:proofErr w:type="spellEnd"/>
      <w:r>
        <w:t>.1).  En sus sesiones 1752 y 1753  (CERD/C/SR.1752 y 1753), celebradas el 7 de marzo de 2006, el Comité aprobó las siguientes observaciones finales.</w:t>
      </w:r>
    </w:p>
    <w:p w:rsidR="00000000" w:rsidRDefault="00000000">
      <w:pPr>
        <w:spacing w:after="240"/>
        <w:jc w:val="both"/>
      </w:pPr>
    </w:p>
    <w:p w:rsidR="00000000" w:rsidRDefault="00000000">
      <w:pPr>
        <w:spacing w:after="240"/>
        <w:ind w:firstLine="720"/>
        <w:rPr>
          <w:b/>
          <w:bCs/>
        </w:rPr>
      </w:pPr>
      <w:r>
        <w:rPr>
          <w:b/>
          <w:bCs/>
        </w:rPr>
        <w:t xml:space="preserve">                                             A. Introducción</w:t>
      </w:r>
    </w:p>
    <w:p w:rsidR="00000000" w:rsidRDefault="00000000">
      <w:pPr>
        <w:numPr>
          <w:ilvl w:val="0"/>
          <w:numId w:val="110"/>
        </w:numPr>
        <w:autoSpaceDE w:val="0"/>
        <w:autoSpaceDN w:val="0"/>
        <w:adjustRightInd w:val="0"/>
        <w:jc w:val="both"/>
      </w:pPr>
      <w:r>
        <w:rPr>
          <w:noProof/>
          <w:sz w:val="20"/>
          <w:lang w:val="en-US" w:eastAsia="en-US"/>
        </w:rPr>
        <w:pict>
          <v:shape id="_x0000_s1033" type="#_x0000_t202" style="position:absolute;left:0;text-align:left;margin-left:-6pt;margin-top:85.85pt;width:96pt;height:27pt;z-index:7" stroked="f">
            <v:textbox>
              <w:txbxContent>
                <w:p w:rsidR="00000000" w:rsidRDefault="00000000">
                  <w:r>
                    <w:t>GE.06-41261</w:t>
                  </w:r>
                </w:p>
              </w:txbxContent>
            </v:textbox>
            <w10:wrap type="square"/>
          </v:shape>
        </w:pict>
      </w:r>
      <w:r>
        <w:t>El Comité acoge con satisfacción</w:t>
      </w:r>
      <w:r>
        <w:rPr>
          <w:rFonts w:ascii="TimesNewRoman" w:hAnsi="TimesNewRoman" w:cs="TimesNewRoman"/>
          <w:lang w:val="es-ES_tradnl"/>
        </w:rPr>
        <w:t xml:space="preserve"> </w:t>
      </w:r>
      <w:r>
        <w:rPr>
          <w:lang w:val="es-ES_tradnl"/>
        </w:rPr>
        <w:t xml:space="preserve">el informe periódico del Estado parte y el hecho de que estuviera representado por una delegación formada por titulares de diferentes dependencias del Estado involucradas en asuntos relacionados con la aplicación de la Convención. Asimismo, </w:t>
      </w:r>
      <w:r>
        <w:t xml:space="preserve">el Comité celebra que la Comisión Nacional de Derechos Humanos haya participado en la elaboración del informe periódico  así como las organizaciones no gubernamentales de derechos humanos. </w:t>
      </w:r>
      <w:r>
        <w:rPr>
          <w:lang w:val="es-ES_tradnl"/>
        </w:rPr>
        <w:t xml:space="preserve">El Comité agradece igualmente a la delegación las respuestas francas y detalladas a las numerosas preguntas que se le </w:t>
      </w:r>
      <w:r>
        <w:t>formularon.</w:t>
      </w:r>
    </w:p>
    <w:p w:rsidR="00000000" w:rsidRDefault="00000000">
      <w:pPr>
        <w:autoSpaceDE w:val="0"/>
        <w:autoSpaceDN w:val="0"/>
        <w:adjustRightInd w:val="0"/>
        <w:jc w:val="both"/>
      </w:pPr>
    </w:p>
    <w:p w:rsidR="00000000" w:rsidRDefault="00000000">
      <w:pPr>
        <w:autoSpaceDE w:val="0"/>
        <w:autoSpaceDN w:val="0"/>
        <w:adjustRightInd w:val="0"/>
        <w:rPr>
          <w:b/>
          <w:bCs/>
        </w:rPr>
      </w:pPr>
    </w:p>
    <w:p w:rsidR="00000000" w:rsidRDefault="00000000">
      <w:pPr>
        <w:autoSpaceDE w:val="0"/>
        <w:autoSpaceDN w:val="0"/>
        <w:adjustRightInd w:val="0"/>
        <w:ind w:left="360"/>
        <w:rPr>
          <w:b/>
          <w:bCs/>
        </w:rPr>
      </w:pPr>
    </w:p>
    <w:p w:rsidR="00000000" w:rsidRDefault="00000000">
      <w:pPr>
        <w:autoSpaceDE w:val="0"/>
        <w:autoSpaceDN w:val="0"/>
        <w:adjustRightInd w:val="0"/>
        <w:ind w:left="360"/>
        <w:rPr>
          <w:b/>
          <w:bCs/>
        </w:rPr>
      </w:pPr>
    </w:p>
    <w:p w:rsidR="00000000" w:rsidRDefault="00000000">
      <w:pPr>
        <w:autoSpaceDE w:val="0"/>
        <w:autoSpaceDN w:val="0"/>
        <w:adjustRightInd w:val="0"/>
        <w:ind w:left="2160" w:firstLine="720"/>
        <w:rPr>
          <w:b/>
          <w:bCs/>
        </w:rPr>
      </w:pPr>
      <w:r>
        <w:rPr>
          <w:b/>
          <w:bCs/>
        </w:rPr>
        <w:t>B. Aspectos positivos</w:t>
      </w:r>
    </w:p>
    <w:p w:rsidR="00000000" w:rsidRDefault="00000000">
      <w:pPr>
        <w:autoSpaceDE w:val="0"/>
        <w:autoSpaceDN w:val="0"/>
        <w:adjustRightInd w:val="0"/>
        <w:jc w:val="center"/>
        <w:rPr>
          <w:b/>
          <w:bCs/>
        </w:rPr>
      </w:pPr>
    </w:p>
    <w:p w:rsidR="00000000" w:rsidRDefault="00000000">
      <w:pPr>
        <w:autoSpaceDE w:val="0"/>
        <w:autoSpaceDN w:val="0"/>
        <w:adjustRightInd w:val="0"/>
        <w:jc w:val="center"/>
        <w:rPr>
          <w:b/>
          <w:bCs/>
        </w:rPr>
      </w:pPr>
    </w:p>
    <w:p w:rsidR="00000000" w:rsidRDefault="00000000">
      <w:pPr>
        <w:numPr>
          <w:ilvl w:val="0"/>
          <w:numId w:val="110"/>
        </w:numPr>
        <w:autoSpaceDE w:val="0"/>
        <w:autoSpaceDN w:val="0"/>
        <w:adjustRightInd w:val="0"/>
        <w:jc w:val="both"/>
      </w:pPr>
      <w:r>
        <w:t>El Comité acoge con satisfacción la declaración realizada por el Estado parte en 2002 del artículo 14 de la  Convención para el reconocimiento de la competencia del Comité para la Eliminación de la Discriminación Racial para recibir y examinar comunicaciones de personas o grupos de personas.</w:t>
      </w:r>
    </w:p>
    <w:p w:rsidR="00000000" w:rsidRDefault="00000000">
      <w:pPr>
        <w:autoSpaceDE w:val="0"/>
        <w:autoSpaceDN w:val="0"/>
        <w:adjustRightInd w:val="0"/>
        <w:ind w:left="600"/>
        <w:jc w:val="both"/>
      </w:pPr>
    </w:p>
    <w:p w:rsidR="00000000" w:rsidRDefault="00000000">
      <w:pPr>
        <w:numPr>
          <w:ilvl w:val="0"/>
          <w:numId w:val="110"/>
        </w:numPr>
        <w:autoSpaceDE w:val="0"/>
        <w:autoSpaceDN w:val="0"/>
        <w:adjustRightInd w:val="0"/>
        <w:jc w:val="both"/>
      </w:pPr>
      <w:r>
        <w:rPr>
          <w:rFonts w:eastAsia="SimSun"/>
          <w:lang w:val="es-ES_tradnl" w:eastAsia="zh-CN"/>
        </w:rPr>
        <w:t>El Comité celebra la adopción del nuevo artículo 2 de la Constitución  que establece que la Nación Mexicana es única, indivisible y pluricultural sustentada originalmente en sus pueblos indígenas.</w:t>
      </w:r>
    </w:p>
    <w:p w:rsidR="00000000" w:rsidRDefault="00000000">
      <w:pPr>
        <w:autoSpaceDE w:val="0"/>
        <w:autoSpaceDN w:val="0"/>
        <w:adjustRightInd w:val="0"/>
        <w:jc w:val="both"/>
      </w:pPr>
    </w:p>
    <w:p w:rsidR="00000000" w:rsidRDefault="00000000">
      <w:pPr>
        <w:numPr>
          <w:ilvl w:val="0"/>
          <w:numId w:val="110"/>
        </w:numPr>
        <w:autoSpaceDE w:val="0"/>
        <w:autoSpaceDN w:val="0"/>
        <w:adjustRightInd w:val="0"/>
        <w:jc w:val="both"/>
      </w:pPr>
      <w:r>
        <w:t>El Comité se congratula por la promulgación de la Ley Federal para la prevención y eliminación de la discriminación en 2002 y por la creación del Consejo Nacional para prevenir la Discriminación que entró en funciones en 2004.</w:t>
      </w:r>
    </w:p>
    <w:p w:rsidR="00000000" w:rsidRDefault="00000000">
      <w:pPr>
        <w:autoSpaceDE w:val="0"/>
        <w:autoSpaceDN w:val="0"/>
        <w:adjustRightInd w:val="0"/>
        <w:jc w:val="both"/>
      </w:pPr>
    </w:p>
    <w:p w:rsidR="00000000" w:rsidRDefault="00000000">
      <w:pPr>
        <w:numPr>
          <w:ilvl w:val="0"/>
          <w:numId w:val="110"/>
        </w:numPr>
        <w:autoSpaceDE w:val="0"/>
        <w:autoSpaceDN w:val="0"/>
        <w:adjustRightInd w:val="0"/>
        <w:jc w:val="both"/>
      </w:pPr>
      <w:r>
        <w:t>El Comité acoge con beneplácito la promulgación en 2003 de la Ley General de Derechos Lingüísticos de los Pueblos Indígenas y la creación del Instituto de Lenguas Indígenas.</w:t>
      </w:r>
    </w:p>
    <w:p w:rsidR="00000000" w:rsidRDefault="00000000">
      <w:pPr>
        <w:autoSpaceDE w:val="0"/>
        <w:autoSpaceDN w:val="0"/>
        <w:adjustRightInd w:val="0"/>
        <w:jc w:val="both"/>
      </w:pPr>
    </w:p>
    <w:p w:rsidR="00000000" w:rsidRDefault="00000000">
      <w:pPr>
        <w:numPr>
          <w:ilvl w:val="0"/>
          <w:numId w:val="110"/>
        </w:numPr>
        <w:autoSpaceDE w:val="0"/>
        <w:autoSpaceDN w:val="0"/>
        <w:adjustRightInd w:val="0"/>
        <w:jc w:val="both"/>
      </w:pPr>
      <w:r>
        <w:t>El Comité acoge con satisfacción la creación en 2003 de la Comisión Nacional para el Desarrollo de los Pueblos Indígenas.</w:t>
      </w:r>
    </w:p>
    <w:p w:rsidR="00000000" w:rsidRDefault="00000000">
      <w:pPr>
        <w:autoSpaceDE w:val="0"/>
        <w:autoSpaceDN w:val="0"/>
        <w:adjustRightInd w:val="0"/>
        <w:jc w:val="both"/>
      </w:pPr>
    </w:p>
    <w:p w:rsidR="00000000" w:rsidRDefault="00000000">
      <w:pPr>
        <w:numPr>
          <w:ilvl w:val="0"/>
          <w:numId w:val="110"/>
        </w:numPr>
        <w:autoSpaceDE w:val="0"/>
        <w:autoSpaceDN w:val="0"/>
        <w:adjustRightInd w:val="0"/>
        <w:jc w:val="both"/>
      </w:pPr>
      <w:r>
        <w:t xml:space="preserve"> El Comité se congratula por el reconocimiento de la jurisdicción de los juzgados indígenas en algunos estados de los Estados Unidos Mexicanos.</w:t>
      </w:r>
    </w:p>
    <w:p w:rsidR="00000000" w:rsidRDefault="00000000">
      <w:pPr>
        <w:autoSpaceDE w:val="0"/>
        <w:autoSpaceDN w:val="0"/>
        <w:adjustRightInd w:val="0"/>
        <w:jc w:val="both"/>
      </w:pPr>
    </w:p>
    <w:p w:rsidR="00000000" w:rsidRDefault="00000000">
      <w:pPr>
        <w:numPr>
          <w:ilvl w:val="0"/>
          <w:numId w:val="110"/>
        </w:numPr>
        <w:autoSpaceDE w:val="0"/>
        <w:autoSpaceDN w:val="0"/>
        <w:adjustRightInd w:val="0"/>
        <w:jc w:val="both"/>
      </w:pPr>
      <w:r>
        <w:t>El Comité toma nota con agrado la ratificación del Estado parte de la Convención Internacional sobre la Protección de los Trabajadores Migratorios y de sus Familiares en 2003.</w:t>
      </w:r>
    </w:p>
    <w:p w:rsidR="00000000" w:rsidRDefault="00000000">
      <w:pPr>
        <w:autoSpaceDE w:val="0"/>
        <w:autoSpaceDN w:val="0"/>
        <w:adjustRightInd w:val="0"/>
        <w:jc w:val="both"/>
      </w:pPr>
    </w:p>
    <w:p w:rsidR="00000000" w:rsidRDefault="00000000">
      <w:pPr>
        <w:numPr>
          <w:ilvl w:val="0"/>
          <w:numId w:val="110"/>
        </w:numPr>
        <w:autoSpaceDE w:val="0"/>
        <w:autoSpaceDN w:val="0"/>
        <w:adjustRightInd w:val="0"/>
        <w:jc w:val="both"/>
      </w:pPr>
      <w:r>
        <w:t>El Comité toma nota con satisfacción de la estrecha colaboración entre la Oficina del Alto Comisionado de Derechos Humanos presente en México y el Estado parte en la lucha contra discriminación racial particularmente en relación a los pueblos indígenas.</w:t>
      </w:r>
    </w:p>
    <w:p w:rsidR="00000000" w:rsidRDefault="00000000">
      <w:pPr>
        <w:autoSpaceDE w:val="0"/>
        <w:autoSpaceDN w:val="0"/>
        <w:adjustRightInd w:val="0"/>
        <w:jc w:val="both"/>
      </w:pPr>
    </w:p>
    <w:p w:rsidR="00000000" w:rsidRDefault="00000000">
      <w:pPr>
        <w:widowControl w:val="0"/>
        <w:spacing w:after="240"/>
        <w:rPr>
          <w:b/>
          <w:bCs/>
        </w:rPr>
      </w:pPr>
    </w:p>
    <w:p w:rsidR="00000000" w:rsidRDefault="00000000">
      <w:pPr>
        <w:widowControl w:val="0"/>
        <w:spacing w:after="240"/>
        <w:jc w:val="center"/>
        <w:rPr>
          <w:b/>
          <w:bCs/>
        </w:rPr>
      </w:pPr>
      <w:r>
        <w:rPr>
          <w:b/>
          <w:bCs/>
        </w:rPr>
        <w:t xml:space="preserve">            C. Motivos de preocupación y recomendaciones</w:t>
      </w:r>
    </w:p>
    <w:p w:rsidR="00000000" w:rsidRDefault="00000000">
      <w:pPr>
        <w:keepNext/>
        <w:keepLines/>
        <w:spacing w:after="240"/>
        <w:jc w:val="both"/>
      </w:pPr>
    </w:p>
    <w:p w:rsidR="00000000" w:rsidRDefault="00000000">
      <w:pPr>
        <w:numPr>
          <w:ilvl w:val="0"/>
          <w:numId w:val="110"/>
        </w:numPr>
        <w:autoSpaceDE w:val="0"/>
        <w:autoSpaceDN w:val="0"/>
        <w:adjustRightInd w:val="0"/>
        <w:jc w:val="both"/>
      </w:pPr>
      <w:r>
        <w:t xml:space="preserve">El Comité expresa preocupación por la falta de datos estadísticos sobre comunidades afro-descendientes en el informe del Estado parte. El Comité recuerda que información sobre la composición de la población es necesaria para evaluar la aplicación de la Convención y supervisar las políticas que afectan a las minorías. </w:t>
      </w:r>
    </w:p>
    <w:p w:rsidR="00000000" w:rsidRDefault="00000000">
      <w:pPr>
        <w:autoSpaceDE w:val="0"/>
        <w:autoSpaceDN w:val="0"/>
        <w:adjustRightInd w:val="0"/>
        <w:jc w:val="both"/>
      </w:pPr>
    </w:p>
    <w:p w:rsidR="00000000" w:rsidRDefault="00000000">
      <w:pPr>
        <w:keepNext/>
        <w:keepLines/>
        <w:tabs>
          <w:tab w:val="left" w:pos="7920"/>
        </w:tabs>
        <w:spacing w:after="240"/>
        <w:ind w:left="840" w:right="1320"/>
        <w:jc w:val="both"/>
        <w:rPr>
          <w:b/>
          <w:bCs/>
        </w:rPr>
      </w:pPr>
      <w:r>
        <w:rPr>
          <w:b/>
          <w:bCs/>
        </w:rPr>
        <w:t xml:space="preserve">El Comité recomienda al Estado parte que proporcione información sobre las comunidades afro-descendientes que numéricamente son pequeñas y más vulnerables y por ello deben contar con todas las garantías de protección que la Convención establece. </w:t>
      </w:r>
    </w:p>
    <w:p w:rsidR="00000000" w:rsidRDefault="00000000">
      <w:pPr>
        <w:numPr>
          <w:ilvl w:val="0"/>
          <w:numId w:val="110"/>
        </w:numPr>
        <w:autoSpaceDE w:val="0"/>
        <w:autoSpaceDN w:val="0"/>
        <w:adjustRightInd w:val="0"/>
        <w:jc w:val="both"/>
      </w:pPr>
      <w:r>
        <w:t>Si bien el Comité toma nota de las explicaciones proporcionadas por el Estado parte en relación a las reformas constitucionales de 2001 en materia de derechos indígenas, el Comité lamenta que dichas reformas no  hayan sido reflejadas en la práctica.</w:t>
      </w:r>
      <w:r>
        <w:rPr>
          <w:b/>
          <w:bCs/>
        </w:rPr>
        <w:t xml:space="preserve">  </w:t>
      </w:r>
      <w:r>
        <w:t>El Comité lamenta asimismo que los pueblos indígenas no fueron consultados durante el proceso de la reforma.(Art. 2)</w:t>
      </w:r>
    </w:p>
    <w:p w:rsidR="00000000" w:rsidRDefault="00000000">
      <w:pPr>
        <w:autoSpaceDE w:val="0"/>
        <w:autoSpaceDN w:val="0"/>
        <w:adjustRightInd w:val="0"/>
        <w:ind w:left="360"/>
        <w:jc w:val="both"/>
      </w:pPr>
    </w:p>
    <w:p w:rsidR="00000000" w:rsidRDefault="00000000">
      <w:pPr>
        <w:tabs>
          <w:tab w:val="left" w:pos="7920"/>
        </w:tabs>
        <w:autoSpaceDE w:val="0"/>
        <w:autoSpaceDN w:val="0"/>
        <w:adjustRightInd w:val="0"/>
        <w:ind w:left="840" w:right="1320"/>
        <w:jc w:val="both"/>
        <w:rPr>
          <w:b/>
          <w:bCs/>
        </w:rPr>
      </w:pPr>
      <w:r>
        <w:rPr>
          <w:b/>
          <w:bCs/>
        </w:rPr>
        <w:t xml:space="preserve">El Comité recomienda al Estado parte que ponga en práctica los principios recogidos en la reforma constitucional en materia indígena en estrecha consulta con los pueblos indígenas.  </w:t>
      </w:r>
    </w:p>
    <w:p w:rsidR="00000000" w:rsidRDefault="00000000">
      <w:pPr>
        <w:autoSpaceDE w:val="0"/>
        <w:autoSpaceDN w:val="0"/>
        <w:adjustRightInd w:val="0"/>
        <w:ind w:left="600"/>
        <w:jc w:val="both"/>
      </w:pPr>
    </w:p>
    <w:p w:rsidR="00000000" w:rsidRDefault="00000000">
      <w:pPr>
        <w:numPr>
          <w:ilvl w:val="0"/>
          <w:numId w:val="110"/>
        </w:numPr>
        <w:spacing w:after="240"/>
        <w:rPr>
          <w:b/>
          <w:bCs/>
        </w:rPr>
      </w:pPr>
      <w:r>
        <w:t>El Comité expresa preocupación por la falta de cumplimiento del artículo 10 de  la Ley General de Derechos Lingüísticos de los Pueblos Indígenas que recoge el derecho de los indígenas al uso de intérpretes en el sistema de la  administración de justicia.(Art. 5(a))</w:t>
      </w:r>
    </w:p>
    <w:p w:rsidR="00000000" w:rsidRDefault="00000000">
      <w:pPr>
        <w:tabs>
          <w:tab w:val="left" w:pos="7920"/>
        </w:tabs>
        <w:spacing w:after="240"/>
        <w:ind w:left="840" w:right="1320"/>
        <w:jc w:val="both"/>
        <w:rPr>
          <w:b/>
          <w:bCs/>
        </w:rPr>
      </w:pPr>
      <w:r>
        <w:rPr>
          <w:b/>
          <w:bCs/>
        </w:rPr>
        <w:t>Teniendo en cuenta la Recomendación general 31 (apartado B, párrafo 5e)), el Comité recomienda al Estado parte que garantice el derecho de los pueblos indígenas al uso de intérpretes y de defensores de oficio conocedores del idioma, cultura y  costumbres de las comunidades indígenas en el transcurso de procedimientos judiciales</w:t>
      </w:r>
      <w:r>
        <w:t>.</w:t>
      </w:r>
      <w:r>
        <w:rPr>
          <w:b/>
          <w:bCs/>
        </w:rPr>
        <w:t xml:space="preserve"> </w:t>
      </w:r>
    </w:p>
    <w:p w:rsidR="00000000" w:rsidRDefault="00000000">
      <w:pPr>
        <w:numPr>
          <w:ilvl w:val="0"/>
          <w:numId w:val="110"/>
        </w:numPr>
        <w:spacing w:after="240"/>
        <w:jc w:val="both"/>
        <w:rPr>
          <w:b/>
          <w:bCs/>
        </w:rPr>
      </w:pPr>
      <w:r>
        <w:t>El Comité toma nota con preocupación que el artículo 2, sección VII de la Constitución haya limitado el derecho de los pueblos indígenas a elegir a sus representantes políticos  únicamente a nivel municipal.(Art. 5 (c))</w:t>
      </w:r>
    </w:p>
    <w:p w:rsidR="00000000" w:rsidRDefault="00000000">
      <w:pPr>
        <w:tabs>
          <w:tab w:val="left" w:pos="7920"/>
        </w:tabs>
        <w:autoSpaceDE w:val="0"/>
        <w:autoSpaceDN w:val="0"/>
        <w:adjustRightInd w:val="0"/>
        <w:ind w:left="840" w:right="1320"/>
        <w:jc w:val="both"/>
        <w:rPr>
          <w:b/>
          <w:bCs/>
        </w:rPr>
      </w:pPr>
      <w:r>
        <w:rPr>
          <w:b/>
          <w:bCs/>
        </w:rPr>
        <w:t>El Comité recuerda al Estado parte el artículo 5 c) de la Convención y le recomienda que garantice en la práctica el derecho de los pueblos indígenas a participar en el gobierno y en la dirección de los asuntos públicos a cualquier nivel.</w:t>
      </w:r>
    </w:p>
    <w:p w:rsidR="00000000" w:rsidRDefault="00000000">
      <w:pPr>
        <w:autoSpaceDE w:val="0"/>
        <w:autoSpaceDN w:val="0"/>
        <w:adjustRightInd w:val="0"/>
        <w:ind w:left="1980"/>
        <w:jc w:val="both"/>
        <w:rPr>
          <w:b/>
          <w:bCs/>
        </w:rPr>
      </w:pPr>
    </w:p>
    <w:p w:rsidR="00000000" w:rsidRDefault="00000000">
      <w:pPr>
        <w:numPr>
          <w:ilvl w:val="0"/>
          <w:numId w:val="110"/>
        </w:numPr>
        <w:spacing w:after="240"/>
        <w:jc w:val="both"/>
        <w:rPr>
          <w:b/>
          <w:bCs/>
        </w:rPr>
      </w:pPr>
      <w:r>
        <w:t xml:space="preserve">El Comité reitera su preocupación por el hecho de que las comunidades indígenas no poseen seguridad jurídica en cuanto a la tenencia de la tierra en particular en la región </w:t>
      </w:r>
      <w:proofErr w:type="spellStart"/>
      <w:r>
        <w:t>Huasteca</w:t>
      </w:r>
      <w:proofErr w:type="spellEnd"/>
      <w:r>
        <w:t xml:space="preserve"> donde la lucha de las comunidades indígenas por el reconocimiento y titulación de sus tierras ha dejado en las últimas tres décadas una secuela de decenas de muertos.(Art.5(d)(v))</w:t>
      </w:r>
    </w:p>
    <w:p w:rsidR="00000000" w:rsidRDefault="00000000">
      <w:pPr>
        <w:tabs>
          <w:tab w:val="left" w:pos="7920"/>
        </w:tabs>
        <w:autoSpaceDE w:val="0"/>
        <w:autoSpaceDN w:val="0"/>
        <w:adjustRightInd w:val="0"/>
        <w:ind w:left="960" w:right="1320"/>
        <w:jc w:val="both"/>
        <w:rPr>
          <w:rFonts w:eastAsia="SimSun"/>
          <w:b/>
          <w:bCs/>
          <w:lang w:val="es-ES_tradnl" w:eastAsia="zh-CN"/>
        </w:rPr>
      </w:pPr>
      <w:r>
        <w:rPr>
          <w:rFonts w:eastAsia="SimSun"/>
          <w:b/>
          <w:bCs/>
          <w:lang w:val="es-ES_tradnl" w:eastAsia="zh-CN"/>
        </w:rPr>
        <w:t>El Comité recuerda al Estado parte su Recomendación General 23 relativa a los derechos de los pueblos indígenas, en particular el párrafo 5, el cual exhorta al Estado parte a reconocer y proteger los derechos de los pueblos indígenas a poseer, explotar, controlar y utilizar sus tierras y territorios. Asimismo, el Comité recomienda al Estado Parte que asegure la correcta aplicación del  Programa de Atención a Focos Rojos que tiene por objeto resolver los conflictos cuya causa principal es la disputa por la posesión de tierras. El Comité pide al Estado parte que proporcione información en su próximo informe periódico sobre los avances logrados en esta materia.</w:t>
      </w:r>
    </w:p>
    <w:p w:rsidR="00000000" w:rsidRDefault="00000000">
      <w:pPr>
        <w:autoSpaceDE w:val="0"/>
        <w:autoSpaceDN w:val="0"/>
        <w:adjustRightInd w:val="0"/>
        <w:jc w:val="both"/>
        <w:rPr>
          <w:b/>
          <w:bCs/>
        </w:rPr>
      </w:pPr>
    </w:p>
    <w:p w:rsidR="00000000" w:rsidRDefault="00000000">
      <w:pPr>
        <w:numPr>
          <w:ilvl w:val="0"/>
          <w:numId w:val="110"/>
        </w:numPr>
        <w:autoSpaceDE w:val="0"/>
        <w:autoSpaceDN w:val="0"/>
        <w:adjustRightInd w:val="0"/>
        <w:jc w:val="both"/>
        <w:rPr>
          <w:b/>
          <w:bCs/>
        </w:rPr>
      </w:pPr>
      <w:r>
        <w:t xml:space="preserve">El Comité sigue preocupado por la situación de los trabajadores </w:t>
      </w:r>
      <w:proofErr w:type="spellStart"/>
      <w:r>
        <w:t>migrantes</w:t>
      </w:r>
      <w:proofErr w:type="spellEnd"/>
      <w:r>
        <w:t xml:space="preserve"> que provienen principalmente de comunidades indígenas de Guatemala, Honduras y Nicaragua, en particular respecto de las mujeres que son víctimas de abusos tales como largas jornadas laborales, falta de seguro médico, maltrato físico y verbal, acoso sexual y amenazas de entregarlas a las autoridades migratorias por ser indocumentadas.(Art. 5(e)(i)</w:t>
      </w:r>
    </w:p>
    <w:p w:rsidR="00000000" w:rsidRDefault="00000000">
      <w:pPr>
        <w:autoSpaceDE w:val="0"/>
        <w:autoSpaceDN w:val="0"/>
        <w:adjustRightInd w:val="0"/>
        <w:ind w:left="360"/>
        <w:jc w:val="both"/>
        <w:rPr>
          <w:b/>
          <w:bCs/>
        </w:rPr>
      </w:pPr>
    </w:p>
    <w:p w:rsidR="00000000" w:rsidRDefault="00000000">
      <w:pPr>
        <w:tabs>
          <w:tab w:val="left" w:pos="7920"/>
        </w:tabs>
        <w:autoSpaceDE w:val="0"/>
        <w:autoSpaceDN w:val="0"/>
        <w:adjustRightInd w:val="0"/>
        <w:ind w:left="960" w:right="1320"/>
        <w:jc w:val="both"/>
        <w:rPr>
          <w:b/>
          <w:bCs/>
        </w:rPr>
      </w:pPr>
      <w:r>
        <w:rPr>
          <w:b/>
          <w:bCs/>
        </w:rPr>
        <w:t xml:space="preserve">Teniendo en cuenta la Recomendación General 23 sobre los no-ciudadanos, el Comité recomienda al Estado parte que asegure el adecuado cumplimiento en la práctica de los programas que se están llevando a cabo tales como el Programa de Documentación para la Seguridad Jurídica-Migratoria de los Trabajadores Agrícolas Guatemaltecos, el Programa de Regularización Migratoria, el Programa de Dignificación de Estaciones Migratorias, el Plan de Acción para la Cooperación en Asuntos Migratorios y de Protección Consular con el Salvador y Honduras así como el Programa de Jornaleros Agrícolas. El Comité invita al Estado parte a que incluya información en su próximo informe periódico sobre los progresos obtenidos en relación a la situación de los trabajadores </w:t>
      </w:r>
      <w:proofErr w:type="spellStart"/>
      <w:r>
        <w:rPr>
          <w:b/>
          <w:bCs/>
        </w:rPr>
        <w:t>migrantes</w:t>
      </w:r>
      <w:proofErr w:type="spellEnd"/>
      <w:r>
        <w:rPr>
          <w:b/>
          <w:bCs/>
        </w:rPr>
        <w:t xml:space="preserve"> en el Estado parte. </w:t>
      </w:r>
    </w:p>
    <w:p w:rsidR="00000000" w:rsidRDefault="00000000">
      <w:pPr>
        <w:autoSpaceDE w:val="0"/>
        <w:autoSpaceDN w:val="0"/>
        <w:adjustRightInd w:val="0"/>
        <w:jc w:val="both"/>
      </w:pPr>
    </w:p>
    <w:p w:rsidR="00000000" w:rsidRDefault="00000000">
      <w:pPr>
        <w:numPr>
          <w:ilvl w:val="0"/>
          <w:numId w:val="110"/>
        </w:numPr>
        <w:spacing w:after="240"/>
        <w:jc w:val="both"/>
        <w:rPr>
          <w:b/>
          <w:bCs/>
        </w:rPr>
      </w:pPr>
      <w:r>
        <w:t>Si bien el Comité acoge con satisfacción la tipificación como delito de la esterilización forzada bajo el artículo 67 de la Ley general de Salud, el Comité reitera su preocupación por la condición de los hombres y mujeres indígenas en materia de salud reproductiva en Chiapas, Guerrero y Oaxaca en relación a la práctica de esterilizaciones forzadas. (Art.5 (e) (</w:t>
      </w:r>
      <w:proofErr w:type="spellStart"/>
      <w:r>
        <w:t>iv</w:t>
      </w:r>
      <w:proofErr w:type="spellEnd"/>
      <w:r>
        <w:t>))</w:t>
      </w:r>
    </w:p>
    <w:p w:rsidR="00000000" w:rsidRDefault="00000000">
      <w:pPr>
        <w:tabs>
          <w:tab w:val="left" w:pos="7920"/>
        </w:tabs>
        <w:spacing w:after="240"/>
        <w:ind w:left="840" w:right="1320"/>
        <w:jc w:val="both"/>
        <w:rPr>
          <w:b/>
          <w:bCs/>
        </w:rPr>
      </w:pPr>
      <w:r>
        <w:rPr>
          <w:b/>
          <w:bCs/>
        </w:rPr>
        <w:t>El Comité exhorta al Estado Parte a que adopte todas las medidas necesarias para poner fin a la práctica de esterilizaciones forzadas, a que investigue de manera imparcial y a que se procese y se castigue a los autores y ejecutores de  las prácticas de esterilizaciones forzadas. El Estado Parte debe velar también por que las víctimas dispongan de recursos justos y eficaces, incluso para obtener indemnización.</w:t>
      </w:r>
    </w:p>
    <w:p w:rsidR="00000000" w:rsidRDefault="00000000">
      <w:pPr>
        <w:numPr>
          <w:ilvl w:val="0"/>
          <w:numId w:val="110"/>
        </w:numPr>
        <w:spacing w:after="240"/>
      </w:pPr>
      <w:r>
        <w:t>Le preocupa al Comité la discriminación racial existente hacia los pueblos indígenas en los medios de comunicación, incluyendo la emisión de representaciones estereotipadas y denigrantes hacia los pueblos indígenas.(</w:t>
      </w:r>
      <w:proofErr w:type="spellStart"/>
      <w:r>
        <w:t>Arts</w:t>
      </w:r>
      <w:proofErr w:type="spellEnd"/>
      <w:r>
        <w:t>. 4 y 7)</w:t>
      </w:r>
    </w:p>
    <w:p w:rsidR="00000000" w:rsidRDefault="00000000">
      <w:pPr>
        <w:tabs>
          <w:tab w:val="left" w:pos="7920"/>
        </w:tabs>
        <w:spacing w:after="240"/>
        <w:ind w:left="840" w:right="1320"/>
        <w:jc w:val="both"/>
        <w:rPr>
          <w:b/>
          <w:bCs/>
        </w:rPr>
      </w:pPr>
      <w:r>
        <w:rPr>
          <w:b/>
          <w:bCs/>
        </w:rPr>
        <w:t>El Comité recomienda al Estado parte que adopte medidas apropiadas para combatir los prejuicios raciales que conduzcan a la discriminación racial en los medios de comunicación, tanto en los canales públicos como privados. Adicionalmente, el Comité recomienda al Estado parte que promueva en la esfera de la información, la comprensión, la tolerancia y la amistad entre los diversos grupos raciales existentes en el Estado parte, incluyendo la adopción de un código de deontología de los medios de comunicación.</w:t>
      </w:r>
    </w:p>
    <w:p w:rsidR="00000000" w:rsidRDefault="00000000">
      <w:pPr>
        <w:numPr>
          <w:ilvl w:val="0"/>
          <w:numId w:val="110"/>
        </w:numPr>
        <w:spacing w:after="240"/>
        <w:jc w:val="both"/>
      </w:pPr>
      <w:r>
        <w:rPr>
          <w:rFonts w:eastAsia="SimSun"/>
          <w:lang w:eastAsia="zh-CN"/>
        </w:rPr>
        <w:t>El</w:t>
      </w:r>
      <w:r>
        <w:rPr>
          <w:rFonts w:eastAsia="SimSun"/>
          <w:lang w:val="es-ES_tradnl" w:eastAsia="zh-CN"/>
        </w:rPr>
        <w:t xml:space="preserve"> Comité recomienda al Estado parte que tenga en cuenta los elementos pertinentes de la Declaración y Programa de Acción de Durban al incorporar en su ordenamiento jurídico interno la Convención, en particular los artículos 2 a 7. Recomienda también que en su próximo informe periódico facilite información sobre las medidas adoptadas para dar cumplimiento en el ámbito nacional a la Declaración y Programa de Acción de Durban, en particular la preparación y aplicación del plan nacional de acción.</w:t>
      </w:r>
    </w:p>
    <w:p w:rsidR="00000000" w:rsidRDefault="00000000">
      <w:pPr>
        <w:numPr>
          <w:ilvl w:val="0"/>
          <w:numId w:val="110"/>
        </w:numPr>
        <w:spacing w:after="240"/>
        <w:jc w:val="both"/>
      </w:pPr>
      <w:r>
        <w:t>El Comité recomienda que se difundan los informes del Estado parte tan pronto como se presenten y que se publiquen asimismo las observaciones del Comité al respecto en  los idiomas indígenas.</w:t>
      </w:r>
    </w:p>
    <w:p w:rsidR="00000000" w:rsidRDefault="00000000">
      <w:pPr>
        <w:numPr>
          <w:ilvl w:val="0"/>
          <w:numId w:val="110"/>
        </w:numPr>
        <w:spacing w:after="240"/>
        <w:jc w:val="both"/>
      </w:pPr>
      <w:r>
        <w:t>Con arreglo al párrafo 1 del artículo 9 de la Convención y al artículo 65 del reglamento interno enmendado del Comité, el Comité requiere al Estado parte que informe sobre la  aplicación de las recomendaciones del Comité que figuran en los párrafos 11, 12 y 17 dentro del plazo de un año a partir de la adopción de las conclusiones presentes.</w:t>
      </w:r>
    </w:p>
    <w:p w:rsidR="00000000" w:rsidRDefault="00000000">
      <w:pPr>
        <w:numPr>
          <w:ilvl w:val="0"/>
          <w:numId w:val="110"/>
        </w:numPr>
        <w:spacing w:after="240"/>
        <w:jc w:val="both"/>
      </w:pPr>
      <w:r>
        <w:t>El Comité recomienda al Estado parte que presente sus 16 y 17 informes periódicos  que deberán presentarse el 22 de marzo de 2008 en un solo documento refundido.</w:t>
      </w:r>
    </w:p>
    <w:p w:rsidR="00000000" w:rsidRDefault="00000000">
      <w:pPr>
        <w:autoSpaceDE w:val="0"/>
        <w:autoSpaceDN w:val="0"/>
        <w:adjustRightInd w:val="0"/>
        <w:jc w:val="both"/>
      </w:pPr>
    </w:p>
    <w:p w:rsidR="00000000" w:rsidRDefault="00000000">
      <w:pPr>
        <w:jc w:val="center"/>
      </w:pPr>
      <w:r>
        <w:t>….</w:t>
      </w:r>
    </w:p>
    <w:p w:rsidR="00000000" w:rsidRDefault="00000000">
      <w:pPr>
        <w:spacing w:after="360"/>
        <w:jc w:val="center"/>
      </w:pPr>
    </w:p>
    <w:sectPr w:rsidR="00000000">
      <w:headerReference w:type="even" r:id="rId9"/>
      <w:headerReference w:type="default" r:id="rId10"/>
      <w:pgSz w:w="11906" w:h="16838" w:code="9"/>
      <w:pgMar w:top="1701" w:right="626"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epCentury Old Styl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lang w:val="es-ES_tradnl"/>
      </w:rPr>
      <w:t>CERD/C/MEX/CO/15</w:t>
    </w:r>
    <w:r>
      <w:rPr>
        <w:lang w:val="es-ES_tradnl"/>
      </w:rPr>
      <w:br/>
    </w: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080"/>
      </w:tabs>
      <w:rPr>
        <w:lang w:val="es-ES_tradnl"/>
      </w:rPr>
    </w:pPr>
    <w:r>
      <w:tab/>
    </w:r>
    <w:r>
      <w:rPr>
        <w:lang w:val="es-ES_tradnl"/>
      </w:rPr>
      <w:t xml:space="preserve">CERD/C/MEX/CO/15 </w:t>
    </w:r>
  </w:p>
  <w:p w:rsidR="00000000" w:rsidRDefault="00000000">
    <w:pPr>
      <w:pStyle w:val="Header"/>
      <w:tabs>
        <w:tab w:val="clear" w:pos="4252"/>
        <w:tab w:val="left" w:pos="7080"/>
      </w:tabs>
    </w:pPr>
    <w:r>
      <w:rPr>
        <w:lang w:val="es-ES_tradnl"/>
      </w:rPr>
      <w:tab/>
    </w:r>
    <w:r>
      <w:t xml:space="preserve">página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17B08"/>
    <w:multiLevelType w:val="hybridMultilevel"/>
    <w:tmpl w:val="9F8C47D4"/>
    <w:lvl w:ilvl="0" w:tplc="571AD100">
      <w:start w:val="299"/>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2C03BD8"/>
    <w:multiLevelType w:val="hybridMultilevel"/>
    <w:tmpl w:val="0D001904"/>
    <w:lvl w:ilvl="0" w:tplc="54F481DA">
      <w:start w:val="275"/>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6D22D2"/>
    <w:multiLevelType w:val="hybridMultilevel"/>
    <w:tmpl w:val="E7E87102"/>
    <w:lvl w:ilvl="0" w:tplc="21BCA4D4">
      <w:start w:val="24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9512024"/>
    <w:multiLevelType w:val="hybridMultilevel"/>
    <w:tmpl w:val="B7D4BBF6"/>
    <w:lvl w:ilvl="0" w:tplc="CAA2373E">
      <w:start w:val="278"/>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9790E59"/>
    <w:multiLevelType w:val="hybridMultilevel"/>
    <w:tmpl w:val="0A629AD6"/>
    <w:lvl w:ilvl="0" w:tplc="BADE689E">
      <w:start w:val="28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B2133BE"/>
    <w:multiLevelType w:val="hybridMultilevel"/>
    <w:tmpl w:val="615A2498"/>
    <w:lvl w:ilvl="0" w:tplc="9C9EFF3C">
      <w:start w:val="223"/>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B2B3028"/>
    <w:multiLevelType w:val="hybridMultilevel"/>
    <w:tmpl w:val="0B54194C"/>
    <w:lvl w:ilvl="0" w:tplc="D56AFB86">
      <w:start w:val="26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C386031"/>
    <w:multiLevelType w:val="hybridMultilevel"/>
    <w:tmpl w:val="58E83598"/>
    <w:lvl w:ilvl="0" w:tplc="E60AAB34">
      <w:start w:val="305"/>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CE30B75"/>
    <w:multiLevelType w:val="hybridMultilevel"/>
    <w:tmpl w:val="C2EE9F06"/>
    <w:lvl w:ilvl="0" w:tplc="9E781354">
      <w:start w:val="227"/>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EE52B7C"/>
    <w:multiLevelType w:val="hybridMultilevel"/>
    <w:tmpl w:val="35184FF2"/>
    <w:lvl w:ilvl="0" w:tplc="4B9894AC">
      <w:start w:val="208"/>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0F6A7E2A"/>
    <w:multiLevelType w:val="hybridMultilevel"/>
    <w:tmpl w:val="2B469240"/>
    <w:lvl w:ilvl="0" w:tplc="00B0D04A">
      <w:start w:val="263"/>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FE622F2"/>
    <w:multiLevelType w:val="hybridMultilevel"/>
    <w:tmpl w:val="04F6D17C"/>
    <w:lvl w:ilvl="0" w:tplc="DE5E3998">
      <w:start w:val="204"/>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FFA2C72"/>
    <w:multiLevelType w:val="hybridMultilevel"/>
    <w:tmpl w:val="2FE86570"/>
    <w:lvl w:ilvl="0" w:tplc="48DA3B8E">
      <w:start w:val="217"/>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0134AA1"/>
    <w:multiLevelType w:val="hybridMultilevel"/>
    <w:tmpl w:val="639A959A"/>
    <w:lvl w:ilvl="0" w:tplc="F4A03D9E">
      <w:start w:val="233"/>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04F6225"/>
    <w:multiLevelType w:val="hybridMultilevel"/>
    <w:tmpl w:val="2BA00620"/>
    <w:lvl w:ilvl="0" w:tplc="D88026D6">
      <w:start w:val="262"/>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1174839"/>
    <w:multiLevelType w:val="hybridMultilevel"/>
    <w:tmpl w:val="0C624F56"/>
    <w:lvl w:ilvl="0" w:tplc="D56C4122">
      <w:start w:val="26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5441128"/>
    <w:multiLevelType w:val="hybridMultilevel"/>
    <w:tmpl w:val="E556954E"/>
    <w:lvl w:ilvl="0" w:tplc="B89A8EC6">
      <w:start w:val="293"/>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73924DA"/>
    <w:multiLevelType w:val="hybridMultilevel"/>
    <w:tmpl w:val="A2808EB4"/>
    <w:lvl w:ilvl="0" w:tplc="740A142E">
      <w:start w:val="27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1A17134B"/>
    <w:multiLevelType w:val="hybridMultilevel"/>
    <w:tmpl w:val="B4F6E0A0"/>
    <w:lvl w:ilvl="0" w:tplc="A9025566">
      <w:start w:val="288"/>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1ACA7323"/>
    <w:multiLevelType w:val="hybridMultilevel"/>
    <w:tmpl w:val="687CB51C"/>
    <w:lvl w:ilvl="0" w:tplc="EF5E68EA">
      <w:start w:val="302"/>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1BE14AB2"/>
    <w:multiLevelType w:val="hybridMultilevel"/>
    <w:tmpl w:val="8AE4BB70"/>
    <w:lvl w:ilvl="0" w:tplc="83026404">
      <w:start w:val="25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DEB0245"/>
    <w:multiLevelType w:val="hybridMultilevel"/>
    <w:tmpl w:val="108C4416"/>
    <w:lvl w:ilvl="0" w:tplc="20C0AC50">
      <w:start w:val="228"/>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0EC333B"/>
    <w:multiLevelType w:val="hybridMultilevel"/>
    <w:tmpl w:val="34B2FFD6"/>
    <w:lvl w:ilvl="0" w:tplc="94E244D6">
      <w:start w:val="28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22A714D0"/>
    <w:multiLevelType w:val="hybridMultilevel"/>
    <w:tmpl w:val="4FF26CA0"/>
    <w:lvl w:ilvl="0" w:tplc="2788E2E0">
      <w:start w:val="284"/>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22D74BB2"/>
    <w:multiLevelType w:val="hybridMultilevel"/>
    <w:tmpl w:val="BE101536"/>
    <w:lvl w:ilvl="0" w:tplc="C97C1566">
      <w:start w:val="1"/>
      <w:numFmt w:val="decimal"/>
      <w:lvlText w:val="%1."/>
      <w:lvlJc w:val="left"/>
      <w:pPr>
        <w:tabs>
          <w:tab w:val="num" w:pos="567"/>
        </w:tabs>
        <w:ind w:left="0" w:firstLine="0"/>
      </w:pPr>
      <w:rPr>
        <w:rFonts w:ascii="DepCentury Old Style" w:hAnsi="DepCentury Old Style"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240A5AEC"/>
    <w:multiLevelType w:val="hybridMultilevel"/>
    <w:tmpl w:val="BD8AFA86"/>
    <w:lvl w:ilvl="0" w:tplc="4C52673A">
      <w:start w:val="252"/>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24F046F0"/>
    <w:multiLevelType w:val="hybridMultilevel"/>
    <w:tmpl w:val="88AE23A4"/>
    <w:lvl w:ilvl="0" w:tplc="1882AC18">
      <w:start w:val="23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25D33BB5"/>
    <w:multiLevelType w:val="hybridMultilevel"/>
    <w:tmpl w:val="F03CC558"/>
    <w:lvl w:ilvl="0" w:tplc="DE2266B0">
      <w:start w:val="269"/>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265E26D7"/>
    <w:multiLevelType w:val="hybridMultilevel"/>
    <w:tmpl w:val="55ECADFE"/>
    <w:lvl w:ilvl="0" w:tplc="D45693AA">
      <w:start w:val="253"/>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70D5748"/>
    <w:multiLevelType w:val="hybridMultilevel"/>
    <w:tmpl w:val="B41C2A8E"/>
    <w:lvl w:ilvl="0" w:tplc="9C1A2200">
      <w:start w:val="243"/>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289057C4"/>
    <w:multiLevelType w:val="hybridMultilevel"/>
    <w:tmpl w:val="177A0332"/>
    <w:lvl w:ilvl="0" w:tplc="9014D202">
      <w:start w:val="272"/>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29043D70"/>
    <w:multiLevelType w:val="hybridMultilevel"/>
    <w:tmpl w:val="7D5CC7B0"/>
    <w:lvl w:ilvl="0" w:tplc="4FBEAB62">
      <w:start w:val="245"/>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2A970E5D"/>
    <w:multiLevelType w:val="hybridMultilevel"/>
    <w:tmpl w:val="26E2EDE4"/>
    <w:lvl w:ilvl="0" w:tplc="30D85026">
      <w:start w:val="247"/>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2AAD648F"/>
    <w:multiLevelType w:val="hybridMultilevel"/>
    <w:tmpl w:val="87F0AC6A"/>
    <w:lvl w:ilvl="0" w:tplc="208A8F22">
      <w:start w:val="23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2F686257"/>
    <w:multiLevelType w:val="hybridMultilevel"/>
    <w:tmpl w:val="29AC10C2"/>
    <w:lvl w:ilvl="0" w:tplc="73B6B076">
      <w:start w:val="20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30C10FC4"/>
    <w:multiLevelType w:val="hybridMultilevel"/>
    <w:tmpl w:val="F1DC0662"/>
    <w:lvl w:ilvl="0" w:tplc="00AC10E2">
      <w:start w:val="30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33836770"/>
    <w:multiLevelType w:val="hybridMultilevel"/>
    <w:tmpl w:val="969C63E4"/>
    <w:lvl w:ilvl="0" w:tplc="4DFABDB6">
      <w:start w:val="209"/>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34A853EE"/>
    <w:multiLevelType w:val="hybridMultilevel"/>
    <w:tmpl w:val="695206B6"/>
    <w:lvl w:ilvl="0" w:tplc="7FAA42DC">
      <w:start w:val="287"/>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35135E86"/>
    <w:multiLevelType w:val="hybridMultilevel"/>
    <w:tmpl w:val="18C6C8DC"/>
    <w:lvl w:ilvl="0" w:tplc="7D14D656">
      <w:start w:val="282"/>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36D249C8"/>
    <w:multiLevelType w:val="hybridMultilevel"/>
    <w:tmpl w:val="11E02AD2"/>
    <w:lvl w:ilvl="0" w:tplc="018819EE">
      <w:start w:val="29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36E478E4"/>
    <w:multiLevelType w:val="hybridMultilevel"/>
    <w:tmpl w:val="1E16ABB0"/>
    <w:lvl w:ilvl="0" w:tplc="2E8AC7BC">
      <w:start w:val="237"/>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37933857"/>
    <w:multiLevelType w:val="hybridMultilevel"/>
    <w:tmpl w:val="801069F8"/>
    <w:lvl w:ilvl="0" w:tplc="723A9B26">
      <w:start w:val="254"/>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37AA26E3"/>
    <w:multiLevelType w:val="hybridMultilevel"/>
    <w:tmpl w:val="6AEA237A"/>
    <w:lvl w:ilvl="0" w:tplc="AA3E76A0">
      <w:start w:val="215"/>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37CB12D8"/>
    <w:multiLevelType w:val="hybridMultilevel"/>
    <w:tmpl w:val="EEAA70F4"/>
    <w:lvl w:ilvl="0" w:tplc="6E40F296">
      <w:start w:val="22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37EF199B"/>
    <w:multiLevelType w:val="hybridMultilevel"/>
    <w:tmpl w:val="D5B4115C"/>
    <w:lvl w:ilvl="0" w:tplc="51FCCBAA">
      <w:start w:val="294"/>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38A850DE"/>
    <w:multiLevelType w:val="hybridMultilevel"/>
    <w:tmpl w:val="83DC2AF6"/>
    <w:lvl w:ilvl="0" w:tplc="D6287AE8">
      <w:start w:val="24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3A115C61"/>
    <w:multiLevelType w:val="hybridMultilevel"/>
    <w:tmpl w:val="41FAAA0C"/>
    <w:lvl w:ilvl="0" w:tplc="C2282770">
      <w:start w:val="25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3A767F66"/>
    <w:multiLevelType w:val="hybridMultilevel"/>
    <w:tmpl w:val="F68E616A"/>
    <w:lvl w:ilvl="0" w:tplc="73E69B64">
      <w:start w:val="27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41F647AC"/>
    <w:multiLevelType w:val="hybridMultilevel"/>
    <w:tmpl w:val="E500D0CC"/>
    <w:lvl w:ilvl="0" w:tplc="757A38BC">
      <w:start w:val="21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41FE7F67"/>
    <w:multiLevelType w:val="hybridMultilevel"/>
    <w:tmpl w:val="89C26CF4"/>
    <w:lvl w:ilvl="0" w:tplc="7570B886">
      <w:start w:val="268"/>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42921A94"/>
    <w:multiLevelType w:val="hybridMultilevel"/>
    <w:tmpl w:val="B03A0CB4"/>
    <w:lvl w:ilvl="0" w:tplc="421C7902">
      <w:start w:val="283"/>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444721A6"/>
    <w:multiLevelType w:val="hybridMultilevel"/>
    <w:tmpl w:val="4A980300"/>
    <w:lvl w:ilvl="0" w:tplc="F8903046">
      <w:start w:val="267"/>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44F526D7"/>
    <w:multiLevelType w:val="hybridMultilevel"/>
    <w:tmpl w:val="198EBA4E"/>
    <w:lvl w:ilvl="0" w:tplc="FDA8D656">
      <w:start w:val="249"/>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45713311"/>
    <w:multiLevelType w:val="hybridMultilevel"/>
    <w:tmpl w:val="EA380008"/>
    <w:lvl w:ilvl="0" w:tplc="07FC9386">
      <w:start w:val="24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45C255E9"/>
    <w:multiLevelType w:val="hybridMultilevel"/>
    <w:tmpl w:val="7B329E08"/>
    <w:lvl w:ilvl="0" w:tplc="A4C80D32">
      <w:start w:val="257"/>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484F422F"/>
    <w:multiLevelType w:val="hybridMultilevel"/>
    <w:tmpl w:val="59D81502"/>
    <w:lvl w:ilvl="0" w:tplc="D3CE41B6">
      <w:start w:val="289"/>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4A990BEF"/>
    <w:multiLevelType w:val="hybridMultilevel"/>
    <w:tmpl w:val="23D02BEA"/>
    <w:lvl w:ilvl="0" w:tplc="CCC2E2AA">
      <w:start w:val="22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4C4416AB"/>
    <w:multiLevelType w:val="hybridMultilevel"/>
    <w:tmpl w:val="59D8289E"/>
    <w:lvl w:ilvl="0" w:tplc="46A479F0">
      <w:start w:val="21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4CF04C85"/>
    <w:multiLevelType w:val="hybridMultilevel"/>
    <w:tmpl w:val="2CC2604A"/>
    <w:lvl w:ilvl="0" w:tplc="AE8CCE54">
      <w:start w:val="242"/>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4D9757D7"/>
    <w:multiLevelType w:val="hybridMultilevel"/>
    <w:tmpl w:val="1F1855CC"/>
    <w:lvl w:ilvl="0" w:tplc="46D0EFC6">
      <w:start w:val="265"/>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4EB77A5A"/>
    <w:multiLevelType w:val="hybridMultilevel"/>
    <w:tmpl w:val="BFA23690"/>
    <w:lvl w:ilvl="0" w:tplc="6F1A9E5E">
      <w:start w:val="1"/>
      <w:numFmt w:val="decimal"/>
      <w:lvlText w:val="%1."/>
      <w:lvlJc w:val="left"/>
      <w:pPr>
        <w:tabs>
          <w:tab w:val="num" w:pos="567"/>
        </w:tabs>
        <w:ind w:left="0" w:firstLine="0"/>
      </w:pPr>
      <w:rPr>
        <w:rFonts w:ascii="DepCentury Old Style" w:hAnsi="DepCentury Old Style"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504660A1"/>
    <w:multiLevelType w:val="hybridMultilevel"/>
    <w:tmpl w:val="DE3407A8"/>
    <w:lvl w:ilvl="0" w:tplc="D96A7256">
      <w:start w:val="214"/>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513A5ED1"/>
    <w:multiLevelType w:val="hybridMultilevel"/>
    <w:tmpl w:val="20D0448A"/>
    <w:lvl w:ilvl="0" w:tplc="064CD8FE">
      <w:start w:val="232"/>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51E63135"/>
    <w:multiLevelType w:val="hybridMultilevel"/>
    <w:tmpl w:val="931E4DEE"/>
    <w:lvl w:ilvl="0" w:tplc="E4926748">
      <w:start w:val="303"/>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5510060A"/>
    <w:multiLevelType w:val="hybridMultilevel"/>
    <w:tmpl w:val="209E9F7A"/>
    <w:lvl w:ilvl="0" w:tplc="75128D74">
      <w:start w:val="234"/>
      <w:numFmt w:val="decimal"/>
      <w:lvlText w:val="%1."/>
      <w:lvlJc w:val="left"/>
      <w:pPr>
        <w:tabs>
          <w:tab w:val="num" w:pos="900"/>
        </w:tabs>
        <w:ind w:left="90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556974E5"/>
    <w:multiLevelType w:val="hybridMultilevel"/>
    <w:tmpl w:val="75F0E7BE"/>
    <w:lvl w:ilvl="0" w:tplc="E06075C0">
      <w:start w:val="1"/>
      <w:numFmt w:val="decimal"/>
      <w:lvlText w:val="%1."/>
      <w:lvlJc w:val="left"/>
      <w:pPr>
        <w:tabs>
          <w:tab w:val="num" w:pos="567"/>
        </w:tabs>
        <w:ind w:left="0" w:firstLine="0"/>
      </w:pPr>
      <w:rPr>
        <w:rFonts w:ascii="DepCentury Old Style" w:hAnsi="DepCentury Old Style" w:hint="default"/>
        <w:b w:val="0"/>
        <w:i w:val="0"/>
        <w:sz w:val="24"/>
      </w:rPr>
    </w:lvl>
    <w:lvl w:ilvl="1" w:tplc="65560BF8">
      <w:start w:val="2"/>
      <w:numFmt w:val="lowerLetter"/>
      <w:lvlText w:val="%2)"/>
      <w:lvlJc w:val="left"/>
      <w:pPr>
        <w:tabs>
          <w:tab w:val="num" w:pos="1650"/>
        </w:tabs>
        <w:ind w:left="1650" w:hanging="57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589B6EDA"/>
    <w:multiLevelType w:val="hybridMultilevel"/>
    <w:tmpl w:val="FEC2DF40"/>
    <w:lvl w:ilvl="0" w:tplc="A0ECE8A0">
      <w:start w:val="29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590433BA"/>
    <w:multiLevelType w:val="hybridMultilevel"/>
    <w:tmpl w:val="8962DB74"/>
    <w:lvl w:ilvl="0" w:tplc="4FC2424A">
      <w:start w:val="248"/>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nsid w:val="5968235F"/>
    <w:multiLevelType w:val="hybridMultilevel"/>
    <w:tmpl w:val="B28E8A6C"/>
    <w:lvl w:ilvl="0" w:tplc="4A60C4F0">
      <w:start w:val="274"/>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597763B5"/>
    <w:multiLevelType w:val="hybridMultilevel"/>
    <w:tmpl w:val="F80A1AA8"/>
    <w:lvl w:ilvl="0" w:tplc="9A3EC31E">
      <w:start w:val="225"/>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59DD44AE"/>
    <w:multiLevelType w:val="multilevel"/>
    <w:tmpl w:val="120CAE84"/>
    <w:lvl w:ilvl="0">
      <w:start w:val="1"/>
      <w:numFmt w:val="decimal"/>
      <w:lvlText w:val="%1."/>
      <w:lvlJc w:val="left"/>
      <w:pPr>
        <w:tabs>
          <w:tab w:val="num" w:pos="567"/>
        </w:tabs>
        <w:ind w:left="0" w:firstLine="0"/>
      </w:pPr>
      <w:rPr>
        <w:rFonts w:ascii="DepCentury Old Style" w:hAnsi="DepCentury Old Style"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1">
    <w:nsid w:val="5A5F2F20"/>
    <w:multiLevelType w:val="hybridMultilevel"/>
    <w:tmpl w:val="4912A220"/>
    <w:lvl w:ilvl="0" w:tplc="0838B2EA">
      <w:start w:val="277"/>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nsid w:val="5A9F3D58"/>
    <w:multiLevelType w:val="hybridMultilevel"/>
    <w:tmpl w:val="28AEFEBA"/>
    <w:lvl w:ilvl="0" w:tplc="B38EEE86">
      <w:start w:val="28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5B2A2922"/>
    <w:multiLevelType w:val="hybridMultilevel"/>
    <w:tmpl w:val="AFC8F8EE"/>
    <w:lvl w:ilvl="0" w:tplc="64DE1AE8">
      <w:start w:val="259"/>
      <w:numFmt w:val="decimal"/>
      <w:lvlText w:val="%1."/>
      <w:lvlJc w:val="left"/>
      <w:pPr>
        <w:tabs>
          <w:tab w:val="num" w:pos="900"/>
        </w:tabs>
        <w:ind w:left="90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nsid w:val="5B6D2314"/>
    <w:multiLevelType w:val="hybridMultilevel"/>
    <w:tmpl w:val="95CE8F46"/>
    <w:lvl w:ilvl="0" w:tplc="722CA084">
      <w:start w:val="30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nsid w:val="5C1261C9"/>
    <w:multiLevelType w:val="hybridMultilevel"/>
    <w:tmpl w:val="06E6004A"/>
    <w:lvl w:ilvl="0" w:tplc="9B50F002">
      <w:start w:val="229"/>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5E3025E3"/>
    <w:multiLevelType w:val="hybridMultilevel"/>
    <w:tmpl w:val="32348498"/>
    <w:lvl w:ilvl="0" w:tplc="AE0A69BE">
      <w:start w:val="255"/>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nsid w:val="5EE2552B"/>
    <w:multiLevelType w:val="hybridMultilevel"/>
    <w:tmpl w:val="120CAE84"/>
    <w:lvl w:ilvl="0" w:tplc="E06075C0">
      <w:start w:val="1"/>
      <w:numFmt w:val="decimal"/>
      <w:lvlText w:val="%1."/>
      <w:lvlJc w:val="left"/>
      <w:pPr>
        <w:tabs>
          <w:tab w:val="num" w:pos="567"/>
        </w:tabs>
        <w:ind w:left="0" w:firstLine="0"/>
      </w:pPr>
      <w:rPr>
        <w:rFonts w:ascii="DepCentury Old Style" w:hAnsi="DepCentury Old Style"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nsid w:val="60167009"/>
    <w:multiLevelType w:val="hybridMultilevel"/>
    <w:tmpl w:val="3EF0F1BC"/>
    <w:lvl w:ilvl="0" w:tplc="292E1BBE">
      <w:start w:val="1"/>
      <w:numFmt w:val="decimal"/>
      <w:lvlText w:val="%1."/>
      <w:lvlJc w:val="left"/>
      <w:pPr>
        <w:tabs>
          <w:tab w:val="num" w:pos="567"/>
        </w:tabs>
        <w:ind w:left="0" w:firstLine="0"/>
      </w:pPr>
      <w:rPr>
        <w:rFonts w:ascii="DepCentury Old Style" w:hAnsi="DepCentury Old Style"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61A66704"/>
    <w:multiLevelType w:val="hybridMultilevel"/>
    <w:tmpl w:val="D2AEE0CA"/>
    <w:lvl w:ilvl="0" w:tplc="5FD84A54">
      <w:start w:val="224"/>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632D095D"/>
    <w:multiLevelType w:val="hybridMultilevel"/>
    <w:tmpl w:val="1EF04A26"/>
    <w:lvl w:ilvl="0" w:tplc="DB08449A">
      <w:start w:val="258"/>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nsid w:val="65425A0F"/>
    <w:multiLevelType w:val="hybridMultilevel"/>
    <w:tmpl w:val="318AD706"/>
    <w:lvl w:ilvl="0" w:tplc="4D088998">
      <w:start w:val="256"/>
      <w:numFmt w:val="decimal"/>
      <w:lvlText w:val="%1."/>
      <w:lvlJc w:val="left"/>
      <w:pPr>
        <w:tabs>
          <w:tab w:val="num" w:pos="990"/>
        </w:tabs>
        <w:ind w:left="990" w:hanging="63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nsid w:val="65EC4915"/>
    <w:multiLevelType w:val="hybridMultilevel"/>
    <w:tmpl w:val="EB5A7718"/>
    <w:lvl w:ilvl="0" w:tplc="59FA4A68">
      <w:start w:val="285"/>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66B454F9"/>
    <w:multiLevelType w:val="hybridMultilevel"/>
    <w:tmpl w:val="0F907C44"/>
    <w:lvl w:ilvl="0" w:tplc="EAA0991A">
      <w:start w:val="22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nsid w:val="66D66EBA"/>
    <w:multiLevelType w:val="hybridMultilevel"/>
    <w:tmpl w:val="5924481A"/>
    <w:lvl w:ilvl="0" w:tplc="EDA213FE">
      <w:start w:val="212"/>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nsid w:val="671D0ACF"/>
    <w:multiLevelType w:val="hybridMultilevel"/>
    <w:tmpl w:val="B008986A"/>
    <w:lvl w:ilvl="0" w:tplc="97F2C85A">
      <w:start w:val="273"/>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6">
    <w:nsid w:val="67A9059B"/>
    <w:multiLevelType w:val="hybridMultilevel"/>
    <w:tmpl w:val="FFF635D2"/>
    <w:lvl w:ilvl="0" w:tplc="5E7E95B0">
      <w:start w:val="279"/>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nsid w:val="67AD3531"/>
    <w:multiLevelType w:val="hybridMultilevel"/>
    <w:tmpl w:val="3ED2701C"/>
    <w:lvl w:ilvl="0" w:tplc="C26E8C50">
      <w:start w:val="23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8">
    <w:nsid w:val="689F6406"/>
    <w:multiLevelType w:val="hybridMultilevel"/>
    <w:tmpl w:val="BFC8E8CE"/>
    <w:lvl w:ilvl="0" w:tplc="1390FC96">
      <w:start w:val="219"/>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nsid w:val="69BC1C9F"/>
    <w:multiLevelType w:val="hybridMultilevel"/>
    <w:tmpl w:val="8780ADB0"/>
    <w:lvl w:ilvl="0" w:tplc="844E03BC">
      <w:start w:val="218"/>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nsid w:val="69E96966"/>
    <w:multiLevelType w:val="hybridMultilevel"/>
    <w:tmpl w:val="5AC6F010"/>
    <w:lvl w:ilvl="0" w:tplc="9572D3AE">
      <w:start w:val="297"/>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nsid w:val="6AE94883"/>
    <w:multiLevelType w:val="hybridMultilevel"/>
    <w:tmpl w:val="2BFEFAAE"/>
    <w:lvl w:ilvl="0" w:tplc="06565CF8">
      <w:start w:val="295"/>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nsid w:val="6B0C06CD"/>
    <w:multiLevelType w:val="hybridMultilevel"/>
    <w:tmpl w:val="18DE3A78"/>
    <w:lvl w:ilvl="0" w:tplc="5992C924">
      <w:start w:val="1"/>
      <w:numFmt w:val="decimal"/>
      <w:lvlText w:val="%1."/>
      <w:lvlJc w:val="left"/>
      <w:pPr>
        <w:tabs>
          <w:tab w:val="num" w:pos="851"/>
        </w:tabs>
        <w:ind w:left="0" w:firstLine="0"/>
      </w:pPr>
      <w:rPr>
        <w:rFonts w:hint="default"/>
        <w:b w:val="0"/>
        <w:bCs w:val="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nsid w:val="6B697BF8"/>
    <w:multiLevelType w:val="hybridMultilevel"/>
    <w:tmpl w:val="FF9C9BC2"/>
    <w:lvl w:ilvl="0" w:tplc="D8085680">
      <w:start w:val="2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nsid w:val="6C9F554A"/>
    <w:multiLevelType w:val="hybridMultilevel"/>
    <w:tmpl w:val="0CE2B48C"/>
    <w:lvl w:ilvl="0" w:tplc="E2883DE0">
      <w:start w:val="238"/>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nsid w:val="6F7D60F8"/>
    <w:multiLevelType w:val="hybridMultilevel"/>
    <w:tmpl w:val="0096D148"/>
    <w:lvl w:ilvl="0" w:tplc="BB926E76">
      <w:start w:val="213"/>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
    <w:nsid w:val="6FDE6FB0"/>
    <w:multiLevelType w:val="hybridMultilevel"/>
    <w:tmpl w:val="46882618"/>
    <w:lvl w:ilvl="0" w:tplc="662055A6">
      <w:start w:val="222"/>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nsid w:val="72CF41DE"/>
    <w:multiLevelType w:val="hybridMultilevel"/>
    <w:tmpl w:val="D794EB26"/>
    <w:lvl w:ilvl="0" w:tplc="984066A8">
      <w:start w:val="292"/>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nsid w:val="72FE5228"/>
    <w:multiLevelType w:val="hybridMultilevel"/>
    <w:tmpl w:val="662E5336"/>
    <w:lvl w:ilvl="0" w:tplc="281C2B5A">
      <w:start w:val="207"/>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9">
    <w:nsid w:val="753E17A6"/>
    <w:multiLevelType w:val="hybridMultilevel"/>
    <w:tmpl w:val="56E4DC72"/>
    <w:lvl w:ilvl="0" w:tplc="70C24FC2">
      <w:start w:val="239"/>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nsid w:val="75994053"/>
    <w:multiLevelType w:val="hybridMultilevel"/>
    <w:tmpl w:val="07A002F4"/>
    <w:lvl w:ilvl="0" w:tplc="4356C488">
      <w:start w:val="26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nsid w:val="798E1267"/>
    <w:multiLevelType w:val="hybridMultilevel"/>
    <w:tmpl w:val="3F88B70C"/>
    <w:lvl w:ilvl="0" w:tplc="D3FE3804">
      <w:start w:val="27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7A5A1497"/>
    <w:multiLevelType w:val="hybridMultilevel"/>
    <w:tmpl w:val="47864E02"/>
    <w:lvl w:ilvl="0" w:tplc="7B1A0342">
      <w:start w:val="235"/>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
    <w:nsid w:val="7A7124F4"/>
    <w:multiLevelType w:val="hybridMultilevel"/>
    <w:tmpl w:val="E73EEB2E"/>
    <w:lvl w:ilvl="0" w:tplc="374E1BB2">
      <w:start w:val="244"/>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
    <w:nsid w:val="7A9327D4"/>
    <w:multiLevelType w:val="hybridMultilevel"/>
    <w:tmpl w:val="73726160"/>
    <w:lvl w:ilvl="0" w:tplc="81D433B0">
      <w:start w:val="205"/>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nsid w:val="7B762FCC"/>
    <w:multiLevelType w:val="hybridMultilevel"/>
    <w:tmpl w:val="5080A676"/>
    <w:lvl w:ilvl="0" w:tplc="E282252C">
      <w:start w:val="30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nsid w:val="7CBF0366"/>
    <w:multiLevelType w:val="hybridMultilevel"/>
    <w:tmpl w:val="26923188"/>
    <w:lvl w:ilvl="0" w:tplc="FDFEBDDC">
      <w:start w:val="304"/>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nsid w:val="7D602085"/>
    <w:multiLevelType w:val="hybridMultilevel"/>
    <w:tmpl w:val="E6087B28"/>
    <w:lvl w:ilvl="0" w:tplc="D03C3BC2">
      <w:start w:val="298"/>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8">
    <w:nsid w:val="7DB3129D"/>
    <w:multiLevelType w:val="hybridMultilevel"/>
    <w:tmpl w:val="13B0975A"/>
    <w:lvl w:ilvl="0" w:tplc="29EEE2BE">
      <w:start w:val="264"/>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9">
    <w:nsid w:val="7ED2151E"/>
    <w:multiLevelType w:val="hybridMultilevel"/>
    <w:tmpl w:val="510228F4"/>
    <w:lvl w:ilvl="0" w:tplc="CEA40CD2">
      <w:start w:val="29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8"/>
  </w:num>
  <w:num w:numId="2">
    <w:abstractNumId w:val="11"/>
  </w:num>
  <w:num w:numId="3">
    <w:abstractNumId w:val="104"/>
  </w:num>
  <w:num w:numId="4">
    <w:abstractNumId w:val="34"/>
  </w:num>
  <w:num w:numId="5">
    <w:abstractNumId w:val="98"/>
  </w:num>
  <w:num w:numId="6">
    <w:abstractNumId w:val="9"/>
  </w:num>
  <w:num w:numId="7">
    <w:abstractNumId w:val="36"/>
  </w:num>
  <w:num w:numId="8">
    <w:abstractNumId w:val="93"/>
  </w:num>
  <w:num w:numId="9">
    <w:abstractNumId w:val="48"/>
  </w:num>
  <w:num w:numId="10">
    <w:abstractNumId w:val="84"/>
  </w:num>
  <w:num w:numId="11">
    <w:abstractNumId w:val="95"/>
  </w:num>
  <w:num w:numId="12">
    <w:abstractNumId w:val="61"/>
  </w:num>
  <w:num w:numId="13">
    <w:abstractNumId w:val="42"/>
  </w:num>
  <w:num w:numId="14">
    <w:abstractNumId w:val="57"/>
  </w:num>
  <w:num w:numId="15">
    <w:abstractNumId w:val="12"/>
  </w:num>
  <w:num w:numId="16">
    <w:abstractNumId w:val="89"/>
  </w:num>
  <w:num w:numId="17">
    <w:abstractNumId w:val="88"/>
  </w:num>
  <w:num w:numId="18">
    <w:abstractNumId w:val="56"/>
  </w:num>
  <w:num w:numId="19">
    <w:abstractNumId w:val="83"/>
  </w:num>
  <w:num w:numId="20">
    <w:abstractNumId w:val="96"/>
  </w:num>
  <w:num w:numId="21">
    <w:abstractNumId w:val="5"/>
  </w:num>
  <w:num w:numId="22">
    <w:abstractNumId w:val="79"/>
  </w:num>
  <w:num w:numId="23">
    <w:abstractNumId w:val="69"/>
  </w:num>
  <w:num w:numId="24">
    <w:abstractNumId w:val="43"/>
  </w:num>
  <w:num w:numId="25">
    <w:abstractNumId w:val="8"/>
  </w:num>
  <w:num w:numId="26">
    <w:abstractNumId w:val="21"/>
  </w:num>
  <w:num w:numId="27">
    <w:abstractNumId w:val="60"/>
  </w:num>
  <w:num w:numId="28">
    <w:abstractNumId w:val="75"/>
  </w:num>
  <w:num w:numId="29">
    <w:abstractNumId w:val="87"/>
  </w:num>
  <w:num w:numId="30">
    <w:abstractNumId w:val="33"/>
  </w:num>
  <w:num w:numId="31">
    <w:abstractNumId w:val="62"/>
  </w:num>
  <w:num w:numId="32">
    <w:abstractNumId w:val="13"/>
  </w:num>
  <w:num w:numId="33">
    <w:abstractNumId w:val="64"/>
  </w:num>
  <w:num w:numId="34">
    <w:abstractNumId w:val="102"/>
  </w:num>
  <w:num w:numId="35">
    <w:abstractNumId w:val="26"/>
  </w:num>
  <w:num w:numId="36">
    <w:abstractNumId w:val="40"/>
  </w:num>
  <w:num w:numId="37">
    <w:abstractNumId w:val="94"/>
  </w:num>
  <w:num w:numId="38">
    <w:abstractNumId w:val="99"/>
  </w:num>
  <w:num w:numId="39">
    <w:abstractNumId w:val="53"/>
  </w:num>
  <w:num w:numId="40">
    <w:abstractNumId w:val="45"/>
  </w:num>
  <w:num w:numId="41">
    <w:abstractNumId w:val="58"/>
  </w:num>
  <w:num w:numId="42">
    <w:abstractNumId w:val="29"/>
  </w:num>
  <w:num w:numId="43">
    <w:abstractNumId w:val="103"/>
  </w:num>
  <w:num w:numId="44">
    <w:abstractNumId w:val="31"/>
  </w:num>
  <w:num w:numId="45">
    <w:abstractNumId w:val="2"/>
  </w:num>
  <w:num w:numId="46">
    <w:abstractNumId w:val="32"/>
  </w:num>
  <w:num w:numId="47">
    <w:abstractNumId w:val="67"/>
  </w:num>
  <w:num w:numId="48">
    <w:abstractNumId w:val="52"/>
  </w:num>
  <w:num w:numId="49">
    <w:abstractNumId w:val="20"/>
  </w:num>
  <w:num w:numId="50">
    <w:abstractNumId w:val="46"/>
  </w:num>
  <w:num w:numId="51">
    <w:abstractNumId w:val="25"/>
  </w:num>
  <w:num w:numId="52">
    <w:abstractNumId w:val="28"/>
  </w:num>
  <w:num w:numId="53">
    <w:abstractNumId w:val="41"/>
  </w:num>
  <w:num w:numId="54">
    <w:abstractNumId w:val="76"/>
  </w:num>
  <w:num w:numId="55">
    <w:abstractNumId w:val="24"/>
  </w:num>
  <w:num w:numId="56">
    <w:abstractNumId w:val="81"/>
  </w:num>
  <w:num w:numId="57">
    <w:abstractNumId w:val="54"/>
  </w:num>
  <w:num w:numId="58">
    <w:abstractNumId w:val="80"/>
  </w:num>
  <w:num w:numId="59">
    <w:abstractNumId w:val="73"/>
  </w:num>
  <w:num w:numId="60">
    <w:abstractNumId w:val="15"/>
  </w:num>
  <w:num w:numId="61">
    <w:abstractNumId w:val="100"/>
  </w:num>
  <w:num w:numId="62">
    <w:abstractNumId w:val="14"/>
  </w:num>
  <w:num w:numId="63">
    <w:abstractNumId w:val="10"/>
  </w:num>
  <w:num w:numId="64">
    <w:abstractNumId w:val="108"/>
  </w:num>
  <w:num w:numId="65">
    <w:abstractNumId w:val="59"/>
  </w:num>
  <w:num w:numId="66">
    <w:abstractNumId w:val="6"/>
  </w:num>
  <w:num w:numId="67">
    <w:abstractNumId w:val="51"/>
  </w:num>
  <w:num w:numId="68">
    <w:abstractNumId w:val="49"/>
  </w:num>
  <w:num w:numId="69">
    <w:abstractNumId w:val="27"/>
  </w:num>
  <w:num w:numId="70">
    <w:abstractNumId w:val="17"/>
  </w:num>
  <w:num w:numId="71">
    <w:abstractNumId w:val="101"/>
  </w:num>
  <w:num w:numId="72">
    <w:abstractNumId w:val="30"/>
  </w:num>
  <w:num w:numId="73">
    <w:abstractNumId w:val="85"/>
  </w:num>
  <w:num w:numId="74">
    <w:abstractNumId w:val="68"/>
  </w:num>
  <w:num w:numId="75">
    <w:abstractNumId w:val="1"/>
  </w:num>
  <w:num w:numId="76">
    <w:abstractNumId w:val="65"/>
  </w:num>
  <w:num w:numId="77">
    <w:abstractNumId w:val="47"/>
  </w:num>
  <w:num w:numId="78">
    <w:abstractNumId w:val="77"/>
  </w:num>
  <w:num w:numId="79">
    <w:abstractNumId w:val="71"/>
  </w:num>
  <w:num w:numId="80">
    <w:abstractNumId w:val="70"/>
  </w:num>
  <w:num w:numId="81">
    <w:abstractNumId w:val="3"/>
  </w:num>
  <w:num w:numId="82">
    <w:abstractNumId w:val="86"/>
  </w:num>
  <w:num w:numId="83">
    <w:abstractNumId w:val="72"/>
  </w:num>
  <w:num w:numId="84">
    <w:abstractNumId w:val="4"/>
  </w:num>
  <w:num w:numId="85">
    <w:abstractNumId w:val="38"/>
  </w:num>
  <w:num w:numId="86">
    <w:abstractNumId w:val="50"/>
  </w:num>
  <w:num w:numId="87">
    <w:abstractNumId w:val="23"/>
  </w:num>
  <w:num w:numId="88">
    <w:abstractNumId w:val="82"/>
  </w:num>
  <w:num w:numId="89">
    <w:abstractNumId w:val="22"/>
  </w:num>
  <w:num w:numId="90">
    <w:abstractNumId w:val="37"/>
  </w:num>
  <w:num w:numId="91">
    <w:abstractNumId w:val="18"/>
  </w:num>
  <w:num w:numId="92">
    <w:abstractNumId w:val="55"/>
  </w:num>
  <w:num w:numId="93">
    <w:abstractNumId w:val="39"/>
  </w:num>
  <w:num w:numId="94">
    <w:abstractNumId w:val="109"/>
  </w:num>
  <w:num w:numId="95">
    <w:abstractNumId w:val="97"/>
  </w:num>
  <w:num w:numId="96">
    <w:abstractNumId w:val="16"/>
  </w:num>
  <w:num w:numId="97">
    <w:abstractNumId w:val="44"/>
  </w:num>
  <w:num w:numId="98">
    <w:abstractNumId w:val="91"/>
  </w:num>
  <w:num w:numId="99">
    <w:abstractNumId w:val="66"/>
  </w:num>
  <w:num w:numId="100">
    <w:abstractNumId w:val="90"/>
  </w:num>
  <w:num w:numId="101">
    <w:abstractNumId w:val="107"/>
  </w:num>
  <w:num w:numId="102">
    <w:abstractNumId w:val="0"/>
  </w:num>
  <w:num w:numId="103">
    <w:abstractNumId w:val="74"/>
  </w:num>
  <w:num w:numId="104">
    <w:abstractNumId w:val="35"/>
  </w:num>
  <w:num w:numId="105">
    <w:abstractNumId w:val="19"/>
  </w:num>
  <w:num w:numId="106">
    <w:abstractNumId w:val="63"/>
  </w:num>
  <w:num w:numId="107">
    <w:abstractNumId w:val="106"/>
  </w:num>
  <w:num w:numId="108">
    <w:abstractNumId w:val="7"/>
  </w:num>
  <w:num w:numId="109">
    <w:abstractNumId w:val="105"/>
  </w:num>
  <w:num w:numId="110">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1515</Words>
  <Characters>8640</Characters>
  <Application>Microsoft Office Word</Application>
  <DocSecurity>4</DocSecurity>
  <Lines>72</Lines>
  <Paragraphs>17</Paragraphs>
  <ScaleCrop>false</ScaleCrop>
  <HeadingPairs>
    <vt:vector size="2" baseType="variant">
      <vt:variant>
        <vt:lpstr>Title</vt:lpstr>
      </vt:variant>
      <vt:variant>
        <vt:i4>1</vt:i4>
      </vt:variant>
    </vt:vector>
  </HeadingPairs>
  <TitlesOfParts>
    <vt:vector size="1" baseType="lpstr">
      <vt:lpstr>CERD/C/AUS/CO/14  -  05-41076</vt:lpstr>
    </vt:vector>
  </TitlesOfParts>
  <Company>ONU</Company>
  <LinksUpToDate>false</LinksUpToDate>
  <CharactersWithSpaces>10610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CERD/C/AUS/CO/14  -  05-41076</dc:title>
  <dc:subject/>
  <dc:creator>Fanny Figueroa Bravo</dc:creator>
  <cp:keywords/>
  <dc:description/>
  <cp:lastModifiedBy>csd</cp:lastModifiedBy>
  <cp:revision>4</cp:revision>
  <cp:lastPrinted>2006-04-19T16:39:00Z</cp:lastPrinted>
  <dcterms:created xsi:type="dcterms:W3CDTF">2006-04-19T15:20:00Z</dcterms:created>
  <dcterms:modified xsi:type="dcterms:W3CDTF">2006-04-19T16:39:00Z</dcterms:modified>
</cp:coreProperties>
</file>