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BFA" w:rsidRDefault="00E71BFA" w:rsidP="00E71BFA">
      <w:pPr>
        <w:spacing w:line="60" w:lineRule="exact"/>
        <w:rPr>
          <w:sz w:val="6"/>
        </w:rPr>
        <w:sectPr w:rsidR="00E71BFA" w:rsidSect="00E71BFA">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6C092C" w:rsidP="009376C5">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120" w:after="360"/>
        <w:ind w:left="0"/>
        <w:rPr>
          <w:rFonts w:ascii="黑体" w:eastAsia="黑体"/>
          <w:sz w:val="24"/>
          <w:szCs w:val="24"/>
        </w:rPr>
      </w:pPr>
      <w:r w:rsidRPr="006C092C">
        <w:rPr>
          <w:rFonts w:ascii="黑体" w:eastAsia="黑体" w:hint="eastAsia"/>
          <w:sz w:val="24"/>
          <w:szCs w:val="24"/>
        </w:rPr>
        <w:lastRenderedPageBreak/>
        <w:t>强迫失踪问题委员会</w:t>
      </w:r>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4F7853">
        <w:tab/>
      </w:r>
      <w:r w:rsidRPr="004F7853">
        <w:tab/>
        <w:t>关于</w:t>
      </w:r>
      <w:r w:rsidRPr="004F7853">
        <w:rPr>
          <w:rFonts w:hint="eastAsia"/>
        </w:rPr>
        <w:t>强迫失踪问题委员会结论性意见后续行动的报告</w:t>
      </w:r>
      <w:r w:rsidRPr="00857DD9">
        <w:rPr>
          <w:rStyle w:val="a3"/>
          <w:rFonts w:ascii="Times New Roman" w:eastAsia="宋体"/>
          <w:w w:val="100"/>
          <w:szCs w:val="28"/>
          <w:vertAlign w:val="baseline"/>
        </w:rPr>
        <w:footnoteReference w:customMarkFollows="1" w:id="1"/>
        <w:t>*</w:t>
      </w:r>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bookmarkStart w:id="1" w:name="_GoBack"/>
      <w:bookmarkEnd w:id="1"/>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4F7853" w:rsidRDefault="004F7853" w:rsidP="004F78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4F7853">
        <w:tab/>
      </w:r>
      <w:r w:rsidRPr="004F7853">
        <w:rPr>
          <w:rFonts w:hint="eastAsia"/>
        </w:rPr>
        <w:t>一</w:t>
      </w:r>
      <w:r w:rsidRPr="004F7853">
        <w:t>.</w:t>
      </w:r>
      <w:r w:rsidRPr="004F7853">
        <w:tab/>
      </w:r>
      <w:r w:rsidRPr="004F7853">
        <w:rPr>
          <w:rFonts w:hint="eastAsia"/>
        </w:rPr>
        <w:t>导言</w:t>
      </w:r>
    </w:p>
    <w:p w:rsidR="004F7853" w:rsidRPr="004F7853" w:rsidRDefault="004F7853" w:rsidP="004F7853">
      <w:pPr>
        <w:pStyle w:val="SingleTxt"/>
        <w:spacing w:after="0" w:line="120" w:lineRule="exact"/>
        <w:rPr>
          <w:sz w:val="10"/>
          <w:szCs w:val="21"/>
        </w:rPr>
      </w:pPr>
    </w:p>
    <w:p w:rsidR="004F7853" w:rsidRPr="004F7853" w:rsidRDefault="004F7853" w:rsidP="004F7853">
      <w:pPr>
        <w:pStyle w:val="SingleTxt"/>
        <w:spacing w:after="0" w:line="120" w:lineRule="exact"/>
        <w:rPr>
          <w:sz w:val="10"/>
          <w:szCs w:val="21"/>
        </w:rPr>
      </w:pPr>
    </w:p>
    <w:p w:rsidR="004F7853" w:rsidRPr="004F7853" w:rsidRDefault="004F7853" w:rsidP="004F7853">
      <w:pPr>
        <w:pStyle w:val="SingleTxt"/>
        <w:spacing w:after="0" w:line="120" w:lineRule="exact"/>
        <w:rPr>
          <w:sz w:val="10"/>
          <w:szCs w:val="21"/>
        </w:rPr>
      </w:pPr>
    </w:p>
    <w:p w:rsidR="004F7853" w:rsidRPr="004F7853" w:rsidRDefault="004F7853" w:rsidP="007F4240">
      <w:pPr>
        <w:pStyle w:val="SingleTxt"/>
        <w:spacing w:after="220"/>
        <w:rPr>
          <w:szCs w:val="21"/>
        </w:rPr>
      </w:pPr>
      <w:r w:rsidRPr="004F7853">
        <w:rPr>
          <w:szCs w:val="21"/>
        </w:rPr>
        <w:t>1</w:t>
      </w:r>
      <w:r>
        <w:rPr>
          <w:szCs w:val="21"/>
        </w:rPr>
        <w:t xml:space="preserve">.  </w:t>
      </w:r>
      <w:r w:rsidRPr="004F7853">
        <w:rPr>
          <w:rFonts w:hint="eastAsia"/>
          <w:szCs w:val="21"/>
        </w:rPr>
        <w:t>委员会在</w:t>
      </w:r>
      <w:r w:rsidRPr="004F7853">
        <w:rPr>
          <w:rFonts w:hint="eastAsia"/>
          <w:szCs w:val="21"/>
        </w:rPr>
        <w:t>2014</w:t>
      </w:r>
      <w:r w:rsidRPr="004F7853">
        <w:rPr>
          <w:rFonts w:hint="eastAsia"/>
          <w:szCs w:val="21"/>
        </w:rPr>
        <w:t>年</w:t>
      </w:r>
      <w:r w:rsidRPr="004F7853">
        <w:rPr>
          <w:rFonts w:hint="eastAsia"/>
          <w:szCs w:val="21"/>
        </w:rPr>
        <w:t>9</w:t>
      </w:r>
      <w:r w:rsidRPr="004F7853">
        <w:rPr>
          <w:rFonts w:hint="eastAsia"/>
          <w:szCs w:val="21"/>
        </w:rPr>
        <w:t>月</w:t>
      </w:r>
      <w:r w:rsidRPr="004F7853">
        <w:rPr>
          <w:rFonts w:hint="eastAsia"/>
          <w:szCs w:val="21"/>
        </w:rPr>
        <w:t>15</w:t>
      </w:r>
      <w:r w:rsidRPr="004F7853">
        <w:rPr>
          <w:rFonts w:hint="eastAsia"/>
          <w:szCs w:val="21"/>
        </w:rPr>
        <w:t>日至</w:t>
      </w:r>
      <w:r w:rsidRPr="004F7853">
        <w:rPr>
          <w:rFonts w:hint="eastAsia"/>
          <w:szCs w:val="21"/>
        </w:rPr>
        <w:t>26</w:t>
      </w:r>
      <w:r w:rsidRPr="004F7853">
        <w:rPr>
          <w:rFonts w:hint="eastAsia"/>
          <w:szCs w:val="21"/>
        </w:rPr>
        <w:t>日举行的第七届会议上，根据其议事规则第</w:t>
      </w:r>
      <w:r w:rsidRPr="004F7853">
        <w:rPr>
          <w:rFonts w:hint="eastAsia"/>
          <w:szCs w:val="21"/>
        </w:rPr>
        <w:t>54</w:t>
      </w:r>
      <w:r w:rsidRPr="004F7853">
        <w:rPr>
          <w:rFonts w:hint="eastAsia"/>
          <w:szCs w:val="21"/>
        </w:rPr>
        <w:t>条讨论了其后续行动程序下收到的资料的处理方式。委员会决定，根据其议事规则第</w:t>
      </w:r>
      <w:r w:rsidRPr="004F7853">
        <w:rPr>
          <w:rFonts w:hint="eastAsia"/>
          <w:szCs w:val="21"/>
        </w:rPr>
        <w:t>54</w:t>
      </w:r>
      <w:r w:rsidRPr="004F7853">
        <w:rPr>
          <w:rFonts w:hint="eastAsia"/>
          <w:szCs w:val="21"/>
        </w:rPr>
        <w:t>条</w:t>
      </w:r>
      <w:r w:rsidRPr="004F7853">
        <w:rPr>
          <w:szCs w:val="21"/>
        </w:rPr>
        <w:t>第</w:t>
      </w:r>
      <w:r w:rsidRPr="004F7853">
        <w:rPr>
          <w:szCs w:val="21"/>
        </w:rPr>
        <w:t>3</w:t>
      </w:r>
      <w:r w:rsidRPr="004F7853">
        <w:rPr>
          <w:rFonts w:hint="eastAsia"/>
          <w:szCs w:val="21"/>
        </w:rPr>
        <w:t>款，结论性意见后续行动报告员将编写报告，评估缔约国</w:t>
      </w:r>
      <w:r w:rsidRPr="004F7853">
        <w:rPr>
          <w:szCs w:val="21"/>
        </w:rPr>
        <w:t>提供的</w:t>
      </w:r>
      <w:r w:rsidRPr="004F7853">
        <w:rPr>
          <w:rFonts w:hint="eastAsia"/>
          <w:szCs w:val="21"/>
        </w:rPr>
        <w:t>就委员会结论性意见中</w:t>
      </w:r>
      <w:r w:rsidRPr="004F7853">
        <w:rPr>
          <w:szCs w:val="21"/>
        </w:rPr>
        <w:t>的选定</w:t>
      </w:r>
      <w:r w:rsidRPr="004F7853">
        <w:rPr>
          <w:rFonts w:hint="eastAsia"/>
          <w:szCs w:val="21"/>
        </w:rPr>
        <w:t>建议采取</w:t>
      </w:r>
      <w:r w:rsidRPr="004F7853">
        <w:rPr>
          <w:szCs w:val="21"/>
        </w:rPr>
        <w:t>的</w:t>
      </w:r>
      <w:r w:rsidRPr="004F7853">
        <w:rPr>
          <w:rFonts w:hint="eastAsia"/>
          <w:szCs w:val="21"/>
        </w:rPr>
        <w:t>后续行动资料，报告每年提交一次，供委员会审议。委员会将根据该报告，评估关于每项选定建议的资料，并将通过后续行动报告员把评估结果送交所涉缔约国。在适当情况下，委员会可根据《公约》第二十九条第四款，请所涉缔约国在特定期限内提供补充资料。</w:t>
      </w:r>
    </w:p>
    <w:p w:rsidR="004F7853" w:rsidRPr="004F7853" w:rsidRDefault="004F7853" w:rsidP="007F4240">
      <w:pPr>
        <w:pStyle w:val="SingleTxt"/>
        <w:spacing w:after="220"/>
        <w:rPr>
          <w:szCs w:val="21"/>
        </w:rPr>
      </w:pPr>
      <w:r w:rsidRPr="004F7853">
        <w:rPr>
          <w:szCs w:val="21"/>
        </w:rPr>
        <w:t>2</w:t>
      </w:r>
      <w:r>
        <w:rPr>
          <w:szCs w:val="21"/>
        </w:rPr>
        <w:t xml:space="preserve">.  </w:t>
      </w:r>
      <w:r w:rsidRPr="004F7853">
        <w:rPr>
          <w:rFonts w:hint="eastAsia"/>
          <w:szCs w:val="21"/>
        </w:rPr>
        <w:t>本报告系根据委员会议事规则第</w:t>
      </w:r>
      <w:r w:rsidRPr="004F7853">
        <w:rPr>
          <w:rFonts w:hint="eastAsia"/>
          <w:szCs w:val="21"/>
        </w:rPr>
        <w:t>54</w:t>
      </w:r>
      <w:r w:rsidRPr="004F7853">
        <w:rPr>
          <w:rFonts w:hint="eastAsia"/>
          <w:szCs w:val="21"/>
        </w:rPr>
        <w:t>条</w:t>
      </w:r>
      <w:r w:rsidRPr="004F7853">
        <w:rPr>
          <w:szCs w:val="21"/>
        </w:rPr>
        <w:t>第</w:t>
      </w:r>
      <w:r w:rsidRPr="004F7853">
        <w:rPr>
          <w:szCs w:val="21"/>
        </w:rPr>
        <w:t>3</w:t>
      </w:r>
      <w:r w:rsidRPr="004F7853">
        <w:rPr>
          <w:rFonts w:hint="eastAsia"/>
          <w:szCs w:val="21"/>
        </w:rPr>
        <w:t>款提交，该条内容如下：“后续行动报告员应在与已有的国别报告员协商的情况下，评估缔约国提供的资料，并向委员会每届会议报告其活动情况”。</w:t>
      </w:r>
    </w:p>
    <w:p w:rsidR="004F7853" w:rsidRPr="004F7853" w:rsidRDefault="004F7853" w:rsidP="00350F14">
      <w:pPr>
        <w:pStyle w:val="SingleTxt"/>
        <w:spacing w:after="220"/>
        <w:rPr>
          <w:szCs w:val="21"/>
        </w:rPr>
      </w:pPr>
      <w:r w:rsidRPr="004F7853">
        <w:rPr>
          <w:szCs w:val="21"/>
        </w:rPr>
        <w:t>3</w:t>
      </w:r>
      <w:r>
        <w:rPr>
          <w:szCs w:val="21"/>
        </w:rPr>
        <w:t xml:space="preserve">.  </w:t>
      </w:r>
      <w:r w:rsidRPr="004F7853">
        <w:rPr>
          <w:rFonts w:hint="eastAsia"/>
          <w:szCs w:val="21"/>
        </w:rPr>
        <w:t>本报告反映了委员会在第七和第九届会议期间收到的涉及其关于阿根廷</w:t>
      </w:r>
      <w:r w:rsidRPr="00350F14">
        <w:rPr>
          <w:spacing w:val="-6"/>
          <w:szCs w:val="21"/>
        </w:rPr>
        <w:t>(CED/C/ARG/CO/1/Add.1)</w:t>
      </w:r>
      <w:r w:rsidRPr="00350F14">
        <w:rPr>
          <w:rFonts w:hint="eastAsia"/>
          <w:spacing w:val="-6"/>
          <w:szCs w:val="21"/>
        </w:rPr>
        <w:t>、</w:t>
      </w:r>
      <w:r w:rsidRPr="00350F14">
        <w:rPr>
          <w:spacing w:val="-6"/>
          <w:szCs w:val="21"/>
        </w:rPr>
        <w:t>西班牙</w:t>
      </w:r>
      <w:r w:rsidRPr="00350F14">
        <w:rPr>
          <w:spacing w:val="-6"/>
          <w:szCs w:val="21"/>
        </w:rPr>
        <w:t>(CED/C/ESP/CO/1/Add.1)</w:t>
      </w:r>
      <w:r w:rsidRPr="00350F14">
        <w:rPr>
          <w:rFonts w:hint="eastAsia"/>
          <w:spacing w:val="-6"/>
          <w:szCs w:val="21"/>
        </w:rPr>
        <w:t>和</w:t>
      </w:r>
      <w:r w:rsidRPr="00350F14">
        <w:rPr>
          <w:spacing w:val="-6"/>
          <w:szCs w:val="21"/>
        </w:rPr>
        <w:t>德</w:t>
      </w:r>
      <w:r w:rsidRPr="004F7853">
        <w:rPr>
          <w:szCs w:val="21"/>
        </w:rPr>
        <w:t>国</w:t>
      </w:r>
      <w:r w:rsidRPr="004F7853">
        <w:rPr>
          <w:szCs w:val="21"/>
        </w:rPr>
        <w:t>(CED/C/DEU/C</w:t>
      </w:r>
      <w:r w:rsidRPr="004F7853">
        <w:rPr>
          <w:spacing w:val="2"/>
          <w:szCs w:val="21"/>
        </w:rPr>
        <w:t>O/1/</w:t>
      </w:r>
      <w:r w:rsidR="00350F14">
        <w:rPr>
          <w:rFonts w:hint="eastAsia"/>
          <w:spacing w:val="2"/>
          <w:szCs w:val="21"/>
        </w:rPr>
        <w:t xml:space="preserve"> </w:t>
      </w:r>
      <w:r w:rsidRPr="004F7853">
        <w:rPr>
          <w:spacing w:val="2"/>
          <w:szCs w:val="21"/>
        </w:rPr>
        <w:t>Add.1)</w:t>
      </w:r>
      <w:r w:rsidRPr="004F7853">
        <w:rPr>
          <w:rFonts w:hint="eastAsia"/>
          <w:spacing w:val="2"/>
          <w:szCs w:val="21"/>
        </w:rPr>
        <w:t>的结论性意见的资料，以及委员会在第九届会议期间通过的评价和决定</w:t>
      </w:r>
      <w:r w:rsidRPr="004F7853">
        <w:rPr>
          <w:rFonts w:hint="eastAsia"/>
          <w:szCs w:val="21"/>
        </w:rPr>
        <w:t>。荷兰未就委员会结论性意见</w:t>
      </w:r>
      <w:r w:rsidRPr="004F7853">
        <w:rPr>
          <w:szCs w:val="21"/>
        </w:rPr>
        <w:t>(CED/C/NLD/CO/1)</w:t>
      </w:r>
      <w:r w:rsidRPr="004F7853">
        <w:rPr>
          <w:rFonts w:hint="eastAsia"/>
          <w:szCs w:val="21"/>
        </w:rPr>
        <w:t>中的选定建议提交后续行动资料，因此，委员会决定向该缔约国发出提醒。</w:t>
      </w:r>
    </w:p>
    <w:p w:rsidR="004F7853" w:rsidRPr="005A7F64" w:rsidRDefault="004F7853" w:rsidP="004F7853">
      <w:pPr>
        <w:spacing w:line="480" w:lineRule="auto"/>
        <w:rPr>
          <w:sz w:val="24"/>
          <w:szCs w:val="24"/>
        </w:rPr>
      </w:pPr>
      <w:r w:rsidRPr="005A7F64">
        <w:rPr>
          <w:sz w:val="24"/>
          <w:szCs w:val="24"/>
        </w:rPr>
        <w:br w:type="page"/>
      </w:r>
    </w:p>
    <w:p w:rsidR="004F7853" w:rsidRDefault="004F7853" w:rsidP="004F7853">
      <w:pPr>
        <w:pStyle w:val="SingleTxt"/>
      </w:pPr>
      <w:r w:rsidRPr="005A7F64">
        <w:lastRenderedPageBreak/>
        <w:t>4</w:t>
      </w:r>
      <w:r>
        <w:t xml:space="preserve">.  </w:t>
      </w:r>
      <w:r w:rsidRPr="005A7F64">
        <w:rPr>
          <w:rFonts w:hint="eastAsia"/>
        </w:rPr>
        <w:t>为了对所涉缔约国提供的资料开展评估，委员会采用了以下标准：</w:t>
      </w:r>
    </w:p>
    <w:p w:rsidR="00103486" w:rsidRPr="00103486" w:rsidRDefault="00103486" w:rsidP="00103486">
      <w:pPr>
        <w:pStyle w:val="SingleTxt"/>
        <w:spacing w:after="0" w:line="120" w:lineRule="exact"/>
        <w:rPr>
          <w:sz w:val="10"/>
        </w:rPr>
      </w:pPr>
    </w:p>
    <w:tbl>
      <w:tblPr>
        <w:tblW w:w="7566" w:type="dxa"/>
        <w:tblInd w:w="1267" w:type="dxa"/>
        <w:tblLayout w:type="fixed"/>
        <w:tblCellMar>
          <w:left w:w="0" w:type="dxa"/>
          <w:right w:w="0" w:type="dxa"/>
        </w:tblCellMar>
        <w:tblLook w:val="04A0" w:firstRow="1" w:lastRow="0" w:firstColumn="1" w:lastColumn="0" w:noHBand="0" w:noVBand="1"/>
      </w:tblPr>
      <w:tblGrid>
        <w:gridCol w:w="7566"/>
      </w:tblGrid>
      <w:tr w:rsidR="004F7853" w:rsidRPr="00AD53B3" w:rsidTr="00103486">
        <w:trPr>
          <w:tblHeader/>
        </w:trPr>
        <w:tc>
          <w:tcPr>
            <w:tcW w:w="7566" w:type="dxa"/>
            <w:tcBorders>
              <w:top w:val="single" w:sz="4" w:space="0" w:color="auto"/>
              <w:bottom w:val="single" w:sz="12" w:space="0" w:color="auto"/>
            </w:tcBorders>
            <w:shd w:val="clear" w:color="auto" w:fill="auto"/>
            <w:vAlign w:val="bottom"/>
          </w:tcPr>
          <w:p w:rsidR="004F7853" w:rsidRPr="00AD53B3" w:rsidRDefault="004F7853" w:rsidP="001034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after="60" w:line="200" w:lineRule="exact"/>
              <w:ind w:left="57" w:right="57"/>
              <w:rPr>
                <w:rFonts w:eastAsia="楷体"/>
                <w:szCs w:val="21"/>
              </w:rPr>
            </w:pPr>
            <w:r w:rsidRPr="00AD53B3">
              <w:rPr>
                <w:rFonts w:eastAsia="楷体" w:hint="eastAsia"/>
                <w:szCs w:val="21"/>
              </w:rPr>
              <w:t>对答复的评估</w:t>
            </w:r>
          </w:p>
        </w:tc>
      </w:tr>
      <w:tr w:rsidR="004F7853" w:rsidRPr="00AD53B3" w:rsidTr="00103486">
        <w:trPr>
          <w:trHeight w:hRule="exact" w:val="115"/>
          <w:tblHeader/>
        </w:trPr>
        <w:tc>
          <w:tcPr>
            <w:tcW w:w="7566" w:type="dxa"/>
            <w:tcBorders>
              <w:top w:val="single" w:sz="12" w:space="0" w:color="auto"/>
            </w:tcBorders>
            <w:shd w:val="clear" w:color="auto" w:fill="auto"/>
            <w:vAlign w:val="bottom"/>
          </w:tcPr>
          <w:p w:rsidR="004F7853" w:rsidRPr="00AD53B3" w:rsidRDefault="004F7853" w:rsidP="001034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80" w:lineRule="exact"/>
              <w:ind w:left="57" w:right="57"/>
              <w:rPr>
                <w:szCs w:val="21"/>
              </w:rPr>
            </w:pPr>
          </w:p>
        </w:tc>
      </w:tr>
      <w:tr w:rsidR="004F7853" w:rsidRPr="00AD53B3" w:rsidTr="00103486">
        <w:tc>
          <w:tcPr>
            <w:tcW w:w="7566" w:type="dxa"/>
            <w:shd w:val="clear" w:color="auto" w:fill="auto"/>
          </w:tcPr>
          <w:p w:rsidR="004F7853" w:rsidRPr="00AD53B3" w:rsidRDefault="004F7853" w:rsidP="00103486">
            <w:pPr>
              <w:tabs>
                <w:tab w:val="left" w:pos="334"/>
                <w:tab w:val="left" w:pos="669"/>
                <w:tab w:val="left" w:pos="1003"/>
                <w:tab w:val="left" w:pos="1338"/>
              </w:tabs>
              <w:suppressAutoHyphens/>
              <w:spacing w:before="60" w:after="60" w:line="240" w:lineRule="exact"/>
              <w:ind w:left="57" w:right="57"/>
              <w:rPr>
                <w:szCs w:val="21"/>
              </w:rPr>
            </w:pPr>
            <w:r w:rsidRPr="00AD53B3">
              <w:rPr>
                <w:b/>
                <w:szCs w:val="21"/>
              </w:rPr>
              <w:t>A</w:t>
            </w:r>
            <w:r w:rsidRPr="00AD53B3">
              <w:rPr>
                <w:bCs/>
                <w:szCs w:val="21"/>
              </w:rPr>
              <w:t>.</w:t>
            </w:r>
            <w:r w:rsidRPr="00AD53B3">
              <w:rPr>
                <w:szCs w:val="21"/>
              </w:rPr>
              <w:tab/>
            </w:r>
            <w:r w:rsidRPr="00AD53B3">
              <w:rPr>
                <w:rFonts w:ascii="黑体" w:eastAsia="黑体" w:hint="eastAsia"/>
                <w:bCs/>
                <w:szCs w:val="21"/>
              </w:rPr>
              <w:t>答复</w:t>
            </w:r>
            <w:r w:rsidRPr="00AD53B3">
              <w:rPr>
                <w:rFonts w:asciiTheme="majorBidi" w:eastAsia="黑体" w:hAnsiTheme="majorBidi" w:cstheme="majorBidi"/>
                <w:bCs/>
                <w:szCs w:val="21"/>
              </w:rPr>
              <w:t>/</w:t>
            </w:r>
            <w:r w:rsidRPr="00AD53B3">
              <w:rPr>
                <w:rFonts w:ascii="黑体" w:eastAsia="黑体" w:hint="eastAsia"/>
                <w:bCs/>
                <w:szCs w:val="21"/>
              </w:rPr>
              <w:t>行动令人满意</w:t>
            </w:r>
          </w:p>
        </w:tc>
      </w:tr>
      <w:tr w:rsidR="004F7853" w:rsidRPr="00AD53B3" w:rsidTr="00103486">
        <w:tc>
          <w:tcPr>
            <w:tcW w:w="7566" w:type="dxa"/>
            <w:shd w:val="clear" w:color="auto" w:fill="auto"/>
          </w:tcPr>
          <w:p w:rsidR="004F7853" w:rsidRPr="00AD53B3" w:rsidRDefault="004F7853" w:rsidP="00103486">
            <w:pPr>
              <w:tabs>
                <w:tab w:val="left" w:pos="576"/>
              </w:tabs>
              <w:suppressAutoHyphens/>
              <w:spacing w:before="60" w:after="60" w:line="240" w:lineRule="exact"/>
              <w:ind w:left="343" w:right="57"/>
              <w:rPr>
                <w:szCs w:val="21"/>
              </w:rPr>
            </w:pPr>
            <w:r w:rsidRPr="00AD53B3">
              <w:rPr>
                <w:szCs w:val="21"/>
              </w:rPr>
              <w:t>-</w:t>
            </w:r>
            <w:r w:rsidR="00103486" w:rsidRPr="00AD53B3">
              <w:rPr>
                <w:rFonts w:asciiTheme="majorBidi" w:eastAsia="黑体" w:hAnsiTheme="majorBidi" w:cstheme="majorBidi"/>
                <w:bCs/>
                <w:szCs w:val="21"/>
              </w:rPr>
              <w:tab/>
            </w:r>
            <w:r w:rsidRPr="00AD53B3">
              <w:rPr>
                <w:rFonts w:hint="eastAsia"/>
                <w:szCs w:val="21"/>
              </w:rPr>
              <w:t>答复基本令人满意</w:t>
            </w:r>
          </w:p>
        </w:tc>
      </w:tr>
      <w:tr w:rsidR="004F7853" w:rsidRPr="00AD53B3" w:rsidTr="00103486">
        <w:tc>
          <w:tcPr>
            <w:tcW w:w="7566" w:type="dxa"/>
            <w:shd w:val="clear" w:color="auto" w:fill="auto"/>
          </w:tcPr>
          <w:p w:rsidR="004F7853" w:rsidRPr="00AD53B3" w:rsidRDefault="004F7853" w:rsidP="00103486">
            <w:pPr>
              <w:tabs>
                <w:tab w:val="left" w:pos="334"/>
                <w:tab w:val="left" w:pos="669"/>
                <w:tab w:val="left" w:pos="1003"/>
                <w:tab w:val="left" w:pos="1338"/>
              </w:tabs>
              <w:suppressAutoHyphens/>
              <w:spacing w:before="60" w:after="60" w:line="240" w:lineRule="exact"/>
              <w:ind w:left="57" w:right="57"/>
              <w:rPr>
                <w:rFonts w:asciiTheme="majorBidi" w:eastAsia="黑体" w:hAnsiTheme="majorBidi" w:cstheme="majorBidi"/>
                <w:bCs/>
                <w:szCs w:val="21"/>
              </w:rPr>
            </w:pPr>
            <w:r w:rsidRPr="00AD53B3">
              <w:rPr>
                <w:rFonts w:asciiTheme="majorBidi" w:eastAsia="黑体" w:hAnsiTheme="majorBidi" w:cstheme="majorBidi"/>
                <w:b/>
                <w:szCs w:val="21"/>
              </w:rPr>
              <w:t>B</w:t>
            </w:r>
            <w:r w:rsidRPr="00AD53B3">
              <w:rPr>
                <w:rFonts w:asciiTheme="majorBidi" w:eastAsia="黑体" w:hAnsiTheme="majorBidi" w:cstheme="majorBidi"/>
                <w:bCs/>
                <w:szCs w:val="21"/>
              </w:rPr>
              <w:t>.</w:t>
            </w:r>
            <w:r w:rsidRPr="00AD53B3">
              <w:rPr>
                <w:rFonts w:asciiTheme="majorBidi" w:eastAsia="黑体" w:hAnsiTheme="majorBidi" w:cstheme="majorBidi"/>
                <w:bCs/>
                <w:szCs w:val="21"/>
              </w:rPr>
              <w:tab/>
            </w:r>
            <w:r w:rsidRPr="00AD53B3">
              <w:rPr>
                <w:rFonts w:asciiTheme="majorBidi" w:eastAsia="黑体" w:hAnsiTheme="majorBidi" w:cstheme="majorBidi"/>
                <w:bCs/>
                <w:szCs w:val="21"/>
              </w:rPr>
              <w:t>答复</w:t>
            </w:r>
            <w:r w:rsidRPr="00AD53B3">
              <w:rPr>
                <w:rFonts w:asciiTheme="majorBidi" w:eastAsia="黑体" w:hAnsiTheme="majorBidi" w:cstheme="majorBidi"/>
                <w:bCs/>
                <w:szCs w:val="21"/>
              </w:rPr>
              <w:t>/</w:t>
            </w:r>
            <w:r w:rsidRPr="00AD53B3">
              <w:rPr>
                <w:rFonts w:asciiTheme="majorBidi" w:eastAsia="黑体" w:hAnsiTheme="majorBidi" w:cstheme="majorBidi"/>
                <w:bCs/>
                <w:szCs w:val="21"/>
              </w:rPr>
              <w:t>行动部分令人满意</w:t>
            </w:r>
          </w:p>
        </w:tc>
      </w:tr>
      <w:tr w:rsidR="004F7853" w:rsidRPr="00AD53B3" w:rsidTr="00103486">
        <w:tc>
          <w:tcPr>
            <w:tcW w:w="7566" w:type="dxa"/>
            <w:shd w:val="clear" w:color="auto" w:fill="auto"/>
          </w:tcPr>
          <w:p w:rsidR="004F7853" w:rsidRPr="00AD53B3" w:rsidRDefault="00103486" w:rsidP="00103486">
            <w:pPr>
              <w:tabs>
                <w:tab w:val="left" w:pos="576"/>
              </w:tabs>
              <w:suppressAutoHyphens/>
              <w:spacing w:before="60" w:after="60" w:line="240" w:lineRule="exact"/>
              <w:ind w:left="343" w:right="57"/>
              <w:rPr>
                <w:szCs w:val="21"/>
              </w:rPr>
            </w:pPr>
            <w:r w:rsidRPr="00AD53B3">
              <w:rPr>
                <w:szCs w:val="21"/>
              </w:rPr>
              <w:t>-</w:t>
            </w:r>
            <w:r w:rsidRPr="00AD53B3">
              <w:rPr>
                <w:rFonts w:asciiTheme="majorBidi" w:eastAsia="黑体" w:hAnsiTheme="majorBidi" w:cstheme="majorBidi"/>
                <w:bCs/>
                <w:szCs w:val="21"/>
              </w:rPr>
              <w:tab/>
            </w:r>
            <w:r w:rsidR="004F7853" w:rsidRPr="00AD53B3">
              <w:rPr>
                <w:rFonts w:hint="eastAsia"/>
                <w:szCs w:val="21"/>
              </w:rPr>
              <w:t>已采取实质行动，但需提供补充资料</w:t>
            </w:r>
          </w:p>
        </w:tc>
      </w:tr>
      <w:tr w:rsidR="004F7853" w:rsidRPr="00AD53B3" w:rsidTr="00103486">
        <w:tc>
          <w:tcPr>
            <w:tcW w:w="7566" w:type="dxa"/>
            <w:shd w:val="clear" w:color="auto" w:fill="auto"/>
          </w:tcPr>
          <w:p w:rsidR="004F7853" w:rsidRPr="00AD53B3" w:rsidRDefault="00103486" w:rsidP="00103486">
            <w:pPr>
              <w:tabs>
                <w:tab w:val="left" w:pos="576"/>
              </w:tabs>
              <w:suppressAutoHyphens/>
              <w:spacing w:before="60" w:after="60" w:line="240" w:lineRule="exact"/>
              <w:ind w:left="343" w:right="57"/>
              <w:rPr>
                <w:szCs w:val="21"/>
              </w:rPr>
            </w:pPr>
            <w:r w:rsidRPr="00AD53B3">
              <w:rPr>
                <w:szCs w:val="21"/>
              </w:rPr>
              <w:t>-</w:t>
            </w:r>
            <w:r w:rsidRPr="00AD53B3">
              <w:rPr>
                <w:rFonts w:asciiTheme="majorBidi" w:eastAsia="黑体" w:hAnsiTheme="majorBidi" w:cstheme="majorBidi"/>
                <w:bCs/>
                <w:szCs w:val="21"/>
              </w:rPr>
              <w:tab/>
            </w:r>
            <w:r w:rsidR="004F7853" w:rsidRPr="00AD53B3">
              <w:rPr>
                <w:rFonts w:hint="eastAsia"/>
                <w:szCs w:val="21"/>
              </w:rPr>
              <w:t>已采取初步行动，但需提供补充资料并采取措施</w:t>
            </w:r>
          </w:p>
        </w:tc>
      </w:tr>
      <w:tr w:rsidR="004F7853" w:rsidRPr="00AD53B3" w:rsidTr="00103486">
        <w:tc>
          <w:tcPr>
            <w:tcW w:w="7566" w:type="dxa"/>
            <w:shd w:val="clear" w:color="auto" w:fill="auto"/>
          </w:tcPr>
          <w:p w:rsidR="004F7853" w:rsidRPr="00AD53B3" w:rsidRDefault="004F7853" w:rsidP="00103486">
            <w:pPr>
              <w:tabs>
                <w:tab w:val="left" w:pos="334"/>
                <w:tab w:val="left" w:pos="669"/>
                <w:tab w:val="left" w:pos="1003"/>
                <w:tab w:val="left" w:pos="1338"/>
              </w:tabs>
              <w:suppressAutoHyphens/>
              <w:spacing w:before="60" w:after="60" w:line="240" w:lineRule="exact"/>
              <w:ind w:left="57" w:right="57"/>
              <w:rPr>
                <w:szCs w:val="21"/>
              </w:rPr>
            </w:pPr>
            <w:r w:rsidRPr="00AD53B3">
              <w:rPr>
                <w:rFonts w:asciiTheme="majorBidi" w:eastAsia="黑体" w:hAnsiTheme="majorBidi" w:cstheme="majorBidi"/>
                <w:b/>
                <w:szCs w:val="21"/>
              </w:rPr>
              <w:t>C</w:t>
            </w:r>
            <w:r w:rsidRPr="00AD53B3">
              <w:rPr>
                <w:rFonts w:asciiTheme="majorBidi" w:eastAsia="黑体" w:hAnsiTheme="majorBidi" w:cstheme="majorBidi"/>
                <w:bCs/>
                <w:szCs w:val="21"/>
              </w:rPr>
              <w:t>.</w:t>
            </w:r>
            <w:r w:rsidRPr="00AD53B3">
              <w:rPr>
                <w:rFonts w:asciiTheme="majorBidi" w:eastAsia="黑体" w:hAnsiTheme="majorBidi" w:cstheme="majorBidi"/>
                <w:bCs/>
                <w:szCs w:val="21"/>
              </w:rPr>
              <w:tab/>
            </w:r>
            <w:r w:rsidRPr="00AD53B3">
              <w:rPr>
                <w:rFonts w:asciiTheme="majorBidi" w:eastAsia="黑体" w:hAnsiTheme="majorBidi" w:cstheme="majorBidi" w:hint="eastAsia"/>
                <w:bCs/>
                <w:szCs w:val="21"/>
              </w:rPr>
              <w:t>答复</w:t>
            </w:r>
            <w:r w:rsidRPr="00AD53B3">
              <w:rPr>
                <w:rFonts w:asciiTheme="majorBidi" w:eastAsia="黑体" w:hAnsiTheme="majorBidi" w:cstheme="majorBidi" w:hint="eastAsia"/>
                <w:bCs/>
                <w:szCs w:val="21"/>
              </w:rPr>
              <w:t>/</w:t>
            </w:r>
            <w:r w:rsidRPr="00AD53B3">
              <w:rPr>
                <w:rFonts w:asciiTheme="majorBidi" w:eastAsia="黑体" w:hAnsiTheme="majorBidi" w:cstheme="majorBidi" w:hint="eastAsia"/>
                <w:bCs/>
                <w:szCs w:val="21"/>
              </w:rPr>
              <w:t>行动不令人满意</w:t>
            </w:r>
          </w:p>
        </w:tc>
      </w:tr>
      <w:tr w:rsidR="004F7853" w:rsidRPr="00AD53B3" w:rsidTr="00103486">
        <w:tc>
          <w:tcPr>
            <w:tcW w:w="7566" w:type="dxa"/>
            <w:shd w:val="clear" w:color="auto" w:fill="auto"/>
          </w:tcPr>
          <w:p w:rsidR="004F7853" w:rsidRPr="00AD53B3" w:rsidRDefault="00103486" w:rsidP="00103486">
            <w:pPr>
              <w:tabs>
                <w:tab w:val="left" w:pos="576"/>
              </w:tabs>
              <w:suppressAutoHyphens/>
              <w:spacing w:before="60" w:after="60" w:line="240" w:lineRule="exact"/>
              <w:ind w:left="343" w:right="57"/>
              <w:rPr>
                <w:szCs w:val="21"/>
              </w:rPr>
            </w:pPr>
            <w:r w:rsidRPr="00AD53B3">
              <w:rPr>
                <w:szCs w:val="21"/>
              </w:rPr>
              <w:t>-</w:t>
            </w:r>
            <w:r w:rsidRPr="00AD53B3">
              <w:rPr>
                <w:rFonts w:asciiTheme="majorBidi" w:eastAsia="黑体" w:hAnsiTheme="majorBidi" w:cstheme="majorBidi"/>
                <w:bCs/>
                <w:szCs w:val="21"/>
              </w:rPr>
              <w:tab/>
            </w:r>
            <w:r w:rsidR="004F7853" w:rsidRPr="00AD53B3">
              <w:rPr>
                <w:rFonts w:hint="eastAsia"/>
                <w:szCs w:val="21"/>
              </w:rPr>
              <w:t>已收到答复，但采取的行动未落实建议</w:t>
            </w:r>
          </w:p>
        </w:tc>
      </w:tr>
      <w:tr w:rsidR="004F7853" w:rsidRPr="00AD53B3" w:rsidTr="00103486">
        <w:tc>
          <w:tcPr>
            <w:tcW w:w="7566" w:type="dxa"/>
            <w:shd w:val="clear" w:color="auto" w:fill="auto"/>
          </w:tcPr>
          <w:p w:rsidR="004F7853" w:rsidRPr="00AD53B3" w:rsidRDefault="00103486" w:rsidP="00103486">
            <w:pPr>
              <w:tabs>
                <w:tab w:val="left" w:pos="576"/>
              </w:tabs>
              <w:suppressAutoHyphens/>
              <w:spacing w:before="60" w:after="60" w:line="240" w:lineRule="exact"/>
              <w:ind w:left="343" w:right="57"/>
              <w:rPr>
                <w:szCs w:val="21"/>
              </w:rPr>
            </w:pPr>
            <w:r w:rsidRPr="00AD53B3">
              <w:rPr>
                <w:szCs w:val="21"/>
              </w:rPr>
              <w:t>-</w:t>
            </w:r>
            <w:r w:rsidRPr="00AD53B3">
              <w:rPr>
                <w:rFonts w:asciiTheme="majorBidi" w:eastAsia="黑体" w:hAnsiTheme="majorBidi" w:cstheme="majorBidi"/>
                <w:bCs/>
                <w:szCs w:val="21"/>
              </w:rPr>
              <w:tab/>
            </w:r>
            <w:r w:rsidR="004F7853" w:rsidRPr="00AD53B3">
              <w:rPr>
                <w:rFonts w:hint="eastAsia"/>
                <w:szCs w:val="21"/>
              </w:rPr>
              <w:t>已收到答复，但答复与建议无关</w:t>
            </w:r>
          </w:p>
        </w:tc>
      </w:tr>
      <w:tr w:rsidR="004F7853" w:rsidRPr="00AD53B3" w:rsidTr="00103486">
        <w:tc>
          <w:tcPr>
            <w:tcW w:w="7566" w:type="dxa"/>
            <w:shd w:val="clear" w:color="auto" w:fill="auto"/>
          </w:tcPr>
          <w:p w:rsidR="004F7853" w:rsidRPr="00AD53B3" w:rsidRDefault="00103486" w:rsidP="00103486">
            <w:pPr>
              <w:tabs>
                <w:tab w:val="left" w:pos="576"/>
              </w:tabs>
              <w:suppressAutoHyphens/>
              <w:spacing w:before="60" w:after="60" w:line="240" w:lineRule="exact"/>
              <w:ind w:left="343" w:right="57"/>
              <w:rPr>
                <w:szCs w:val="21"/>
              </w:rPr>
            </w:pPr>
            <w:r w:rsidRPr="00AD53B3">
              <w:rPr>
                <w:szCs w:val="21"/>
              </w:rPr>
              <w:t>-</w:t>
            </w:r>
            <w:r w:rsidRPr="00AD53B3">
              <w:rPr>
                <w:rFonts w:asciiTheme="majorBidi" w:eastAsia="黑体" w:hAnsiTheme="majorBidi" w:cstheme="majorBidi"/>
                <w:bCs/>
                <w:szCs w:val="21"/>
              </w:rPr>
              <w:tab/>
            </w:r>
            <w:r w:rsidR="004F7853" w:rsidRPr="00AD53B3">
              <w:rPr>
                <w:rFonts w:hint="eastAsia"/>
                <w:szCs w:val="21"/>
              </w:rPr>
              <w:t>未收到关于建议中某一具体事项的答复</w:t>
            </w:r>
          </w:p>
        </w:tc>
      </w:tr>
      <w:tr w:rsidR="004F7853" w:rsidRPr="00AD53B3" w:rsidTr="00103486">
        <w:tc>
          <w:tcPr>
            <w:tcW w:w="7566" w:type="dxa"/>
            <w:shd w:val="clear" w:color="auto" w:fill="auto"/>
          </w:tcPr>
          <w:p w:rsidR="004F7853" w:rsidRPr="00AD53B3" w:rsidRDefault="004F7853" w:rsidP="00103486">
            <w:pPr>
              <w:tabs>
                <w:tab w:val="left" w:pos="334"/>
                <w:tab w:val="left" w:pos="669"/>
                <w:tab w:val="left" w:pos="1003"/>
                <w:tab w:val="left" w:pos="1338"/>
              </w:tabs>
              <w:suppressAutoHyphens/>
              <w:spacing w:before="60" w:after="60" w:line="240" w:lineRule="exact"/>
              <w:ind w:left="57" w:right="57"/>
              <w:rPr>
                <w:bCs/>
                <w:szCs w:val="21"/>
              </w:rPr>
            </w:pPr>
            <w:r w:rsidRPr="00AD53B3">
              <w:rPr>
                <w:rFonts w:asciiTheme="majorBidi" w:eastAsia="黑体" w:hAnsiTheme="majorBidi" w:cstheme="majorBidi"/>
                <w:b/>
                <w:szCs w:val="21"/>
              </w:rPr>
              <w:t>D</w:t>
            </w:r>
            <w:r w:rsidRPr="00AD53B3">
              <w:rPr>
                <w:rFonts w:asciiTheme="majorBidi" w:eastAsia="黑体" w:hAnsiTheme="majorBidi" w:cstheme="majorBidi"/>
                <w:bCs/>
                <w:szCs w:val="21"/>
              </w:rPr>
              <w:t>.</w:t>
            </w:r>
            <w:r w:rsidRPr="00AD53B3">
              <w:rPr>
                <w:rFonts w:asciiTheme="majorBidi" w:eastAsia="黑体" w:hAnsiTheme="majorBidi" w:cstheme="majorBidi"/>
                <w:bCs/>
                <w:szCs w:val="21"/>
              </w:rPr>
              <w:tab/>
            </w:r>
            <w:r w:rsidRPr="00AD53B3">
              <w:rPr>
                <w:rFonts w:asciiTheme="majorBidi" w:eastAsia="黑体" w:hAnsiTheme="majorBidi" w:cstheme="majorBidi" w:hint="eastAsia"/>
                <w:bCs/>
                <w:szCs w:val="21"/>
              </w:rPr>
              <w:t>未与委员会合作</w:t>
            </w:r>
          </w:p>
        </w:tc>
      </w:tr>
      <w:tr w:rsidR="004F7853" w:rsidRPr="00AD53B3" w:rsidTr="00103486">
        <w:tc>
          <w:tcPr>
            <w:tcW w:w="7566" w:type="dxa"/>
            <w:shd w:val="clear" w:color="auto" w:fill="auto"/>
          </w:tcPr>
          <w:p w:rsidR="004F7853" w:rsidRPr="00AD53B3" w:rsidRDefault="00103486" w:rsidP="00103486">
            <w:pPr>
              <w:tabs>
                <w:tab w:val="left" w:pos="576"/>
              </w:tabs>
              <w:suppressAutoHyphens/>
              <w:spacing w:before="60" w:after="60" w:line="240" w:lineRule="exact"/>
              <w:ind w:left="343" w:right="57"/>
              <w:rPr>
                <w:szCs w:val="21"/>
              </w:rPr>
            </w:pPr>
            <w:r w:rsidRPr="00AD53B3">
              <w:rPr>
                <w:szCs w:val="21"/>
              </w:rPr>
              <w:t>-</w:t>
            </w:r>
            <w:r w:rsidRPr="00AD53B3">
              <w:rPr>
                <w:rFonts w:asciiTheme="majorBidi" w:eastAsia="黑体" w:hAnsiTheme="majorBidi" w:cstheme="majorBidi"/>
                <w:bCs/>
                <w:szCs w:val="21"/>
              </w:rPr>
              <w:tab/>
            </w:r>
            <w:r w:rsidR="004F7853" w:rsidRPr="00AD53B3">
              <w:rPr>
                <w:rFonts w:hint="eastAsia"/>
                <w:szCs w:val="21"/>
              </w:rPr>
              <w:t>经</w:t>
            </w:r>
            <w:r w:rsidR="004F7853" w:rsidRPr="00AD53B3">
              <w:rPr>
                <w:rFonts w:hint="eastAsia"/>
                <w:szCs w:val="21"/>
              </w:rPr>
              <w:t>(</w:t>
            </w:r>
            <w:r w:rsidR="004F7853" w:rsidRPr="00AD53B3">
              <w:rPr>
                <w:rFonts w:hint="eastAsia"/>
                <w:szCs w:val="21"/>
              </w:rPr>
              <w:t>多次</w:t>
            </w:r>
            <w:r w:rsidR="004F7853" w:rsidRPr="00AD53B3">
              <w:rPr>
                <w:rFonts w:hint="eastAsia"/>
                <w:szCs w:val="21"/>
              </w:rPr>
              <w:t>)</w:t>
            </w:r>
            <w:r w:rsidR="004F7853" w:rsidRPr="00AD53B3">
              <w:rPr>
                <w:rFonts w:hint="eastAsia"/>
                <w:szCs w:val="21"/>
              </w:rPr>
              <w:t>提醒仍未作出答复</w:t>
            </w:r>
          </w:p>
        </w:tc>
      </w:tr>
      <w:tr w:rsidR="004F7853" w:rsidRPr="00AD53B3" w:rsidTr="00103486">
        <w:tc>
          <w:tcPr>
            <w:tcW w:w="7566" w:type="dxa"/>
            <w:shd w:val="clear" w:color="auto" w:fill="auto"/>
          </w:tcPr>
          <w:p w:rsidR="004F7853" w:rsidRPr="00AD53B3" w:rsidRDefault="004F7853" w:rsidP="00103486">
            <w:pPr>
              <w:tabs>
                <w:tab w:val="left" w:pos="334"/>
                <w:tab w:val="left" w:pos="669"/>
                <w:tab w:val="left" w:pos="1003"/>
                <w:tab w:val="left" w:pos="1338"/>
              </w:tabs>
              <w:suppressAutoHyphens/>
              <w:spacing w:before="60" w:after="60" w:line="240" w:lineRule="exact"/>
              <w:ind w:left="57" w:right="57"/>
              <w:rPr>
                <w:bCs/>
                <w:szCs w:val="21"/>
              </w:rPr>
            </w:pPr>
            <w:r w:rsidRPr="00AD53B3">
              <w:rPr>
                <w:rFonts w:asciiTheme="majorBidi" w:eastAsia="黑体" w:hAnsiTheme="majorBidi" w:cstheme="majorBidi"/>
                <w:b/>
                <w:szCs w:val="21"/>
              </w:rPr>
              <w:t>E</w:t>
            </w:r>
            <w:r w:rsidRPr="00AD53B3">
              <w:rPr>
                <w:rFonts w:asciiTheme="majorBidi" w:eastAsia="黑体" w:hAnsiTheme="majorBidi" w:cstheme="majorBidi"/>
                <w:bCs/>
                <w:szCs w:val="21"/>
              </w:rPr>
              <w:t>.</w:t>
            </w:r>
            <w:r w:rsidRPr="00AD53B3">
              <w:rPr>
                <w:rFonts w:asciiTheme="majorBidi" w:eastAsia="黑体" w:hAnsiTheme="majorBidi" w:cstheme="majorBidi"/>
                <w:bCs/>
                <w:szCs w:val="21"/>
              </w:rPr>
              <w:tab/>
            </w:r>
            <w:r w:rsidRPr="00AD53B3">
              <w:rPr>
                <w:rFonts w:asciiTheme="majorBidi" w:eastAsia="黑体" w:hAnsiTheme="majorBidi" w:cstheme="majorBidi" w:hint="eastAsia"/>
                <w:bCs/>
                <w:szCs w:val="21"/>
              </w:rPr>
              <w:t>所采取的措施与委员会的建议相悖</w:t>
            </w:r>
          </w:p>
        </w:tc>
      </w:tr>
      <w:tr w:rsidR="004F7853" w:rsidRPr="00AD53B3" w:rsidTr="00103486">
        <w:tc>
          <w:tcPr>
            <w:tcW w:w="7566" w:type="dxa"/>
            <w:tcBorders>
              <w:bottom w:val="single" w:sz="12" w:space="0" w:color="auto"/>
            </w:tcBorders>
            <w:shd w:val="clear" w:color="auto" w:fill="auto"/>
          </w:tcPr>
          <w:p w:rsidR="004F7853" w:rsidRPr="00AD53B3" w:rsidRDefault="00103486" w:rsidP="00103486">
            <w:pPr>
              <w:tabs>
                <w:tab w:val="left" w:pos="576"/>
              </w:tabs>
              <w:suppressAutoHyphens/>
              <w:spacing w:before="60" w:after="60" w:line="240" w:lineRule="exact"/>
              <w:ind w:left="343" w:right="57"/>
              <w:rPr>
                <w:szCs w:val="21"/>
              </w:rPr>
            </w:pPr>
            <w:r w:rsidRPr="00AD53B3">
              <w:rPr>
                <w:szCs w:val="21"/>
              </w:rPr>
              <w:t>-</w:t>
            </w:r>
            <w:r w:rsidRPr="00AD53B3">
              <w:rPr>
                <w:rFonts w:asciiTheme="majorBidi" w:eastAsia="黑体" w:hAnsiTheme="majorBidi" w:cstheme="majorBidi"/>
                <w:bCs/>
                <w:szCs w:val="21"/>
              </w:rPr>
              <w:tab/>
            </w:r>
            <w:r w:rsidR="004F7853" w:rsidRPr="00AD53B3">
              <w:rPr>
                <w:rFonts w:hint="eastAsia"/>
                <w:szCs w:val="21"/>
              </w:rPr>
              <w:t>答复显示，所采取的措施与委员会的建议相悖</w:t>
            </w:r>
          </w:p>
        </w:tc>
      </w:tr>
    </w:tbl>
    <w:p w:rsidR="00103486" w:rsidRPr="00103486" w:rsidRDefault="00103486" w:rsidP="001034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03486" w:rsidRPr="00103486" w:rsidRDefault="00103486" w:rsidP="001034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03486" w:rsidRPr="00103486" w:rsidRDefault="00103486" w:rsidP="001034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5A7F64" w:rsidRDefault="004F7853" w:rsidP="0010348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5A7F64">
        <w:tab/>
      </w:r>
      <w:r w:rsidRPr="005A7F64">
        <w:rPr>
          <w:rFonts w:hint="eastAsia"/>
        </w:rPr>
        <w:t>二</w:t>
      </w:r>
      <w:r w:rsidRPr="005A7F64">
        <w:t>.</w:t>
      </w:r>
      <w:r w:rsidRPr="005A7F64">
        <w:tab/>
      </w:r>
      <w:r w:rsidRPr="005A7F64">
        <w:rPr>
          <w:rFonts w:hint="eastAsia"/>
        </w:rPr>
        <w:t>对后续行动资料的评估</w:t>
      </w:r>
    </w:p>
    <w:p w:rsidR="00103486" w:rsidRPr="00103486" w:rsidRDefault="00103486" w:rsidP="001034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pacing w:val="2"/>
          <w:sz w:val="10"/>
        </w:rPr>
      </w:pPr>
    </w:p>
    <w:p w:rsidR="00103486" w:rsidRPr="00103486" w:rsidRDefault="00103486" w:rsidP="001034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pacing w:val="2"/>
          <w:sz w:val="10"/>
        </w:rPr>
      </w:pPr>
    </w:p>
    <w:p w:rsidR="004F7853" w:rsidRPr="005A7F64" w:rsidRDefault="004F7853" w:rsidP="009376C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5A7F64">
        <w:rPr>
          <w:spacing w:val="2"/>
        </w:rPr>
        <w:tab/>
      </w:r>
      <w:r w:rsidRPr="005A7F64">
        <w:t>A.</w:t>
      </w:r>
      <w:r w:rsidRPr="005A7F64">
        <w:tab/>
        <w:t>阿根廷</w:t>
      </w:r>
    </w:p>
    <w:p w:rsidR="00103486" w:rsidRPr="00103486" w:rsidRDefault="00103486" w:rsidP="001034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103486" w:rsidRPr="00103486" w:rsidRDefault="00103486" w:rsidP="001034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5A7F64" w:rsidRDefault="004F7853" w:rsidP="001034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5A7F64">
        <w:tab/>
      </w:r>
      <w:r w:rsidRPr="005A7F64">
        <w:tab/>
      </w:r>
      <w:r w:rsidRPr="005A7F64">
        <w:rPr>
          <w:rFonts w:hint="eastAsia"/>
        </w:rPr>
        <w:t>第五届会议</w:t>
      </w:r>
      <w:r w:rsidRPr="00103486">
        <w:rPr>
          <w:rFonts w:ascii="Times New Roman" w:eastAsia="宋体"/>
          <w:spacing w:val="0"/>
        </w:rPr>
        <w:t>(2013</w:t>
      </w:r>
      <w:r w:rsidRPr="00103486">
        <w:rPr>
          <w:rFonts w:ascii="Times New Roman" w:eastAsia="宋体" w:hint="eastAsia"/>
          <w:spacing w:val="0"/>
        </w:rPr>
        <w:t>年</w:t>
      </w:r>
      <w:r w:rsidRPr="00103486">
        <w:rPr>
          <w:rFonts w:ascii="Times New Roman" w:eastAsia="宋体" w:hint="eastAsia"/>
          <w:spacing w:val="0"/>
        </w:rPr>
        <w:t>11</w:t>
      </w:r>
      <w:r w:rsidRPr="00103486">
        <w:rPr>
          <w:rFonts w:ascii="Times New Roman" w:eastAsia="宋体" w:hint="eastAsia"/>
          <w:spacing w:val="0"/>
        </w:rPr>
        <w:t>月</w:t>
      </w:r>
      <w:r w:rsidRPr="00103486">
        <w:rPr>
          <w:rFonts w:ascii="Times New Roman" w:eastAsia="宋体"/>
          <w:spacing w:val="0"/>
        </w:rPr>
        <w:t>)</w:t>
      </w:r>
    </w:p>
    <w:p w:rsidR="004F7853" w:rsidRPr="00103486" w:rsidRDefault="004F7853" w:rsidP="00103486">
      <w:pPr>
        <w:pStyle w:val="SingleTxt"/>
        <w:spacing w:after="0" w:line="120" w:lineRule="exact"/>
        <w:rPr>
          <w:sz w:val="10"/>
          <w:szCs w:val="24"/>
        </w:rPr>
      </w:pPr>
    </w:p>
    <w:p w:rsidR="00103486" w:rsidRPr="00103486" w:rsidRDefault="00103486" w:rsidP="00103486">
      <w:pPr>
        <w:pStyle w:val="SingleTxt"/>
        <w:spacing w:after="0" w:line="120" w:lineRule="exact"/>
        <w:rPr>
          <w:sz w:val="10"/>
          <w:szCs w:val="24"/>
        </w:rPr>
      </w:pPr>
    </w:p>
    <w:tbl>
      <w:tblPr>
        <w:tblW w:w="7580" w:type="dxa"/>
        <w:tblInd w:w="1267" w:type="dxa"/>
        <w:tblCellMar>
          <w:left w:w="0" w:type="dxa"/>
          <w:right w:w="113" w:type="dxa"/>
        </w:tblCellMar>
        <w:tblLook w:val="04A0" w:firstRow="1" w:lastRow="0" w:firstColumn="1" w:lastColumn="0" w:noHBand="0" w:noVBand="1"/>
      </w:tblPr>
      <w:tblGrid>
        <w:gridCol w:w="2844"/>
        <w:gridCol w:w="4736"/>
      </w:tblGrid>
      <w:tr w:rsidR="004F7853" w:rsidRPr="004C5120" w:rsidTr="00103486">
        <w:trPr>
          <w:trHeight w:val="240"/>
          <w:tblHeader/>
        </w:trPr>
        <w:tc>
          <w:tcPr>
            <w:tcW w:w="2844" w:type="dxa"/>
            <w:tcBorders>
              <w:top w:val="single" w:sz="4" w:space="0" w:color="auto"/>
              <w:bottom w:val="single" w:sz="12" w:space="0" w:color="auto"/>
            </w:tcBorders>
            <w:shd w:val="clear" w:color="auto" w:fill="auto"/>
            <w:vAlign w:val="bottom"/>
          </w:tcPr>
          <w:p w:rsidR="004F7853" w:rsidRPr="004C5120" w:rsidRDefault="004F7853" w:rsidP="00103486">
            <w:pPr>
              <w:pStyle w:val="H4"/>
              <w:spacing w:before="60" w:after="60" w:line="200" w:lineRule="exact"/>
              <w:ind w:left="57" w:right="57"/>
              <w:rPr>
                <w:rFonts w:ascii="Times New Roman" w:eastAsia="楷体" w:hAnsiTheme="majorBidi" w:cstheme="majorBidi"/>
                <w:szCs w:val="21"/>
              </w:rPr>
            </w:pPr>
            <w:r w:rsidRPr="004C5120">
              <w:rPr>
                <w:rFonts w:ascii="Times New Roman" w:eastAsia="楷体" w:hAnsiTheme="majorBidi" w:cstheme="majorBidi"/>
                <w:szCs w:val="21"/>
              </w:rPr>
              <w:t>阿根廷</w:t>
            </w:r>
          </w:p>
        </w:tc>
        <w:tc>
          <w:tcPr>
            <w:tcW w:w="4736" w:type="dxa"/>
            <w:tcBorders>
              <w:top w:val="single" w:sz="4" w:space="0" w:color="auto"/>
              <w:bottom w:val="single" w:sz="12" w:space="0" w:color="auto"/>
            </w:tcBorders>
            <w:shd w:val="clear" w:color="auto" w:fill="auto"/>
            <w:vAlign w:val="bottom"/>
          </w:tcPr>
          <w:p w:rsidR="004F7853" w:rsidRPr="004C5120" w:rsidRDefault="004F7853" w:rsidP="001034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after="60" w:line="200" w:lineRule="exact"/>
              <w:ind w:right="57"/>
              <w:rPr>
                <w:rFonts w:eastAsia="楷体"/>
                <w:szCs w:val="21"/>
              </w:rPr>
            </w:pPr>
          </w:p>
        </w:tc>
      </w:tr>
      <w:tr w:rsidR="004F7853" w:rsidRPr="004C5120" w:rsidTr="00103486">
        <w:trPr>
          <w:trHeight w:hRule="exact" w:val="115"/>
          <w:tblHeader/>
        </w:trPr>
        <w:tc>
          <w:tcPr>
            <w:tcW w:w="2844" w:type="dxa"/>
            <w:tcBorders>
              <w:top w:val="single" w:sz="12" w:space="0" w:color="auto"/>
            </w:tcBorders>
            <w:shd w:val="clear" w:color="auto" w:fill="auto"/>
            <w:vAlign w:val="bottom"/>
          </w:tcPr>
          <w:p w:rsidR="004F7853" w:rsidRPr="004C5120" w:rsidRDefault="004F7853" w:rsidP="001034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80" w:lineRule="exact"/>
              <w:ind w:left="57" w:right="57"/>
              <w:rPr>
                <w:rFonts w:asciiTheme="majorBidi" w:hAnsiTheme="majorBidi" w:cstheme="majorBidi"/>
                <w:szCs w:val="21"/>
              </w:rPr>
            </w:pPr>
          </w:p>
        </w:tc>
        <w:tc>
          <w:tcPr>
            <w:tcW w:w="4736" w:type="dxa"/>
            <w:tcBorders>
              <w:top w:val="single" w:sz="12" w:space="0" w:color="auto"/>
            </w:tcBorders>
            <w:shd w:val="clear" w:color="auto" w:fill="auto"/>
            <w:vAlign w:val="bottom"/>
          </w:tcPr>
          <w:p w:rsidR="004F7853" w:rsidRPr="004C5120" w:rsidRDefault="004F7853" w:rsidP="001034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80" w:lineRule="exact"/>
              <w:ind w:right="57"/>
              <w:rPr>
                <w:szCs w:val="21"/>
              </w:rPr>
            </w:pPr>
          </w:p>
        </w:tc>
      </w:tr>
      <w:tr w:rsidR="004F7853" w:rsidRPr="004C5120" w:rsidTr="00103486">
        <w:trPr>
          <w:trHeight w:val="240"/>
        </w:trPr>
        <w:tc>
          <w:tcPr>
            <w:tcW w:w="2844" w:type="dxa"/>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结论性意见：</w:t>
            </w:r>
          </w:p>
        </w:tc>
        <w:tc>
          <w:tcPr>
            <w:tcW w:w="4736" w:type="dxa"/>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szCs w:val="21"/>
              </w:rPr>
            </w:pPr>
            <w:r w:rsidRPr="004C5120">
              <w:rPr>
                <w:szCs w:val="21"/>
              </w:rPr>
              <w:t>CED/C/ARG/CO/1</w:t>
            </w:r>
            <w:r w:rsidRPr="004C5120">
              <w:rPr>
                <w:rFonts w:hint="eastAsia"/>
                <w:szCs w:val="21"/>
              </w:rPr>
              <w:t>，</w:t>
            </w:r>
            <w:r w:rsidRPr="004C5120">
              <w:rPr>
                <w:szCs w:val="21"/>
              </w:rPr>
              <w:t>2013</w:t>
            </w:r>
            <w:r w:rsidRPr="004C5120">
              <w:rPr>
                <w:szCs w:val="21"/>
              </w:rPr>
              <w:t>年</w:t>
            </w:r>
            <w:r w:rsidRPr="004C5120">
              <w:rPr>
                <w:szCs w:val="21"/>
              </w:rPr>
              <w:t>11</w:t>
            </w:r>
            <w:r w:rsidRPr="004C5120">
              <w:rPr>
                <w:szCs w:val="21"/>
              </w:rPr>
              <w:t>月</w:t>
            </w:r>
            <w:r w:rsidRPr="004C5120">
              <w:rPr>
                <w:szCs w:val="21"/>
              </w:rPr>
              <w:t>13</w:t>
            </w:r>
            <w:r w:rsidRPr="004C5120">
              <w:rPr>
                <w:szCs w:val="21"/>
              </w:rPr>
              <w:t>日</w:t>
            </w:r>
            <w:r w:rsidRPr="004C5120">
              <w:rPr>
                <w:rFonts w:hint="eastAsia"/>
                <w:szCs w:val="21"/>
              </w:rPr>
              <w:t>通过</w:t>
            </w:r>
          </w:p>
        </w:tc>
      </w:tr>
      <w:tr w:rsidR="004F7853" w:rsidRPr="004C5120" w:rsidTr="00103486">
        <w:trPr>
          <w:trHeight w:val="240"/>
        </w:trPr>
        <w:tc>
          <w:tcPr>
            <w:tcW w:w="2844" w:type="dxa"/>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需采取后续行动的建议：</w:t>
            </w:r>
          </w:p>
        </w:tc>
        <w:tc>
          <w:tcPr>
            <w:tcW w:w="4736" w:type="dxa"/>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szCs w:val="21"/>
              </w:rPr>
            </w:pPr>
            <w:r w:rsidRPr="004C5120">
              <w:rPr>
                <w:rFonts w:hint="eastAsia"/>
                <w:szCs w:val="21"/>
              </w:rPr>
              <w:t>第</w:t>
            </w:r>
            <w:r w:rsidRPr="004C5120">
              <w:rPr>
                <w:szCs w:val="21"/>
              </w:rPr>
              <w:t>15</w:t>
            </w:r>
            <w:r w:rsidRPr="004C5120">
              <w:rPr>
                <w:rFonts w:hint="eastAsia"/>
                <w:szCs w:val="21"/>
              </w:rPr>
              <w:t>、</w:t>
            </w:r>
            <w:r w:rsidRPr="004C5120">
              <w:rPr>
                <w:szCs w:val="21"/>
              </w:rPr>
              <w:t>25</w:t>
            </w:r>
            <w:r w:rsidRPr="004C5120">
              <w:rPr>
                <w:rFonts w:hint="eastAsia"/>
                <w:szCs w:val="21"/>
              </w:rPr>
              <w:t>和</w:t>
            </w:r>
            <w:r w:rsidRPr="004C5120">
              <w:rPr>
                <w:szCs w:val="21"/>
              </w:rPr>
              <w:t>27</w:t>
            </w:r>
            <w:r w:rsidRPr="004C5120">
              <w:rPr>
                <w:rFonts w:hint="eastAsia"/>
                <w:szCs w:val="21"/>
              </w:rPr>
              <w:t>段</w:t>
            </w:r>
          </w:p>
        </w:tc>
      </w:tr>
      <w:tr w:rsidR="004F7853" w:rsidRPr="004C5120" w:rsidTr="00103486">
        <w:trPr>
          <w:trHeight w:val="240"/>
        </w:trPr>
        <w:tc>
          <w:tcPr>
            <w:tcW w:w="2844" w:type="dxa"/>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答复：</w:t>
            </w:r>
          </w:p>
        </w:tc>
        <w:tc>
          <w:tcPr>
            <w:tcW w:w="4736" w:type="dxa"/>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atLeast"/>
              <w:ind w:left="57" w:right="57"/>
              <w:rPr>
                <w:szCs w:val="21"/>
              </w:rPr>
            </w:pPr>
            <w:r w:rsidRPr="004C5120">
              <w:rPr>
                <w:rFonts w:hint="eastAsia"/>
                <w:szCs w:val="21"/>
              </w:rPr>
              <w:t>应</w:t>
            </w:r>
            <w:r w:rsidRPr="004C5120">
              <w:rPr>
                <w:rFonts w:hint="eastAsia"/>
                <w:spacing w:val="-6"/>
                <w:szCs w:val="21"/>
              </w:rPr>
              <w:t>交日期：</w:t>
            </w:r>
            <w:r w:rsidRPr="004C5120">
              <w:rPr>
                <w:spacing w:val="-6"/>
                <w:szCs w:val="21"/>
              </w:rPr>
              <w:t>2014</w:t>
            </w:r>
            <w:r w:rsidRPr="004C5120">
              <w:rPr>
                <w:spacing w:val="-6"/>
                <w:szCs w:val="21"/>
              </w:rPr>
              <w:t>年</w:t>
            </w:r>
            <w:r w:rsidRPr="004C5120">
              <w:rPr>
                <w:spacing w:val="-6"/>
                <w:szCs w:val="21"/>
              </w:rPr>
              <w:t>11</w:t>
            </w:r>
            <w:r w:rsidRPr="004C5120">
              <w:rPr>
                <w:spacing w:val="-6"/>
                <w:szCs w:val="21"/>
              </w:rPr>
              <w:t>月</w:t>
            </w:r>
            <w:r w:rsidRPr="004C5120">
              <w:rPr>
                <w:spacing w:val="-6"/>
                <w:szCs w:val="21"/>
              </w:rPr>
              <w:t>15</w:t>
            </w:r>
            <w:r w:rsidRPr="004C5120">
              <w:rPr>
                <w:spacing w:val="-6"/>
                <w:szCs w:val="21"/>
              </w:rPr>
              <w:t>日</w:t>
            </w:r>
            <w:r w:rsidRPr="004C5120">
              <w:rPr>
                <w:rFonts w:hint="eastAsia"/>
                <w:spacing w:val="-6"/>
                <w:szCs w:val="21"/>
              </w:rPr>
              <w:t>；收到日期：</w:t>
            </w:r>
            <w:r w:rsidRPr="004C5120">
              <w:rPr>
                <w:spacing w:val="-6"/>
                <w:szCs w:val="21"/>
              </w:rPr>
              <w:t>20</w:t>
            </w:r>
            <w:r w:rsidRPr="004C5120">
              <w:rPr>
                <w:szCs w:val="21"/>
              </w:rPr>
              <w:t>15</w:t>
            </w:r>
            <w:r w:rsidRPr="004C5120">
              <w:rPr>
                <w:szCs w:val="21"/>
              </w:rPr>
              <w:t>年</w:t>
            </w:r>
            <w:r w:rsidRPr="004C5120">
              <w:rPr>
                <w:szCs w:val="21"/>
              </w:rPr>
              <w:t>2</w:t>
            </w:r>
            <w:r w:rsidRPr="004C5120">
              <w:rPr>
                <w:szCs w:val="21"/>
              </w:rPr>
              <w:t>月</w:t>
            </w:r>
            <w:r w:rsidRPr="004C5120">
              <w:rPr>
                <w:szCs w:val="21"/>
              </w:rPr>
              <w:t>2</w:t>
            </w:r>
            <w:r w:rsidRPr="004C5120">
              <w:rPr>
                <w:szCs w:val="21"/>
              </w:rPr>
              <w:t>日</w:t>
            </w:r>
            <w:r w:rsidRPr="004C5120">
              <w:rPr>
                <w:szCs w:val="21"/>
              </w:rPr>
              <w:t>(CED/C/ARG/CO/1/Add.1)</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eastAsia="黑体" w:hAnsiTheme="majorBidi" w:cstheme="majorBidi"/>
                <w:bCs/>
                <w:szCs w:val="21"/>
              </w:rPr>
            </w:pPr>
            <w:r w:rsidRPr="004C5120">
              <w:rPr>
                <w:rFonts w:asciiTheme="majorBidi" w:eastAsia="黑体" w:hAnsiTheme="majorBidi" w:cstheme="majorBidi"/>
                <w:bCs/>
                <w:szCs w:val="21"/>
              </w:rPr>
              <w:t>第</w:t>
            </w:r>
            <w:r w:rsidRPr="004C5120">
              <w:rPr>
                <w:rFonts w:asciiTheme="majorBidi" w:eastAsia="黑体" w:hAnsiTheme="majorBidi" w:cstheme="majorBidi"/>
                <w:bCs/>
                <w:szCs w:val="21"/>
              </w:rPr>
              <w:t>15</w:t>
            </w:r>
            <w:r w:rsidRPr="004C5120">
              <w:rPr>
                <w:rFonts w:asciiTheme="majorBidi" w:eastAsia="黑体" w:hAnsiTheme="majorBidi" w:cstheme="majorBidi"/>
                <w:bCs/>
                <w:szCs w:val="21"/>
              </w:rPr>
              <w:t>段：委员会鼓励缔约国采取一切必要措施，大力消除现代形式的强迫失踪。此外，委员会还建议缔约国对警察部队进行体制改革，以消除暴力，对犯有这类罪行的警察进行彻底调查、起诉和惩治。</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缔约国答复概要</w:t>
            </w:r>
          </w:p>
        </w:tc>
      </w:tr>
      <w:tr w:rsidR="004F7853" w:rsidRPr="004C5120" w:rsidTr="00103486">
        <w:trPr>
          <w:trHeight w:val="240"/>
        </w:trPr>
        <w:tc>
          <w:tcPr>
            <w:tcW w:w="7580"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安全部启动了课程现代化进程，以提高警察和安全部队的行动效率。为此，安全部指示最高执法机关注重对初级工作人员开展有关警方具体做法的基础专业培训，包括涉及警方如何使用武力的做法。在这方面，向有意愿的警员和新募警员教授了自卫、使用枪支的必要专业技能及逮捕和拘留技巧，同时让他们熟悉了对待受警方监护或拘留人员的方式。教</w:t>
            </w:r>
            <w:r w:rsidRPr="004C5120">
              <w:rPr>
                <w:rFonts w:asciiTheme="majorBidi" w:hAnsiTheme="majorBidi" w:cstheme="majorBidi"/>
                <w:szCs w:val="21"/>
              </w:rPr>
              <w:t>/</w:t>
            </w:r>
            <w:r w:rsidRPr="004C5120">
              <w:rPr>
                <w:rFonts w:asciiTheme="majorBidi" w:hAnsiTheme="majorBidi" w:cstheme="majorBidi"/>
                <w:szCs w:val="21"/>
              </w:rPr>
              <w:t>学程序的结构参照国际人权标准和文书所载的规范性框架。</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安全部已指示警察培训学院学术部、教育管理小组及教师和讲师拟订培训做法，以便人权成为学生校园生活、理论和学说大纲以及程序性培训方案的重要部分。</w:t>
            </w:r>
          </w:p>
        </w:tc>
      </w:tr>
      <w:tr w:rsidR="004F7853" w:rsidRPr="004C5120" w:rsidTr="00103486">
        <w:trPr>
          <w:trHeight w:val="240"/>
        </w:trPr>
        <w:tc>
          <w:tcPr>
            <w:tcW w:w="7580" w:type="dxa"/>
            <w:gridSpan w:val="2"/>
            <w:shd w:val="clear" w:color="auto" w:fill="auto"/>
          </w:tcPr>
          <w:p w:rsidR="004F7853" w:rsidRPr="004C5120" w:rsidRDefault="004F7853" w:rsidP="008B5B56">
            <w:pPr>
              <w:keepNext/>
              <w:keepLines/>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lastRenderedPageBreak/>
              <w:t>在规范层面，根据安全部批准警员和巡逻人员基础培训文件的第</w:t>
            </w:r>
            <w:r w:rsidRPr="004C5120">
              <w:rPr>
                <w:rFonts w:asciiTheme="majorBidi" w:hAnsiTheme="majorBidi" w:cstheme="majorBidi"/>
                <w:szCs w:val="21"/>
              </w:rPr>
              <w:t>199/2011</w:t>
            </w:r>
            <w:r w:rsidRPr="004C5120">
              <w:rPr>
                <w:rFonts w:asciiTheme="majorBidi" w:hAnsiTheme="majorBidi" w:cstheme="majorBidi"/>
                <w:szCs w:val="21"/>
              </w:rPr>
              <w:t>号决议，人权已成为培训的必修内容。有关合理使用武力的单元已加入基础培训方案并包括了如何以尊重国际人权原则和标准、《执法人员行为准则》和《使用武力和火器的基本原则》的方式行使职权和警察权力及使用火器。这一理论和程序性知识已纳入模拟练习之中，这些练习重现各种日常情境，学员在其中必须应用所学知识和原则。</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已经建立了联邦警察部队、阿根廷海域防卫署和国民宪兵队的再培训中心，以期在合理使用武力的政策框架内，对现役军官进行基础警务技能方面的再培训。</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这些部队的军官</w:t>
            </w:r>
            <w:r w:rsidRPr="004C5120">
              <w:rPr>
                <w:rFonts w:asciiTheme="majorBidi" w:hAnsiTheme="majorBidi" w:cstheme="majorBidi"/>
                <w:spacing w:val="4"/>
                <w:szCs w:val="21"/>
              </w:rPr>
              <w:t>还每月参加培训会，对初步培训的内容进行更新和补充，并处理在日常工作中出现的问题，以便有</w:t>
            </w:r>
            <w:r w:rsidRPr="004C5120">
              <w:rPr>
                <w:rFonts w:asciiTheme="majorBidi" w:hAnsiTheme="majorBidi" w:cstheme="majorBidi"/>
                <w:szCs w:val="21"/>
              </w:rPr>
              <w:t>能力分享经验和提供实用的工具，用于解决单位工作中遇见的典型事件。</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安全部密切监测向警察和安全部队所提供的培训的情况，特别是监测其是否符合民主、法治和人权原则。</w:t>
            </w:r>
          </w:p>
        </w:tc>
      </w:tr>
      <w:tr w:rsidR="004F7853" w:rsidRPr="004C5120" w:rsidTr="00103486">
        <w:trPr>
          <w:trHeight w:val="240"/>
        </w:trPr>
        <w:tc>
          <w:tcPr>
            <w:tcW w:w="7580"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委员会的评价</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b/>
                <w:szCs w:val="21"/>
              </w:rPr>
              <w:t>[B]</w:t>
            </w:r>
            <w:r w:rsidRPr="004C5120">
              <w:rPr>
                <w:rFonts w:asciiTheme="majorBidi" w:hAnsiTheme="majorBidi" w:cstheme="majorBidi"/>
                <w:bCs/>
                <w:szCs w:val="21"/>
              </w:rPr>
              <w:t>：</w:t>
            </w:r>
            <w:r w:rsidRPr="004C5120">
              <w:rPr>
                <w:rFonts w:asciiTheme="majorBidi" w:hAnsiTheme="majorBidi" w:cstheme="majorBidi"/>
                <w:szCs w:val="21"/>
              </w:rPr>
              <w:t>缔约国已提供资料，介绍该国已采取哪些措施，向警察和安全部队提供使用武力和人权等方面的培训，委员会对此表示欢迎，但请缔约国在根据委员会结论性意见</w:t>
            </w:r>
            <w:r w:rsidRPr="004C5120">
              <w:rPr>
                <w:rFonts w:asciiTheme="majorBidi" w:hAnsiTheme="majorBidi" w:cstheme="majorBidi"/>
                <w:szCs w:val="21"/>
              </w:rPr>
              <w:t>(CED/C/ARG/CO/1)</w:t>
            </w:r>
            <w:r w:rsidRPr="004C5120">
              <w:rPr>
                <w:rFonts w:asciiTheme="majorBidi" w:hAnsiTheme="majorBidi" w:cstheme="majorBidi"/>
                <w:szCs w:val="21"/>
              </w:rPr>
              <w:t>第</w:t>
            </w:r>
            <w:r w:rsidRPr="004C5120">
              <w:rPr>
                <w:rFonts w:asciiTheme="majorBidi" w:hAnsiTheme="majorBidi" w:cstheme="majorBidi"/>
                <w:szCs w:val="21"/>
              </w:rPr>
              <w:t>45</w:t>
            </w:r>
            <w:r w:rsidRPr="004C5120">
              <w:rPr>
                <w:rFonts w:asciiTheme="majorBidi" w:hAnsiTheme="majorBidi" w:cstheme="majorBidi"/>
                <w:szCs w:val="21"/>
              </w:rPr>
              <w:t>段提交资料时，说明自结论性意见通过以来：</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ab/>
              <w:t>(a)</w:t>
            </w:r>
            <w:r w:rsidRPr="004C5120">
              <w:rPr>
                <w:rFonts w:asciiTheme="majorBidi" w:hAnsiTheme="majorBidi" w:cstheme="majorBidi"/>
                <w:szCs w:val="21"/>
              </w:rPr>
              <w:tab/>
            </w:r>
            <w:r w:rsidRPr="004C5120">
              <w:rPr>
                <w:rFonts w:asciiTheme="majorBidi" w:hAnsiTheme="majorBidi" w:cstheme="majorBidi"/>
                <w:szCs w:val="21"/>
              </w:rPr>
              <w:t>是否已在其他领域采取步骤以落实委员会的建议，如果是，提供详细资料，包括关于这些步骤的影响的资料；</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ab/>
              <w:t>(b)</w:t>
            </w:r>
            <w:r w:rsidRPr="004C5120">
              <w:rPr>
                <w:rFonts w:asciiTheme="majorBidi" w:hAnsiTheme="majorBidi" w:cstheme="majorBidi"/>
                <w:szCs w:val="21"/>
              </w:rPr>
              <w:tab/>
            </w:r>
            <w:r w:rsidRPr="004C5120">
              <w:rPr>
                <w:rFonts w:asciiTheme="majorBidi" w:hAnsiTheme="majorBidi" w:cstheme="majorBidi"/>
                <w:szCs w:val="21"/>
              </w:rPr>
              <w:t>是否已采取行动，促进警察部队进行体制改革以根除暴力问题，如果是，提供详细资料；</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ab/>
              <w:t>(c)</w:t>
            </w:r>
            <w:r w:rsidRPr="004C5120">
              <w:rPr>
                <w:rFonts w:asciiTheme="majorBidi" w:hAnsiTheme="majorBidi" w:cstheme="majorBidi"/>
                <w:szCs w:val="21"/>
              </w:rPr>
              <w:tab/>
            </w:r>
            <w:r w:rsidRPr="004C5120">
              <w:rPr>
                <w:rFonts w:asciiTheme="majorBidi" w:hAnsiTheme="majorBidi" w:cstheme="majorBidi"/>
                <w:szCs w:val="21"/>
              </w:rPr>
              <w:t>主管机关是否已收到对可归为强迫失踪的行为的申诉，如果有，提供所开展调查及调查结果的详细资料，包括对责任人予以的处罚。</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eastAsia="黑体" w:hAnsiTheme="majorBidi" w:cstheme="majorBidi"/>
                <w:bCs/>
                <w:szCs w:val="21"/>
              </w:rPr>
            </w:pPr>
            <w:r w:rsidRPr="004C5120">
              <w:rPr>
                <w:rFonts w:asciiTheme="majorBidi" w:eastAsia="黑体" w:hAnsiTheme="majorBidi" w:cstheme="majorBidi"/>
                <w:bCs/>
                <w:szCs w:val="21"/>
              </w:rPr>
              <w:t>第</w:t>
            </w:r>
            <w:r w:rsidRPr="004C5120">
              <w:rPr>
                <w:rFonts w:asciiTheme="majorBidi" w:eastAsia="黑体" w:hAnsiTheme="majorBidi" w:cstheme="majorBidi"/>
                <w:bCs/>
                <w:szCs w:val="21"/>
              </w:rPr>
              <w:t>25</w:t>
            </w:r>
            <w:r w:rsidRPr="004C5120">
              <w:rPr>
                <w:rFonts w:asciiTheme="majorBidi" w:eastAsia="黑体" w:hAnsiTheme="majorBidi" w:cstheme="majorBidi"/>
                <w:bCs/>
                <w:szCs w:val="21"/>
              </w:rPr>
              <w:t>段：委员会建议缔约国采取一切必要措施，包括立法措施，确保全国所有被拘留人员立即置于司法监管之下。</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缔约国答复概要</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《宪法》保障所有人的基本人权，包括不被拘留在秘密监狱或非官方监狱的权利。在这些宪法保障的基础上，司法程序法载列了多项法规，确保这些保障得到遵守。此外，《宪法》第</w:t>
            </w:r>
            <w:r w:rsidRPr="004C5120">
              <w:rPr>
                <w:rFonts w:asciiTheme="majorBidi" w:hAnsiTheme="majorBidi" w:cstheme="majorBidi"/>
                <w:szCs w:val="21"/>
              </w:rPr>
              <w:t>43</w:t>
            </w:r>
            <w:r w:rsidRPr="004C5120">
              <w:rPr>
                <w:rFonts w:asciiTheme="majorBidi" w:hAnsiTheme="majorBidi" w:cstheme="majorBidi"/>
                <w:szCs w:val="21"/>
              </w:rPr>
              <w:t>条规定，凡公共机关的作为或不作为以明显任意或非法的方式损及《宪法》所承认的保障的，任何人均可申请立即、快速进行保护令诉讼程序。</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委员会的评价</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b/>
                <w:szCs w:val="21"/>
              </w:rPr>
              <w:t>[C]</w:t>
            </w:r>
            <w:r w:rsidRPr="004C5120">
              <w:rPr>
                <w:rFonts w:asciiTheme="majorBidi" w:hAnsiTheme="majorBidi" w:cstheme="majorBidi"/>
                <w:bCs/>
                <w:szCs w:val="21"/>
              </w:rPr>
              <w:t>：</w:t>
            </w:r>
            <w:r w:rsidRPr="004C5120">
              <w:rPr>
                <w:rFonts w:asciiTheme="majorBidi" w:hAnsiTheme="majorBidi" w:cstheme="majorBidi"/>
                <w:szCs w:val="21"/>
              </w:rPr>
              <w:t>委员会注意到缔约国提供的资料，但认为对其结论性意见</w:t>
            </w:r>
            <w:r w:rsidRPr="004C5120">
              <w:rPr>
                <w:rFonts w:asciiTheme="majorBidi" w:hAnsiTheme="majorBidi" w:cstheme="majorBidi"/>
                <w:szCs w:val="21"/>
              </w:rPr>
              <w:t>(CED/C/ARG/CO/1)</w:t>
            </w:r>
            <w:r w:rsidRPr="004C5120">
              <w:rPr>
                <w:rFonts w:asciiTheme="majorBidi" w:hAnsiTheme="majorBidi" w:cstheme="majorBidi"/>
                <w:szCs w:val="21"/>
              </w:rPr>
              <w:t>通过以来为落实委员会建议所采取的任何行动的资料掌握不足。委员会重申其建议，并请缔约国在根据委员会结论性意见第</w:t>
            </w:r>
            <w:r w:rsidRPr="004C5120">
              <w:rPr>
                <w:rFonts w:asciiTheme="majorBidi" w:hAnsiTheme="majorBidi" w:cstheme="majorBidi"/>
                <w:szCs w:val="21"/>
              </w:rPr>
              <w:t>45</w:t>
            </w:r>
            <w:r w:rsidRPr="004C5120">
              <w:rPr>
                <w:rFonts w:asciiTheme="majorBidi" w:hAnsiTheme="majorBidi" w:cstheme="majorBidi"/>
                <w:szCs w:val="21"/>
              </w:rPr>
              <w:t>段提交资料时，提供自结论性意见通过以来为落实建议而作出的努力的详细资料。</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eastAsia="黑体" w:hAnsiTheme="majorBidi" w:cstheme="majorBidi"/>
                <w:bCs/>
                <w:iCs/>
                <w:szCs w:val="21"/>
              </w:rPr>
            </w:pPr>
            <w:r w:rsidRPr="004C5120">
              <w:rPr>
                <w:rFonts w:asciiTheme="majorBidi" w:eastAsia="黑体" w:hAnsiTheme="majorBidi" w:cstheme="majorBidi"/>
                <w:bCs/>
                <w:szCs w:val="21"/>
              </w:rPr>
              <w:t>第</w:t>
            </w:r>
            <w:r w:rsidRPr="004C5120">
              <w:rPr>
                <w:rFonts w:asciiTheme="majorBidi" w:eastAsia="黑体" w:hAnsiTheme="majorBidi" w:cstheme="majorBidi"/>
                <w:bCs/>
                <w:szCs w:val="21"/>
              </w:rPr>
              <w:t>27</w:t>
            </w:r>
            <w:r w:rsidRPr="004C5120">
              <w:rPr>
                <w:rFonts w:asciiTheme="majorBidi" w:eastAsia="黑体" w:hAnsiTheme="majorBidi" w:cstheme="majorBidi"/>
                <w:bCs/>
                <w:szCs w:val="21"/>
              </w:rPr>
              <w:t>段：委员会建议缔约国采取一切必要措施，包括立法措施，确保所有转移行动都接受司法监督，只有在被拘留者律师、家人或其他家人知情的情况下，才可以进行此种转移。委员会还呼吁缔约国进行必要的检查和监管，以防止非法转移，并对非法转移给予适当处罚。</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缔约国答复概要</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联邦监狱管理局经管的监狱实时更新被剥夺自由者的记录，包括释放或转移至另一拘留场所的日期和时间、转移目的地和负责转移的机关等信息。</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在这方面还作出过判例。</w:t>
            </w:r>
            <w:r w:rsidRPr="004C5120">
              <w:rPr>
                <w:rFonts w:asciiTheme="majorBidi" w:hAnsiTheme="majorBidi" w:cstheme="majorBidi"/>
                <w:szCs w:val="21"/>
              </w:rPr>
              <w:t>2013</w:t>
            </w:r>
            <w:r w:rsidRPr="004C5120">
              <w:rPr>
                <w:rFonts w:asciiTheme="majorBidi" w:hAnsiTheme="majorBidi" w:cstheme="majorBidi"/>
                <w:szCs w:val="21"/>
              </w:rPr>
              <w:t>年，联邦刑事上诉院在提到规范囚犯转移的《第</w:t>
            </w:r>
            <w:r w:rsidRPr="004C5120">
              <w:rPr>
                <w:rFonts w:asciiTheme="majorBidi" w:hAnsiTheme="majorBidi" w:cstheme="majorBidi"/>
                <w:szCs w:val="21"/>
              </w:rPr>
              <w:t>24,660</w:t>
            </w:r>
            <w:r w:rsidRPr="004C5120">
              <w:rPr>
                <w:rFonts w:asciiTheme="majorBidi" w:hAnsiTheme="majorBidi" w:cstheme="majorBidi"/>
                <w:szCs w:val="21"/>
              </w:rPr>
              <w:t>号法》规定必须得到的明确法令时表示：</w:t>
            </w:r>
            <w:r w:rsidRPr="004C5120">
              <w:rPr>
                <w:rFonts w:asciiTheme="majorBidi" w:hAnsiTheme="majorBidi" w:cstheme="majorBidi"/>
                <w:szCs w:val="21"/>
              </w:rPr>
              <w:t>“</w:t>
            </w:r>
            <w:r w:rsidRPr="004C5120">
              <w:rPr>
                <w:rFonts w:asciiTheme="majorBidi" w:hAnsiTheme="majorBidi" w:cstheme="majorBidi"/>
                <w:szCs w:val="21"/>
              </w:rPr>
              <w:t>兹令，应立即将从一所监狱转移至另一</w:t>
            </w:r>
            <w:r w:rsidRPr="004C5120">
              <w:rPr>
                <w:rFonts w:asciiTheme="majorEastAsia" w:eastAsiaTheme="majorEastAsia" w:hAnsiTheme="majorEastAsia"/>
                <w:szCs w:val="21"/>
              </w:rPr>
              <w:t>……</w:t>
            </w:r>
            <w:r w:rsidRPr="004C5120">
              <w:rPr>
                <w:rFonts w:asciiTheme="majorBidi" w:hAnsiTheme="majorBidi" w:cstheme="majorBidi"/>
                <w:szCs w:val="21"/>
              </w:rPr>
              <w:t>之事及转移理由通知执法法官或主管法官</w:t>
            </w:r>
            <w:r w:rsidRPr="004C5120">
              <w:rPr>
                <w:rFonts w:asciiTheme="majorBidi" w:hAnsiTheme="majorBidi" w:cstheme="majorBidi"/>
                <w:szCs w:val="21"/>
              </w:rPr>
              <w:t>”</w:t>
            </w:r>
            <w:r w:rsidRPr="004C5120">
              <w:rPr>
                <w:rFonts w:asciiTheme="majorBidi" w:hAnsiTheme="majorBidi" w:cstheme="majorBidi"/>
                <w:szCs w:val="21"/>
              </w:rPr>
              <w:t>。</w:t>
            </w:r>
          </w:p>
        </w:tc>
      </w:tr>
      <w:tr w:rsidR="004F7853" w:rsidRPr="004C5120" w:rsidTr="00103486">
        <w:trPr>
          <w:trHeight w:val="240"/>
        </w:trPr>
        <w:tc>
          <w:tcPr>
            <w:tcW w:w="7580" w:type="dxa"/>
            <w:gridSpan w:val="2"/>
            <w:shd w:val="clear" w:color="auto" w:fill="auto"/>
          </w:tcPr>
          <w:p w:rsidR="004F7853" w:rsidRPr="004C5120" w:rsidRDefault="004F7853" w:rsidP="00E543F9">
            <w:pPr>
              <w:keepNext/>
              <w:keepLines/>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lastRenderedPageBreak/>
              <w:t>目前正在编制当前在押人员的电脑登记册。此外，全国所有的刑事法院都必须将审前拘留令或</w:t>
            </w:r>
            <w:r w:rsidRPr="004C5120">
              <w:rPr>
                <w:rFonts w:asciiTheme="majorBidi" w:hAnsiTheme="majorBidi" w:cstheme="majorBidi"/>
                <w:szCs w:val="21"/>
              </w:rPr>
              <w:t>(</w:t>
            </w:r>
            <w:r w:rsidRPr="004C5120">
              <w:rPr>
                <w:rFonts w:asciiTheme="majorBidi" w:hAnsiTheme="majorBidi" w:cstheme="majorBidi"/>
                <w:szCs w:val="21"/>
              </w:rPr>
              <w:t>国家或省级</w:t>
            </w:r>
            <w:r w:rsidRPr="004C5120">
              <w:rPr>
                <w:rFonts w:asciiTheme="majorBidi" w:hAnsiTheme="majorBidi" w:cstheme="majorBidi"/>
                <w:szCs w:val="21"/>
              </w:rPr>
              <w:t>)</w:t>
            </w:r>
            <w:r w:rsidRPr="004C5120">
              <w:rPr>
                <w:rFonts w:asciiTheme="majorBidi" w:hAnsiTheme="majorBidi" w:cstheme="majorBidi"/>
                <w:szCs w:val="21"/>
              </w:rPr>
              <w:t>《刑事诉讼法》中规定的其他同等安排的法令及所有定罪和相应判决录入全国惯犯登记册，录入须在最终作出此类裁决或定罪后五天内完成。监狱也必须将所有释放犯人的信息录入该登记册。载有联邦监狱管理局下所有被剥夺自由者数据的电脑系统已接近完成。所有人员都在入狱时接受登记，确保数据一致并便于不同政府机关的监督。</w:t>
            </w:r>
          </w:p>
        </w:tc>
      </w:tr>
      <w:tr w:rsidR="004F7853" w:rsidRPr="004C5120" w:rsidTr="00103486">
        <w:trPr>
          <w:trHeight w:val="240"/>
        </w:trPr>
        <w:tc>
          <w:tcPr>
            <w:tcW w:w="7580"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委员会的评价</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b/>
                <w:szCs w:val="21"/>
              </w:rPr>
              <w:t>[B]</w:t>
            </w:r>
            <w:r w:rsidRPr="004C5120">
              <w:rPr>
                <w:rFonts w:asciiTheme="majorBidi" w:hAnsiTheme="majorBidi" w:cstheme="majorBidi"/>
                <w:bCs/>
                <w:szCs w:val="21"/>
              </w:rPr>
              <w:t>：</w:t>
            </w:r>
            <w:r w:rsidRPr="004C5120">
              <w:rPr>
                <w:rFonts w:asciiTheme="majorBidi" w:hAnsiTheme="majorBidi" w:cstheme="majorBidi"/>
                <w:szCs w:val="21"/>
              </w:rPr>
              <w:t>委员会欢迎缔约国提供的资料，但请缔约国在根据委员会结论性意见</w:t>
            </w:r>
            <w:r w:rsidRPr="004C5120">
              <w:rPr>
                <w:rFonts w:asciiTheme="majorBidi" w:hAnsiTheme="majorBidi" w:cstheme="majorBidi"/>
                <w:szCs w:val="21"/>
              </w:rPr>
              <w:t>(CED/C/ARG/CO/1)</w:t>
            </w:r>
            <w:r w:rsidRPr="004C5120">
              <w:rPr>
                <w:rFonts w:asciiTheme="majorBidi" w:hAnsiTheme="majorBidi" w:cstheme="majorBidi"/>
                <w:szCs w:val="21"/>
              </w:rPr>
              <w:t>第</w:t>
            </w:r>
            <w:r w:rsidRPr="004C5120">
              <w:rPr>
                <w:rFonts w:asciiTheme="majorBidi" w:hAnsiTheme="majorBidi" w:cstheme="majorBidi"/>
                <w:szCs w:val="21"/>
              </w:rPr>
              <w:t>45</w:t>
            </w:r>
            <w:r w:rsidRPr="004C5120">
              <w:rPr>
                <w:rFonts w:asciiTheme="majorBidi" w:hAnsiTheme="majorBidi" w:cstheme="majorBidi"/>
                <w:szCs w:val="21"/>
              </w:rPr>
              <w:t>段提交资料时：</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ab/>
              <w:t>(a)</w:t>
            </w:r>
            <w:r w:rsidRPr="004C5120">
              <w:rPr>
                <w:rFonts w:asciiTheme="majorBidi" w:hAnsiTheme="majorBidi" w:cstheme="majorBidi"/>
                <w:szCs w:val="21"/>
              </w:rPr>
              <w:tab/>
            </w:r>
            <w:r w:rsidRPr="004C5120">
              <w:rPr>
                <w:rFonts w:asciiTheme="majorBidi" w:hAnsiTheme="majorBidi" w:cstheme="majorBidi"/>
                <w:szCs w:val="21"/>
              </w:rPr>
              <w:t>提供详细资料，介绍作出了哪些努力，以实际确保所有转移都接受司法控制且仅在被拘留者的律师和家人或其他家人知情的情况下实施；</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ab/>
              <w:t>(b)</w:t>
            </w:r>
            <w:r w:rsidRPr="004C5120">
              <w:rPr>
                <w:rFonts w:asciiTheme="majorBidi" w:hAnsiTheme="majorBidi" w:cstheme="majorBidi"/>
                <w:szCs w:val="21"/>
              </w:rPr>
              <w:tab/>
            </w:r>
            <w:r w:rsidRPr="004C5120">
              <w:rPr>
                <w:rFonts w:asciiTheme="majorBidi" w:hAnsiTheme="majorBidi" w:cstheme="majorBidi"/>
                <w:szCs w:val="21"/>
              </w:rPr>
              <w:t>提供详细资料，介绍防范非法转移的现行检查和监督机制；</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ab/>
              <w:t>(c)</w:t>
            </w:r>
            <w:r w:rsidRPr="004C5120">
              <w:rPr>
                <w:rFonts w:asciiTheme="majorBidi" w:hAnsiTheme="majorBidi" w:cstheme="majorBidi"/>
                <w:szCs w:val="21"/>
              </w:rPr>
              <w:tab/>
            </w:r>
            <w:r w:rsidRPr="004C5120">
              <w:rPr>
                <w:rFonts w:asciiTheme="majorBidi" w:hAnsiTheme="majorBidi" w:cstheme="majorBidi"/>
                <w:szCs w:val="21"/>
              </w:rPr>
              <w:t>说明自委员会结论性意见通过以来，是否有对非法转移的申诉，如果有，提供详细资料，说明采取了哪些措施以起诉和惩处责任人；</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ab/>
              <w:t>(d)</w:t>
            </w:r>
            <w:r w:rsidRPr="004C5120">
              <w:rPr>
                <w:rFonts w:asciiTheme="majorBidi" w:hAnsiTheme="majorBidi" w:cstheme="majorBidi"/>
                <w:szCs w:val="21"/>
              </w:rPr>
              <w:tab/>
            </w:r>
            <w:r w:rsidRPr="004C5120">
              <w:rPr>
                <w:rFonts w:asciiTheme="majorBidi" w:hAnsiTheme="majorBidi" w:cstheme="majorBidi"/>
                <w:szCs w:val="21"/>
              </w:rPr>
              <w:t>提供资料，介绍在启动被拘留者电脑登记册方面取得的进展。</w:t>
            </w:r>
          </w:p>
        </w:tc>
      </w:tr>
      <w:tr w:rsidR="004F7853" w:rsidRPr="004C5120" w:rsidTr="00103486">
        <w:trPr>
          <w:trHeight w:val="240"/>
        </w:trPr>
        <w:tc>
          <w:tcPr>
            <w:tcW w:w="7580"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atLeast"/>
              <w:ind w:left="57" w:right="57"/>
              <w:rPr>
                <w:rFonts w:ascii="黑体" w:eastAsia="黑体" w:hAnsiTheme="majorBidi" w:cstheme="majorBidi"/>
                <w:bCs/>
                <w:szCs w:val="21"/>
              </w:rPr>
            </w:pPr>
            <w:r w:rsidRPr="004C5120">
              <w:rPr>
                <w:rFonts w:ascii="黑体" w:eastAsia="黑体" w:hAnsiTheme="majorBidi" w:cstheme="majorBidi" w:hint="eastAsia"/>
                <w:bCs/>
                <w:szCs w:val="21"/>
              </w:rPr>
              <w:t>需采取的行动</w:t>
            </w:r>
          </w:p>
        </w:tc>
      </w:tr>
      <w:tr w:rsidR="004F7853" w:rsidRPr="004C5120" w:rsidTr="00103486">
        <w:trPr>
          <w:trHeight w:val="240"/>
        </w:trPr>
        <w:tc>
          <w:tcPr>
            <w:tcW w:w="7580" w:type="dxa"/>
            <w:gridSpan w:val="2"/>
            <w:shd w:val="clear" w:color="auto" w:fill="auto"/>
          </w:tcPr>
          <w:p w:rsidR="004F7853" w:rsidRPr="004C5120" w:rsidRDefault="004F7853" w:rsidP="00103486">
            <w:pPr>
              <w:tabs>
                <w:tab w:val="left" w:pos="334"/>
                <w:tab w:val="left" w:pos="669"/>
                <w:tab w:val="left" w:pos="1003"/>
                <w:tab w:val="left" w:pos="1338"/>
              </w:tabs>
              <w:suppressAutoHyphens/>
              <w:spacing w:before="60" w:after="60" w:line="240" w:lineRule="atLeast"/>
              <w:ind w:left="57" w:right="57"/>
              <w:rPr>
                <w:rFonts w:asciiTheme="majorBidi" w:hAnsiTheme="majorBidi" w:cstheme="majorBidi"/>
                <w:szCs w:val="21"/>
              </w:rPr>
            </w:pPr>
            <w:r w:rsidRPr="004C5120">
              <w:rPr>
                <w:rFonts w:asciiTheme="majorBidi" w:hAnsiTheme="majorBidi" w:cstheme="majorBidi"/>
                <w:szCs w:val="21"/>
              </w:rPr>
              <w:t>应致函缔约国，反映委员会的评价。</w:t>
            </w:r>
          </w:p>
        </w:tc>
      </w:tr>
      <w:tr w:rsidR="004F7853" w:rsidRPr="004C5120" w:rsidTr="00103486">
        <w:trPr>
          <w:trHeight w:val="240"/>
        </w:trPr>
        <w:tc>
          <w:tcPr>
            <w:tcW w:w="7580" w:type="dxa"/>
            <w:gridSpan w:val="2"/>
            <w:tcBorders>
              <w:bottom w:val="single" w:sz="12" w:space="0" w:color="auto"/>
            </w:tcBorders>
            <w:shd w:val="clear" w:color="auto" w:fill="auto"/>
          </w:tcPr>
          <w:p w:rsidR="004F7853" w:rsidRPr="004C5120" w:rsidRDefault="004F7853" w:rsidP="008B5B56">
            <w:pPr>
              <w:tabs>
                <w:tab w:val="left" w:pos="334"/>
                <w:tab w:val="left" w:pos="669"/>
                <w:tab w:val="left" w:pos="1003"/>
                <w:tab w:val="left" w:pos="1338"/>
              </w:tabs>
              <w:suppressAutoHyphens/>
              <w:spacing w:before="60" w:after="120" w:line="240" w:lineRule="atLeast"/>
              <w:ind w:left="57" w:right="57"/>
              <w:rPr>
                <w:rFonts w:asciiTheme="majorBidi" w:eastAsia="黑体" w:hAnsiTheme="majorBidi" w:cstheme="majorBidi"/>
                <w:szCs w:val="21"/>
              </w:rPr>
            </w:pPr>
            <w:r w:rsidRPr="004C5120">
              <w:rPr>
                <w:rFonts w:asciiTheme="majorBidi" w:eastAsia="黑体" w:hAnsiTheme="majorBidi" w:cstheme="majorBidi"/>
                <w:bCs/>
                <w:szCs w:val="21"/>
                <w:lang w:val="zh-CN"/>
              </w:rPr>
              <w:t>应在</w:t>
            </w:r>
            <w:r w:rsidRPr="004C5120">
              <w:rPr>
                <w:rFonts w:asciiTheme="majorBidi" w:eastAsia="黑体" w:hAnsiTheme="majorBidi" w:cstheme="majorBidi"/>
                <w:bCs/>
                <w:szCs w:val="21"/>
              </w:rPr>
              <w:t>2019</w:t>
            </w:r>
            <w:r w:rsidRPr="004C5120">
              <w:rPr>
                <w:rFonts w:asciiTheme="majorBidi" w:eastAsia="黑体" w:hAnsiTheme="majorBidi" w:cstheme="majorBidi"/>
                <w:bCs/>
                <w:szCs w:val="21"/>
                <w:lang w:val="zh-CN"/>
              </w:rPr>
              <w:t>年</w:t>
            </w:r>
            <w:r w:rsidRPr="004C5120">
              <w:rPr>
                <w:rFonts w:asciiTheme="majorBidi" w:eastAsia="黑体" w:hAnsiTheme="majorBidi" w:cstheme="majorBidi"/>
                <w:bCs/>
                <w:szCs w:val="21"/>
              </w:rPr>
              <w:t>11</w:t>
            </w:r>
            <w:r w:rsidRPr="004C5120">
              <w:rPr>
                <w:rFonts w:asciiTheme="majorBidi" w:eastAsia="黑体" w:hAnsiTheme="majorBidi" w:cstheme="majorBidi"/>
                <w:bCs/>
                <w:szCs w:val="21"/>
                <w:lang w:val="zh-CN"/>
              </w:rPr>
              <w:t>月</w:t>
            </w:r>
            <w:r w:rsidRPr="004C5120">
              <w:rPr>
                <w:rFonts w:asciiTheme="majorBidi" w:eastAsia="黑体" w:hAnsiTheme="majorBidi" w:cstheme="majorBidi"/>
                <w:bCs/>
                <w:szCs w:val="21"/>
              </w:rPr>
              <w:t>15</w:t>
            </w:r>
            <w:r w:rsidRPr="004C5120">
              <w:rPr>
                <w:rFonts w:asciiTheme="majorBidi" w:eastAsia="黑体" w:hAnsiTheme="majorBidi" w:cstheme="majorBidi"/>
                <w:bCs/>
                <w:szCs w:val="21"/>
                <w:lang w:val="zh-CN"/>
              </w:rPr>
              <w:t>日之前提交关于所有建议落实情况的后续行动资料</w:t>
            </w:r>
          </w:p>
        </w:tc>
      </w:tr>
    </w:tbl>
    <w:p w:rsidR="008B5B56" w:rsidRPr="008B5B56" w:rsidRDefault="008B5B56" w:rsidP="008B5B56">
      <w:pPr>
        <w:pStyle w:val="H1"/>
        <w:spacing w:line="120" w:lineRule="exact"/>
        <w:rPr>
          <w:sz w:val="10"/>
        </w:rPr>
      </w:pPr>
    </w:p>
    <w:p w:rsidR="008B5B56" w:rsidRPr="008B5B56" w:rsidRDefault="008B5B56" w:rsidP="008B5B56">
      <w:pPr>
        <w:pStyle w:val="H1"/>
        <w:spacing w:line="120" w:lineRule="exact"/>
        <w:rPr>
          <w:sz w:val="10"/>
        </w:rPr>
      </w:pPr>
    </w:p>
    <w:p w:rsidR="008B5B56" w:rsidRPr="008B5B56" w:rsidRDefault="008B5B56" w:rsidP="008B5B56">
      <w:pPr>
        <w:pStyle w:val="H1"/>
        <w:spacing w:line="120" w:lineRule="exact"/>
        <w:rPr>
          <w:sz w:val="10"/>
        </w:rPr>
      </w:pPr>
    </w:p>
    <w:p w:rsidR="004F7853" w:rsidRPr="005A7F64" w:rsidRDefault="004F7853" w:rsidP="008B5B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5A7F64">
        <w:tab/>
        <w:t>B.</w:t>
      </w:r>
      <w:r w:rsidRPr="005A7F64">
        <w:tab/>
        <w:t>西班牙</w:t>
      </w:r>
    </w:p>
    <w:p w:rsidR="008B5B56" w:rsidRPr="008B5B56" w:rsidRDefault="008B5B56" w:rsidP="008B5B56">
      <w:pPr>
        <w:pStyle w:val="H23"/>
        <w:spacing w:line="120" w:lineRule="exact"/>
        <w:rPr>
          <w:sz w:val="10"/>
        </w:rPr>
      </w:pPr>
    </w:p>
    <w:p w:rsidR="008B5B56" w:rsidRPr="008B5B56" w:rsidRDefault="008B5B56" w:rsidP="008B5B56">
      <w:pPr>
        <w:pStyle w:val="H23"/>
        <w:spacing w:line="120" w:lineRule="exact"/>
        <w:rPr>
          <w:sz w:val="10"/>
        </w:rPr>
      </w:pPr>
    </w:p>
    <w:p w:rsidR="004F7853" w:rsidRPr="005A7F64" w:rsidRDefault="004F7853" w:rsidP="008B5B5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spacing w:val="5"/>
        </w:rPr>
      </w:pPr>
      <w:r w:rsidRPr="005A7F64">
        <w:tab/>
      </w:r>
      <w:r w:rsidRPr="005A7F64">
        <w:tab/>
      </w:r>
      <w:r w:rsidRPr="005A7F64">
        <w:rPr>
          <w:rFonts w:hint="eastAsia"/>
        </w:rPr>
        <w:t>第五届会议</w:t>
      </w:r>
      <w:r w:rsidRPr="008B5B56">
        <w:rPr>
          <w:rFonts w:asciiTheme="majorBidi" w:hAnsiTheme="majorBidi" w:cstheme="majorBidi"/>
        </w:rPr>
        <w:t>(2013</w:t>
      </w:r>
      <w:r w:rsidRPr="005A7F64">
        <w:rPr>
          <w:rFonts w:hint="eastAsia"/>
        </w:rPr>
        <w:t>年</w:t>
      </w:r>
      <w:r w:rsidRPr="008B5B56">
        <w:rPr>
          <w:rFonts w:asciiTheme="majorBidi" w:hAnsiTheme="majorBidi" w:cstheme="majorBidi"/>
        </w:rPr>
        <w:t>11</w:t>
      </w:r>
      <w:r w:rsidRPr="005A7F64">
        <w:rPr>
          <w:rFonts w:hint="eastAsia"/>
        </w:rPr>
        <w:t>月</w:t>
      </w:r>
      <w:r w:rsidRPr="008B5B56">
        <w:rPr>
          <w:rFonts w:asciiTheme="majorBidi" w:hAnsiTheme="majorBidi" w:cstheme="majorBidi"/>
        </w:rPr>
        <w:t>)</w:t>
      </w:r>
    </w:p>
    <w:p w:rsidR="004F7853" w:rsidRPr="008B5B56" w:rsidRDefault="004F7853" w:rsidP="008B5B56">
      <w:pPr>
        <w:pStyle w:val="SingleTxt"/>
        <w:spacing w:after="0" w:line="120" w:lineRule="exact"/>
        <w:rPr>
          <w:sz w:val="10"/>
          <w:szCs w:val="24"/>
          <w:highlight w:val="yellow"/>
        </w:rPr>
      </w:pPr>
    </w:p>
    <w:p w:rsidR="008B5B56" w:rsidRPr="008B5B56" w:rsidRDefault="008B5B56" w:rsidP="008B5B56">
      <w:pPr>
        <w:pStyle w:val="SingleTxt"/>
        <w:spacing w:after="0" w:line="120" w:lineRule="exact"/>
        <w:rPr>
          <w:sz w:val="10"/>
          <w:szCs w:val="24"/>
          <w:highlight w:val="yellow"/>
        </w:rPr>
      </w:pPr>
    </w:p>
    <w:tbl>
      <w:tblPr>
        <w:tblW w:w="7594" w:type="dxa"/>
        <w:tblInd w:w="1267" w:type="dxa"/>
        <w:tblCellMar>
          <w:left w:w="0" w:type="dxa"/>
          <w:right w:w="113" w:type="dxa"/>
        </w:tblCellMar>
        <w:tblLook w:val="04A0" w:firstRow="1" w:lastRow="0" w:firstColumn="1" w:lastColumn="0" w:noHBand="0" w:noVBand="1"/>
      </w:tblPr>
      <w:tblGrid>
        <w:gridCol w:w="2561"/>
        <w:gridCol w:w="5033"/>
      </w:tblGrid>
      <w:tr w:rsidR="004F7853" w:rsidRPr="004C5120" w:rsidTr="008B5B56">
        <w:trPr>
          <w:trHeight w:val="240"/>
          <w:tblHeader/>
        </w:trPr>
        <w:tc>
          <w:tcPr>
            <w:tcW w:w="2561" w:type="dxa"/>
            <w:tcBorders>
              <w:top w:val="single" w:sz="4" w:space="0" w:color="auto"/>
              <w:bottom w:val="single" w:sz="12" w:space="0" w:color="auto"/>
            </w:tcBorders>
            <w:shd w:val="clear" w:color="auto" w:fill="auto"/>
            <w:vAlign w:val="bottom"/>
          </w:tcPr>
          <w:p w:rsidR="004F7853" w:rsidRPr="004C5120" w:rsidRDefault="004F7853" w:rsidP="008B5B56">
            <w:pPr>
              <w:pStyle w:val="H4"/>
              <w:spacing w:before="60" w:after="60" w:line="200" w:lineRule="exact"/>
              <w:ind w:left="57" w:right="57"/>
              <w:rPr>
                <w:rFonts w:ascii="Times New Roman" w:eastAsia="楷体"/>
                <w:szCs w:val="21"/>
              </w:rPr>
            </w:pPr>
            <w:r w:rsidRPr="004C5120">
              <w:rPr>
                <w:rFonts w:ascii="Times New Roman" w:eastAsia="楷体"/>
                <w:szCs w:val="21"/>
              </w:rPr>
              <w:t>西班牙</w:t>
            </w:r>
          </w:p>
        </w:tc>
        <w:tc>
          <w:tcPr>
            <w:tcW w:w="5033" w:type="dxa"/>
            <w:tcBorders>
              <w:top w:val="single" w:sz="4" w:space="0" w:color="auto"/>
              <w:bottom w:val="single" w:sz="12" w:space="0" w:color="auto"/>
            </w:tcBorders>
            <w:shd w:val="clear" w:color="auto" w:fill="auto"/>
            <w:vAlign w:val="bottom"/>
          </w:tcPr>
          <w:p w:rsidR="004F7853" w:rsidRPr="004C5120" w:rsidRDefault="004F7853" w:rsidP="008B5B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after="60" w:line="200" w:lineRule="exact"/>
              <w:ind w:left="144" w:right="57"/>
              <w:rPr>
                <w:rFonts w:eastAsia="楷体"/>
                <w:szCs w:val="21"/>
              </w:rPr>
            </w:pPr>
          </w:p>
        </w:tc>
      </w:tr>
      <w:tr w:rsidR="004F7853" w:rsidRPr="004C5120" w:rsidTr="008B5B56">
        <w:trPr>
          <w:trHeight w:hRule="exact" w:val="115"/>
          <w:tblHeader/>
        </w:trPr>
        <w:tc>
          <w:tcPr>
            <w:tcW w:w="2561" w:type="dxa"/>
            <w:tcBorders>
              <w:top w:val="single" w:sz="12" w:space="0" w:color="auto"/>
            </w:tcBorders>
            <w:shd w:val="clear" w:color="auto" w:fill="auto"/>
            <w:vAlign w:val="bottom"/>
          </w:tcPr>
          <w:p w:rsidR="004F7853" w:rsidRPr="004C5120" w:rsidRDefault="004F7853" w:rsidP="008B5B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80" w:lineRule="exact"/>
              <w:ind w:right="57"/>
              <w:rPr>
                <w:szCs w:val="21"/>
              </w:rPr>
            </w:pPr>
          </w:p>
        </w:tc>
        <w:tc>
          <w:tcPr>
            <w:tcW w:w="5033" w:type="dxa"/>
            <w:tcBorders>
              <w:top w:val="single" w:sz="12" w:space="0" w:color="auto"/>
            </w:tcBorders>
            <w:shd w:val="clear" w:color="auto" w:fill="auto"/>
            <w:vAlign w:val="bottom"/>
          </w:tcPr>
          <w:p w:rsidR="004F7853" w:rsidRPr="004C5120" w:rsidRDefault="004F7853" w:rsidP="008B5B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80" w:lineRule="exact"/>
              <w:ind w:right="57"/>
              <w:rPr>
                <w:szCs w:val="21"/>
              </w:rPr>
            </w:pPr>
          </w:p>
        </w:tc>
      </w:tr>
      <w:tr w:rsidR="004F7853" w:rsidRPr="004C5120" w:rsidTr="008B5B56">
        <w:trPr>
          <w:trHeight w:val="240"/>
        </w:trPr>
        <w:tc>
          <w:tcPr>
            <w:tcW w:w="2561"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黑体" w:eastAsia="黑体"/>
                <w:bCs/>
                <w:szCs w:val="21"/>
              </w:rPr>
            </w:pPr>
            <w:r w:rsidRPr="004C5120">
              <w:rPr>
                <w:rFonts w:ascii="黑体" w:eastAsia="黑体" w:hint="eastAsia"/>
                <w:bCs/>
                <w:szCs w:val="21"/>
              </w:rPr>
              <w:t>结论性意见：</w:t>
            </w:r>
          </w:p>
        </w:tc>
        <w:tc>
          <w:tcPr>
            <w:tcW w:w="5033"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szCs w:val="21"/>
              </w:rPr>
            </w:pPr>
            <w:r w:rsidRPr="004C5120">
              <w:rPr>
                <w:szCs w:val="21"/>
              </w:rPr>
              <w:t>CED/C/ESP/CO/1</w:t>
            </w:r>
            <w:r w:rsidRPr="004C5120">
              <w:rPr>
                <w:rFonts w:hint="eastAsia"/>
                <w:szCs w:val="21"/>
              </w:rPr>
              <w:t>，</w:t>
            </w:r>
            <w:r w:rsidRPr="004C5120">
              <w:rPr>
                <w:szCs w:val="21"/>
              </w:rPr>
              <w:t>2013</w:t>
            </w:r>
            <w:r w:rsidRPr="004C5120">
              <w:rPr>
                <w:szCs w:val="21"/>
              </w:rPr>
              <w:t>年</w:t>
            </w:r>
            <w:r w:rsidRPr="004C5120">
              <w:rPr>
                <w:szCs w:val="21"/>
              </w:rPr>
              <w:t>11</w:t>
            </w:r>
            <w:r w:rsidRPr="004C5120">
              <w:rPr>
                <w:szCs w:val="21"/>
              </w:rPr>
              <w:t>月</w:t>
            </w:r>
            <w:r w:rsidRPr="004C5120">
              <w:rPr>
                <w:szCs w:val="21"/>
              </w:rPr>
              <w:t>13</w:t>
            </w:r>
            <w:r w:rsidRPr="004C5120">
              <w:rPr>
                <w:szCs w:val="21"/>
              </w:rPr>
              <w:t>日</w:t>
            </w:r>
            <w:r w:rsidRPr="004C5120">
              <w:rPr>
                <w:rFonts w:hint="eastAsia"/>
                <w:szCs w:val="21"/>
              </w:rPr>
              <w:t>通过</w:t>
            </w:r>
          </w:p>
        </w:tc>
      </w:tr>
      <w:tr w:rsidR="004F7853" w:rsidRPr="004C5120" w:rsidTr="008B5B56">
        <w:trPr>
          <w:trHeight w:val="240"/>
        </w:trPr>
        <w:tc>
          <w:tcPr>
            <w:tcW w:w="2561"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黑体" w:eastAsia="黑体"/>
                <w:bCs/>
                <w:szCs w:val="21"/>
              </w:rPr>
            </w:pPr>
            <w:r w:rsidRPr="004C5120">
              <w:rPr>
                <w:rFonts w:ascii="黑体" w:eastAsia="黑体" w:hint="eastAsia"/>
                <w:bCs/>
                <w:szCs w:val="21"/>
              </w:rPr>
              <w:t>需采取后续行动的建议：</w:t>
            </w:r>
          </w:p>
        </w:tc>
        <w:tc>
          <w:tcPr>
            <w:tcW w:w="5033"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第</w:t>
            </w:r>
            <w:r w:rsidRPr="004C5120">
              <w:rPr>
                <w:szCs w:val="21"/>
              </w:rPr>
              <w:t>12</w:t>
            </w:r>
            <w:r w:rsidRPr="004C5120">
              <w:rPr>
                <w:rFonts w:hint="eastAsia"/>
                <w:szCs w:val="21"/>
              </w:rPr>
              <w:t>、</w:t>
            </w:r>
            <w:r w:rsidRPr="004C5120">
              <w:rPr>
                <w:szCs w:val="21"/>
              </w:rPr>
              <w:t>24</w:t>
            </w:r>
            <w:r w:rsidRPr="004C5120">
              <w:rPr>
                <w:rFonts w:hint="eastAsia"/>
                <w:szCs w:val="21"/>
              </w:rPr>
              <w:t>和</w:t>
            </w:r>
            <w:r w:rsidRPr="004C5120">
              <w:rPr>
                <w:szCs w:val="21"/>
              </w:rPr>
              <w:t>32</w:t>
            </w:r>
            <w:r w:rsidRPr="004C5120">
              <w:rPr>
                <w:rFonts w:hint="eastAsia"/>
                <w:szCs w:val="21"/>
              </w:rPr>
              <w:t>段</w:t>
            </w:r>
          </w:p>
        </w:tc>
      </w:tr>
      <w:tr w:rsidR="004F7853" w:rsidRPr="004C5120" w:rsidTr="008B5B56">
        <w:trPr>
          <w:trHeight w:val="240"/>
        </w:trPr>
        <w:tc>
          <w:tcPr>
            <w:tcW w:w="2561"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黑体" w:eastAsia="黑体"/>
                <w:bCs/>
                <w:szCs w:val="21"/>
              </w:rPr>
            </w:pPr>
            <w:r w:rsidRPr="004C5120">
              <w:rPr>
                <w:rFonts w:ascii="黑体" w:eastAsia="黑体" w:hint="eastAsia"/>
                <w:bCs/>
                <w:szCs w:val="21"/>
              </w:rPr>
              <w:t>答复：</w:t>
            </w:r>
          </w:p>
        </w:tc>
        <w:tc>
          <w:tcPr>
            <w:tcW w:w="5033"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应交日期：</w:t>
            </w:r>
            <w:r w:rsidRPr="004C5120">
              <w:rPr>
                <w:szCs w:val="21"/>
              </w:rPr>
              <w:t>2014</w:t>
            </w:r>
            <w:r w:rsidRPr="004C5120">
              <w:rPr>
                <w:szCs w:val="21"/>
              </w:rPr>
              <w:t>年</w:t>
            </w:r>
            <w:r w:rsidRPr="004C5120">
              <w:rPr>
                <w:szCs w:val="21"/>
              </w:rPr>
              <w:t>11</w:t>
            </w:r>
            <w:r w:rsidRPr="004C5120">
              <w:rPr>
                <w:szCs w:val="21"/>
              </w:rPr>
              <w:t>月</w:t>
            </w:r>
            <w:r w:rsidRPr="004C5120">
              <w:rPr>
                <w:szCs w:val="21"/>
              </w:rPr>
              <w:t>15</w:t>
            </w:r>
            <w:r w:rsidRPr="004C5120">
              <w:rPr>
                <w:szCs w:val="21"/>
              </w:rPr>
              <w:t>日</w:t>
            </w:r>
            <w:r w:rsidRPr="004C5120">
              <w:rPr>
                <w:rFonts w:hint="eastAsia"/>
                <w:szCs w:val="21"/>
              </w:rPr>
              <w:t>；收到日期：</w:t>
            </w:r>
            <w:r w:rsidRPr="004C5120">
              <w:rPr>
                <w:szCs w:val="21"/>
              </w:rPr>
              <w:t>2015</w:t>
            </w:r>
            <w:r w:rsidRPr="004C5120">
              <w:rPr>
                <w:szCs w:val="21"/>
              </w:rPr>
              <w:t>年</w:t>
            </w:r>
            <w:r w:rsidRPr="004C5120">
              <w:rPr>
                <w:szCs w:val="21"/>
              </w:rPr>
              <w:t>1</w:t>
            </w:r>
            <w:r w:rsidRPr="004C5120">
              <w:rPr>
                <w:szCs w:val="21"/>
              </w:rPr>
              <w:t>月</w:t>
            </w:r>
            <w:r w:rsidRPr="004C5120">
              <w:rPr>
                <w:szCs w:val="21"/>
              </w:rPr>
              <w:t>16</w:t>
            </w:r>
            <w:r w:rsidRPr="004C5120">
              <w:rPr>
                <w:szCs w:val="21"/>
              </w:rPr>
              <w:t>日</w:t>
            </w:r>
            <w:r w:rsidRPr="004C5120">
              <w:rPr>
                <w:szCs w:val="21"/>
              </w:rPr>
              <w:t>(CED/C/ESP/CO/1/Add.1)</w:t>
            </w:r>
          </w:p>
        </w:tc>
      </w:tr>
      <w:tr w:rsidR="004F7853" w:rsidRPr="004C5120" w:rsidTr="008B5B56">
        <w:trPr>
          <w:trHeight w:val="240"/>
        </w:trPr>
        <w:tc>
          <w:tcPr>
            <w:tcW w:w="2561"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黑体" w:eastAsia="黑体"/>
                <w:bCs/>
                <w:szCs w:val="21"/>
              </w:rPr>
            </w:pPr>
            <w:r w:rsidRPr="004C5120">
              <w:rPr>
                <w:rFonts w:ascii="黑体" w:eastAsia="黑体" w:hint="eastAsia"/>
                <w:bCs/>
                <w:szCs w:val="21"/>
              </w:rPr>
              <w:t>非政府组织资料：</w:t>
            </w:r>
          </w:p>
        </w:tc>
        <w:tc>
          <w:tcPr>
            <w:tcW w:w="5033"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szCs w:val="21"/>
              </w:rPr>
            </w:pPr>
            <w:r w:rsidRPr="004C5120">
              <w:rPr>
                <w:szCs w:val="21"/>
              </w:rPr>
              <w:t>TRIAL/FIBGAR</w:t>
            </w:r>
            <w:r w:rsidRPr="004C5120">
              <w:rPr>
                <w:rFonts w:hint="eastAsia"/>
                <w:szCs w:val="21"/>
              </w:rPr>
              <w:t>，收到日期：</w:t>
            </w:r>
            <w:r w:rsidRPr="004C5120">
              <w:rPr>
                <w:szCs w:val="21"/>
              </w:rPr>
              <w:t>2014</w:t>
            </w:r>
            <w:r w:rsidRPr="004C5120">
              <w:rPr>
                <w:szCs w:val="21"/>
              </w:rPr>
              <w:t>年</w:t>
            </w:r>
            <w:r w:rsidRPr="004C5120">
              <w:rPr>
                <w:szCs w:val="21"/>
              </w:rPr>
              <w:t>11</w:t>
            </w:r>
            <w:r w:rsidRPr="004C5120">
              <w:rPr>
                <w:szCs w:val="21"/>
              </w:rPr>
              <w:t>月</w:t>
            </w:r>
            <w:r w:rsidRPr="004C5120">
              <w:rPr>
                <w:szCs w:val="21"/>
              </w:rPr>
              <w:t>15</w:t>
            </w:r>
            <w:r w:rsidRPr="004C5120">
              <w:rPr>
                <w:szCs w:val="21"/>
              </w:rPr>
              <w:t>日</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rFonts w:asciiTheme="majorBidi" w:eastAsia="黑体" w:hAnsiTheme="majorBidi" w:cstheme="majorBidi"/>
                <w:bCs/>
                <w:szCs w:val="21"/>
              </w:rPr>
            </w:pPr>
            <w:r w:rsidRPr="004C5120">
              <w:rPr>
                <w:rFonts w:asciiTheme="majorBidi" w:eastAsia="黑体" w:hAnsiTheme="majorBidi" w:cstheme="majorBidi"/>
                <w:bCs/>
                <w:szCs w:val="21"/>
              </w:rPr>
              <w:t>第</w:t>
            </w:r>
            <w:r w:rsidRPr="004C5120">
              <w:rPr>
                <w:rFonts w:asciiTheme="majorBidi" w:eastAsia="黑体" w:hAnsiTheme="majorBidi" w:cstheme="majorBidi"/>
                <w:bCs/>
                <w:szCs w:val="21"/>
              </w:rPr>
              <w:t>12</w:t>
            </w:r>
            <w:r w:rsidRPr="004C5120">
              <w:rPr>
                <w:rFonts w:asciiTheme="majorBidi" w:eastAsia="黑体" w:hAnsiTheme="majorBidi" w:cstheme="majorBidi"/>
                <w:bCs/>
                <w:szCs w:val="21"/>
              </w:rPr>
              <w:t>段：委员会考虑到西班牙适用于持续性犯罪的追诉时效，促请缔约国确保时效期从强迫失踪行为终止之时算起，即相关人员被发现存活，或找到其遗体或查明其身份时算起。委员会还促请缔约国确保：不论失踪案件发生多久且即便没有正式原告，仍须对此类案件进行彻底和公正的调查；采取必要的法律或司法措施，消除国内法中对此类调查的任何障碍，特别是对《大赦法案》的解释；起诉嫌疑责任人，如查实有罪，按其罪行严重程度予以惩处；让受害者得到充分赔偿，赔偿应包括康复手段，并考虑性别问题。</w:t>
            </w:r>
          </w:p>
        </w:tc>
      </w:tr>
      <w:tr w:rsidR="004F7853" w:rsidRPr="004C5120" w:rsidTr="008B5B56">
        <w:trPr>
          <w:trHeight w:val="240"/>
        </w:trPr>
        <w:tc>
          <w:tcPr>
            <w:tcW w:w="7594"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缔约国答复概要</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西班牙《刑法》第</w:t>
            </w:r>
            <w:r w:rsidRPr="004C5120">
              <w:rPr>
                <w:rFonts w:hint="eastAsia"/>
                <w:szCs w:val="21"/>
              </w:rPr>
              <w:t>131.4</w:t>
            </w:r>
            <w:r w:rsidRPr="004C5120">
              <w:rPr>
                <w:rFonts w:hint="eastAsia"/>
                <w:szCs w:val="21"/>
              </w:rPr>
              <w:t>条规定，危害人类罪均不设追诉时效。对其他强迫失踪案件，适用《刑法》所设一般性追诉时效。</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判例显示，产生犯罪刑事责任的行动开始于犯罪既遂且犯罪效果终止之时，即行为人停止行为并停止对受害人或公益造成损害之时。</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凡实施了属于有关犯罪的法律定义之内所有行为，且由此造成了预想结果或后果的，即属犯罪既遂。犯罪行动实际终止时，犯罪结束。</w:t>
            </w:r>
          </w:p>
        </w:tc>
      </w:tr>
      <w:tr w:rsidR="004F7853" w:rsidRPr="004C5120" w:rsidTr="008B5B56">
        <w:trPr>
          <w:trHeight w:val="240"/>
        </w:trPr>
        <w:tc>
          <w:tcPr>
            <w:tcW w:w="7594" w:type="dxa"/>
            <w:gridSpan w:val="2"/>
            <w:shd w:val="clear" w:color="auto" w:fill="auto"/>
          </w:tcPr>
          <w:p w:rsidR="004F7853" w:rsidRPr="004C5120" w:rsidRDefault="004F7853" w:rsidP="00C93AFD">
            <w:pPr>
              <w:keepNext/>
              <w:keepLines/>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就强迫失踪而言，必须逐案确定包括犯罪行动的行为类型，以确定行为完成的时间，因为强迫失踪是持续犯罪，犯罪既遂与犯罪效果结束的时间并不一致。</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首先，若受害人被发现存活、被其扣押者释放、被他人救出或逃离，则属于持续犯罪的犯罪行动终止</w:t>
            </w:r>
            <w:r w:rsidRPr="004C5120">
              <w:rPr>
                <w:rFonts w:hint="eastAsia"/>
                <w:szCs w:val="21"/>
              </w:rPr>
              <w:t>(</w:t>
            </w:r>
            <w:r w:rsidRPr="004C5120">
              <w:rPr>
                <w:rFonts w:hint="eastAsia"/>
                <w:szCs w:val="21"/>
              </w:rPr>
              <w:t>只要受害人处于犯罪人员掌控之下，犯罪行动就一</w:t>
            </w:r>
            <w:r w:rsidRPr="004C5120">
              <w:rPr>
                <w:szCs w:val="21"/>
              </w:rPr>
              <w:t>直</w:t>
            </w:r>
            <w:r w:rsidRPr="004C5120">
              <w:rPr>
                <w:rFonts w:hint="eastAsia"/>
                <w:szCs w:val="21"/>
              </w:rPr>
              <w:t>持续</w:t>
            </w:r>
            <w:r w:rsidRPr="004C5120">
              <w:rPr>
                <w:rFonts w:hint="eastAsia"/>
                <w:szCs w:val="21"/>
              </w:rPr>
              <w:t>)</w:t>
            </w:r>
            <w:r w:rsidRPr="004C5120">
              <w:rPr>
                <w:rFonts w:hint="eastAsia"/>
                <w:szCs w:val="21"/>
              </w:rPr>
              <w:t>。于绑架时既遂的犯罪到此结束，因为其所依存的实质性行动已经终止。</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同样，若在失踪之后，即囚禁期间，受害人遭到了虐待、酷刑或性虐待，后来被发现存活，则以该持续犯罪及其加重情节，或将该持续犯罪与其他犯罪一并论处，确定追诉时效的期限</w:t>
            </w:r>
            <w:r w:rsidRPr="004C5120">
              <w:rPr>
                <w:rFonts w:hint="eastAsia"/>
                <w:szCs w:val="21"/>
              </w:rPr>
              <w:t>(</w:t>
            </w:r>
            <w:r w:rsidRPr="004C5120">
              <w:rPr>
                <w:rFonts w:hint="eastAsia"/>
                <w:szCs w:val="21"/>
              </w:rPr>
              <w:t>若不发生意外死亡</w:t>
            </w:r>
            <w:r w:rsidRPr="004C5120">
              <w:rPr>
                <w:rFonts w:hint="eastAsia"/>
                <w:szCs w:val="21"/>
              </w:rPr>
              <w:t>)</w:t>
            </w:r>
            <w:r w:rsidRPr="004C5120">
              <w:rPr>
                <w:rFonts w:hint="eastAsia"/>
                <w:szCs w:val="21"/>
              </w:rPr>
              <w:t>。可视情况将适用于该持续犯罪行动及加重情节或更严重犯罪的追诉时效期限定为从受害者获释时开始。</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第二，若受害人被其扣押者剥夺生命，则该具有加重情节或与杀人罪或谋杀罪一并论处的犯罪于受害人死亡时既遂并终止，即至此视为犯罪实施过程结束。因此，根据《刑法》第</w:t>
            </w:r>
            <w:r w:rsidRPr="004C5120">
              <w:rPr>
                <w:rFonts w:hint="eastAsia"/>
                <w:szCs w:val="21"/>
              </w:rPr>
              <w:t>132</w:t>
            </w:r>
            <w:r w:rsidRPr="004C5120">
              <w:rPr>
                <w:rFonts w:hint="eastAsia"/>
                <w:szCs w:val="21"/>
              </w:rPr>
              <w:t>条，追诉时效从受害人死亡之时开始计算。</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关于对强迫失踪的调查，应回顾最高法院和欧洲人权法院确定的判例。首先，最高法院在第</w:t>
            </w:r>
            <w:r w:rsidRPr="004C5120">
              <w:rPr>
                <w:rFonts w:hint="eastAsia"/>
                <w:szCs w:val="21"/>
              </w:rPr>
              <w:t>101/2012</w:t>
            </w:r>
            <w:r w:rsidRPr="004C5120">
              <w:rPr>
                <w:rFonts w:hint="eastAsia"/>
                <w:szCs w:val="21"/>
              </w:rPr>
              <w:t>号判决中，驳回了一些协会要求恢复历史记忆的诉讼，指出西班牙刑法未规定“所谓的真相审判，即在出于刑事责任消灭、死亡、时效或赦免等原因而不可能进行检控，已知法律诉讼程序无法确定有关人员罪责的情况下，旨在对可能属于犯罪的行为发起司法调查的审判。”在西班牙的法律秩序中，被申诉行为实施后已过时间的长短，是一项重要的考虑因素，这不仅是由于追诉时效的效果，还因为西班牙刑事诉讼程序的目的并不在于调查案件，而在于查明和惩处犯罪人。西班牙的法官和治安法官在确定无法利用刑事诉讼程序来调查发生于二十世纪三十年代和四十年代的事件时，无法惩处某些案件的有罪方是一项被纳入考虑的因素。但这并不意味着不能开展调查以确定西班牙内战期间失踪人员的下落。马德里省法院第</w:t>
            </w:r>
            <w:r w:rsidRPr="004C5120">
              <w:rPr>
                <w:rFonts w:hint="eastAsia"/>
                <w:szCs w:val="21"/>
              </w:rPr>
              <w:t>75/2014</w:t>
            </w:r>
            <w:r w:rsidRPr="004C5120">
              <w:rPr>
                <w:rFonts w:hint="eastAsia"/>
                <w:szCs w:val="21"/>
              </w:rPr>
              <w:t>号判决和第</w:t>
            </w:r>
            <w:r w:rsidRPr="004C5120">
              <w:rPr>
                <w:rFonts w:hint="eastAsia"/>
                <w:szCs w:val="21"/>
              </w:rPr>
              <w:t>478/2013</w:t>
            </w:r>
            <w:r w:rsidRPr="004C5120">
              <w:rPr>
                <w:rFonts w:hint="eastAsia"/>
                <w:szCs w:val="21"/>
              </w:rPr>
              <w:t>号判决均证实，刑事诉讼程序不是申诉人索偿的妥当渠道。然而，这些判决并未简单地下令将案件结案或不开展进一步调查，而是指出，根据</w:t>
            </w:r>
            <w:r w:rsidRPr="004C5120">
              <w:rPr>
                <w:rFonts w:hint="eastAsia"/>
                <w:szCs w:val="21"/>
              </w:rPr>
              <w:t>2007</w:t>
            </w:r>
            <w:r w:rsidRPr="004C5120">
              <w:rPr>
                <w:rFonts w:hint="eastAsia"/>
                <w:szCs w:val="21"/>
              </w:rPr>
              <w:t>年《历史记忆法》的规定，行政法院系统才是西班牙法律体系中处理此类案件的妥当渠道。</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某行为实施后已过时间的长短也是欧洲人权法院判例中的一项决定性考虑因素，欧洲人权法院在</w:t>
            </w:r>
            <w:r w:rsidRPr="004C5120">
              <w:rPr>
                <w:rFonts w:hint="eastAsia"/>
                <w:szCs w:val="21"/>
              </w:rPr>
              <w:t>2011</w:t>
            </w:r>
            <w:r w:rsidRPr="004C5120">
              <w:rPr>
                <w:rFonts w:hint="eastAsia"/>
                <w:szCs w:val="21"/>
              </w:rPr>
              <w:t>年</w:t>
            </w:r>
            <w:r w:rsidRPr="004C5120">
              <w:rPr>
                <w:rFonts w:hint="eastAsia"/>
                <w:szCs w:val="21"/>
              </w:rPr>
              <w:t>3</w:t>
            </w:r>
            <w:r w:rsidRPr="004C5120">
              <w:rPr>
                <w:rFonts w:hint="eastAsia"/>
                <w:szCs w:val="21"/>
              </w:rPr>
              <w:t>月</w:t>
            </w:r>
            <w:r w:rsidRPr="004C5120">
              <w:rPr>
                <w:rFonts w:hint="eastAsia"/>
                <w:szCs w:val="21"/>
              </w:rPr>
              <w:t>27</w:t>
            </w:r>
            <w:r w:rsidRPr="004C5120">
              <w:rPr>
                <w:rFonts w:hint="eastAsia"/>
                <w:szCs w:val="21"/>
              </w:rPr>
              <w:t>日的一项决定中，裁定关于社会党议员路易斯·多拉多·卢克自</w:t>
            </w:r>
            <w:r w:rsidRPr="004C5120">
              <w:rPr>
                <w:rFonts w:hint="eastAsia"/>
                <w:szCs w:val="21"/>
              </w:rPr>
              <w:t>1936</w:t>
            </w:r>
            <w:r w:rsidRPr="004C5120">
              <w:rPr>
                <w:rFonts w:hint="eastAsia"/>
                <w:szCs w:val="21"/>
              </w:rPr>
              <w:t>年被拘留之后下落不明一案的申诉不可受理。对欧洲法院而言，作出裁断的一项决定性因素是，提交这项申诉时，西班牙承认欧洲法院的司法管辖权已有</w:t>
            </w:r>
            <w:r w:rsidRPr="004C5120">
              <w:rPr>
                <w:rFonts w:hint="eastAsia"/>
                <w:szCs w:val="21"/>
              </w:rPr>
              <w:t>25</w:t>
            </w:r>
            <w:r w:rsidRPr="004C5120">
              <w:rPr>
                <w:rFonts w:hint="eastAsia"/>
                <w:szCs w:val="21"/>
              </w:rPr>
              <w:t>年，失踪案发生已有</w:t>
            </w:r>
            <w:r w:rsidRPr="004C5120">
              <w:rPr>
                <w:rFonts w:hint="eastAsia"/>
                <w:szCs w:val="21"/>
              </w:rPr>
              <w:t>70</w:t>
            </w:r>
            <w:r w:rsidRPr="004C5120">
              <w:rPr>
                <w:rFonts w:hint="eastAsia"/>
                <w:szCs w:val="21"/>
              </w:rPr>
              <w:t>年。</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委员会提到的另一项“障碍”</w:t>
            </w:r>
            <w:r w:rsidRPr="004C5120">
              <w:rPr>
                <w:rFonts w:hint="eastAsia"/>
                <w:szCs w:val="21"/>
              </w:rPr>
              <w:t>(</w:t>
            </w:r>
            <w:r w:rsidRPr="004C5120">
              <w:rPr>
                <w:rFonts w:hint="eastAsia"/>
                <w:szCs w:val="21"/>
              </w:rPr>
              <w:t>但绝对不是唯一的一项</w:t>
            </w:r>
            <w:r w:rsidRPr="004C5120">
              <w:rPr>
                <w:rFonts w:hint="eastAsia"/>
                <w:szCs w:val="21"/>
              </w:rPr>
              <w:t>)</w:t>
            </w:r>
            <w:r w:rsidRPr="004C5120">
              <w:rPr>
                <w:rFonts w:hint="eastAsia"/>
                <w:szCs w:val="21"/>
              </w:rPr>
              <w:t>是</w:t>
            </w:r>
            <w:r w:rsidRPr="004C5120">
              <w:rPr>
                <w:rFonts w:hint="eastAsia"/>
                <w:szCs w:val="21"/>
              </w:rPr>
              <w:t>1977</w:t>
            </w:r>
            <w:r w:rsidRPr="004C5120">
              <w:rPr>
                <w:rFonts w:hint="eastAsia"/>
                <w:szCs w:val="21"/>
              </w:rPr>
              <w:t>年《赦免法》，该法并不是由独裁政府为了逃</w:t>
            </w:r>
            <w:r w:rsidRPr="004C5120">
              <w:rPr>
                <w:rFonts w:hint="eastAsia"/>
                <w:spacing w:val="4"/>
                <w:szCs w:val="21"/>
              </w:rPr>
              <w:t>脱自身罪责而颁布的法律，而是由民主选举产生的议员通过的法律，这些议员对自己所采取的这一重要步骤的方方面面有充分的认识。该法规定，反抗和支持独裁政权者的刑事责任均归于消</w:t>
            </w:r>
            <w:r w:rsidRPr="004C5120">
              <w:rPr>
                <w:rFonts w:hint="eastAsia"/>
                <w:szCs w:val="21"/>
              </w:rPr>
              <w:t>失，且该法的基础是，所有政治力量对这两方面的规定均达成了广泛的共识。</w:t>
            </w:r>
          </w:p>
        </w:tc>
      </w:tr>
      <w:tr w:rsidR="004F7853" w:rsidRPr="004C5120" w:rsidTr="008B5B56">
        <w:trPr>
          <w:trHeight w:val="240"/>
        </w:trPr>
        <w:tc>
          <w:tcPr>
            <w:tcW w:w="7594"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非政府组织资料</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委员会结论性意见通过以来，其他国际人权保护机制已对当局未能对内战和佛朗哥独裁时期犯下的严重侵犯人权案件</w:t>
            </w:r>
            <w:r w:rsidRPr="004C5120">
              <w:rPr>
                <w:rFonts w:hint="eastAsia"/>
                <w:szCs w:val="21"/>
              </w:rPr>
              <w:t>(</w:t>
            </w:r>
            <w:r w:rsidRPr="004C5120">
              <w:rPr>
                <w:rFonts w:hint="eastAsia"/>
                <w:szCs w:val="21"/>
              </w:rPr>
              <w:t>包括强迫失踪案件</w:t>
            </w:r>
            <w:r w:rsidRPr="004C5120">
              <w:rPr>
                <w:rFonts w:hint="eastAsia"/>
                <w:szCs w:val="21"/>
              </w:rPr>
              <w:t>)</w:t>
            </w:r>
            <w:r w:rsidRPr="004C5120">
              <w:rPr>
                <w:rFonts w:hint="eastAsia"/>
                <w:szCs w:val="21"/>
              </w:rPr>
              <w:t>进行调查深表关切，也对西班牙法院对《赦免法》的解释</w:t>
            </w:r>
            <w:r w:rsidRPr="004C5120">
              <w:rPr>
                <w:rFonts w:hint="eastAsia"/>
                <w:szCs w:val="21"/>
              </w:rPr>
              <w:t>(</w:t>
            </w:r>
            <w:r w:rsidRPr="004C5120">
              <w:rPr>
                <w:rFonts w:hint="eastAsia"/>
                <w:szCs w:val="21"/>
              </w:rPr>
              <w:t>第</w:t>
            </w:r>
            <w:r w:rsidRPr="004C5120">
              <w:rPr>
                <w:rFonts w:hint="eastAsia"/>
                <w:szCs w:val="21"/>
              </w:rPr>
              <w:t>46/1977</w:t>
            </w:r>
            <w:r w:rsidRPr="004C5120">
              <w:rPr>
                <w:rFonts w:hint="eastAsia"/>
                <w:szCs w:val="21"/>
              </w:rPr>
              <w:t>号法</w:t>
            </w:r>
            <w:r w:rsidRPr="004C5120">
              <w:rPr>
                <w:rFonts w:hint="eastAsia"/>
                <w:szCs w:val="21"/>
              </w:rPr>
              <w:t>)</w:t>
            </w:r>
            <w:r w:rsidRPr="004C5120">
              <w:rPr>
                <w:rFonts w:hint="eastAsia"/>
                <w:szCs w:val="21"/>
              </w:rPr>
              <w:t>深表关切，这一解释正式排除了对任何此类案件启动刑事诉讼程序的可能性。</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向委员会提交资料的组织报告称，尽管委员会、被强迫或非自愿失踪问题工作组以及寻求真相、司法、赔偿和保证不再发生问题特别报告员提出了有关建议，但据它们所知，</w:t>
            </w:r>
            <w:r w:rsidRPr="004C5120">
              <w:rPr>
                <w:rFonts w:hint="eastAsia"/>
                <w:szCs w:val="21"/>
              </w:rPr>
              <w:t>2013</w:t>
            </w:r>
            <w:r w:rsidRPr="004C5120">
              <w:rPr>
                <w:rFonts w:hint="eastAsia"/>
                <w:szCs w:val="21"/>
              </w:rPr>
              <w:t>年</w:t>
            </w:r>
            <w:r w:rsidRPr="004C5120">
              <w:rPr>
                <w:rFonts w:hint="eastAsia"/>
                <w:szCs w:val="21"/>
              </w:rPr>
              <w:t>11</w:t>
            </w:r>
            <w:r w:rsidRPr="004C5120">
              <w:rPr>
                <w:rFonts w:hint="eastAsia"/>
                <w:szCs w:val="21"/>
              </w:rPr>
              <w:t>月至</w:t>
            </w:r>
            <w:r w:rsidRPr="004C5120">
              <w:rPr>
                <w:rFonts w:hint="eastAsia"/>
                <w:szCs w:val="21"/>
              </w:rPr>
              <w:t>2014</w:t>
            </w:r>
            <w:r w:rsidRPr="004C5120">
              <w:rPr>
                <w:rFonts w:hint="eastAsia"/>
                <w:szCs w:val="21"/>
              </w:rPr>
              <w:t>年</w:t>
            </w:r>
            <w:r w:rsidRPr="004C5120">
              <w:rPr>
                <w:rFonts w:hint="eastAsia"/>
                <w:szCs w:val="21"/>
              </w:rPr>
              <w:t>11</w:t>
            </w:r>
            <w:r w:rsidRPr="004C5120">
              <w:rPr>
                <w:rFonts w:hint="eastAsia"/>
                <w:szCs w:val="21"/>
              </w:rPr>
              <w:t>月间，当局没有启动、继续开展或延长任何对强迫失踪案件的调查。此外，没有任何人因内战或佛朗哥独裁时期犯下的强迫失踪行为而被定罪。</w:t>
            </w:r>
          </w:p>
        </w:tc>
      </w:tr>
      <w:tr w:rsidR="004F7853" w:rsidRPr="004C5120" w:rsidTr="008B5B56">
        <w:trPr>
          <w:trHeight w:val="240"/>
        </w:trPr>
        <w:tc>
          <w:tcPr>
            <w:tcW w:w="7594" w:type="dxa"/>
            <w:gridSpan w:val="2"/>
            <w:shd w:val="clear" w:color="auto" w:fill="auto"/>
          </w:tcPr>
          <w:p w:rsidR="004F7853" w:rsidRPr="004C5120" w:rsidRDefault="004F7853" w:rsidP="00666069">
            <w:pPr>
              <w:keepNext/>
              <w:keepLines/>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委员会的评价</w:t>
            </w:r>
          </w:p>
        </w:tc>
      </w:tr>
      <w:tr w:rsidR="004F7853" w:rsidRPr="004C5120" w:rsidTr="008B5B56">
        <w:trPr>
          <w:trHeight w:val="240"/>
        </w:trPr>
        <w:tc>
          <w:tcPr>
            <w:tcW w:w="7594" w:type="dxa"/>
            <w:gridSpan w:val="2"/>
            <w:shd w:val="clear" w:color="auto" w:fill="auto"/>
          </w:tcPr>
          <w:p w:rsidR="004F7853" w:rsidRPr="004C5120" w:rsidRDefault="004F7853" w:rsidP="00666069">
            <w:pPr>
              <w:keepNext/>
              <w:keepLines/>
              <w:tabs>
                <w:tab w:val="left" w:pos="334"/>
                <w:tab w:val="left" w:pos="669"/>
                <w:tab w:val="left" w:pos="1003"/>
                <w:tab w:val="left" w:pos="1338"/>
              </w:tabs>
              <w:suppressAutoHyphens/>
              <w:spacing w:before="60" w:after="60" w:line="240" w:lineRule="exact"/>
              <w:ind w:left="57" w:right="57"/>
              <w:rPr>
                <w:szCs w:val="21"/>
              </w:rPr>
            </w:pPr>
            <w:r w:rsidRPr="004C5120">
              <w:rPr>
                <w:b/>
                <w:szCs w:val="21"/>
              </w:rPr>
              <w:t>[C]</w:t>
            </w:r>
            <w:r w:rsidRPr="004C5120">
              <w:rPr>
                <w:rFonts w:hint="eastAsia"/>
                <w:bCs/>
                <w:szCs w:val="21"/>
              </w:rPr>
              <w:t>：</w:t>
            </w:r>
            <w:r w:rsidRPr="004C5120">
              <w:rPr>
                <w:rFonts w:hint="eastAsia"/>
                <w:szCs w:val="21"/>
              </w:rPr>
              <w:t>委员会注意到缔约国提供的详细资料，但认为对其结论性意见</w:t>
            </w:r>
            <w:r w:rsidRPr="004C5120">
              <w:rPr>
                <w:szCs w:val="21"/>
              </w:rPr>
              <w:t>(CED/C/ESP/CO/1)</w:t>
            </w:r>
            <w:r w:rsidRPr="004C5120">
              <w:rPr>
                <w:rFonts w:hint="eastAsia"/>
                <w:szCs w:val="21"/>
              </w:rPr>
              <w:t>通过以来为落实委员会建议所采取的任何行动的资料掌握不足。委员会重申其建议，并请缔约国在根据委员会结论性意见第</w:t>
            </w:r>
            <w:r w:rsidRPr="004C5120">
              <w:rPr>
                <w:rFonts w:hint="eastAsia"/>
                <w:szCs w:val="21"/>
              </w:rPr>
              <w:t>40</w:t>
            </w:r>
            <w:r w:rsidRPr="004C5120">
              <w:rPr>
                <w:rFonts w:hint="eastAsia"/>
                <w:szCs w:val="21"/>
              </w:rPr>
              <w:t>段提交资料时，提供自结论性意见通过以来为落实建议而采取的行动的详细资料。</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rFonts w:asciiTheme="majorBidi" w:eastAsia="黑体" w:hAnsiTheme="majorBidi" w:cstheme="majorBidi"/>
                <w:bCs/>
                <w:szCs w:val="21"/>
              </w:rPr>
            </w:pPr>
            <w:r w:rsidRPr="004C5120">
              <w:rPr>
                <w:rFonts w:asciiTheme="majorBidi" w:eastAsia="黑体" w:hAnsiTheme="majorBidi" w:cstheme="majorBidi"/>
                <w:bCs/>
                <w:szCs w:val="21"/>
              </w:rPr>
              <w:t>第</w:t>
            </w:r>
            <w:r w:rsidRPr="004C5120">
              <w:rPr>
                <w:rFonts w:asciiTheme="majorBidi" w:eastAsia="黑体" w:hAnsiTheme="majorBidi" w:cstheme="majorBidi"/>
                <w:bCs/>
                <w:szCs w:val="21"/>
              </w:rPr>
              <w:t>24</w:t>
            </w:r>
            <w:r w:rsidRPr="004C5120">
              <w:rPr>
                <w:rFonts w:asciiTheme="majorBidi" w:eastAsia="黑体" w:hAnsiTheme="majorBidi" w:cstheme="majorBidi"/>
                <w:bCs/>
                <w:szCs w:val="21"/>
              </w:rPr>
              <w:t>段：委员会建议缔约国采取必要的法律和其他措施，确保人人不论受控何罪，都可享有《公约》和其他相</w:t>
            </w:r>
            <w:r w:rsidRPr="004C5120">
              <w:rPr>
                <w:rFonts w:asciiTheme="majorBidi" w:eastAsia="黑体" w:hAnsiTheme="majorBidi" w:cstheme="majorBidi"/>
                <w:bCs/>
                <w:spacing w:val="4"/>
                <w:szCs w:val="21"/>
              </w:rPr>
              <w:t>关人权文书所规定的全部保障措施，特别是《公约》第十七条所规定的保障措施。委员会还促请缔约国确保《刑事诉讼法</w:t>
            </w:r>
            <w:r w:rsidRPr="004C5120">
              <w:rPr>
                <w:rFonts w:asciiTheme="majorBidi" w:eastAsia="黑体" w:hAnsiTheme="majorBidi" w:cstheme="majorBidi"/>
                <w:bCs/>
                <w:szCs w:val="21"/>
              </w:rPr>
              <w:t>案》的</w:t>
            </w:r>
            <w:r w:rsidRPr="004C5120">
              <w:rPr>
                <w:rFonts w:asciiTheme="majorBidi" w:eastAsia="黑体" w:hAnsiTheme="majorBidi" w:cstheme="majorBidi"/>
                <w:bCs/>
                <w:spacing w:val="2"/>
                <w:szCs w:val="21"/>
              </w:rPr>
              <w:t>修订文本不包含任何对被拘留者权利的限制，即便在自由裁量制度下也不得规定此类限制，从而符合《公约》第十七条第二款的</w:t>
            </w:r>
            <w:r w:rsidRPr="004C5120">
              <w:rPr>
                <w:rFonts w:asciiTheme="majorBidi" w:eastAsia="黑体" w:hAnsiTheme="majorBidi" w:cstheme="majorBidi"/>
                <w:bCs/>
                <w:szCs w:val="21"/>
              </w:rPr>
              <w:t>规定。</w:t>
            </w:r>
          </w:p>
        </w:tc>
      </w:tr>
      <w:tr w:rsidR="004F7853" w:rsidRPr="004C5120" w:rsidTr="008B5B56">
        <w:trPr>
          <w:trHeight w:val="240"/>
        </w:trPr>
        <w:tc>
          <w:tcPr>
            <w:tcW w:w="7594"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缔约国答复概要</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rFonts w:hint="eastAsia"/>
                <w:szCs w:val="21"/>
              </w:rPr>
              <w:t>隔离拘留制度仅在特殊情况下使用。在法律规定可实施隔离拘留的情况下，有关囚犯享有与其他囚犯同样的一般性权利。此外，隔离拘留要接受司法监督。隔离拘留本身必须经法官或法院依理批准，且时间长度严格限于紧急开展必要调查所需。法律还规定，任何时候法官均可索取有关某被隔离拘留人员境况的资料。若干负责调查恐怖主义案件的法院现在采用了额外的保障措施，例如审讯记录和额外的医疗监督。这些措施正式载于全国最高法院于</w:t>
            </w:r>
            <w:r w:rsidRPr="004C5120">
              <w:rPr>
                <w:rFonts w:hint="eastAsia"/>
                <w:szCs w:val="21"/>
              </w:rPr>
              <w:t>2006</w:t>
            </w:r>
            <w:r w:rsidRPr="004C5120">
              <w:rPr>
                <w:rFonts w:hint="eastAsia"/>
                <w:szCs w:val="21"/>
              </w:rPr>
              <w:t>年</w:t>
            </w:r>
            <w:r w:rsidRPr="004C5120">
              <w:rPr>
                <w:rFonts w:hint="eastAsia"/>
                <w:szCs w:val="21"/>
              </w:rPr>
              <w:t>12</w:t>
            </w:r>
            <w:r w:rsidRPr="004C5120">
              <w:rPr>
                <w:rFonts w:hint="eastAsia"/>
                <w:szCs w:val="21"/>
              </w:rPr>
              <w:t>月作出的一项决定，并已在诸多隔离拘留案件中得到了应用。</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rFonts w:hint="eastAsia"/>
                <w:szCs w:val="21"/>
              </w:rPr>
              <w:t>此外，当局正在审议《刑事诉讼法》的一项修正案，该修正案将把</w:t>
            </w:r>
            <w:r w:rsidRPr="004C5120">
              <w:rPr>
                <w:rFonts w:hint="eastAsia"/>
                <w:szCs w:val="21"/>
              </w:rPr>
              <w:t>2013</w:t>
            </w:r>
            <w:r w:rsidRPr="004C5120">
              <w:rPr>
                <w:rFonts w:hint="eastAsia"/>
                <w:szCs w:val="21"/>
              </w:rPr>
              <w:t>年</w:t>
            </w:r>
            <w:r w:rsidRPr="004C5120">
              <w:rPr>
                <w:rFonts w:hint="eastAsia"/>
                <w:szCs w:val="21"/>
              </w:rPr>
              <w:t>10</w:t>
            </w:r>
            <w:r w:rsidRPr="004C5120">
              <w:rPr>
                <w:rFonts w:hint="eastAsia"/>
                <w:szCs w:val="21"/>
              </w:rPr>
              <w:t>月</w:t>
            </w:r>
            <w:r w:rsidRPr="004C5120">
              <w:rPr>
                <w:rFonts w:hint="eastAsia"/>
                <w:szCs w:val="21"/>
              </w:rPr>
              <w:t>22</w:t>
            </w:r>
            <w:r w:rsidRPr="004C5120">
              <w:rPr>
                <w:rFonts w:hint="eastAsia"/>
                <w:szCs w:val="21"/>
              </w:rPr>
              <w:t>日欧洲议会和欧盟理事会第</w:t>
            </w:r>
            <w:r w:rsidRPr="004C5120">
              <w:rPr>
                <w:szCs w:val="21"/>
              </w:rPr>
              <w:t>2013/48/EU</w:t>
            </w:r>
            <w:r w:rsidRPr="004C5120">
              <w:rPr>
                <w:rFonts w:hint="eastAsia"/>
                <w:szCs w:val="21"/>
              </w:rPr>
              <w:t>号指令纳入《刑事诉讼法》，这项指令涉及律师参与刑事诉讼程序和参与欧盟逮捕令程序的权利，以及被剥夺自由者让第三方获悉被剥夺自由一事并在被剥夺自由期间与第三方人员和领事机关联络的权利。修正《刑事诉讼法》以缩短法律诉讼程序时间、加强程序性保障和规范技术调查方法的法案已于</w:t>
            </w:r>
            <w:r w:rsidRPr="004C5120">
              <w:rPr>
                <w:rFonts w:hint="eastAsia"/>
                <w:szCs w:val="21"/>
              </w:rPr>
              <w:t>2014</w:t>
            </w:r>
            <w:r w:rsidRPr="004C5120">
              <w:rPr>
                <w:rFonts w:hint="eastAsia"/>
                <w:szCs w:val="21"/>
              </w:rPr>
              <w:t>年</w:t>
            </w:r>
            <w:r w:rsidRPr="004C5120">
              <w:rPr>
                <w:rFonts w:hint="eastAsia"/>
                <w:szCs w:val="21"/>
              </w:rPr>
              <w:t>12</w:t>
            </w:r>
            <w:r w:rsidRPr="004C5120">
              <w:rPr>
                <w:rFonts w:hint="eastAsia"/>
                <w:szCs w:val="21"/>
              </w:rPr>
              <w:t>月</w:t>
            </w:r>
            <w:r w:rsidRPr="004C5120">
              <w:rPr>
                <w:rFonts w:hint="eastAsia"/>
                <w:szCs w:val="21"/>
              </w:rPr>
              <w:t>5</w:t>
            </w:r>
            <w:r w:rsidRPr="004C5120">
              <w:rPr>
                <w:rFonts w:hint="eastAsia"/>
                <w:szCs w:val="21"/>
              </w:rPr>
              <w:t>日获部长理事会批准，将修正《刑事诉讼法》第</w:t>
            </w:r>
            <w:r w:rsidRPr="004C5120">
              <w:rPr>
                <w:rFonts w:hint="eastAsia"/>
                <w:szCs w:val="21"/>
              </w:rPr>
              <w:t>527</w:t>
            </w:r>
            <w:r w:rsidRPr="004C5120">
              <w:rPr>
                <w:rFonts w:hint="eastAsia"/>
                <w:szCs w:val="21"/>
              </w:rPr>
              <w:t>条，使其明文规定，隔离拘留属于特例制度，仅可根据法官依理作出的决定而实施，且对某些权利的剥夺并非自动，而是“酌情”实施；即，可决定采用以下措施中的一项或多项：</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szCs w:val="21"/>
              </w:rPr>
              <w:tab/>
              <w:t>(a)</w:t>
            </w:r>
            <w:r w:rsidRPr="004C5120">
              <w:rPr>
                <w:szCs w:val="21"/>
              </w:rPr>
              <w:tab/>
            </w:r>
            <w:r w:rsidRPr="004C5120">
              <w:rPr>
                <w:rFonts w:hint="eastAsia"/>
                <w:szCs w:val="21"/>
              </w:rPr>
              <w:t>可依职权向被拘留者指派律师；</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szCs w:val="21"/>
              </w:rPr>
              <w:tab/>
              <w:t>(b)</w:t>
            </w:r>
            <w:r w:rsidRPr="004C5120">
              <w:rPr>
                <w:szCs w:val="21"/>
              </w:rPr>
              <w:tab/>
            </w:r>
            <w:r w:rsidRPr="004C5120">
              <w:rPr>
                <w:rFonts w:hint="eastAsia"/>
                <w:szCs w:val="21"/>
              </w:rPr>
              <w:t>被拘留者不得私下与其律师会面；</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szCs w:val="21"/>
              </w:rPr>
              <w:tab/>
              <w:t>(c)</w:t>
            </w:r>
            <w:r w:rsidRPr="004C5120">
              <w:rPr>
                <w:szCs w:val="21"/>
              </w:rPr>
              <w:tab/>
            </w:r>
            <w:r w:rsidRPr="004C5120">
              <w:rPr>
                <w:rFonts w:hint="eastAsia"/>
                <w:szCs w:val="21"/>
              </w:rPr>
              <w:t>被拘留者不得与通常情况下有权联络的全体或任何人员联络，司法机关、检察部门和法医除外；</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szCs w:val="21"/>
              </w:rPr>
              <w:tab/>
              <w:t>(d)</w:t>
            </w:r>
            <w:r w:rsidRPr="004C5120">
              <w:rPr>
                <w:szCs w:val="21"/>
              </w:rPr>
              <w:tab/>
            </w:r>
            <w:r w:rsidRPr="004C5120">
              <w:rPr>
                <w:rFonts w:hint="eastAsia"/>
                <w:szCs w:val="21"/>
              </w:rPr>
              <w:t>被拘留者不得查阅诉讼程序记录。</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pacing w:val="4"/>
                <w:szCs w:val="21"/>
              </w:rPr>
            </w:pPr>
            <w:r w:rsidRPr="004C5120">
              <w:rPr>
                <w:rFonts w:hint="eastAsia"/>
                <w:spacing w:val="4"/>
                <w:szCs w:val="21"/>
              </w:rPr>
              <w:t>此外，仅可在</w:t>
            </w:r>
            <w:r w:rsidRPr="004C5120">
              <w:rPr>
                <w:rFonts w:hint="eastAsia"/>
                <w:spacing w:val="4"/>
                <w:szCs w:val="21"/>
              </w:rPr>
              <w:t>2013</w:t>
            </w:r>
            <w:r w:rsidRPr="004C5120">
              <w:rPr>
                <w:rFonts w:hint="eastAsia"/>
                <w:spacing w:val="4"/>
                <w:szCs w:val="21"/>
              </w:rPr>
              <w:t>年</w:t>
            </w:r>
            <w:r w:rsidRPr="004C5120">
              <w:rPr>
                <w:rFonts w:hint="eastAsia"/>
                <w:spacing w:val="4"/>
                <w:szCs w:val="21"/>
              </w:rPr>
              <w:t>10</w:t>
            </w:r>
            <w:r w:rsidRPr="004C5120">
              <w:rPr>
                <w:rFonts w:hint="eastAsia"/>
                <w:spacing w:val="4"/>
                <w:szCs w:val="21"/>
              </w:rPr>
              <w:t>月</w:t>
            </w:r>
            <w:r w:rsidRPr="004C5120">
              <w:rPr>
                <w:rFonts w:hint="eastAsia"/>
                <w:spacing w:val="4"/>
                <w:szCs w:val="21"/>
              </w:rPr>
              <w:t>22</w:t>
            </w:r>
            <w:r w:rsidRPr="004C5120">
              <w:rPr>
                <w:rFonts w:hint="eastAsia"/>
                <w:spacing w:val="4"/>
                <w:szCs w:val="21"/>
              </w:rPr>
              <w:t>日欧洲议会和欧盟理事会第</w:t>
            </w:r>
            <w:r w:rsidRPr="004C5120">
              <w:rPr>
                <w:rFonts w:hint="eastAsia"/>
                <w:spacing w:val="4"/>
                <w:szCs w:val="21"/>
              </w:rPr>
              <w:t>2013/48/EU</w:t>
            </w:r>
            <w:r w:rsidRPr="004C5120">
              <w:rPr>
                <w:rFonts w:hint="eastAsia"/>
                <w:spacing w:val="4"/>
                <w:szCs w:val="21"/>
              </w:rPr>
              <w:t>号指令规定的情况下批准实施例外措施，该指令将通过法案纳入西班牙法律。允许施行隔离拘留制度的情况如下：</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szCs w:val="21"/>
              </w:rPr>
              <w:tab/>
              <w:t>(a)</w:t>
            </w:r>
            <w:r w:rsidRPr="004C5120">
              <w:rPr>
                <w:szCs w:val="21"/>
              </w:rPr>
              <w:tab/>
            </w:r>
            <w:r w:rsidRPr="004C5120">
              <w:rPr>
                <w:rFonts w:hint="eastAsia"/>
                <w:szCs w:val="21"/>
              </w:rPr>
              <w:t>亟需避免某人的生命、自由或身体完整遭受严重不利后果时；</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szCs w:val="21"/>
              </w:rPr>
              <w:tab/>
              <w:t>(b)</w:t>
            </w:r>
            <w:r w:rsidRPr="004C5120">
              <w:rPr>
                <w:szCs w:val="21"/>
              </w:rPr>
              <w:tab/>
            </w:r>
            <w:r w:rsidRPr="004C5120">
              <w:rPr>
                <w:rFonts w:hint="eastAsia"/>
                <w:szCs w:val="21"/>
              </w:rPr>
              <w:t>调查机关亟需立即采取行动，以免刑事诉讼程序受到实质性危害时。</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rFonts w:hint="eastAsia"/>
                <w:szCs w:val="21"/>
              </w:rPr>
              <w:t>要通过上述法案或正在纳入《刑法》的修正案等如此范围的法律修正案，所需时间通常比委员会要求西班牙就此问题作出答复的一年期限更久。</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rFonts w:hint="eastAsia"/>
                <w:szCs w:val="21"/>
              </w:rPr>
              <w:t>缔约国还补充称，作为一项预防措施，已根据西班牙批准</w:t>
            </w:r>
            <w:r w:rsidRPr="004C5120">
              <w:rPr>
                <w:szCs w:val="21"/>
              </w:rPr>
              <w:t>《禁止酷刑和其他残忍、不人道或有辱人格的待遇或处罚公约任择议定书》</w:t>
            </w:r>
            <w:r w:rsidRPr="004C5120">
              <w:rPr>
                <w:rFonts w:hint="eastAsia"/>
                <w:szCs w:val="21"/>
              </w:rPr>
              <w:t>时所作的承诺，建立了“预防酷刑的国家预防机制”。已经指定</w:t>
            </w:r>
            <w:r w:rsidRPr="004C5120">
              <w:rPr>
                <w:szCs w:val="21"/>
              </w:rPr>
              <w:t>了</w:t>
            </w:r>
            <w:r w:rsidRPr="004C5120">
              <w:rPr>
                <w:rFonts w:hint="eastAsia"/>
                <w:szCs w:val="21"/>
              </w:rPr>
              <w:t>监察员</w:t>
            </w:r>
            <w:r w:rsidRPr="004C5120">
              <w:rPr>
                <w:szCs w:val="21"/>
              </w:rPr>
              <w:t>，</w:t>
            </w:r>
            <w:r w:rsidRPr="004C5120">
              <w:rPr>
                <w:rFonts w:hint="eastAsia"/>
                <w:szCs w:val="21"/>
              </w:rPr>
              <w:t>监察员</w:t>
            </w:r>
            <w:r w:rsidRPr="004C5120">
              <w:rPr>
                <w:szCs w:val="21"/>
              </w:rPr>
              <w:t>即代表着</w:t>
            </w:r>
            <w:r w:rsidRPr="004C5120">
              <w:rPr>
                <w:rFonts w:hint="eastAsia"/>
                <w:szCs w:val="21"/>
              </w:rPr>
              <w:t>负责这一职能</w:t>
            </w:r>
            <w:r w:rsidRPr="004C5120">
              <w:rPr>
                <w:szCs w:val="21"/>
              </w:rPr>
              <w:t>的制度</w:t>
            </w:r>
            <w:r w:rsidRPr="004C5120">
              <w:rPr>
                <w:rFonts w:hint="eastAsia"/>
                <w:szCs w:val="21"/>
              </w:rPr>
              <w:t>。</w:t>
            </w:r>
          </w:p>
        </w:tc>
      </w:tr>
      <w:tr w:rsidR="004F7853" w:rsidRPr="004C5120" w:rsidTr="008B5B56">
        <w:trPr>
          <w:trHeight w:val="240"/>
        </w:trPr>
        <w:tc>
          <w:tcPr>
            <w:tcW w:w="7594"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80" w:after="80" w:line="240" w:lineRule="exact"/>
              <w:ind w:left="57" w:right="57"/>
              <w:rPr>
                <w:szCs w:val="21"/>
              </w:rPr>
            </w:pPr>
            <w:r w:rsidRPr="004C5120">
              <w:rPr>
                <w:rFonts w:hint="eastAsia"/>
                <w:szCs w:val="21"/>
              </w:rPr>
              <w:t>所有这些规定都将确保隔离拘留期间实施的各项措施受到密切监督。</w:t>
            </w:r>
          </w:p>
        </w:tc>
      </w:tr>
      <w:tr w:rsidR="004F7853" w:rsidRPr="004C5120" w:rsidTr="008B5B56">
        <w:trPr>
          <w:trHeight w:val="240"/>
        </w:trPr>
        <w:tc>
          <w:tcPr>
            <w:tcW w:w="7594" w:type="dxa"/>
            <w:gridSpan w:val="2"/>
            <w:shd w:val="clear" w:color="auto" w:fill="auto"/>
          </w:tcPr>
          <w:p w:rsidR="004F7853" w:rsidRPr="004C5120" w:rsidRDefault="004F7853" w:rsidP="00666069">
            <w:pPr>
              <w:keepNext/>
              <w:keepLines/>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非政府组织资料</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对《刑事诉讼法》的全面改革尚未得到通过，且虽然各国际机构提出了建议，但西班牙仍在实行隔离拘留。</w:t>
            </w:r>
            <w:r w:rsidRPr="004C5120">
              <w:rPr>
                <w:rFonts w:hint="eastAsia"/>
                <w:szCs w:val="21"/>
              </w:rPr>
              <w:t>(</w:t>
            </w:r>
            <w:r w:rsidRPr="004C5120">
              <w:rPr>
                <w:rFonts w:hint="eastAsia"/>
                <w:szCs w:val="21"/>
              </w:rPr>
              <w:t>根据《刑事诉讼法》第</w:t>
            </w:r>
            <w:r w:rsidRPr="004C5120">
              <w:rPr>
                <w:rFonts w:hint="eastAsia"/>
                <w:szCs w:val="21"/>
              </w:rPr>
              <w:t>509</w:t>
            </w:r>
            <w:r w:rsidRPr="004C5120">
              <w:rPr>
                <w:rFonts w:hint="eastAsia"/>
                <w:szCs w:val="21"/>
              </w:rPr>
              <w:t>条和第</w:t>
            </w:r>
            <w:r w:rsidRPr="004C5120">
              <w:rPr>
                <w:rFonts w:hint="eastAsia"/>
                <w:szCs w:val="21"/>
              </w:rPr>
              <w:t>520</w:t>
            </w:r>
            <w:r w:rsidRPr="004C5120">
              <w:rPr>
                <w:rFonts w:hint="eastAsia"/>
                <w:szCs w:val="21"/>
              </w:rPr>
              <w:t>条之二的规定</w:t>
            </w:r>
            <w:r w:rsidRPr="004C5120">
              <w:rPr>
                <w:rFonts w:hint="eastAsia"/>
                <w:szCs w:val="21"/>
              </w:rPr>
              <w:t>)</w:t>
            </w:r>
            <w:r w:rsidRPr="004C5120">
              <w:rPr>
                <w:rFonts w:hint="eastAsia"/>
                <w:szCs w:val="21"/>
              </w:rPr>
              <w:t>适用于被控犯有恐怖主义行为和从属于武装团体的人员的隔离拘留违反了西班牙承担的国际义务，包括根据《公约》第十七条第二款</w:t>
            </w:r>
            <w:r w:rsidRPr="004C5120">
              <w:rPr>
                <w:rFonts w:hint="eastAsia"/>
                <w:szCs w:val="21"/>
              </w:rPr>
              <w:t>(</w:t>
            </w:r>
            <w:r w:rsidRPr="004C5120">
              <w:rPr>
                <w:rFonts w:hint="eastAsia"/>
                <w:szCs w:val="21"/>
              </w:rPr>
              <w:t>四</w:t>
            </w:r>
            <w:r w:rsidRPr="004C5120">
              <w:rPr>
                <w:rFonts w:hint="eastAsia"/>
                <w:szCs w:val="21"/>
              </w:rPr>
              <w:t>)</w:t>
            </w:r>
            <w:r w:rsidRPr="004C5120">
              <w:rPr>
                <w:rFonts w:hint="eastAsia"/>
                <w:szCs w:val="21"/>
              </w:rPr>
              <w:t>项和第十八条承担的义务，这两条载列了允许任何被剥夺自由者与其家人、律师或所选择的任何其他人员联络并接受这些人员探视的保障规定。</w:t>
            </w:r>
          </w:p>
        </w:tc>
      </w:tr>
      <w:tr w:rsidR="004F7853" w:rsidRPr="004C5120" w:rsidTr="008B5B56">
        <w:trPr>
          <w:trHeight w:val="240"/>
        </w:trPr>
        <w:tc>
          <w:tcPr>
            <w:tcW w:w="7594" w:type="dxa"/>
            <w:gridSpan w:val="2"/>
            <w:shd w:val="clear" w:color="auto" w:fill="auto"/>
          </w:tcPr>
          <w:p w:rsidR="004F7853" w:rsidRPr="004C5120" w:rsidRDefault="004F7853" w:rsidP="00C93AFD">
            <w:pPr>
              <w:keepNext/>
              <w:keepLines/>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近期，欧洲人权法院也注意到了西班牙现行法律规定的隔离拘留制度与国际人权法不符的问题，再次在两宗案件中裁定西班牙违反了其根据《欧洲人权公约》第</w:t>
            </w:r>
            <w:r w:rsidRPr="004C5120">
              <w:rPr>
                <w:rFonts w:hint="eastAsia"/>
                <w:szCs w:val="21"/>
              </w:rPr>
              <w:t>3</w:t>
            </w:r>
            <w:r w:rsidRPr="004C5120">
              <w:rPr>
                <w:rFonts w:hint="eastAsia"/>
                <w:szCs w:val="21"/>
              </w:rPr>
              <w:t>条承担的积极义务。在这两起案件中，根据《刑事诉讼法》被拘留的当事人分别被隔离拘留了</w:t>
            </w:r>
            <w:r w:rsidRPr="004C5120">
              <w:rPr>
                <w:rFonts w:hint="eastAsia"/>
                <w:szCs w:val="21"/>
              </w:rPr>
              <w:t>5</w:t>
            </w:r>
            <w:r w:rsidRPr="004C5120">
              <w:rPr>
                <w:rFonts w:hint="eastAsia"/>
                <w:szCs w:val="21"/>
              </w:rPr>
              <w:t>天和</w:t>
            </w:r>
            <w:r w:rsidRPr="004C5120">
              <w:rPr>
                <w:rFonts w:hint="eastAsia"/>
                <w:szCs w:val="21"/>
              </w:rPr>
              <w:t>4</w:t>
            </w:r>
            <w:r w:rsidRPr="004C5120">
              <w:rPr>
                <w:rFonts w:hint="eastAsia"/>
                <w:szCs w:val="21"/>
              </w:rPr>
              <w:t>天，无法按照《公约》第十七条第二款</w:t>
            </w:r>
            <w:r w:rsidRPr="004C5120">
              <w:rPr>
                <w:rFonts w:hint="eastAsia"/>
                <w:szCs w:val="21"/>
              </w:rPr>
              <w:t>(</w:t>
            </w:r>
            <w:r w:rsidRPr="004C5120">
              <w:rPr>
                <w:rFonts w:hint="eastAsia"/>
                <w:szCs w:val="21"/>
              </w:rPr>
              <w:t>四</w:t>
            </w:r>
            <w:r w:rsidRPr="004C5120">
              <w:rPr>
                <w:rFonts w:hint="eastAsia"/>
                <w:szCs w:val="21"/>
              </w:rPr>
              <w:t>)</w:t>
            </w:r>
            <w:r w:rsidRPr="004C5120">
              <w:rPr>
                <w:rFonts w:hint="eastAsia"/>
                <w:szCs w:val="21"/>
              </w:rPr>
              <w:t>项等条文的规定，与家人、律师或自己选择的任何其他人员联络并接受这些人的探视。</w:t>
            </w:r>
          </w:p>
        </w:tc>
      </w:tr>
      <w:tr w:rsidR="004F7853" w:rsidRPr="004C5120" w:rsidTr="008B5B56">
        <w:trPr>
          <w:trHeight w:val="240"/>
        </w:trPr>
        <w:tc>
          <w:tcPr>
            <w:tcW w:w="7594"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委员会的评价</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asciiTheme="majorBidi" w:eastAsia="黑体" w:hAnsiTheme="majorBidi" w:cstheme="majorBidi"/>
                <w:b/>
                <w:szCs w:val="21"/>
              </w:rPr>
              <w:t>[B]</w:t>
            </w:r>
            <w:r w:rsidRPr="004C5120">
              <w:rPr>
                <w:rFonts w:hint="eastAsia"/>
                <w:bCs/>
                <w:szCs w:val="21"/>
              </w:rPr>
              <w:t>：</w:t>
            </w:r>
            <w:r w:rsidRPr="004C5120">
              <w:rPr>
                <w:rFonts w:hint="eastAsia"/>
                <w:szCs w:val="21"/>
              </w:rPr>
              <w:t>委员会注意到在《刑事诉讼法》改革方面取得的进展，但重申其建议，并请缔约国在根据委员会结论性意见</w:t>
            </w:r>
            <w:r w:rsidRPr="004C5120">
              <w:rPr>
                <w:szCs w:val="21"/>
              </w:rPr>
              <w:t>(CED/C/ESP/CO/1)</w:t>
            </w:r>
            <w:r w:rsidRPr="004C5120">
              <w:rPr>
                <w:rFonts w:hint="eastAsia"/>
                <w:szCs w:val="21"/>
              </w:rPr>
              <w:t>第</w:t>
            </w:r>
            <w:r w:rsidRPr="004C5120">
              <w:rPr>
                <w:rFonts w:hint="eastAsia"/>
                <w:szCs w:val="21"/>
              </w:rPr>
              <w:t>40</w:t>
            </w:r>
            <w:r w:rsidRPr="004C5120">
              <w:rPr>
                <w:rFonts w:hint="eastAsia"/>
                <w:szCs w:val="21"/>
              </w:rPr>
              <w:t>段提交资料时，说明采取了哪些措施以确保《刑事诉讼法》改革所成案文即便是在自由裁量制度下，也不包含任何可能违反《公约》第十七条第二款规定的对被拘留者权利的限制，以及这些措施的成果。</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rFonts w:asciiTheme="majorBidi" w:eastAsia="黑体" w:hAnsiTheme="majorBidi" w:cstheme="majorBidi"/>
                <w:bCs/>
                <w:szCs w:val="21"/>
              </w:rPr>
            </w:pPr>
            <w:r w:rsidRPr="004C5120">
              <w:rPr>
                <w:rFonts w:asciiTheme="majorBidi" w:eastAsia="黑体" w:hAnsiTheme="majorBidi" w:cstheme="majorBidi"/>
                <w:bCs/>
                <w:szCs w:val="21"/>
              </w:rPr>
              <w:t>第</w:t>
            </w:r>
            <w:r w:rsidRPr="004C5120">
              <w:rPr>
                <w:rFonts w:asciiTheme="majorBidi" w:eastAsia="黑体" w:hAnsiTheme="majorBidi" w:cstheme="majorBidi"/>
                <w:bCs/>
                <w:szCs w:val="21"/>
              </w:rPr>
              <w:t>32</w:t>
            </w:r>
            <w:r w:rsidRPr="004C5120">
              <w:rPr>
                <w:rFonts w:asciiTheme="majorBidi" w:eastAsia="黑体" w:hAnsiTheme="majorBidi" w:cstheme="majorBidi"/>
                <w:bCs/>
                <w:szCs w:val="21"/>
              </w:rPr>
              <w:t>段：委员会忆及，即便没有人提出正式申诉，国家也有义务寻找强迫失踪受害者、查清他们的下落，失踪者家人有资格了解失踪亲人的真正下落。就此，委员会建议缔约国采取一切必要措施，包括调配充足的人力、技术资源和财力，寻找并查清失踪人员的下落。同样，缔约国应考虑是否可能成立一个特设机构负责寻找强迫失踪受害者，并赋予该机构足够的职权和资源以有效发挥作用。</w:t>
            </w:r>
          </w:p>
        </w:tc>
      </w:tr>
      <w:tr w:rsidR="004F7853" w:rsidRPr="004C5120" w:rsidTr="008B5B56">
        <w:trPr>
          <w:trHeight w:val="240"/>
        </w:trPr>
        <w:tc>
          <w:tcPr>
            <w:tcW w:w="7594"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Theme="majorBidi" w:eastAsia="黑体" w:hAnsiTheme="majorBidi" w:cstheme="majorBidi"/>
                <w:bCs/>
                <w:szCs w:val="21"/>
              </w:rPr>
            </w:pPr>
            <w:r w:rsidRPr="004C5120">
              <w:rPr>
                <w:rFonts w:asciiTheme="majorBidi" w:eastAsia="黑体" w:hAnsiTheme="majorBidi" w:cstheme="majorBidi"/>
                <w:bCs/>
                <w:szCs w:val="21"/>
              </w:rPr>
              <w:t>缔约国答复概要</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2012</w:t>
            </w:r>
            <w:r w:rsidRPr="004C5120">
              <w:rPr>
                <w:rFonts w:hint="eastAsia"/>
                <w:szCs w:val="21"/>
              </w:rPr>
              <w:t>年，赦</w:t>
            </w:r>
            <w:r w:rsidRPr="004C5120">
              <w:rPr>
                <w:rFonts w:hint="eastAsia"/>
                <w:spacing w:val="4"/>
                <w:szCs w:val="21"/>
              </w:rPr>
              <w:t>免权与其他权利厅承接了历史记忆保护方面的许多职能，继续向感兴趣的方面通报发展动态并通过检索各国立机关的存档和文件，调查各宗失踪案件。这也是行政总局的工作重点，该局的工作对各自治区开展的工作进行补充。应</w:t>
            </w:r>
            <w:r w:rsidRPr="004C5120">
              <w:rPr>
                <w:rFonts w:hint="eastAsia"/>
                <w:spacing w:val="-4"/>
                <w:szCs w:val="21"/>
              </w:rPr>
              <w:t>当指出，寻求真相、司法、赔偿和保证不再发生问题特别报告员已经查明，各自</w:t>
            </w:r>
            <w:r w:rsidRPr="004C5120">
              <w:rPr>
                <w:rFonts w:hint="eastAsia"/>
                <w:szCs w:val="21"/>
              </w:rPr>
              <w:t>治区正在开展的某些类型的工作是这一领域最佳做法的范例。</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在《历史记忆法》的范围内，赦免权与其他权利厅开展与墓址勘察、公共服务、资金援助、补救与个体承认声明有关的职能，并管理死于纳粹集中营的西班牙国民的数据库。</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关于实施《历史记忆法》的预算拨款，近年来已向各历史记忆协会划拨了逾</w:t>
            </w:r>
            <w:r w:rsidRPr="004C5120">
              <w:rPr>
                <w:rFonts w:hint="eastAsia"/>
                <w:szCs w:val="21"/>
              </w:rPr>
              <w:t>2,500</w:t>
            </w:r>
            <w:r w:rsidRPr="004C5120">
              <w:rPr>
                <w:rFonts w:hint="eastAsia"/>
                <w:szCs w:val="21"/>
              </w:rPr>
              <w:t>万欧元，用于诸多项目，包括内战墓地的发掘。但是，目前政府由于开支限制，无法下发这些用途的款项。</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不应将这一状况解读为政府缺乏意愿。</w:t>
            </w:r>
            <w:r w:rsidRPr="004C5120">
              <w:rPr>
                <w:rFonts w:hint="eastAsia"/>
                <w:szCs w:val="21"/>
              </w:rPr>
              <w:t>2014</w:t>
            </w:r>
            <w:r w:rsidRPr="004C5120">
              <w:rPr>
                <w:rFonts w:hint="eastAsia"/>
                <w:szCs w:val="21"/>
              </w:rPr>
              <w:t>年</w:t>
            </w:r>
            <w:r w:rsidRPr="004C5120">
              <w:rPr>
                <w:rFonts w:hint="eastAsia"/>
                <w:szCs w:val="21"/>
              </w:rPr>
              <w:t>9</w:t>
            </w:r>
            <w:r w:rsidRPr="004C5120">
              <w:rPr>
                <w:rFonts w:hint="eastAsia"/>
                <w:szCs w:val="21"/>
              </w:rPr>
              <w:t>月，司法部对西班牙议会称：“哪怕只有一人还埋葬在沟渠中，而其家人还在询问其遗体和安葬情况，则不论该人在内战这种最野蛮的战争中属于哪一方，现政府或任何其他政府均不会坐视不理”。</w:t>
            </w:r>
          </w:p>
        </w:tc>
      </w:tr>
      <w:tr w:rsidR="004F7853" w:rsidRPr="004C5120" w:rsidTr="008B5B56">
        <w:trPr>
          <w:trHeight w:val="240"/>
        </w:trPr>
        <w:tc>
          <w:tcPr>
            <w:tcW w:w="7594"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非政府组织资料</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虽然各国际人权保护机制一再提出有关建议，但负责在国家层面实施《历史记忆法》的司法部赦免权与其他权利厅仍未得到开展这一工作的预算拨款。因此，西班牙仍在违反其根据《公约》第二十四条第二和第三款承担的国际义务，并使失踪人员的家人承受了采取必要步骤以安排发掘工作、验明遗体身份和确定亲人死亡真相的负担。发掘遗体时，没有法官、检察官或警官在场，这些人员的缺席构成严重失职。</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rFonts w:hint="eastAsia"/>
                <w:szCs w:val="21"/>
              </w:rPr>
              <w:t>2013</w:t>
            </w:r>
            <w:r w:rsidRPr="004C5120">
              <w:rPr>
                <w:rFonts w:hint="eastAsia"/>
                <w:szCs w:val="21"/>
              </w:rPr>
              <w:t>年</w:t>
            </w:r>
            <w:r w:rsidRPr="004C5120">
              <w:rPr>
                <w:rFonts w:hint="eastAsia"/>
                <w:szCs w:val="21"/>
              </w:rPr>
              <w:t>11</w:t>
            </w:r>
            <w:r w:rsidRPr="004C5120">
              <w:rPr>
                <w:rFonts w:hint="eastAsia"/>
                <w:szCs w:val="21"/>
              </w:rPr>
              <w:t>月以来，西班牙罔顾各国际机构在这方面提出的所有建议，一直未能设立一个负责搜寻失踪人员的国家机构，且仍未表示已采取行动要这样做。</w:t>
            </w:r>
          </w:p>
        </w:tc>
      </w:tr>
      <w:tr w:rsidR="004F7853" w:rsidRPr="004C5120" w:rsidTr="008B5B56">
        <w:trPr>
          <w:trHeight w:val="240"/>
        </w:trPr>
        <w:tc>
          <w:tcPr>
            <w:tcW w:w="7594" w:type="dxa"/>
            <w:gridSpan w:val="2"/>
            <w:shd w:val="clear" w:color="auto" w:fill="auto"/>
          </w:tcPr>
          <w:p w:rsidR="004F7853" w:rsidRPr="004C5120" w:rsidRDefault="004F7853" w:rsidP="00666069">
            <w:pPr>
              <w:keepNext/>
              <w:keepLines/>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委员会的评价</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b/>
                <w:szCs w:val="21"/>
              </w:rPr>
              <w:t>[C]</w:t>
            </w:r>
            <w:r w:rsidRPr="004C5120">
              <w:rPr>
                <w:rFonts w:hint="eastAsia"/>
                <w:bCs/>
                <w:szCs w:val="21"/>
              </w:rPr>
              <w:t>：</w:t>
            </w:r>
            <w:r w:rsidRPr="004C5120">
              <w:rPr>
                <w:rFonts w:hint="eastAsia"/>
                <w:szCs w:val="21"/>
              </w:rPr>
              <w:t>委员会注意到缔约国提供的资料，忆及其建议，请缔约国在根据委员会结论性意见</w:t>
            </w:r>
            <w:r w:rsidRPr="004C5120">
              <w:rPr>
                <w:szCs w:val="21"/>
              </w:rPr>
              <w:t>(CED/C/ESP/CO/1)</w:t>
            </w:r>
            <w:r w:rsidRPr="004C5120">
              <w:rPr>
                <w:rFonts w:hint="eastAsia"/>
                <w:szCs w:val="21"/>
              </w:rPr>
              <w:t>第</w:t>
            </w:r>
            <w:r w:rsidRPr="004C5120">
              <w:rPr>
                <w:rFonts w:hint="eastAsia"/>
                <w:szCs w:val="21"/>
              </w:rPr>
              <w:t>40</w:t>
            </w:r>
            <w:r w:rsidRPr="004C5120">
              <w:rPr>
                <w:rFonts w:hint="eastAsia"/>
                <w:szCs w:val="21"/>
              </w:rPr>
              <w:t>段提交资料时，提供额外的详细资料，说明自该结论性意见通过以来采取了哪些措施以落实各项建议，包括关于划拨人力、技术和财政资源用于搜寻失踪人员</w:t>
            </w:r>
            <w:r w:rsidRPr="004C5120">
              <w:rPr>
                <w:szCs w:val="21"/>
              </w:rPr>
              <w:t>并查清其生死下落</w:t>
            </w:r>
            <w:r w:rsidRPr="004C5120">
              <w:rPr>
                <w:rFonts w:hint="eastAsia"/>
                <w:szCs w:val="21"/>
              </w:rPr>
              <w:t>的建议，并说明这些措施的成果。委员会还希望了解缔约国是否已经审议了可否建立一个特设机构以负责搜寻强迫失踪受害人并赋予该机构足够的权力和资源使其能有效发挥作用的问题，以及</w:t>
            </w:r>
            <w:r w:rsidRPr="004C5120">
              <w:rPr>
                <w:rFonts w:hint="eastAsia"/>
                <w:szCs w:val="21"/>
              </w:rPr>
              <w:t>/</w:t>
            </w:r>
            <w:r w:rsidRPr="004C5120">
              <w:rPr>
                <w:rFonts w:hint="eastAsia"/>
                <w:szCs w:val="21"/>
              </w:rPr>
              <w:t>或缔约国是否已在这方面采取了任何措施。</w:t>
            </w:r>
          </w:p>
        </w:tc>
      </w:tr>
      <w:tr w:rsidR="004F7853" w:rsidRPr="004C5120" w:rsidTr="008B5B56">
        <w:trPr>
          <w:trHeight w:val="240"/>
        </w:trPr>
        <w:tc>
          <w:tcPr>
            <w:tcW w:w="7594"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bCs/>
                <w:szCs w:val="21"/>
              </w:rPr>
            </w:pPr>
            <w:r w:rsidRPr="004C5120">
              <w:rPr>
                <w:rFonts w:ascii="黑体" w:eastAsia="黑体" w:hint="eastAsia"/>
                <w:bCs/>
                <w:szCs w:val="21"/>
              </w:rPr>
              <w:t>需采取的行动</w:t>
            </w:r>
          </w:p>
        </w:tc>
      </w:tr>
      <w:tr w:rsidR="004F7853" w:rsidRPr="004C5120" w:rsidTr="008B5B56">
        <w:trPr>
          <w:trHeight w:val="240"/>
        </w:trPr>
        <w:tc>
          <w:tcPr>
            <w:tcW w:w="7594" w:type="dxa"/>
            <w:gridSpan w:val="2"/>
            <w:shd w:val="clear" w:color="auto" w:fill="auto"/>
          </w:tcPr>
          <w:p w:rsidR="004F7853" w:rsidRPr="004C5120" w:rsidRDefault="004F7853" w:rsidP="008B5B56">
            <w:pPr>
              <w:tabs>
                <w:tab w:val="left" w:pos="334"/>
                <w:tab w:val="left" w:pos="669"/>
                <w:tab w:val="left" w:pos="1003"/>
                <w:tab w:val="left" w:pos="1338"/>
              </w:tabs>
              <w:suppressAutoHyphens/>
              <w:spacing w:before="60" w:after="60" w:line="240" w:lineRule="exact"/>
              <w:ind w:left="57" w:right="57"/>
              <w:rPr>
                <w:szCs w:val="21"/>
              </w:rPr>
            </w:pPr>
            <w:r w:rsidRPr="004C5120">
              <w:rPr>
                <w:szCs w:val="21"/>
              </w:rPr>
              <w:t>应致函缔约国，反映委员会的评价。</w:t>
            </w:r>
          </w:p>
        </w:tc>
      </w:tr>
      <w:tr w:rsidR="004F7853" w:rsidRPr="004C5120" w:rsidTr="008B5B56">
        <w:trPr>
          <w:trHeight w:val="240"/>
        </w:trPr>
        <w:tc>
          <w:tcPr>
            <w:tcW w:w="7594" w:type="dxa"/>
            <w:gridSpan w:val="2"/>
            <w:tcBorders>
              <w:bottom w:val="single" w:sz="12" w:space="0" w:color="auto"/>
            </w:tcBorders>
            <w:shd w:val="clear" w:color="auto" w:fill="auto"/>
          </w:tcPr>
          <w:p w:rsidR="004F7853" w:rsidRPr="004C5120" w:rsidRDefault="004F7853" w:rsidP="00666069">
            <w:pPr>
              <w:tabs>
                <w:tab w:val="left" w:pos="334"/>
                <w:tab w:val="left" w:pos="669"/>
                <w:tab w:val="left" w:pos="1003"/>
                <w:tab w:val="left" w:pos="1338"/>
              </w:tabs>
              <w:suppressAutoHyphens/>
              <w:spacing w:before="60" w:after="100" w:line="240" w:lineRule="exact"/>
              <w:ind w:left="57" w:right="57"/>
              <w:rPr>
                <w:rFonts w:asciiTheme="majorBidi" w:eastAsia="黑体" w:hAnsiTheme="majorBidi" w:cstheme="majorBidi"/>
                <w:szCs w:val="21"/>
              </w:rPr>
            </w:pPr>
            <w:r w:rsidRPr="004C5120">
              <w:rPr>
                <w:rFonts w:asciiTheme="majorBidi" w:eastAsia="黑体" w:hAnsiTheme="majorBidi" w:cstheme="majorBidi"/>
                <w:bCs/>
                <w:szCs w:val="21"/>
                <w:lang w:val="zh-CN"/>
              </w:rPr>
              <w:t>应在</w:t>
            </w:r>
            <w:r w:rsidRPr="004C5120">
              <w:rPr>
                <w:rFonts w:asciiTheme="majorBidi" w:eastAsia="黑体" w:hAnsiTheme="majorBidi" w:cstheme="majorBidi"/>
                <w:bCs/>
                <w:szCs w:val="21"/>
              </w:rPr>
              <w:t>2019</w:t>
            </w:r>
            <w:r w:rsidRPr="004C5120">
              <w:rPr>
                <w:rFonts w:asciiTheme="majorBidi" w:eastAsia="黑体" w:hAnsiTheme="majorBidi" w:cstheme="majorBidi"/>
                <w:bCs/>
                <w:szCs w:val="21"/>
                <w:lang w:val="zh-CN"/>
              </w:rPr>
              <w:t>年</w:t>
            </w:r>
            <w:r w:rsidRPr="004C5120">
              <w:rPr>
                <w:rFonts w:asciiTheme="majorBidi" w:eastAsia="黑体" w:hAnsiTheme="majorBidi" w:cstheme="majorBidi"/>
                <w:bCs/>
                <w:szCs w:val="21"/>
              </w:rPr>
              <w:t>11</w:t>
            </w:r>
            <w:r w:rsidRPr="004C5120">
              <w:rPr>
                <w:rFonts w:asciiTheme="majorBidi" w:eastAsia="黑体" w:hAnsiTheme="majorBidi" w:cstheme="majorBidi"/>
                <w:bCs/>
                <w:szCs w:val="21"/>
                <w:lang w:val="zh-CN"/>
              </w:rPr>
              <w:t>月</w:t>
            </w:r>
            <w:r w:rsidRPr="004C5120">
              <w:rPr>
                <w:rFonts w:asciiTheme="majorBidi" w:eastAsia="黑体" w:hAnsiTheme="majorBidi" w:cstheme="majorBidi"/>
                <w:bCs/>
                <w:szCs w:val="21"/>
              </w:rPr>
              <w:t>15</w:t>
            </w:r>
            <w:r w:rsidRPr="004C5120">
              <w:rPr>
                <w:rFonts w:asciiTheme="majorBidi" w:eastAsia="黑体" w:hAnsiTheme="majorBidi" w:cstheme="majorBidi"/>
                <w:bCs/>
                <w:szCs w:val="21"/>
                <w:lang w:val="zh-CN"/>
              </w:rPr>
              <w:t>日之前提交关于所有建议落实情况的后续行动资料</w:t>
            </w:r>
          </w:p>
        </w:tc>
      </w:tr>
    </w:tbl>
    <w:p w:rsidR="00D120A8" w:rsidRPr="00D120A8" w:rsidRDefault="00D120A8" w:rsidP="00D120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D120A8" w:rsidRPr="00D120A8" w:rsidRDefault="00D120A8" w:rsidP="00D120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666069" w:rsidRPr="00666069" w:rsidRDefault="00666069" w:rsidP="0066606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5A7F64" w:rsidRDefault="004F7853" w:rsidP="00D120A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5A7F64">
        <w:tab/>
        <w:t>C.</w:t>
      </w:r>
      <w:r w:rsidRPr="005A7F64">
        <w:tab/>
        <w:t>德国</w:t>
      </w:r>
    </w:p>
    <w:p w:rsidR="00D120A8" w:rsidRPr="00D120A8" w:rsidRDefault="00D120A8" w:rsidP="00D120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D120A8" w:rsidRPr="00D120A8" w:rsidRDefault="00D120A8" w:rsidP="00D120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F7853" w:rsidRPr="005A7F64" w:rsidRDefault="004F7853" w:rsidP="00D120A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5A7F64">
        <w:tab/>
      </w:r>
      <w:r w:rsidRPr="005A7F64">
        <w:tab/>
      </w:r>
      <w:r w:rsidRPr="005A7F64">
        <w:rPr>
          <w:rFonts w:hint="eastAsia"/>
        </w:rPr>
        <w:t>第六届会议</w:t>
      </w:r>
      <w:r w:rsidRPr="00D120A8">
        <w:rPr>
          <w:rFonts w:asciiTheme="majorBidi" w:hAnsiTheme="majorBidi" w:cstheme="majorBidi"/>
        </w:rPr>
        <w:t>(2014</w:t>
      </w:r>
      <w:r w:rsidRPr="005A7F64">
        <w:rPr>
          <w:rFonts w:hint="eastAsia"/>
        </w:rPr>
        <w:t>年</w:t>
      </w:r>
      <w:r w:rsidRPr="00D120A8">
        <w:rPr>
          <w:rFonts w:asciiTheme="majorBidi" w:hAnsiTheme="majorBidi" w:cstheme="majorBidi"/>
        </w:rPr>
        <w:t>3</w:t>
      </w:r>
      <w:r w:rsidRPr="00D120A8">
        <w:rPr>
          <w:rFonts w:asciiTheme="majorBidi" w:hAnsiTheme="majorBidi" w:cstheme="majorBidi"/>
        </w:rPr>
        <w:t>月</w:t>
      </w:r>
      <w:r w:rsidRPr="00D120A8">
        <w:rPr>
          <w:rFonts w:asciiTheme="majorBidi" w:hAnsiTheme="majorBidi" w:cstheme="majorBidi"/>
        </w:rPr>
        <w:t>)</w:t>
      </w:r>
    </w:p>
    <w:p w:rsidR="004F7853" w:rsidRPr="00D120A8" w:rsidRDefault="004F7853" w:rsidP="00D120A8">
      <w:pPr>
        <w:pStyle w:val="SingleTxt"/>
        <w:spacing w:after="0" w:line="120" w:lineRule="exact"/>
        <w:rPr>
          <w:sz w:val="10"/>
        </w:rPr>
      </w:pPr>
    </w:p>
    <w:p w:rsidR="00D120A8" w:rsidRDefault="00D120A8" w:rsidP="00D120A8">
      <w:pPr>
        <w:pStyle w:val="SingleTxt"/>
        <w:spacing w:after="0" w:line="120" w:lineRule="exact"/>
        <w:rPr>
          <w:sz w:val="10"/>
        </w:rPr>
      </w:pPr>
    </w:p>
    <w:tbl>
      <w:tblPr>
        <w:tblW w:w="7655" w:type="dxa"/>
        <w:tblInd w:w="1276" w:type="dxa"/>
        <w:tblCellMar>
          <w:left w:w="0" w:type="dxa"/>
          <w:right w:w="113" w:type="dxa"/>
        </w:tblCellMar>
        <w:tblLook w:val="04A0" w:firstRow="1" w:lastRow="0" w:firstColumn="1" w:lastColumn="0" w:noHBand="0" w:noVBand="1"/>
      </w:tblPr>
      <w:tblGrid>
        <w:gridCol w:w="2552"/>
        <w:gridCol w:w="5103"/>
      </w:tblGrid>
      <w:tr w:rsidR="004F7853" w:rsidRPr="004C5120" w:rsidTr="00D120A8">
        <w:trPr>
          <w:trHeight w:val="240"/>
          <w:tblHeader/>
        </w:trPr>
        <w:tc>
          <w:tcPr>
            <w:tcW w:w="2552" w:type="dxa"/>
            <w:tcBorders>
              <w:top w:val="single" w:sz="4" w:space="0" w:color="auto"/>
              <w:bottom w:val="single" w:sz="12" w:space="0" w:color="auto"/>
            </w:tcBorders>
            <w:shd w:val="clear" w:color="auto" w:fill="auto"/>
            <w:vAlign w:val="bottom"/>
          </w:tcPr>
          <w:p w:rsidR="004F7853" w:rsidRPr="004C5120" w:rsidRDefault="004F7853" w:rsidP="00C72D14">
            <w:pPr>
              <w:pStyle w:val="H4"/>
              <w:spacing w:before="60" w:after="60" w:line="200" w:lineRule="exact"/>
              <w:ind w:left="57" w:right="57"/>
              <w:rPr>
                <w:rFonts w:ascii="Times New Roman" w:eastAsia="楷体" w:hAnsiTheme="majorBidi" w:cstheme="majorBidi"/>
                <w:szCs w:val="21"/>
              </w:rPr>
            </w:pPr>
            <w:r w:rsidRPr="004C5120">
              <w:rPr>
                <w:rFonts w:ascii="Times New Roman" w:eastAsia="楷体" w:hAnsiTheme="majorBidi" w:cstheme="majorBidi"/>
                <w:szCs w:val="21"/>
              </w:rPr>
              <w:t>德国</w:t>
            </w:r>
          </w:p>
        </w:tc>
        <w:tc>
          <w:tcPr>
            <w:tcW w:w="5103" w:type="dxa"/>
            <w:tcBorders>
              <w:top w:val="single" w:sz="4" w:space="0" w:color="auto"/>
              <w:bottom w:val="single" w:sz="12" w:space="0" w:color="auto"/>
            </w:tcBorders>
            <w:shd w:val="clear" w:color="auto" w:fill="auto"/>
            <w:vAlign w:val="bottom"/>
          </w:tcPr>
          <w:p w:rsidR="004F7853" w:rsidRPr="004C5120" w:rsidRDefault="004F7853" w:rsidP="00C72D1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after="60" w:line="200" w:lineRule="exact"/>
              <w:ind w:left="57" w:right="57"/>
              <w:rPr>
                <w:rFonts w:eastAsia="楷体" w:hAnsiTheme="majorBidi" w:cstheme="majorBidi"/>
                <w:szCs w:val="21"/>
              </w:rPr>
            </w:pPr>
          </w:p>
        </w:tc>
      </w:tr>
      <w:tr w:rsidR="004F7853" w:rsidRPr="004C5120" w:rsidTr="00D120A8">
        <w:trPr>
          <w:trHeight w:hRule="exact" w:val="115"/>
          <w:tblHeader/>
        </w:trPr>
        <w:tc>
          <w:tcPr>
            <w:tcW w:w="2552" w:type="dxa"/>
            <w:tcBorders>
              <w:top w:val="single" w:sz="12" w:space="0" w:color="auto"/>
            </w:tcBorders>
            <w:shd w:val="clear" w:color="auto" w:fill="auto"/>
            <w:vAlign w:val="bottom"/>
          </w:tcPr>
          <w:p w:rsidR="004F7853" w:rsidRPr="004C5120" w:rsidRDefault="004F7853" w:rsidP="00D120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80" w:lineRule="exact"/>
              <w:ind w:left="57" w:right="57"/>
              <w:rPr>
                <w:rFonts w:ascii="黑体" w:eastAsia="黑体" w:hAnsiTheme="majorBidi" w:cstheme="majorBidi"/>
                <w:szCs w:val="21"/>
              </w:rPr>
            </w:pPr>
          </w:p>
        </w:tc>
        <w:tc>
          <w:tcPr>
            <w:tcW w:w="5103" w:type="dxa"/>
            <w:tcBorders>
              <w:top w:val="single" w:sz="12" w:space="0" w:color="auto"/>
            </w:tcBorders>
            <w:shd w:val="clear" w:color="auto" w:fill="auto"/>
            <w:vAlign w:val="bottom"/>
          </w:tcPr>
          <w:p w:rsidR="004F7853" w:rsidRPr="004C5120" w:rsidRDefault="004F7853" w:rsidP="00D120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80" w:lineRule="exact"/>
              <w:ind w:left="57" w:right="57"/>
              <w:rPr>
                <w:rFonts w:asciiTheme="majorBidi" w:hAnsiTheme="majorBidi" w:cstheme="majorBidi"/>
                <w:szCs w:val="21"/>
              </w:rPr>
            </w:pPr>
          </w:p>
        </w:tc>
      </w:tr>
      <w:tr w:rsidR="004F7853" w:rsidRPr="004C5120" w:rsidTr="00D120A8">
        <w:trPr>
          <w:trHeight w:val="240"/>
        </w:trPr>
        <w:tc>
          <w:tcPr>
            <w:tcW w:w="2552" w:type="dxa"/>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黑体" w:eastAsia="黑体" w:hAnsiTheme="majorBidi" w:cstheme="majorBidi"/>
                <w:bCs/>
                <w:szCs w:val="21"/>
              </w:rPr>
            </w:pPr>
            <w:r w:rsidRPr="004C5120">
              <w:rPr>
                <w:rFonts w:ascii="黑体" w:eastAsia="黑体" w:hAnsiTheme="majorBidi" w:cstheme="majorBidi" w:hint="eastAsia"/>
                <w:bCs/>
                <w:szCs w:val="21"/>
              </w:rPr>
              <w:t>结论性意见：</w:t>
            </w:r>
          </w:p>
        </w:tc>
        <w:tc>
          <w:tcPr>
            <w:tcW w:w="5103" w:type="dxa"/>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CED/C/DEU/CO/1</w:t>
            </w:r>
            <w:r w:rsidRPr="004C5120">
              <w:rPr>
                <w:rFonts w:asciiTheme="majorBidi" w:hAnsiTheme="majorBidi" w:cstheme="majorBidi"/>
                <w:szCs w:val="21"/>
              </w:rPr>
              <w:t>，</w:t>
            </w:r>
            <w:r w:rsidRPr="004C5120">
              <w:rPr>
                <w:rFonts w:asciiTheme="majorBidi" w:hAnsiTheme="majorBidi" w:cstheme="majorBidi"/>
                <w:szCs w:val="21"/>
              </w:rPr>
              <w:t>2014</w:t>
            </w:r>
            <w:r w:rsidRPr="004C5120">
              <w:rPr>
                <w:rFonts w:asciiTheme="majorBidi" w:hAnsiTheme="majorBidi" w:cstheme="majorBidi"/>
                <w:szCs w:val="21"/>
              </w:rPr>
              <w:t>年</w:t>
            </w:r>
            <w:r w:rsidRPr="004C5120">
              <w:rPr>
                <w:rFonts w:asciiTheme="majorBidi" w:hAnsiTheme="majorBidi" w:cstheme="majorBidi"/>
                <w:szCs w:val="21"/>
              </w:rPr>
              <w:t>3</w:t>
            </w:r>
            <w:r w:rsidRPr="004C5120">
              <w:rPr>
                <w:rFonts w:asciiTheme="majorBidi" w:hAnsiTheme="majorBidi" w:cstheme="majorBidi"/>
                <w:szCs w:val="21"/>
              </w:rPr>
              <w:t>月</w:t>
            </w:r>
            <w:r w:rsidRPr="004C5120">
              <w:rPr>
                <w:rFonts w:asciiTheme="majorBidi" w:hAnsiTheme="majorBidi" w:cstheme="majorBidi"/>
                <w:szCs w:val="21"/>
              </w:rPr>
              <w:t>27</w:t>
            </w:r>
            <w:r w:rsidRPr="004C5120">
              <w:rPr>
                <w:rFonts w:asciiTheme="majorBidi" w:hAnsiTheme="majorBidi" w:cstheme="majorBidi"/>
                <w:szCs w:val="21"/>
              </w:rPr>
              <w:t>日通过</w:t>
            </w:r>
          </w:p>
        </w:tc>
      </w:tr>
      <w:tr w:rsidR="004F7853" w:rsidRPr="004C5120" w:rsidTr="00D120A8">
        <w:trPr>
          <w:trHeight w:val="240"/>
        </w:trPr>
        <w:tc>
          <w:tcPr>
            <w:tcW w:w="2552"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黑体" w:eastAsia="黑体" w:hAnsiTheme="majorBidi" w:cstheme="majorBidi"/>
                <w:bCs/>
                <w:szCs w:val="21"/>
              </w:rPr>
            </w:pPr>
            <w:r w:rsidRPr="004C5120">
              <w:rPr>
                <w:rFonts w:ascii="黑体" w:eastAsia="黑体" w:hAnsiTheme="majorBidi" w:cstheme="majorBidi" w:hint="eastAsia"/>
                <w:bCs/>
                <w:szCs w:val="21"/>
              </w:rPr>
              <w:t>需采取后续行动的建议：</w:t>
            </w:r>
          </w:p>
        </w:tc>
        <w:tc>
          <w:tcPr>
            <w:tcW w:w="5103"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第</w:t>
            </w:r>
            <w:r w:rsidRPr="004C5120">
              <w:rPr>
                <w:rFonts w:asciiTheme="majorBidi" w:hAnsiTheme="majorBidi" w:cstheme="majorBidi"/>
                <w:szCs w:val="21"/>
              </w:rPr>
              <w:t>8</w:t>
            </w:r>
            <w:r w:rsidRPr="004C5120">
              <w:rPr>
                <w:rFonts w:asciiTheme="majorBidi" w:hAnsiTheme="majorBidi" w:cstheme="majorBidi"/>
                <w:szCs w:val="21"/>
              </w:rPr>
              <w:t>、</w:t>
            </w:r>
            <w:r w:rsidRPr="004C5120">
              <w:rPr>
                <w:rFonts w:asciiTheme="majorBidi" w:hAnsiTheme="majorBidi" w:cstheme="majorBidi"/>
                <w:szCs w:val="21"/>
              </w:rPr>
              <w:t>9</w:t>
            </w:r>
            <w:r w:rsidRPr="004C5120">
              <w:rPr>
                <w:rFonts w:asciiTheme="majorBidi" w:hAnsiTheme="majorBidi" w:cstheme="majorBidi"/>
                <w:szCs w:val="21"/>
              </w:rPr>
              <w:t>和</w:t>
            </w:r>
            <w:r w:rsidRPr="004C5120">
              <w:rPr>
                <w:rFonts w:asciiTheme="majorBidi" w:hAnsiTheme="majorBidi" w:cstheme="majorBidi"/>
                <w:szCs w:val="21"/>
              </w:rPr>
              <w:t>29</w:t>
            </w:r>
            <w:r w:rsidRPr="004C5120">
              <w:rPr>
                <w:rFonts w:asciiTheme="majorBidi" w:hAnsiTheme="majorBidi" w:cstheme="majorBidi"/>
                <w:szCs w:val="21"/>
              </w:rPr>
              <w:t>段</w:t>
            </w:r>
          </w:p>
        </w:tc>
      </w:tr>
      <w:tr w:rsidR="004F7853" w:rsidRPr="004C5120" w:rsidTr="00D120A8">
        <w:trPr>
          <w:trHeight w:val="240"/>
        </w:trPr>
        <w:tc>
          <w:tcPr>
            <w:tcW w:w="2552"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黑体" w:eastAsia="黑体" w:hAnsiTheme="majorBidi" w:cstheme="majorBidi"/>
                <w:bCs/>
                <w:szCs w:val="21"/>
              </w:rPr>
            </w:pPr>
            <w:r w:rsidRPr="004C5120">
              <w:rPr>
                <w:rFonts w:ascii="黑体" w:eastAsia="黑体" w:hAnsiTheme="majorBidi" w:cstheme="majorBidi" w:hint="eastAsia"/>
                <w:bCs/>
                <w:szCs w:val="21"/>
              </w:rPr>
              <w:t>答复：</w:t>
            </w:r>
          </w:p>
        </w:tc>
        <w:tc>
          <w:tcPr>
            <w:tcW w:w="5103" w:type="dxa"/>
            <w:shd w:val="clear" w:color="auto" w:fill="auto"/>
          </w:tcPr>
          <w:p w:rsidR="004F7853" w:rsidRPr="004C5120" w:rsidRDefault="004F7853" w:rsidP="00E543F9">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应交日期：</w:t>
            </w:r>
            <w:r w:rsidRPr="004C5120">
              <w:rPr>
                <w:rFonts w:asciiTheme="majorBidi" w:hAnsiTheme="majorBidi" w:cstheme="majorBidi"/>
                <w:szCs w:val="21"/>
              </w:rPr>
              <w:t>2015</w:t>
            </w:r>
            <w:r w:rsidRPr="004C5120">
              <w:rPr>
                <w:rFonts w:asciiTheme="majorBidi" w:hAnsiTheme="majorBidi" w:cstheme="majorBidi"/>
                <w:szCs w:val="21"/>
              </w:rPr>
              <w:t>年</w:t>
            </w:r>
            <w:r w:rsidRPr="004C5120">
              <w:rPr>
                <w:rFonts w:asciiTheme="majorBidi" w:hAnsiTheme="majorBidi" w:cstheme="majorBidi"/>
                <w:szCs w:val="21"/>
              </w:rPr>
              <w:t>3</w:t>
            </w:r>
            <w:r w:rsidRPr="004C5120">
              <w:rPr>
                <w:rFonts w:asciiTheme="majorBidi" w:hAnsiTheme="majorBidi" w:cstheme="majorBidi"/>
                <w:szCs w:val="21"/>
              </w:rPr>
              <w:t>月</w:t>
            </w:r>
            <w:r w:rsidRPr="004C5120">
              <w:rPr>
                <w:rFonts w:asciiTheme="majorBidi" w:hAnsiTheme="majorBidi" w:cstheme="majorBidi"/>
                <w:szCs w:val="21"/>
              </w:rPr>
              <w:t>28</w:t>
            </w:r>
            <w:r w:rsidRPr="004C5120">
              <w:rPr>
                <w:rFonts w:asciiTheme="majorBidi" w:hAnsiTheme="majorBidi" w:cstheme="majorBidi"/>
                <w:szCs w:val="21"/>
              </w:rPr>
              <w:t>日；收到日期：</w:t>
            </w:r>
            <w:r w:rsidRPr="004C5120">
              <w:rPr>
                <w:rFonts w:asciiTheme="majorBidi" w:hAnsiTheme="majorBidi" w:cstheme="majorBidi"/>
                <w:szCs w:val="21"/>
              </w:rPr>
              <w:t>2015</w:t>
            </w:r>
            <w:r w:rsidRPr="004C5120">
              <w:rPr>
                <w:rFonts w:asciiTheme="majorBidi" w:hAnsiTheme="majorBidi" w:cstheme="majorBidi"/>
                <w:szCs w:val="21"/>
              </w:rPr>
              <w:t>年</w:t>
            </w:r>
            <w:r w:rsidRPr="004C5120">
              <w:rPr>
                <w:rFonts w:asciiTheme="majorBidi" w:hAnsiTheme="majorBidi" w:cstheme="majorBidi"/>
                <w:szCs w:val="21"/>
              </w:rPr>
              <w:t>4</w:t>
            </w:r>
            <w:r w:rsidRPr="004C5120">
              <w:rPr>
                <w:rFonts w:asciiTheme="majorBidi" w:hAnsiTheme="majorBidi" w:cstheme="majorBidi"/>
                <w:szCs w:val="21"/>
              </w:rPr>
              <w:t>月</w:t>
            </w:r>
            <w:r w:rsidRPr="004C5120">
              <w:rPr>
                <w:rFonts w:asciiTheme="majorBidi" w:hAnsiTheme="majorBidi" w:cstheme="majorBidi"/>
                <w:szCs w:val="21"/>
              </w:rPr>
              <w:t>14</w:t>
            </w:r>
            <w:r w:rsidRPr="004C5120">
              <w:rPr>
                <w:rFonts w:asciiTheme="majorBidi" w:hAnsiTheme="majorBidi" w:cstheme="majorBidi"/>
                <w:szCs w:val="21"/>
              </w:rPr>
              <w:t>日</w:t>
            </w:r>
            <w:r w:rsidRPr="004C5120">
              <w:rPr>
                <w:rFonts w:asciiTheme="majorBidi" w:hAnsiTheme="majorBidi" w:cstheme="majorBidi"/>
                <w:szCs w:val="21"/>
              </w:rPr>
              <w:t>(CED/C/DEU/CO/1/Add.1)</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eastAsia="黑体" w:hAnsiTheme="majorBidi" w:cstheme="majorBidi"/>
                <w:szCs w:val="21"/>
              </w:rPr>
            </w:pPr>
            <w:r w:rsidRPr="004C5120">
              <w:rPr>
                <w:rFonts w:asciiTheme="majorBidi" w:eastAsia="黑体" w:hAnsiTheme="majorBidi" w:cstheme="majorBidi"/>
                <w:szCs w:val="21"/>
              </w:rPr>
              <w:t>第</w:t>
            </w:r>
            <w:r w:rsidRPr="004C5120">
              <w:rPr>
                <w:rFonts w:asciiTheme="majorBidi" w:eastAsia="黑体" w:hAnsiTheme="majorBidi" w:cstheme="majorBidi"/>
                <w:szCs w:val="21"/>
              </w:rPr>
              <w:t>8</w:t>
            </w:r>
            <w:r w:rsidRPr="004C5120">
              <w:rPr>
                <w:rFonts w:asciiTheme="majorBidi" w:eastAsia="黑体" w:hAnsiTheme="majorBidi" w:cstheme="majorBidi"/>
                <w:szCs w:val="21"/>
              </w:rPr>
              <w:t>段：委员会建议缔约国采取必要立法措施，按照《公约》第二条所载定义，将强迫失踪定为一个单列罪行；规定该罪行可判以适当刑罚，量刑时考虑到该罪行的极端严重性；并且，按照《公约》第六条第</w:t>
            </w:r>
            <w:r w:rsidRPr="004C5120">
              <w:rPr>
                <w:rFonts w:asciiTheme="majorBidi" w:eastAsia="黑体" w:hAnsiTheme="majorBidi" w:cstheme="majorBidi"/>
                <w:szCs w:val="21"/>
              </w:rPr>
              <w:t>1</w:t>
            </w:r>
            <w:r w:rsidRPr="004C5120">
              <w:rPr>
                <w:rFonts w:asciiTheme="majorBidi" w:eastAsia="黑体" w:hAnsiTheme="majorBidi" w:cstheme="majorBidi"/>
                <w:szCs w:val="21"/>
              </w:rPr>
              <w:t>款</w:t>
            </w:r>
            <w:r w:rsidRPr="004C5120">
              <w:rPr>
                <w:rFonts w:asciiTheme="majorBidi" w:eastAsia="黑体" w:hAnsiTheme="majorBidi" w:cstheme="majorBidi"/>
                <w:szCs w:val="21"/>
              </w:rPr>
              <w:t>(</w:t>
            </w:r>
            <w:r w:rsidRPr="004C5120">
              <w:rPr>
                <w:rFonts w:asciiTheme="majorBidi" w:eastAsia="黑体" w:hAnsiTheme="majorBidi" w:cstheme="majorBidi"/>
                <w:szCs w:val="21"/>
              </w:rPr>
              <w:t>一</w:t>
            </w:r>
            <w:r w:rsidRPr="004C5120">
              <w:rPr>
                <w:rFonts w:asciiTheme="majorBidi" w:eastAsia="黑体" w:hAnsiTheme="majorBidi" w:cstheme="majorBidi"/>
                <w:szCs w:val="21"/>
              </w:rPr>
              <w:t>)</w:t>
            </w:r>
            <w:r w:rsidRPr="004C5120">
              <w:rPr>
                <w:rFonts w:asciiTheme="majorBidi" w:eastAsia="黑体" w:hAnsiTheme="majorBidi" w:cstheme="majorBidi"/>
                <w:szCs w:val="21"/>
              </w:rPr>
              <w:t>项，规定图谋实施强迫失踪须予处罚。</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Theme="majorBidi" w:eastAsia="黑体" w:hAnsiTheme="majorBidi" w:cstheme="majorBidi"/>
                <w:szCs w:val="21"/>
              </w:rPr>
            </w:pPr>
            <w:r w:rsidRPr="004C5120">
              <w:rPr>
                <w:rFonts w:asciiTheme="majorBidi" w:eastAsia="黑体" w:hAnsiTheme="majorBidi" w:cstheme="majorBidi"/>
                <w:bCs/>
                <w:szCs w:val="21"/>
              </w:rPr>
              <w:t>缔约国答复概要</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《公约》第四</w:t>
            </w:r>
            <w:r w:rsidRPr="004C5120">
              <w:rPr>
                <w:rFonts w:asciiTheme="majorBidi" w:hAnsiTheme="majorBidi" w:cstheme="majorBidi"/>
                <w:spacing w:val="6"/>
                <w:szCs w:val="21"/>
              </w:rPr>
              <w:t>条规定，缔约国有义务确保在刑法中全面惩处《公约》第二条载列的不同形式的强迫失踪行为。缔约国因此承担着在本国刑法系统中起诉第二条载列行为的责任人的一般性义务。但是，德国并不认为第四条能被</w:t>
            </w:r>
            <w:r w:rsidRPr="004C5120">
              <w:rPr>
                <w:rFonts w:asciiTheme="majorBidi" w:hAnsiTheme="majorBidi" w:cstheme="majorBidi"/>
                <w:szCs w:val="21"/>
              </w:rPr>
              <w:t>解释规定缔约国有义务设立独立的</w:t>
            </w:r>
            <w:r w:rsidRPr="004C5120">
              <w:rPr>
                <w:rFonts w:asciiTheme="majorBidi" w:hAnsiTheme="majorBidi" w:cstheme="majorBidi"/>
                <w:szCs w:val="21"/>
              </w:rPr>
              <w:t>“</w:t>
            </w:r>
            <w:r w:rsidRPr="004C5120">
              <w:rPr>
                <w:rFonts w:asciiTheme="majorBidi" w:hAnsiTheme="majorBidi" w:cstheme="majorBidi"/>
                <w:szCs w:val="21"/>
              </w:rPr>
              <w:t>强迫失踪</w:t>
            </w:r>
            <w:r w:rsidRPr="004C5120">
              <w:rPr>
                <w:rFonts w:asciiTheme="majorBidi" w:hAnsiTheme="majorBidi" w:cstheme="majorBidi"/>
                <w:szCs w:val="21"/>
              </w:rPr>
              <w:t>”</w:t>
            </w:r>
            <w:r w:rsidRPr="004C5120">
              <w:rPr>
                <w:rFonts w:asciiTheme="majorBidi" w:hAnsiTheme="majorBidi" w:cstheme="majorBidi"/>
                <w:szCs w:val="21"/>
              </w:rPr>
              <w:t>罪。联邦政府认为德国刑法中已经定义的罪名，结合其他法律的规定，足以对强迫失踪案件作出充分的调查和惩处。具体而言，现行的刑法条款已经纳入了《公约》中定为犯罪的行为的所有方面。</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德国并非不承认在《刑法》中单设一项强迫失踪罪具有象征性作用，也不否认有可能考虑作出超出《公约》义务以外的改进。已经在联邦司法和消费者保护部与大赦国际等方面举行了会谈，以讨论对这些事项的各种意见以及潜在的规范方法。</w:t>
            </w:r>
            <w:r w:rsidRPr="004C5120">
              <w:rPr>
                <w:rFonts w:asciiTheme="majorBidi" w:hAnsiTheme="majorBidi" w:cstheme="majorBidi"/>
                <w:szCs w:val="21"/>
              </w:rPr>
              <w:t>2014</w:t>
            </w:r>
            <w:r w:rsidRPr="004C5120">
              <w:rPr>
                <w:rFonts w:asciiTheme="majorBidi" w:hAnsiTheme="majorBidi" w:cstheme="majorBidi"/>
                <w:szCs w:val="21"/>
              </w:rPr>
              <w:t>年</w:t>
            </w:r>
            <w:r w:rsidRPr="004C5120">
              <w:rPr>
                <w:rFonts w:asciiTheme="majorBidi" w:hAnsiTheme="majorBidi" w:cstheme="majorBidi"/>
                <w:szCs w:val="21"/>
              </w:rPr>
              <w:t>11</w:t>
            </w:r>
            <w:r w:rsidRPr="004C5120">
              <w:rPr>
                <w:rFonts w:asciiTheme="majorBidi" w:hAnsiTheme="majorBidi" w:cstheme="majorBidi"/>
                <w:szCs w:val="21"/>
              </w:rPr>
              <w:t>月，议会的负责机构</w:t>
            </w:r>
            <w:r w:rsidRPr="004C5120">
              <w:rPr>
                <w:rFonts w:asciiTheme="majorBidi" w:hAnsiTheme="majorBidi" w:cstheme="majorBidi"/>
                <w:szCs w:val="21"/>
              </w:rPr>
              <w:t>(</w:t>
            </w:r>
            <w:r w:rsidRPr="004C5120">
              <w:rPr>
                <w:rFonts w:asciiTheme="majorBidi" w:hAnsiTheme="majorBidi" w:cstheme="majorBidi"/>
                <w:szCs w:val="21"/>
              </w:rPr>
              <w:t>德国联邦议院人权委员会</w:t>
            </w:r>
            <w:r w:rsidRPr="004C5120">
              <w:rPr>
                <w:rFonts w:asciiTheme="majorBidi" w:hAnsiTheme="majorBidi" w:cstheme="majorBidi"/>
                <w:szCs w:val="21"/>
              </w:rPr>
              <w:t>)</w:t>
            </w:r>
            <w:r w:rsidRPr="004C5120">
              <w:rPr>
                <w:rFonts w:asciiTheme="majorBidi" w:hAnsiTheme="majorBidi" w:cstheme="majorBidi"/>
                <w:szCs w:val="21"/>
              </w:rPr>
              <w:t>讨论了委员会的结论性意见。联邦政府的代表向各位议员作了口头汇报，包括以德国法律体系为背景讨论了法律状况和各项建议。具体而言，除其他外，汇报内容涉及在德国刑法中规定足够的限制期和限制制度的必要性问题。</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hAnsiTheme="majorBidi" w:cstheme="majorBidi"/>
                <w:bCs/>
                <w:szCs w:val="21"/>
              </w:rPr>
            </w:pPr>
            <w:r w:rsidRPr="004C5120">
              <w:rPr>
                <w:rFonts w:ascii="黑体" w:eastAsia="黑体" w:hAnsiTheme="majorBidi" w:cstheme="majorBidi" w:hint="eastAsia"/>
                <w:bCs/>
                <w:szCs w:val="21"/>
              </w:rPr>
              <w:t>委员会的评价</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b/>
                <w:bCs/>
                <w:szCs w:val="21"/>
              </w:rPr>
              <w:t>[B]</w:t>
            </w:r>
            <w:r w:rsidRPr="004C5120">
              <w:rPr>
                <w:rFonts w:asciiTheme="majorBidi" w:hAnsiTheme="majorBidi" w:cstheme="majorBidi"/>
                <w:szCs w:val="21"/>
              </w:rPr>
              <w:t>：委员会注意到缔约国提供的资料，对其结论性意见</w:t>
            </w:r>
            <w:r w:rsidRPr="004C5120">
              <w:rPr>
                <w:rFonts w:asciiTheme="majorBidi" w:hAnsiTheme="majorBidi" w:cstheme="majorBidi"/>
                <w:szCs w:val="21"/>
              </w:rPr>
              <w:t>(CED/C/DEU/CO/1)</w:t>
            </w:r>
            <w:r w:rsidRPr="004C5120">
              <w:rPr>
                <w:rFonts w:asciiTheme="majorBidi" w:hAnsiTheme="majorBidi" w:cstheme="majorBidi"/>
                <w:szCs w:val="21"/>
              </w:rPr>
              <w:t>已得到议会讨论表示欢迎。委员会忆及其结论性意见第</w:t>
            </w:r>
            <w:r w:rsidRPr="004C5120">
              <w:rPr>
                <w:rFonts w:asciiTheme="majorBidi" w:hAnsiTheme="majorBidi" w:cstheme="majorBidi"/>
                <w:szCs w:val="21"/>
              </w:rPr>
              <w:t>7</w:t>
            </w:r>
            <w:r w:rsidRPr="004C5120">
              <w:rPr>
                <w:rFonts w:asciiTheme="majorBidi" w:hAnsiTheme="majorBidi" w:cstheme="majorBidi"/>
                <w:szCs w:val="21"/>
              </w:rPr>
              <w:t>段所反映的关于将强迫失踪独立成罪的立场，并重申其建议。委员会请缔约国在根据委员会结论性意见第</w:t>
            </w:r>
            <w:r w:rsidRPr="004C5120">
              <w:rPr>
                <w:rFonts w:asciiTheme="majorBidi" w:hAnsiTheme="majorBidi" w:cstheme="majorBidi"/>
                <w:szCs w:val="21"/>
              </w:rPr>
              <w:t>34</w:t>
            </w:r>
            <w:r w:rsidRPr="004C5120">
              <w:rPr>
                <w:rFonts w:asciiTheme="majorBidi" w:hAnsiTheme="majorBidi" w:cstheme="majorBidi"/>
                <w:szCs w:val="21"/>
              </w:rPr>
              <w:t>段提交资料时，提供为落实建议所采取措施的资料。</w:t>
            </w:r>
          </w:p>
        </w:tc>
      </w:tr>
      <w:tr w:rsidR="004F7853" w:rsidRPr="004C5120" w:rsidTr="00D120A8">
        <w:trPr>
          <w:trHeight w:val="240"/>
        </w:trPr>
        <w:tc>
          <w:tcPr>
            <w:tcW w:w="7655" w:type="dxa"/>
            <w:gridSpan w:val="2"/>
            <w:shd w:val="clear" w:color="auto" w:fill="auto"/>
          </w:tcPr>
          <w:p w:rsidR="004F7853" w:rsidRPr="004C5120" w:rsidRDefault="004F7853" w:rsidP="00666069">
            <w:pPr>
              <w:keepNext/>
              <w:keepLines/>
              <w:tabs>
                <w:tab w:val="left" w:pos="334"/>
                <w:tab w:val="left" w:pos="669"/>
                <w:tab w:val="left" w:pos="1003"/>
                <w:tab w:val="left" w:pos="1338"/>
              </w:tabs>
              <w:suppressAutoHyphens/>
              <w:spacing w:before="60" w:after="60" w:line="240" w:lineRule="exact"/>
              <w:ind w:left="57" w:right="57"/>
              <w:rPr>
                <w:rFonts w:asciiTheme="majorBidi" w:eastAsia="黑体" w:hAnsiTheme="majorBidi" w:cstheme="majorBidi"/>
                <w:szCs w:val="21"/>
              </w:rPr>
            </w:pPr>
            <w:r w:rsidRPr="004C5120">
              <w:rPr>
                <w:rFonts w:asciiTheme="majorBidi" w:eastAsia="黑体" w:hAnsiTheme="majorBidi" w:cstheme="majorBidi"/>
                <w:szCs w:val="21"/>
              </w:rPr>
              <w:t>第</w:t>
            </w:r>
            <w:r w:rsidRPr="004C5120">
              <w:rPr>
                <w:rFonts w:asciiTheme="majorBidi" w:eastAsia="黑体" w:hAnsiTheme="majorBidi" w:cstheme="majorBidi"/>
                <w:szCs w:val="21"/>
              </w:rPr>
              <w:t>9</w:t>
            </w:r>
            <w:r w:rsidRPr="004C5120">
              <w:rPr>
                <w:rFonts w:asciiTheme="majorBidi" w:eastAsia="黑体" w:hAnsiTheme="majorBidi" w:cstheme="majorBidi"/>
                <w:szCs w:val="21"/>
              </w:rPr>
              <w:t>段：委员会请缔约国，在将强迫失踪定为一项单列罪行时，确定《公约》第七条第</w:t>
            </w:r>
            <w:r w:rsidRPr="004C5120">
              <w:rPr>
                <w:rFonts w:asciiTheme="majorBidi" w:eastAsia="黑体" w:hAnsiTheme="majorBidi" w:cstheme="majorBidi"/>
                <w:szCs w:val="21"/>
              </w:rPr>
              <w:t>2</w:t>
            </w:r>
            <w:r w:rsidRPr="004C5120">
              <w:rPr>
                <w:rFonts w:asciiTheme="majorBidi" w:eastAsia="黑体" w:hAnsiTheme="majorBidi" w:cstheme="majorBidi"/>
                <w:szCs w:val="21"/>
              </w:rPr>
              <w:t>款规定的具体的减轻和加重情节。委员会还建议缔约国确保，无论如何，减轻情节不会导致不予适当处罚。此外，委员会请缔约国规定，一旦定为犯罪，强迫失踪罪不受任何法定时效限制；或者，如果有任</w:t>
            </w:r>
            <w:r w:rsidRPr="004C5120">
              <w:rPr>
                <w:rFonts w:asciiTheme="majorBidi" w:eastAsia="黑体" w:hAnsiTheme="majorBidi" w:cstheme="majorBidi"/>
                <w:spacing w:val="-2"/>
                <w:szCs w:val="21"/>
              </w:rPr>
              <w:t>何法定时效，委员会建议缔约国确保，按照《公约》第八条，法定时效应有较长时限，与罪行的极端严重性相称</w:t>
            </w:r>
            <w:r w:rsidRPr="004C5120">
              <w:rPr>
                <w:rFonts w:asciiTheme="majorBidi" w:eastAsia="黑体" w:hAnsiTheme="majorBidi" w:cstheme="majorBidi"/>
                <w:szCs w:val="21"/>
              </w:rPr>
              <w:t>，而且，考虑到强迫失踪的持续性，应从犯罪停止时开始计算。</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Theme="majorBidi" w:eastAsia="黑体" w:hAnsiTheme="majorBidi" w:cstheme="majorBidi"/>
                <w:bCs/>
                <w:szCs w:val="21"/>
              </w:rPr>
            </w:pPr>
            <w:r w:rsidRPr="004C5120">
              <w:rPr>
                <w:rFonts w:asciiTheme="majorBidi" w:eastAsia="黑体" w:hAnsiTheme="majorBidi" w:cstheme="majorBidi"/>
                <w:bCs/>
                <w:szCs w:val="21"/>
              </w:rPr>
              <w:t>缔约国答复概要</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联邦政府认为，将写入德国刑法的加重情节和减轻情节充分反映了《公约》第七条第二款的意义。</w:t>
            </w:r>
          </w:p>
        </w:tc>
      </w:tr>
      <w:tr w:rsidR="004F7853" w:rsidRPr="004C5120" w:rsidTr="00D120A8">
        <w:trPr>
          <w:trHeight w:val="240"/>
        </w:trPr>
        <w:tc>
          <w:tcPr>
            <w:tcW w:w="7655" w:type="dxa"/>
            <w:gridSpan w:val="2"/>
            <w:shd w:val="clear" w:color="auto" w:fill="auto"/>
          </w:tcPr>
          <w:p w:rsidR="004F7853" w:rsidRPr="004C5120" w:rsidRDefault="004F7853" w:rsidP="00D21FBA">
            <w:pPr>
              <w:tabs>
                <w:tab w:val="left" w:pos="334"/>
                <w:tab w:val="left" w:pos="669"/>
                <w:tab w:val="left" w:pos="1003"/>
                <w:tab w:val="left" w:pos="1338"/>
              </w:tabs>
              <w:suppressAutoHyphens/>
              <w:spacing w:before="120" w:after="120" w:line="240" w:lineRule="exact"/>
              <w:ind w:left="57" w:right="57"/>
              <w:rPr>
                <w:rFonts w:asciiTheme="minorEastAsia" w:eastAsiaTheme="minorEastAsia" w:hAnsiTheme="minorEastAsia" w:cstheme="majorBidi"/>
                <w:bCs/>
                <w:szCs w:val="21"/>
              </w:rPr>
            </w:pPr>
            <w:r w:rsidRPr="004C5120">
              <w:rPr>
                <w:rFonts w:asciiTheme="minorEastAsia" w:eastAsiaTheme="minorEastAsia" w:hAnsiTheme="minorEastAsia" w:cstheme="majorBidi" w:hint="eastAsia"/>
                <w:bCs/>
                <w:szCs w:val="21"/>
              </w:rPr>
              <w:t>加重情节</w:t>
            </w:r>
          </w:p>
        </w:tc>
      </w:tr>
      <w:tr w:rsidR="004F7853" w:rsidRPr="004C5120" w:rsidTr="00D120A8">
        <w:trPr>
          <w:trHeight w:val="240"/>
        </w:trPr>
        <w:tc>
          <w:tcPr>
            <w:tcW w:w="7655" w:type="dxa"/>
            <w:gridSpan w:val="2"/>
            <w:shd w:val="clear" w:color="auto" w:fill="auto"/>
          </w:tcPr>
          <w:p w:rsidR="004F7853" w:rsidRPr="004C5120" w:rsidRDefault="00E543F9"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szCs w:val="21"/>
              </w:rPr>
              <w:tab/>
              <w:t>(a)</w:t>
            </w:r>
            <w:r w:rsidRPr="004C5120">
              <w:rPr>
                <w:szCs w:val="21"/>
              </w:rPr>
              <w:tab/>
            </w:r>
            <w:r w:rsidR="004F7853" w:rsidRPr="004C5120">
              <w:rPr>
                <w:rFonts w:asciiTheme="majorBidi" w:hAnsiTheme="majorBidi" w:cstheme="majorBidi"/>
                <w:szCs w:val="21"/>
              </w:rPr>
              <w:t>失踪人员死亡</w:t>
            </w:r>
          </w:p>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在德国，与强迫失踪有关的一系列刑事条款都涉及各种特别可能伴有致死危险的行动。若某行为满足了其中一项犯罪的要件，导致了死亡，则可能本身就构成一项严重犯罪，或者作为</w:t>
            </w:r>
            <w:r w:rsidRPr="004C5120">
              <w:rPr>
                <w:rFonts w:asciiTheme="majorBidi" w:hAnsiTheme="majorBidi" w:cstheme="majorBidi"/>
                <w:szCs w:val="21"/>
              </w:rPr>
              <w:t>“</w:t>
            </w:r>
            <w:r w:rsidRPr="004C5120">
              <w:rPr>
                <w:rFonts w:asciiTheme="majorBidi" w:hAnsiTheme="majorBidi" w:cstheme="majorBidi"/>
                <w:szCs w:val="21"/>
              </w:rPr>
              <w:t>加重情节</w:t>
            </w:r>
            <w:r w:rsidRPr="004C5120">
              <w:rPr>
                <w:rFonts w:asciiTheme="majorBidi" w:hAnsiTheme="majorBidi" w:cstheme="majorBidi"/>
                <w:szCs w:val="21"/>
              </w:rPr>
              <w:t>”</w:t>
            </w:r>
            <w:r w:rsidRPr="004C5120">
              <w:rPr>
                <w:rFonts w:asciiTheme="majorBidi" w:hAnsiTheme="majorBidi" w:cstheme="majorBidi"/>
                <w:szCs w:val="21"/>
              </w:rPr>
              <w:t>，导致</w:t>
            </w:r>
            <w:r w:rsidRPr="004C5120">
              <w:rPr>
                <w:rFonts w:asciiTheme="majorBidi" w:hAnsiTheme="majorBidi" w:cstheme="majorBidi"/>
                <w:szCs w:val="21"/>
              </w:rPr>
              <w:t>(</w:t>
            </w:r>
            <w:r w:rsidRPr="004C5120">
              <w:rPr>
                <w:rFonts w:asciiTheme="majorBidi" w:hAnsiTheme="majorBidi" w:cstheme="majorBidi"/>
                <w:szCs w:val="21"/>
              </w:rPr>
              <w:t>比原犯罪</w:t>
            </w:r>
            <w:r w:rsidRPr="004C5120">
              <w:rPr>
                <w:rFonts w:asciiTheme="majorBidi" w:hAnsiTheme="majorBidi" w:cstheme="majorBidi"/>
                <w:szCs w:val="21"/>
              </w:rPr>
              <w:t>)</w:t>
            </w:r>
            <w:r w:rsidRPr="004C5120">
              <w:rPr>
                <w:rFonts w:asciiTheme="majorBidi" w:hAnsiTheme="majorBidi" w:cstheme="majorBidi"/>
                <w:szCs w:val="21"/>
              </w:rPr>
              <w:t>更严厉的判罚。这一制度的存在独立于《刑法》关于蓄意杀人的第</w:t>
            </w:r>
            <w:r w:rsidRPr="004C5120">
              <w:rPr>
                <w:rFonts w:asciiTheme="majorBidi" w:hAnsiTheme="majorBidi" w:cstheme="majorBidi"/>
                <w:szCs w:val="21"/>
              </w:rPr>
              <w:t>211</w:t>
            </w:r>
            <w:r w:rsidRPr="004C5120">
              <w:rPr>
                <w:rFonts w:asciiTheme="majorBidi" w:hAnsiTheme="majorBidi" w:cstheme="majorBidi"/>
                <w:szCs w:val="21"/>
              </w:rPr>
              <w:t>和</w:t>
            </w:r>
            <w:r w:rsidRPr="004C5120">
              <w:rPr>
                <w:rFonts w:asciiTheme="majorBidi" w:hAnsiTheme="majorBidi" w:cstheme="majorBidi"/>
                <w:szCs w:val="21"/>
              </w:rPr>
              <w:t>212</w:t>
            </w:r>
            <w:r w:rsidRPr="004C5120">
              <w:rPr>
                <w:rFonts w:asciiTheme="majorBidi" w:hAnsiTheme="majorBidi" w:cstheme="majorBidi"/>
                <w:szCs w:val="21"/>
              </w:rPr>
              <w:t>条中涉及谋杀的适用条款。</w:t>
            </w:r>
          </w:p>
        </w:tc>
      </w:tr>
      <w:tr w:rsidR="004F7853" w:rsidRPr="004C5120" w:rsidTr="00D120A8">
        <w:trPr>
          <w:trHeight w:val="240"/>
        </w:trPr>
        <w:tc>
          <w:tcPr>
            <w:tcW w:w="7655" w:type="dxa"/>
            <w:gridSpan w:val="2"/>
            <w:shd w:val="clear" w:color="auto" w:fill="auto"/>
          </w:tcPr>
          <w:p w:rsidR="004F7853" w:rsidRPr="004C5120" w:rsidRDefault="00E543F9" w:rsidP="00E543F9">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szCs w:val="21"/>
              </w:rPr>
              <w:tab/>
              <w:t>(</w:t>
            </w:r>
            <w:r w:rsidRPr="004C5120">
              <w:rPr>
                <w:rFonts w:asciiTheme="majorBidi" w:hAnsiTheme="majorBidi" w:cstheme="majorBidi"/>
                <w:szCs w:val="21"/>
              </w:rPr>
              <w:t>b</w:t>
            </w:r>
            <w:r w:rsidRPr="004C5120">
              <w:rPr>
                <w:szCs w:val="21"/>
              </w:rPr>
              <w:t>)</w:t>
            </w:r>
            <w:r w:rsidRPr="004C5120">
              <w:rPr>
                <w:szCs w:val="21"/>
              </w:rPr>
              <w:tab/>
            </w:r>
            <w:r w:rsidR="004F7853" w:rsidRPr="004C5120">
              <w:rPr>
                <w:rFonts w:asciiTheme="majorBidi" w:hAnsiTheme="majorBidi" w:cstheme="majorBidi"/>
                <w:szCs w:val="21"/>
              </w:rPr>
              <w:t>失踪人员是孕妇、未成年人、残疾人或另一种特别弱势的人员</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强迫未成年人失踪所固有的不法性首先具体反映于《刑法》第</w:t>
            </w:r>
            <w:r w:rsidRPr="004C5120">
              <w:rPr>
                <w:rFonts w:asciiTheme="majorBidi" w:hAnsiTheme="majorBidi" w:cstheme="majorBidi"/>
                <w:szCs w:val="21"/>
              </w:rPr>
              <w:t>235</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绑架未成年人使其脱离父母的照料等</w:t>
            </w:r>
            <w:r w:rsidRPr="004C5120">
              <w:rPr>
                <w:rFonts w:asciiTheme="majorBidi" w:hAnsiTheme="majorBidi" w:cstheme="majorBidi"/>
                <w:szCs w:val="21"/>
              </w:rPr>
              <w:t>)</w:t>
            </w:r>
            <w:r w:rsidRPr="004C5120">
              <w:rPr>
                <w:rFonts w:asciiTheme="majorBidi" w:hAnsiTheme="majorBidi" w:cstheme="majorBidi"/>
                <w:szCs w:val="21"/>
              </w:rPr>
              <w:t>。此外，如第</w:t>
            </w:r>
            <w:r w:rsidRPr="004C5120">
              <w:rPr>
                <w:rFonts w:asciiTheme="majorBidi" w:hAnsiTheme="majorBidi" w:cstheme="majorBidi"/>
                <w:szCs w:val="21"/>
              </w:rPr>
              <w:t>7</w:t>
            </w:r>
            <w:r w:rsidRPr="004C5120">
              <w:rPr>
                <w:rFonts w:asciiTheme="majorBidi" w:hAnsiTheme="majorBidi" w:cstheme="majorBidi"/>
                <w:szCs w:val="21"/>
              </w:rPr>
              <w:t>条第</w:t>
            </w:r>
            <w:r w:rsidRPr="004C5120">
              <w:rPr>
                <w:rFonts w:asciiTheme="majorBidi" w:hAnsiTheme="majorBidi" w:cstheme="majorBidi"/>
                <w:szCs w:val="21"/>
              </w:rPr>
              <w:t>2</w:t>
            </w:r>
            <w:r w:rsidRPr="004C5120">
              <w:rPr>
                <w:rFonts w:asciiTheme="majorBidi" w:hAnsiTheme="majorBidi" w:cstheme="majorBidi"/>
                <w:szCs w:val="21"/>
              </w:rPr>
              <w:t>款所规定的，若失踪人员未成年、怀有身孕、身有残疾或因其他原因而特别弱势，将根据《刑法》第</w:t>
            </w:r>
            <w:r w:rsidRPr="004C5120">
              <w:rPr>
                <w:rFonts w:asciiTheme="majorBidi" w:hAnsiTheme="majorBidi" w:cstheme="majorBidi"/>
                <w:szCs w:val="21"/>
              </w:rPr>
              <w:t>46</w:t>
            </w:r>
            <w:r w:rsidRPr="004C5120">
              <w:rPr>
                <w:rFonts w:asciiTheme="majorBidi" w:hAnsiTheme="majorBidi" w:cstheme="majorBidi"/>
                <w:szCs w:val="21"/>
              </w:rPr>
              <w:t>条第</w:t>
            </w:r>
            <w:r w:rsidRPr="004C5120">
              <w:rPr>
                <w:rFonts w:asciiTheme="majorBidi" w:hAnsiTheme="majorBidi" w:cstheme="majorBidi"/>
                <w:szCs w:val="21"/>
              </w:rPr>
              <w:t>2</w:t>
            </w:r>
            <w:r w:rsidRPr="004C5120">
              <w:rPr>
                <w:rFonts w:asciiTheme="majorBidi" w:hAnsiTheme="majorBidi" w:cstheme="majorBidi"/>
                <w:szCs w:val="21"/>
              </w:rPr>
              <w:t>款的量刑规定，把这一点纳入考虑</w:t>
            </w:r>
            <w:r w:rsidRPr="004C5120">
              <w:rPr>
                <w:rFonts w:asciiTheme="majorBidi" w:hAnsiTheme="majorBidi" w:cstheme="majorBidi"/>
                <w:szCs w:val="21"/>
              </w:rPr>
              <w:t>(</w:t>
            </w:r>
            <w:r w:rsidRPr="004C5120">
              <w:rPr>
                <w:rFonts w:asciiTheme="majorBidi" w:hAnsiTheme="majorBidi" w:cstheme="majorBidi"/>
                <w:szCs w:val="21"/>
              </w:rPr>
              <w:t>前提是受害人的上述身份并不是所涉罪名的要件之一，例如关于未成年人的第</w:t>
            </w:r>
            <w:r w:rsidRPr="004C5120">
              <w:rPr>
                <w:rFonts w:asciiTheme="majorBidi" w:hAnsiTheme="majorBidi" w:cstheme="majorBidi"/>
                <w:szCs w:val="21"/>
              </w:rPr>
              <w:t>235</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。在《刑法》第</w:t>
            </w:r>
            <w:r w:rsidRPr="004C5120">
              <w:rPr>
                <w:rFonts w:asciiTheme="majorBidi" w:hAnsiTheme="majorBidi" w:cstheme="majorBidi"/>
                <w:szCs w:val="21"/>
              </w:rPr>
              <w:t>46</w:t>
            </w:r>
            <w:r w:rsidRPr="004C5120">
              <w:rPr>
                <w:rFonts w:asciiTheme="majorBidi" w:hAnsiTheme="majorBidi" w:cstheme="majorBidi"/>
                <w:szCs w:val="21"/>
              </w:rPr>
              <w:t>条第</w:t>
            </w:r>
            <w:r w:rsidRPr="004C5120">
              <w:rPr>
                <w:rFonts w:asciiTheme="majorBidi" w:hAnsiTheme="majorBidi" w:cstheme="majorBidi"/>
                <w:szCs w:val="21"/>
              </w:rPr>
              <w:t>2</w:t>
            </w:r>
            <w:r w:rsidRPr="004C5120">
              <w:rPr>
                <w:rFonts w:asciiTheme="majorBidi" w:hAnsiTheme="majorBidi" w:cstheme="majorBidi"/>
                <w:szCs w:val="21"/>
              </w:rPr>
              <w:t>款的框架内，举例而言，若受害人尤为弱势，使责任人面临特别严重的惩罚，则还要考虑受害人遭受的犯罪后果在多大程度上是由犯罪人造成的。</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Theme="majorEastAsia" w:eastAsiaTheme="majorEastAsia" w:hAnsiTheme="majorEastAsia" w:cstheme="majorBidi"/>
                <w:bCs/>
                <w:szCs w:val="21"/>
              </w:rPr>
            </w:pPr>
            <w:r w:rsidRPr="004C5120">
              <w:rPr>
                <w:rFonts w:asciiTheme="majorEastAsia" w:eastAsiaTheme="majorEastAsia" w:hAnsiTheme="majorEastAsia" w:cstheme="majorBidi" w:hint="eastAsia"/>
                <w:bCs/>
                <w:szCs w:val="21"/>
              </w:rPr>
              <w:t>减轻情节</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根据现行条款，《公约》第七条第二款</w:t>
            </w:r>
            <w:r w:rsidRPr="004C5120">
              <w:rPr>
                <w:rFonts w:asciiTheme="majorBidi" w:hAnsiTheme="majorBidi" w:cstheme="majorBidi"/>
                <w:szCs w:val="21"/>
              </w:rPr>
              <w:t>(</w:t>
            </w:r>
            <w:r w:rsidRPr="004C5120">
              <w:rPr>
                <w:rFonts w:asciiTheme="majorBidi" w:hAnsiTheme="majorBidi" w:cstheme="majorBidi"/>
                <w:szCs w:val="21"/>
              </w:rPr>
              <w:t>一</w:t>
            </w:r>
            <w:r w:rsidRPr="004C5120">
              <w:rPr>
                <w:rFonts w:asciiTheme="majorBidi" w:hAnsiTheme="majorBidi" w:cstheme="majorBidi"/>
                <w:szCs w:val="21"/>
              </w:rPr>
              <w:t>)</w:t>
            </w:r>
            <w:r w:rsidRPr="004C5120">
              <w:rPr>
                <w:rFonts w:asciiTheme="majorBidi" w:hAnsiTheme="majorBidi" w:cstheme="majorBidi"/>
                <w:szCs w:val="21"/>
              </w:rPr>
              <w:t>项所列的减轻情节也可被纳入考虑。</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德国刑法中涉及强迫失踪的一些罪名的定义中载有关于</w:t>
            </w:r>
            <w:r w:rsidRPr="004C5120">
              <w:rPr>
                <w:rFonts w:asciiTheme="majorBidi" w:hAnsiTheme="majorBidi" w:cstheme="majorBidi"/>
                <w:szCs w:val="21"/>
              </w:rPr>
              <w:t>“</w:t>
            </w:r>
            <w:r w:rsidRPr="004C5120">
              <w:rPr>
                <w:rFonts w:asciiTheme="majorBidi" w:hAnsiTheme="majorBidi" w:cstheme="majorBidi"/>
                <w:szCs w:val="21"/>
              </w:rPr>
              <w:t>减轻罪行情况</w:t>
            </w:r>
            <w:r w:rsidRPr="004C5120">
              <w:rPr>
                <w:rFonts w:asciiTheme="majorBidi" w:hAnsiTheme="majorBidi" w:cstheme="majorBidi"/>
                <w:szCs w:val="21"/>
              </w:rPr>
              <w:t>”</w:t>
            </w:r>
            <w:r w:rsidRPr="004C5120">
              <w:rPr>
                <w:rFonts w:asciiTheme="majorBidi" w:hAnsiTheme="majorBidi" w:cstheme="majorBidi"/>
                <w:szCs w:val="21"/>
              </w:rPr>
              <w:t>的明确规则。</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尽管</w:t>
            </w:r>
            <w:r w:rsidRPr="004C5120">
              <w:rPr>
                <w:rFonts w:asciiTheme="majorBidi" w:hAnsiTheme="majorBidi" w:cstheme="majorBidi"/>
                <w:spacing w:val="4"/>
                <w:szCs w:val="21"/>
              </w:rPr>
              <w:t>如此，所有涉及减轻罪行情况的条款依然保障对犯罪人予以应有处罚。虽然这些条款会使适用的量刑范围相比原罪名</w:t>
            </w:r>
            <w:r w:rsidRPr="004C5120">
              <w:rPr>
                <w:rFonts w:asciiTheme="majorBidi" w:hAnsiTheme="majorBidi" w:cstheme="majorBidi"/>
                <w:spacing w:val="4"/>
                <w:szCs w:val="21"/>
              </w:rPr>
              <w:t>/</w:t>
            </w:r>
            <w:r w:rsidRPr="004C5120">
              <w:rPr>
                <w:rFonts w:asciiTheme="majorBidi" w:hAnsiTheme="majorBidi" w:cstheme="majorBidi"/>
                <w:spacing w:val="4"/>
                <w:szCs w:val="21"/>
              </w:rPr>
              <w:t>加重情况下移，但较轻的量刑范围并不意味着惩罚仅限于罚</w:t>
            </w:r>
            <w:r w:rsidRPr="004C5120">
              <w:rPr>
                <w:rFonts w:asciiTheme="majorBidi" w:hAnsiTheme="majorBidi" w:cstheme="majorBidi"/>
                <w:szCs w:val="21"/>
              </w:rPr>
              <w:t>款。</w:t>
            </w:r>
          </w:p>
        </w:tc>
      </w:tr>
      <w:tr w:rsidR="004F7853" w:rsidRPr="004C5120" w:rsidTr="00E543F9">
        <w:trPr>
          <w:trHeight w:val="1985"/>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此外，在适用的量刑范围内确定具体刑罚时，必须考虑《刑法》第</w:t>
            </w:r>
            <w:r w:rsidRPr="004C5120">
              <w:rPr>
                <w:rFonts w:asciiTheme="majorBidi" w:hAnsiTheme="majorBidi" w:cstheme="majorBidi"/>
                <w:szCs w:val="21"/>
              </w:rPr>
              <w:t>46</w:t>
            </w:r>
            <w:r w:rsidRPr="004C5120">
              <w:rPr>
                <w:rFonts w:asciiTheme="majorBidi" w:hAnsiTheme="majorBidi" w:cstheme="majorBidi"/>
                <w:szCs w:val="21"/>
              </w:rPr>
              <w:t>条第</w:t>
            </w:r>
            <w:r w:rsidRPr="004C5120">
              <w:rPr>
                <w:rFonts w:asciiTheme="majorBidi" w:hAnsiTheme="majorBidi" w:cstheme="majorBidi"/>
                <w:szCs w:val="21"/>
              </w:rPr>
              <w:t>1</w:t>
            </w:r>
            <w:r w:rsidRPr="004C5120">
              <w:rPr>
                <w:rFonts w:asciiTheme="majorBidi" w:hAnsiTheme="majorBidi" w:cstheme="majorBidi"/>
                <w:szCs w:val="21"/>
              </w:rPr>
              <w:t>款第一句的规定，即法院应将犯罪人的罪责作为判决依据，且根据《刑法》第</w:t>
            </w:r>
            <w:r w:rsidRPr="004C5120">
              <w:rPr>
                <w:rFonts w:asciiTheme="majorBidi" w:hAnsiTheme="majorBidi" w:cstheme="majorBidi"/>
                <w:szCs w:val="21"/>
              </w:rPr>
              <w:t>46</w:t>
            </w:r>
            <w:r w:rsidRPr="004C5120">
              <w:rPr>
                <w:rFonts w:asciiTheme="majorBidi" w:hAnsiTheme="majorBidi" w:cstheme="majorBidi"/>
                <w:szCs w:val="21"/>
              </w:rPr>
              <w:t>条第</w:t>
            </w:r>
            <w:r w:rsidRPr="004C5120">
              <w:rPr>
                <w:rFonts w:asciiTheme="majorBidi" w:hAnsiTheme="majorBidi" w:cstheme="majorBidi"/>
                <w:szCs w:val="21"/>
              </w:rPr>
              <w:t>2</w:t>
            </w:r>
            <w:r w:rsidRPr="004C5120">
              <w:rPr>
                <w:rFonts w:asciiTheme="majorBidi" w:hAnsiTheme="majorBidi" w:cstheme="majorBidi"/>
                <w:szCs w:val="21"/>
              </w:rPr>
              <w:t>款，法院在此过程中应权衡对犯罪人有利或不利的情节。《刑法》第</w:t>
            </w:r>
            <w:r w:rsidRPr="004C5120">
              <w:rPr>
                <w:rFonts w:asciiTheme="majorBidi" w:hAnsiTheme="majorBidi" w:cstheme="majorBidi"/>
                <w:szCs w:val="21"/>
              </w:rPr>
              <w:t>46</w:t>
            </w:r>
            <w:r w:rsidRPr="004C5120">
              <w:rPr>
                <w:rFonts w:asciiTheme="majorBidi" w:hAnsiTheme="majorBidi" w:cstheme="majorBidi"/>
                <w:szCs w:val="21"/>
              </w:rPr>
              <w:t>条第</w:t>
            </w:r>
            <w:r w:rsidRPr="004C5120">
              <w:rPr>
                <w:rFonts w:asciiTheme="majorBidi" w:hAnsiTheme="majorBidi" w:cstheme="majorBidi"/>
                <w:szCs w:val="21"/>
              </w:rPr>
              <w:t>2</w:t>
            </w:r>
            <w:r w:rsidRPr="004C5120">
              <w:rPr>
                <w:rFonts w:asciiTheme="majorBidi" w:hAnsiTheme="majorBidi" w:cstheme="majorBidi"/>
                <w:szCs w:val="21"/>
              </w:rPr>
              <w:t>款规定，犯罪人在犯罪之后的行为，特别是对自己所致损害进行补偿的努力，以及与受损方取得调解的努力，属于可纳入考虑的情节。犯罪人帮助罪行调查的努力也可被视为减轻情节。可在《刑法》第</w:t>
            </w:r>
            <w:r w:rsidRPr="004C5120">
              <w:rPr>
                <w:rFonts w:asciiTheme="majorBidi" w:hAnsiTheme="majorBidi" w:cstheme="majorBidi"/>
                <w:szCs w:val="21"/>
              </w:rPr>
              <w:t>46</w:t>
            </w:r>
            <w:r w:rsidRPr="004C5120">
              <w:rPr>
                <w:rFonts w:asciiTheme="majorBidi" w:hAnsiTheme="majorBidi" w:cstheme="majorBidi"/>
                <w:szCs w:val="21"/>
              </w:rPr>
              <w:t>条的语境内将减轻情节纳入考虑，若在确定存在</w:t>
            </w:r>
            <w:r w:rsidRPr="004C5120">
              <w:rPr>
                <w:rFonts w:asciiTheme="majorBidi" w:hAnsiTheme="majorBidi" w:cstheme="majorBidi"/>
                <w:szCs w:val="21"/>
              </w:rPr>
              <w:t>“</w:t>
            </w:r>
            <w:r w:rsidRPr="004C5120">
              <w:rPr>
                <w:rFonts w:asciiTheme="majorBidi" w:hAnsiTheme="majorBidi" w:cstheme="majorBidi"/>
                <w:szCs w:val="21"/>
              </w:rPr>
              <w:t>减轻罪行情况</w:t>
            </w:r>
            <w:r w:rsidRPr="004C5120">
              <w:rPr>
                <w:rFonts w:asciiTheme="majorBidi" w:hAnsiTheme="majorBidi" w:cstheme="majorBidi"/>
                <w:szCs w:val="21"/>
              </w:rPr>
              <w:t>”</w:t>
            </w:r>
            <w:r w:rsidRPr="004C5120">
              <w:rPr>
                <w:rFonts w:asciiTheme="majorBidi" w:hAnsiTheme="majorBidi" w:cstheme="majorBidi"/>
                <w:szCs w:val="21"/>
              </w:rPr>
              <w:t>并以此为依据将量刑范围下移</w:t>
            </w:r>
            <w:r w:rsidRPr="004C5120">
              <w:rPr>
                <w:rFonts w:asciiTheme="majorBidi" w:hAnsiTheme="majorBidi" w:cstheme="majorBidi"/>
                <w:szCs w:val="21"/>
              </w:rPr>
              <w:t>(</w:t>
            </w:r>
            <w:r w:rsidRPr="004C5120">
              <w:rPr>
                <w:rFonts w:asciiTheme="majorBidi" w:hAnsiTheme="majorBidi" w:cstheme="majorBidi"/>
                <w:szCs w:val="21"/>
              </w:rPr>
              <w:t>见上文</w:t>
            </w:r>
            <w:r w:rsidRPr="004C5120">
              <w:rPr>
                <w:rFonts w:asciiTheme="majorBidi" w:hAnsiTheme="majorBidi" w:cstheme="majorBidi"/>
                <w:szCs w:val="21"/>
              </w:rPr>
              <w:t>)</w:t>
            </w:r>
            <w:r w:rsidRPr="004C5120">
              <w:rPr>
                <w:rFonts w:asciiTheme="majorBidi" w:hAnsiTheme="majorBidi" w:cstheme="majorBidi"/>
                <w:szCs w:val="21"/>
              </w:rPr>
              <w:t>时未考虑减轻情节，则在量刑时尤应予以考虑；若在调整量刑范围时已考虑了减轻情节，则在量刑本身时仍可予以考虑，但其分量降低。</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关于加重因素和减轻罪行情况的条文体系是德国法律系统的典型，讨论在强迫失踪领域完善刑法的潜在规范方法时将涉及这一内容。</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Theme="minorEastAsia" w:eastAsiaTheme="minorEastAsia" w:hAnsiTheme="minorEastAsia" w:cstheme="majorBidi"/>
                <w:bCs/>
                <w:szCs w:val="21"/>
              </w:rPr>
            </w:pPr>
            <w:r w:rsidRPr="004C5120">
              <w:rPr>
                <w:rFonts w:asciiTheme="minorEastAsia" w:eastAsiaTheme="minorEastAsia" w:hAnsiTheme="minorEastAsia" w:cstheme="majorBidi" w:hint="eastAsia"/>
                <w:bCs/>
                <w:szCs w:val="21"/>
              </w:rPr>
              <w:t>适当的</w:t>
            </w:r>
            <w:r w:rsidRPr="004C5120">
              <w:rPr>
                <w:rFonts w:asciiTheme="majorEastAsia" w:eastAsiaTheme="majorEastAsia" w:hAnsiTheme="majorEastAsia" w:cstheme="majorBidi" w:hint="eastAsia"/>
                <w:bCs/>
                <w:szCs w:val="21"/>
              </w:rPr>
              <w:t>追诉</w:t>
            </w:r>
            <w:r w:rsidRPr="004C5120">
              <w:rPr>
                <w:rFonts w:asciiTheme="minorEastAsia" w:eastAsiaTheme="minorEastAsia" w:hAnsiTheme="minorEastAsia" w:cstheme="majorBidi" w:hint="eastAsia"/>
                <w:bCs/>
                <w:szCs w:val="21"/>
              </w:rPr>
              <w:t>时效</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适用的法律，即《刑法》第</w:t>
            </w:r>
            <w:r w:rsidRPr="004C5120">
              <w:rPr>
                <w:rFonts w:asciiTheme="majorBidi" w:hAnsiTheme="majorBidi" w:cstheme="majorBidi"/>
                <w:szCs w:val="21"/>
              </w:rPr>
              <w:t>78</w:t>
            </w:r>
            <w:r w:rsidRPr="004C5120">
              <w:rPr>
                <w:rFonts w:asciiTheme="majorBidi" w:hAnsiTheme="majorBidi" w:cstheme="majorBidi"/>
                <w:szCs w:val="21"/>
              </w:rPr>
              <w:t>条，已确保强迫失踪的追诉时效符合《公约》第八条，并且特别反映了该罪行的极端严重性。《刑法》第</w:t>
            </w:r>
            <w:r w:rsidRPr="004C5120">
              <w:rPr>
                <w:rFonts w:asciiTheme="majorBidi" w:hAnsiTheme="majorBidi" w:cstheme="majorBidi"/>
                <w:szCs w:val="21"/>
              </w:rPr>
              <w:t>78</w:t>
            </w:r>
            <w:r w:rsidRPr="004C5120">
              <w:rPr>
                <w:rFonts w:asciiTheme="majorBidi" w:hAnsiTheme="majorBidi" w:cstheme="majorBidi"/>
                <w:szCs w:val="21"/>
              </w:rPr>
              <w:t>条规定，追诉时效的长短取决于罪行的严重程度，由对该罪可判处的最长监禁时间决定。</w:t>
            </w:r>
          </w:p>
        </w:tc>
      </w:tr>
      <w:tr w:rsidR="004F7853" w:rsidRPr="004C5120" w:rsidTr="00D120A8">
        <w:trPr>
          <w:trHeight w:val="240"/>
        </w:trPr>
        <w:tc>
          <w:tcPr>
            <w:tcW w:w="7655" w:type="dxa"/>
            <w:gridSpan w:val="2"/>
            <w:shd w:val="clear" w:color="auto" w:fill="auto"/>
          </w:tcPr>
          <w:p w:rsidR="004F7853" w:rsidRPr="004C5120" w:rsidRDefault="004F7853" w:rsidP="00D21FBA">
            <w:pPr>
              <w:keepNext/>
              <w:keepLines/>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在《违反国际法罪法》第</w:t>
            </w:r>
            <w:r w:rsidRPr="004C5120">
              <w:rPr>
                <w:rFonts w:asciiTheme="majorBidi" w:hAnsiTheme="majorBidi" w:cstheme="majorBidi"/>
                <w:szCs w:val="21"/>
              </w:rPr>
              <w:t>7</w:t>
            </w:r>
            <w:r w:rsidRPr="004C5120">
              <w:rPr>
                <w:rFonts w:asciiTheme="majorBidi" w:hAnsiTheme="majorBidi" w:cstheme="majorBidi"/>
                <w:szCs w:val="21"/>
              </w:rPr>
              <w:t>条含义内，强迫他人失踪还构成危害人类罪，但该法第</w:t>
            </w:r>
            <w:r w:rsidRPr="004C5120">
              <w:rPr>
                <w:rFonts w:asciiTheme="majorBidi" w:hAnsiTheme="majorBidi" w:cstheme="majorBidi"/>
                <w:szCs w:val="21"/>
              </w:rPr>
              <w:t>5</w:t>
            </w:r>
            <w:r w:rsidRPr="004C5120">
              <w:rPr>
                <w:rFonts w:asciiTheme="majorBidi" w:hAnsiTheme="majorBidi" w:cstheme="majorBidi"/>
                <w:szCs w:val="21"/>
              </w:rPr>
              <w:t>条规定，对该罪提起刑事诉讼和执行刑罚均不设追诉时效。</w:t>
            </w:r>
          </w:p>
        </w:tc>
      </w:tr>
      <w:tr w:rsidR="004F7853" w:rsidRPr="004C5120" w:rsidTr="00D120A8">
        <w:trPr>
          <w:trHeight w:val="240"/>
        </w:trPr>
        <w:tc>
          <w:tcPr>
            <w:tcW w:w="7655" w:type="dxa"/>
            <w:gridSpan w:val="2"/>
            <w:shd w:val="clear" w:color="auto" w:fill="auto"/>
          </w:tcPr>
          <w:p w:rsidR="004F7853" w:rsidRPr="004C5120" w:rsidRDefault="004F7853" w:rsidP="00666069">
            <w:pPr>
              <w:keepNext/>
              <w:keepLines/>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此外，《刑法》第</w:t>
            </w:r>
            <w:r w:rsidRPr="004C5120">
              <w:rPr>
                <w:rFonts w:asciiTheme="majorBidi" w:hAnsiTheme="majorBidi" w:cstheme="majorBidi"/>
                <w:szCs w:val="21"/>
              </w:rPr>
              <w:t>78</w:t>
            </w:r>
            <w:r w:rsidRPr="004C5120">
              <w:rPr>
                <w:rFonts w:asciiTheme="majorBidi" w:hAnsiTheme="majorBidi" w:cstheme="majorBidi"/>
                <w:szCs w:val="21"/>
              </w:rPr>
              <w:t>条</w:t>
            </w:r>
            <w:r w:rsidRPr="004C5120">
              <w:rPr>
                <w:rFonts w:asciiTheme="majorBidi" w:hAnsiTheme="majorBidi" w:cstheme="majorBidi"/>
                <w:szCs w:val="21"/>
              </w:rPr>
              <w:t>a</w:t>
            </w:r>
            <w:r w:rsidRPr="004C5120">
              <w:rPr>
                <w:rFonts w:asciiTheme="majorBidi" w:hAnsiTheme="majorBidi" w:cstheme="majorBidi"/>
                <w:szCs w:val="21"/>
              </w:rPr>
              <w:t>项已经规定，追诉期仅应从行为完成之时开始计算。若构成犯罪要件的结果是之后发生的，则追诉期应从届时开始计算。对持续犯罪而言，某非法情况不仅发生而且持续发生，例如非法监禁，则追诉期从非法情况终止后开始计算，即从受害人获释时开始计算。</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hAnsiTheme="majorBidi" w:cstheme="majorBidi"/>
                <w:bCs/>
                <w:szCs w:val="21"/>
              </w:rPr>
            </w:pPr>
            <w:r w:rsidRPr="004C5120">
              <w:rPr>
                <w:rFonts w:ascii="黑体" w:eastAsia="黑体" w:hAnsiTheme="majorBidi" w:cstheme="majorBidi" w:hint="eastAsia"/>
                <w:bCs/>
                <w:szCs w:val="21"/>
              </w:rPr>
              <w:t>委员会的评价</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b/>
                <w:szCs w:val="21"/>
              </w:rPr>
              <w:t>[B]</w:t>
            </w:r>
            <w:r w:rsidRPr="004C5120">
              <w:rPr>
                <w:rFonts w:asciiTheme="majorBidi" w:hAnsiTheme="majorBidi" w:cstheme="majorBidi"/>
                <w:bCs/>
                <w:szCs w:val="21"/>
              </w:rPr>
              <w:t>：</w:t>
            </w:r>
            <w:r w:rsidRPr="004C5120">
              <w:rPr>
                <w:rFonts w:asciiTheme="majorBidi" w:hAnsiTheme="majorBidi" w:cstheme="majorBidi"/>
                <w:szCs w:val="21"/>
              </w:rPr>
              <w:t>委员会对其结论性意见</w:t>
            </w:r>
            <w:r w:rsidRPr="004C5120">
              <w:rPr>
                <w:rFonts w:asciiTheme="majorBidi" w:hAnsiTheme="majorBidi" w:cstheme="majorBidi"/>
                <w:szCs w:val="21"/>
              </w:rPr>
              <w:t>(CED/C/DEU/CO/1)</w:t>
            </w:r>
            <w:r w:rsidRPr="004C5120">
              <w:rPr>
                <w:rFonts w:asciiTheme="majorBidi" w:hAnsiTheme="majorBidi" w:cstheme="majorBidi"/>
                <w:szCs w:val="21"/>
              </w:rPr>
              <w:t>已得到议会讨论表示欢迎，并注意到缔约国提供的有关加重和减轻情节及追诉时效的现行法律的详细资料。鉴于本项建议与结论性意见第</w:t>
            </w:r>
            <w:r w:rsidRPr="004C5120">
              <w:rPr>
                <w:rFonts w:asciiTheme="majorBidi" w:hAnsiTheme="majorBidi" w:cstheme="majorBidi"/>
                <w:szCs w:val="21"/>
              </w:rPr>
              <w:t>8</w:t>
            </w:r>
            <w:r w:rsidRPr="004C5120">
              <w:rPr>
                <w:rFonts w:asciiTheme="majorBidi" w:hAnsiTheme="majorBidi" w:cstheme="majorBidi"/>
                <w:szCs w:val="21"/>
              </w:rPr>
              <w:t>段所载建议有关，委员会请缔约国在根据委员会结论性意见第</w:t>
            </w:r>
            <w:r w:rsidRPr="004C5120">
              <w:rPr>
                <w:rFonts w:asciiTheme="majorBidi" w:hAnsiTheme="majorBidi" w:cstheme="majorBidi"/>
                <w:szCs w:val="21"/>
              </w:rPr>
              <w:t>34</w:t>
            </w:r>
            <w:r w:rsidRPr="004C5120">
              <w:rPr>
                <w:rFonts w:asciiTheme="majorBidi" w:hAnsiTheme="majorBidi" w:cstheme="majorBidi"/>
                <w:szCs w:val="21"/>
              </w:rPr>
              <w:t>段提交资料时，说明与第</w:t>
            </w:r>
            <w:r w:rsidRPr="004C5120">
              <w:rPr>
                <w:rFonts w:asciiTheme="majorBidi" w:hAnsiTheme="majorBidi" w:cstheme="majorBidi"/>
                <w:szCs w:val="21"/>
              </w:rPr>
              <w:t>8</w:t>
            </w:r>
            <w:r w:rsidRPr="004C5120">
              <w:rPr>
                <w:rFonts w:asciiTheme="majorBidi" w:hAnsiTheme="majorBidi" w:cstheme="majorBidi"/>
                <w:szCs w:val="21"/>
              </w:rPr>
              <w:t>段建议一并落实本项建议的最新情况。</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eastAsia="黑体" w:hAnsiTheme="majorBidi" w:cstheme="majorBidi"/>
                <w:szCs w:val="21"/>
              </w:rPr>
            </w:pPr>
            <w:r w:rsidRPr="004C5120">
              <w:rPr>
                <w:rFonts w:asciiTheme="majorBidi" w:eastAsia="黑体" w:hAnsiTheme="majorBidi" w:cstheme="majorBidi"/>
                <w:szCs w:val="21"/>
              </w:rPr>
              <w:t>第</w:t>
            </w:r>
            <w:r w:rsidRPr="004C5120">
              <w:rPr>
                <w:rFonts w:asciiTheme="majorBidi" w:eastAsia="黑体" w:hAnsiTheme="majorBidi" w:cstheme="majorBidi"/>
                <w:szCs w:val="21"/>
              </w:rPr>
              <w:t>29</w:t>
            </w:r>
            <w:r w:rsidRPr="004C5120">
              <w:rPr>
                <w:rFonts w:asciiTheme="majorBidi" w:eastAsia="黑体" w:hAnsiTheme="majorBidi" w:cstheme="majorBidi"/>
                <w:szCs w:val="21"/>
              </w:rPr>
              <w:t>段：委员会建议缔约国审查其刑事立法，以便将《公约》第二十五条第</w:t>
            </w:r>
            <w:r w:rsidRPr="004C5120">
              <w:rPr>
                <w:rFonts w:asciiTheme="majorBidi" w:eastAsia="黑体" w:hAnsiTheme="majorBidi" w:cstheme="majorBidi"/>
                <w:szCs w:val="21"/>
              </w:rPr>
              <w:t>1</w:t>
            </w:r>
            <w:r w:rsidRPr="004C5120">
              <w:rPr>
                <w:rFonts w:asciiTheme="majorBidi" w:eastAsia="黑体" w:hAnsiTheme="majorBidi" w:cstheme="majorBidi"/>
                <w:szCs w:val="21"/>
              </w:rPr>
              <w:t>款所述行为列为具体罪行，并且，根据这种罪行的极端严重性，规定适当惩罚。</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Theme="majorBidi" w:eastAsia="黑体" w:hAnsiTheme="majorBidi" w:cstheme="majorBidi"/>
                <w:bCs/>
                <w:szCs w:val="21"/>
              </w:rPr>
            </w:pPr>
            <w:r w:rsidRPr="004C5120">
              <w:rPr>
                <w:rFonts w:asciiTheme="majorBidi" w:eastAsia="黑体" w:hAnsiTheme="majorBidi" w:cstheme="majorBidi"/>
                <w:bCs/>
                <w:szCs w:val="21"/>
              </w:rPr>
              <w:t>缔约国答复概要</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bCs/>
                <w:szCs w:val="21"/>
              </w:rPr>
            </w:pPr>
            <w:r w:rsidRPr="004C5120">
              <w:rPr>
                <w:rFonts w:asciiTheme="majorBidi" w:hAnsiTheme="majorBidi" w:cstheme="majorBidi"/>
                <w:bCs/>
                <w:szCs w:val="21"/>
              </w:rPr>
              <w:t>关于《公约》第二十五条第一款</w:t>
            </w:r>
            <w:r w:rsidRPr="004C5120">
              <w:rPr>
                <w:rFonts w:asciiTheme="majorBidi" w:hAnsiTheme="majorBidi" w:cstheme="majorBidi"/>
                <w:bCs/>
                <w:szCs w:val="21"/>
              </w:rPr>
              <w:t>(</w:t>
            </w:r>
            <w:r w:rsidRPr="004C5120">
              <w:rPr>
                <w:rFonts w:asciiTheme="majorBidi" w:hAnsiTheme="majorBidi" w:cstheme="majorBidi"/>
                <w:bCs/>
                <w:szCs w:val="21"/>
              </w:rPr>
              <w:t>一</w:t>
            </w:r>
            <w:r w:rsidRPr="004C5120">
              <w:rPr>
                <w:rFonts w:asciiTheme="majorBidi" w:hAnsiTheme="majorBidi" w:cstheme="majorBidi"/>
                <w:bCs/>
                <w:szCs w:val="21"/>
              </w:rPr>
              <w:t>)</w:t>
            </w:r>
            <w:r w:rsidRPr="004C5120">
              <w:rPr>
                <w:rFonts w:asciiTheme="majorBidi" w:hAnsiTheme="majorBidi" w:cstheme="majorBidi"/>
                <w:bCs/>
                <w:szCs w:val="21"/>
              </w:rPr>
              <w:t>项</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联邦政府表示，《公约》第二十五条第一款</w:t>
            </w:r>
            <w:r w:rsidRPr="004C5120">
              <w:rPr>
                <w:rFonts w:asciiTheme="majorBidi" w:hAnsiTheme="majorBidi" w:cstheme="majorBidi"/>
                <w:szCs w:val="21"/>
              </w:rPr>
              <w:t>(</w:t>
            </w:r>
            <w:r w:rsidRPr="004C5120">
              <w:rPr>
                <w:rFonts w:asciiTheme="majorBidi" w:hAnsiTheme="majorBidi" w:cstheme="majorBidi"/>
                <w:szCs w:val="21"/>
              </w:rPr>
              <w:t>一</w:t>
            </w:r>
            <w:r w:rsidRPr="004C5120">
              <w:rPr>
                <w:rFonts w:asciiTheme="majorBidi" w:hAnsiTheme="majorBidi" w:cstheme="majorBidi"/>
                <w:szCs w:val="21"/>
              </w:rPr>
              <w:t>)</w:t>
            </w:r>
            <w:r w:rsidRPr="004C5120">
              <w:rPr>
                <w:rFonts w:asciiTheme="majorBidi" w:hAnsiTheme="majorBidi" w:cstheme="majorBidi"/>
                <w:szCs w:val="21"/>
              </w:rPr>
              <w:t>项本身并未规定缔约国有义务为该条所指行为单独设立一项刑事罪名。该条只规定了一般性处罚义务。</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此外，《德国刑法》已经载有一项专门的罪名，涵盖了《公约》第二十五条第一款</w:t>
            </w:r>
            <w:r w:rsidRPr="004C5120">
              <w:rPr>
                <w:rFonts w:asciiTheme="majorBidi" w:hAnsiTheme="majorBidi" w:cstheme="majorBidi"/>
                <w:szCs w:val="21"/>
              </w:rPr>
              <w:t>(</w:t>
            </w:r>
            <w:r w:rsidRPr="004C5120">
              <w:rPr>
                <w:rFonts w:asciiTheme="majorBidi" w:hAnsiTheme="majorBidi" w:cstheme="majorBidi"/>
                <w:szCs w:val="21"/>
              </w:rPr>
              <w:t>一</w:t>
            </w:r>
            <w:r w:rsidRPr="004C5120">
              <w:rPr>
                <w:rFonts w:asciiTheme="majorBidi" w:hAnsiTheme="majorBidi" w:cstheme="majorBidi"/>
                <w:szCs w:val="21"/>
              </w:rPr>
              <w:t>)</w:t>
            </w:r>
            <w:r w:rsidRPr="004C5120">
              <w:rPr>
                <w:rFonts w:asciiTheme="majorBidi" w:hAnsiTheme="majorBidi" w:cstheme="majorBidi"/>
                <w:szCs w:val="21"/>
              </w:rPr>
              <w:t>项载列的行为，并规定了应有的惩罚措施。</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《刑法》第</w:t>
            </w:r>
            <w:r w:rsidRPr="004C5120">
              <w:rPr>
                <w:rFonts w:asciiTheme="majorBidi" w:hAnsiTheme="majorBidi" w:cstheme="majorBidi"/>
                <w:szCs w:val="21"/>
              </w:rPr>
              <w:t>235</w:t>
            </w:r>
            <w:r w:rsidRPr="004C5120">
              <w:rPr>
                <w:rFonts w:asciiTheme="majorBidi" w:hAnsiTheme="majorBidi" w:cstheme="majorBidi"/>
                <w:szCs w:val="21"/>
              </w:rPr>
              <w:t>条已经载有一项具体的刑事罪名，涵盖了第二十五条第一款</w:t>
            </w:r>
            <w:r w:rsidRPr="004C5120">
              <w:rPr>
                <w:rFonts w:asciiTheme="majorBidi" w:hAnsiTheme="majorBidi" w:cstheme="majorBidi"/>
                <w:szCs w:val="21"/>
              </w:rPr>
              <w:t>(</w:t>
            </w:r>
            <w:r w:rsidRPr="004C5120">
              <w:rPr>
                <w:rFonts w:asciiTheme="majorBidi" w:hAnsiTheme="majorBidi" w:cstheme="majorBidi"/>
                <w:szCs w:val="21"/>
              </w:rPr>
              <w:t>一</w:t>
            </w:r>
            <w:r w:rsidRPr="004C5120">
              <w:rPr>
                <w:rFonts w:asciiTheme="majorBidi" w:hAnsiTheme="majorBidi" w:cstheme="majorBidi"/>
                <w:szCs w:val="21"/>
              </w:rPr>
              <w:t>)</w:t>
            </w:r>
            <w:r w:rsidRPr="004C5120">
              <w:rPr>
                <w:rFonts w:asciiTheme="majorBidi" w:hAnsiTheme="majorBidi" w:cstheme="majorBidi"/>
                <w:szCs w:val="21"/>
              </w:rPr>
              <w:t>项列举的各种行为以及伴生的对父母</w:t>
            </w:r>
            <w:r w:rsidRPr="004C5120">
              <w:rPr>
                <w:rFonts w:asciiTheme="majorBidi" w:hAnsiTheme="majorBidi" w:cstheme="majorBidi"/>
                <w:szCs w:val="21"/>
              </w:rPr>
              <w:t>-</w:t>
            </w:r>
            <w:r w:rsidRPr="004C5120">
              <w:rPr>
                <w:rFonts w:asciiTheme="majorBidi" w:hAnsiTheme="majorBidi" w:cstheme="majorBidi"/>
                <w:szCs w:val="21"/>
              </w:rPr>
              <w:t>子女关系的侵犯和对儿童发展不受阻碍的权利的侵犯。此外，非法购买收养关系，或将未满</w:t>
            </w:r>
            <w:r w:rsidRPr="004C5120">
              <w:rPr>
                <w:rFonts w:asciiTheme="majorBidi" w:hAnsiTheme="majorBidi" w:cstheme="majorBidi"/>
                <w:szCs w:val="21"/>
              </w:rPr>
              <w:t>18</w:t>
            </w:r>
            <w:r w:rsidRPr="004C5120">
              <w:rPr>
                <w:rFonts w:asciiTheme="majorBidi" w:hAnsiTheme="majorBidi" w:cstheme="majorBidi"/>
                <w:szCs w:val="21"/>
              </w:rPr>
              <w:t>岁人员置于控制之下，持续不确定的时间，往往是绑架儿童行为的典型要件，包括上述要件的具体行为已被贩运儿童罪</w:t>
            </w:r>
            <w:r w:rsidRPr="004C5120">
              <w:rPr>
                <w:rFonts w:asciiTheme="majorBidi" w:hAnsiTheme="majorBidi" w:cstheme="majorBidi"/>
                <w:szCs w:val="21"/>
              </w:rPr>
              <w:t>(</w:t>
            </w:r>
            <w:r w:rsidRPr="004C5120">
              <w:rPr>
                <w:rFonts w:asciiTheme="majorBidi" w:hAnsiTheme="majorBidi" w:cstheme="majorBidi"/>
                <w:szCs w:val="21"/>
              </w:rPr>
              <w:t>《刑法》第</w:t>
            </w:r>
            <w:r w:rsidRPr="004C5120">
              <w:rPr>
                <w:rFonts w:asciiTheme="majorBidi" w:hAnsiTheme="majorBidi" w:cstheme="majorBidi"/>
                <w:szCs w:val="21"/>
              </w:rPr>
              <w:t>236</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所涵盖。</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bCs/>
                <w:szCs w:val="21"/>
              </w:rPr>
            </w:pPr>
            <w:r w:rsidRPr="004C5120">
              <w:rPr>
                <w:rFonts w:asciiTheme="majorBidi" w:hAnsiTheme="majorBidi" w:cstheme="majorBidi"/>
                <w:bCs/>
                <w:szCs w:val="21"/>
              </w:rPr>
              <w:t>关于《公约》第二十五条第一款</w:t>
            </w:r>
            <w:r w:rsidRPr="004C5120">
              <w:rPr>
                <w:rFonts w:asciiTheme="majorBidi" w:hAnsiTheme="majorBidi" w:cstheme="majorBidi"/>
                <w:bCs/>
                <w:szCs w:val="21"/>
              </w:rPr>
              <w:t>(</w:t>
            </w:r>
            <w:r w:rsidRPr="004C5120">
              <w:rPr>
                <w:rFonts w:asciiTheme="majorBidi" w:hAnsiTheme="majorBidi" w:cstheme="majorBidi"/>
                <w:bCs/>
                <w:szCs w:val="21"/>
              </w:rPr>
              <w:t>二</w:t>
            </w:r>
            <w:r w:rsidRPr="004C5120">
              <w:rPr>
                <w:rFonts w:asciiTheme="majorBidi" w:hAnsiTheme="majorBidi" w:cstheme="majorBidi"/>
                <w:bCs/>
                <w:szCs w:val="21"/>
              </w:rPr>
              <w:t>)</w:t>
            </w:r>
            <w:r w:rsidRPr="004C5120">
              <w:rPr>
                <w:rFonts w:asciiTheme="majorBidi" w:hAnsiTheme="majorBidi" w:cstheme="majorBidi"/>
                <w:bCs/>
                <w:szCs w:val="21"/>
              </w:rPr>
              <w:t>项</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《公约》只载有一般性处罚义务。根据德国法律，已可将《公约》第二十五条第一款</w:t>
            </w:r>
            <w:r w:rsidRPr="004C5120">
              <w:rPr>
                <w:rFonts w:asciiTheme="majorBidi" w:hAnsiTheme="majorBidi" w:cstheme="majorBidi"/>
                <w:szCs w:val="21"/>
              </w:rPr>
              <w:t>(</w:t>
            </w:r>
            <w:r w:rsidRPr="004C5120">
              <w:rPr>
                <w:rFonts w:asciiTheme="majorBidi" w:hAnsiTheme="majorBidi" w:cstheme="majorBidi"/>
                <w:szCs w:val="21"/>
              </w:rPr>
              <w:t>二</w:t>
            </w:r>
            <w:r w:rsidRPr="004C5120">
              <w:rPr>
                <w:rFonts w:asciiTheme="majorBidi" w:hAnsiTheme="majorBidi" w:cstheme="majorBidi"/>
                <w:szCs w:val="21"/>
              </w:rPr>
              <w:t>)</w:t>
            </w:r>
            <w:r w:rsidRPr="004C5120">
              <w:rPr>
                <w:rFonts w:asciiTheme="majorBidi" w:hAnsiTheme="majorBidi" w:cstheme="majorBidi"/>
                <w:szCs w:val="21"/>
              </w:rPr>
              <w:t>项所载的行为作为伪造罪</w:t>
            </w:r>
            <w:r w:rsidRPr="004C5120">
              <w:rPr>
                <w:rFonts w:asciiTheme="majorBidi" w:hAnsiTheme="majorBidi" w:cstheme="majorBidi"/>
                <w:szCs w:val="21"/>
              </w:rPr>
              <w:t>(</w:t>
            </w:r>
            <w:r w:rsidRPr="004C5120">
              <w:rPr>
                <w:rFonts w:asciiTheme="majorBidi" w:hAnsiTheme="majorBidi" w:cstheme="majorBidi"/>
                <w:szCs w:val="21"/>
              </w:rPr>
              <w:t>《刑法》第</w:t>
            </w:r>
            <w:r w:rsidRPr="004C5120">
              <w:rPr>
                <w:rFonts w:asciiTheme="majorBidi" w:hAnsiTheme="majorBidi" w:cstheme="majorBidi"/>
                <w:szCs w:val="21"/>
              </w:rPr>
              <w:t>267</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、导致错误信息进入公共记录罪</w:t>
            </w:r>
            <w:r w:rsidRPr="004C5120">
              <w:rPr>
                <w:rFonts w:asciiTheme="majorBidi" w:hAnsiTheme="majorBidi" w:cstheme="majorBidi"/>
                <w:szCs w:val="21"/>
              </w:rPr>
              <w:t>(</w:t>
            </w:r>
            <w:r w:rsidRPr="004C5120">
              <w:rPr>
                <w:rFonts w:asciiTheme="majorBidi" w:hAnsiTheme="majorBidi" w:cstheme="majorBidi"/>
                <w:szCs w:val="21"/>
              </w:rPr>
              <w:t>《刑法》第</w:t>
            </w:r>
            <w:r w:rsidRPr="004C5120">
              <w:rPr>
                <w:rFonts w:asciiTheme="majorBidi" w:hAnsiTheme="majorBidi" w:cstheme="majorBidi"/>
                <w:szCs w:val="21"/>
              </w:rPr>
              <w:t>271</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、篡改官方身份文件罪</w:t>
            </w:r>
            <w:r w:rsidRPr="004C5120">
              <w:rPr>
                <w:rFonts w:asciiTheme="majorBidi" w:hAnsiTheme="majorBidi" w:cstheme="majorBidi"/>
                <w:szCs w:val="21"/>
              </w:rPr>
              <w:t>(</w:t>
            </w:r>
            <w:r w:rsidRPr="004C5120">
              <w:rPr>
                <w:rFonts w:asciiTheme="majorBidi" w:hAnsiTheme="majorBidi" w:cstheme="majorBidi"/>
                <w:szCs w:val="21"/>
              </w:rPr>
              <w:t>《刑法》第</w:t>
            </w:r>
            <w:r w:rsidRPr="004C5120">
              <w:rPr>
                <w:rFonts w:asciiTheme="majorBidi" w:hAnsiTheme="majorBidi" w:cstheme="majorBidi"/>
                <w:szCs w:val="21"/>
              </w:rPr>
              <w:t>273</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、隐瞒文件罪</w:t>
            </w:r>
            <w:r w:rsidRPr="004C5120">
              <w:rPr>
                <w:rFonts w:asciiTheme="majorBidi" w:hAnsiTheme="majorBidi" w:cstheme="majorBidi"/>
                <w:szCs w:val="21"/>
              </w:rPr>
              <w:t>(</w:t>
            </w:r>
            <w:r w:rsidRPr="004C5120">
              <w:rPr>
                <w:rFonts w:asciiTheme="majorBidi" w:hAnsiTheme="majorBidi" w:cstheme="majorBidi"/>
                <w:szCs w:val="21"/>
              </w:rPr>
              <w:t>《刑法》第</w:t>
            </w:r>
            <w:r w:rsidRPr="004C5120">
              <w:rPr>
                <w:rFonts w:asciiTheme="majorBidi" w:hAnsiTheme="majorBidi" w:cstheme="majorBidi"/>
                <w:szCs w:val="21"/>
              </w:rPr>
              <w:t>274</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和伪造个人情况罪</w:t>
            </w:r>
            <w:r w:rsidRPr="004C5120">
              <w:rPr>
                <w:rFonts w:asciiTheme="majorBidi" w:hAnsiTheme="majorBidi" w:cstheme="majorBidi"/>
                <w:szCs w:val="21"/>
              </w:rPr>
              <w:t>(</w:t>
            </w:r>
            <w:r w:rsidRPr="004C5120">
              <w:rPr>
                <w:rFonts w:asciiTheme="majorBidi" w:hAnsiTheme="majorBidi" w:cstheme="majorBidi"/>
                <w:szCs w:val="21"/>
              </w:rPr>
              <w:t>《刑法》第</w:t>
            </w:r>
            <w:r w:rsidRPr="004C5120">
              <w:rPr>
                <w:rFonts w:asciiTheme="majorBidi" w:hAnsiTheme="majorBidi" w:cstheme="majorBidi"/>
                <w:szCs w:val="21"/>
              </w:rPr>
              <w:t>169</w:t>
            </w:r>
            <w:r w:rsidRPr="004C5120">
              <w:rPr>
                <w:rFonts w:asciiTheme="majorBidi" w:hAnsiTheme="majorBidi" w:cstheme="majorBidi"/>
                <w:szCs w:val="21"/>
              </w:rPr>
              <w:t>条</w:t>
            </w:r>
            <w:r w:rsidRPr="004C5120">
              <w:rPr>
                <w:rFonts w:asciiTheme="majorBidi" w:hAnsiTheme="majorBidi" w:cstheme="majorBidi"/>
                <w:szCs w:val="21"/>
              </w:rPr>
              <w:t>)</w:t>
            </w:r>
            <w:r w:rsidRPr="004C5120">
              <w:rPr>
                <w:rFonts w:asciiTheme="majorBidi" w:hAnsiTheme="majorBidi" w:cstheme="majorBidi"/>
                <w:szCs w:val="21"/>
              </w:rPr>
              <w:t>予以惩处。这些条款涵盖了全部可以想象的行动，即伪造、销毁和藏匿</w:t>
            </w:r>
            <w:r w:rsidRPr="004C5120">
              <w:rPr>
                <w:rFonts w:asciiTheme="majorBidi" w:hAnsiTheme="majorBidi" w:cstheme="majorBidi"/>
                <w:szCs w:val="21"/>
              </w:rPr>
              <w:t>(</w:t>
            </w:r>
            <w:r w:rsidRPr="004C5120">
              <w:rPr>
                <w:rFonts w:asciiTheme="majorBidi" w:hAnsiTheme="majorBidi" w:cstheme="majorBidi"/>
                <w:szCs w:val="21"/>
              </w:rPr>
              <w:t>在德国刑法内对应</w:t>
            </w:r>
            <w:r w:rsidRPr="004C5120">
              <w:rPr>
                <w:rFonts w:asciiTheme="majorBidi" w:hAnsiTheme="majorBidi" w:cstheme="majorBidi"/>
                <w:szCs w:val="21"/>
              </w:rPr>
              <w:t>“</w:t>
            </w:r>
            <w:r w:rsidRPr="004C5120">
              <w:rPr>
                <w:rFonts w:asciiTheme="majorBidi" w:hAnsiTheme="majorBidi" w:cstheme="majorBidi"/>
                <w:szCs w:val="21"/>
              </w:rPr>
              <w:t>隐瞒</w:t>
            </w:r>
            <w:r w:rsidRPr="004C5120">
              <w:rPr>
                <w:rFonts w:asciiTheme="majorBidi" w:hAnsiTheme="majorBidi" w:cstheme="majorBidi"/>
                <w:szCs w:val="21"/>
              </w:rPr>
              <w:t>”)</w:t>
            </w:r>
            <w:r w:rsidRPr="004C5120">
              <w:rPr>
                <w:rFonts w:asciiTheme="majorBidi" w:hAnsiTheme="majorBidi" w:cstheme="majorBidi"/>
                <w:szCs w:val="21"/>
              </w:rPr>
              <w:t>身份文件的行为。涉案物品可能包括私人记录和文件、公共文件、官方身份文件、书籍、数据存储媒介或登记册，以及具备证据价值的技术记录和数据。</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hAnsiTheme="majorBidi" w:cstheme="majorBidi"/>
                <w:bCs/>
                <w:szCs w:val="21"/>
              </w:rPr>
            </w:pPr>
            <w:r w:rsidRPr="004C5120">
              <w:rPr>
                <w:rFonts w:ascii="黑体" w:eastAsia="黑体" w:hAnsiTheme="majorBidi" w:cstheme="majorBidi" w:hint="eastAsia"/>
                <w:bCs/>
                <w:szCs w:val="21"/>
              </w:rPr>
              <w:t>委员会的评价</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b/>
                <w:szCs w:val="21"/>
              </w:rPr>
              <w:t>[B]</w:t>
            </w:r>
            <w:r w:rsidRPr="004C5120">
              <w:rPr>
                <w:rFonts w:asciiTheme="majorBidi" w:hAnsiTheme="majorBidi" w:cstheme="majorBidi"/>
                <w:bCs/>
                <w:szCs w:val="21"/>
              </w:rPr>
              <w:t>：</w:t>
            </w:r>
            <w:r w:rsidRPr="004C5120">
              <w:rPr>
                <w:rFonts w:asciiTheme="majorBidi" w:hAnsiTheme="majorBidi" w:cstheme="majorBidi"/>
                <w:szCs w:val="21"/>
              </w:rPr>
              <w:t>委员会对其结论性意见</w:t>
            </w:r>
            <w:r w:rsidRPr="004C5120">
              <w:rPr>
                <w:rFonts w:asciiTheme="majorBidi" w:hAnsiTheme="majorBidi" w:cstheme="majorBidi"/>
                <w:szCs w:val="21"/>
              </w:rPr>
              <w:t>(CED/C/DEU/CO/1)</w:t>
            </w:r>
            <w:r w:rsidRPr="004C5120">
              <w:rPr>
                <w:rFonts w:asciiTheme="majorBidi" w:hAnsiTheme="majorBidi" w:cstheme="majorBidi"/>
                <w:szCs w:val="21"/>
              </w:rPr>
              <w:t>已得到议会讨论表示欢迎，并注意到缔约国提供的详细资料，包括缔约国认为没有义务为《公约》第二十五条第一款所指行为设立具体刑事罪名的这一立场。但是，委员会忆及其结论性意见第</w:t>
            </w:r>
            <w:r w:rsidRPr="004C5120">
              <w:rPr>
                <w:rFonts w:asciiTheme="majorBidi" w:hAnsiTheme="majorBidi" w:cstheme="majorBidi"/>
                <w:szCs w:val="21"/>
              </w:rPr>
              <w:t>28</w:t>
            </w:r>
            <w:r w:rsidRPr="004C5120">
              <w:rPr>
                <w:rFonts w:asciiTheme="majorBidi" w:hAnsiTheme="majorBidi" w:cstheme="majorBidi"/>
                <w:szCs w:val="21"/>
              </w:rPr>
              <w:t>段并重申其建议，请缔约国在根据委员会结论性意见第</w:t>
            </w:r>
            <w:r w:rsidRPr="004C5120">
              <w:rPr>
                <w:rFonts w:asciiTheme="majorBidi" w:hAnsiTheme="majorBidi" w:cstheme="majorBidi"/>
                <w:szCs w:val="21"/>
              </w:rPr>
              <w:t>34</w:t>
            </w:r>
            <w:r w:rsidRPr="004C5120">
              <w:rPr>
                <w:rFonts w:asciiTheme="majorBidi" w:hAnsiTheme="majorBidi" w:cstheme="majorBidi"/>
                <w:szCs w:val="21"/>
              </w:rPr>
              <w:t>段提交资料时，提供为落实建议所采取措施的资料。</w:t>
            </w:r>
          </w:p>
        </w:tc>
      </w:tr>
      <w:tr w:rsidR="004F7853" w:rsidRPr="004C5120" w:rsidTr="00D120A8">
        <w:trPr>
          <w:trHeight w:val="240"/>
        </w:trPr>
        <w:tc>
          <w:tcPr>
            <w:tcW w:w="7655" w:type="dxa"/>
            <w:gridSpan w:val="2"/>
            <w:shd w:val="clear" w:color="auto" w:fill="auto"/>
          </w:tcPr>
          <w:p w:rsidR="004F7853" w:rsidRPr="004C5120" w:rsidRDefault="004F7853" w:rsidP="00666069">
            <w:pPr>
              <w:tabs>
                <w:tab w:val="left" w:pos="334"/>
                <w:tab w:val="left" w:pos="669"/>
                <w:tab w:val="left" w:pos="1003"/>
                <w:tab w:val="left" w:pos="1338"/>
              </w:tabs>
              <w:suppressAutoHyphens/>
              <w:spacing w:before="120" w:after="120" w:line="240" w:lineRule="exact"/>
              <w:ind w:left="57" w:right="57"/>
              <w:rPr>
                <w:rFonts w:ascii="黑体" w:eastAsia="黑体" w:hAnsiTheme="majorBidi" w:cstheme="majorBidi"/>
                <w:bCs/>
                <w:szCs w:val="21"/>
              </w:rPr>
            </w:pPr>
            <w:r w:rsidRPr="004C5120">
              <w:rPr>
                <w:rFonts w:ascii="黑体" w:eastAsia="黑体" w:hAnsiTheme="majorBidi" w:cstheme="majorBidi" w:hint="eastAsia"/>
                <w:bCs/>
                <w:szCs w:val="21"/>
              </w:rPr>
              <w:t>需采取的行动</w:t>
            </w:r>
          </w:p>
        </w:tc>
      </w:tr>
      <w:tr w:rsidR="004F7853" w:rsidRPr="004C5120" w:rsidTr="00D120A8">
        <w:trPr>
          <w:trHeight w:val="240"/>
        </w:trPr>
        <w:tc>
          <w:tcPr>
            <w:tcW w:w="7655" w:type="dxa"/>
            <w:gridSpan w:val="2"/>
            <w:shd w:val="clear" w:color="auto" w:fill="auto"/>
          </w:tcPr>
          <w:p w:rsidR="004F7853" w:rsidRPr="004C5120" w:rsidRDefault="004F7853" w:rsidP="00C72D14">
            <w:pPr>
              <w:tabs>
                <w:tab w:val="left" w:pos="334"/>
                <w:tab w:val="left" w:pos="669"/>
                <w:tab w:val="left" w:pos="1003"/>
                <w:tab w:val="left" w:pos="1338"/>
              </w:tabs>
              <w:suppressAutoHyphens/>
              <w:spacing w:before="60" w:after="60" w:line="240" w:lineRule="exact"/>
              <w:ind w:left="57" w:right="57"/>
              <w:rPr>
                <w:rFonts w:asciiTheme="majorBidi" w:hAnsiTheme="majorBidi" w:cstheme="majorBidi"/>
                <w:szCs w:val="21"/>
              </w:rPr>
            </w:pPr>
            <w:r w:rsidRPr="004C5120">
              <w:rPr>
                <w:rFonts w:asciiTheme="majorBidi" w:hAnsiTheme="majorBidi" w:cstheme="majorBidi"/>
                <w:szCs w:val="21"/>
              </w:rPr>
              <w:t>应致函缔约国，反映委员会的评价。</w:t>
            </w:r>
          </w:p>
        </w:tc>
      </w:tr>
      <w:tr w:rsidR="004F7853" w:rsidRPr="004C5120" w:rsidTr="00D120A8">
        <w:trPr>
          <w:trHeight w:val="240"/>
        </w:trPr>
        <w:tc>
          <w:tcPr>
            <w:tcW w:w="7655" w:type="dxa"/>
            <w:gridSpan w:val="2"/>
            <w:tcBorders>
              <w:bottom w:val="single" w:sz="12" w:space="0" w:color="auto"/>
            </w:tcBorders>
            <w:shd w:val="clear" w:color="auto" w:fill="auto"/>
          </w:tcPr>
          <w:p w:rsidR="004F7853" w:rsidRPr="004C5120" w:rsidRDefault="004F7853" w:rsidP="00E543F9">
            <w:pPr>
              <w:tabs>
                <w:tab w:val="left" w:pos="334"/>
                <w:tab w:val="left" w:pos="669"/>
                <w:tab w:val="left" w:pos="1003"/>
                <w:tab w:val="left" w:pos="1338"/>
              </w:tabs>
              <w:suppressAutoHyphens/>
              <w:spacing w:before="60" w:after="120" w:line="240" w:lineRule="exact"/>
              <w:ind w:left="57" w:right="57"/>
              <w:rPr>
                <w:rFonts w:ascii="黑体" w:eastAsia="黑体" w:hAnsiTheme="majorBidi" w:cstheme="majorBidi"/>
                <w:szCs w:val="21"/>
              </w:rPr>
            </w:pPr>
            <w:r w:rsidRPr="004C5120">
              <w:rPr>
                <w:rFonts w:ascii="黑体" w:eastAsia="黑体" w:hAnsiTheme="majorBidi" w:cstheme="majorBidi" w:hint="eastAsia"/>
                <w:bCs/>
                <w:szCs w:val="21"/>
                <w:lang w:val="zh-CN"/>
              </w:rPr>
              <w:t>应在</w:t>
            </w:r>
            <w:r w:rsidRPr="004C5120">
              <w:rPr>
                <w:rFonts w:asciiTheme="majorBidi" w:eastAsia="黑体" w:hAnsiTheme="majorBidi" w:cstheme="majorBidi"/>
                <w:bCs/>
                <w:szCs w:val="21"/>
              </w:rPr>
              <w:t>2020</w:t>
            </w:r>
            <w:r w:rsidRPr="004C5120">
              <w:rPr>
                <w:rFonts w:ascii="黑体" w:eastAsia="黑体" w:hAnsiTheme="majorBidi" w:cstheme="majorBidi" w:hint="eastAsia"/>
                <w:bCs/>
                <w:szCs w:val="21"/>
                <w:lang w:val="zh-CN"/>
              </w:rPr>
              <w:t>年</w:t>
            </w:r>
            <w:r w:rsidRPr="004C5120">
              <w:rPr>
                <w:rFonts w:asciiTheme="majorBidi" w:eastAsia="黑体" w:hAnsiTheme="majorBidi" w:cstheme="majorBidi"/>
                <w:bCs/>
                <w:szCs w:val="21"/>
              </w:rPr>
              <w:t>3</w:t>
            </w:r>
            <w:r w:rsidRPr="004C5120">
              <w:rPr>
                <w:rFonts w:ascii="黑体" w:eastAsia="黑体" w:hAnsiTheme="majorBidi" w:cstheme="majorBidi" w:hint="eastAsia"/>
                <w:bCs/>
                <w:szCs w:val="21"/>
                <w:lang w:val="zh-CN"/>
              </w:rPr>
              <w:t>月</w:t>
            </w:r>
            <w:r w:rsidRPr="004C5120">
              <w:rPr>
                <w:rFonts w:asciiTheme="majorBidi" w:eastAsia="黑体" w:hAnsiTheme="majorBidi" w:cstheme="majorBidi"/>
                <w:bCs/>
                <w:szCs w:val="21"/>
              </w:rPr>
              <w:t>28</w:t>
            </w:r>
            <w:r w:rsidRPr="004C5120">
              <w:rPr>
                <w:rFonts w:ascii="黑体" w:eastAsia="黑体" w:hAnsiTheme="majorBidi" w:cstheme="majorBidi" w:hint="eastAsia"/>
                <w:bCs/>
                <w:szCs w:val="21"/>
                <w:lang w:val="zh-CN"/>
              </w:rPr>
              <w:t>日之前提交关于所有建议落实情况的后续行动资料</w:t>
            </w:r>
          </w:p>
        </w:tc>
      </w:tr>
    </w:tbl>
    <w:p w:rsidR="004F7853" w:rsidRPr="005A7F64" w:rsidRDefault="004F7853" w:rsidP="004F7853">
      <w:pPr>
        <w:pStyle w:val="SingleTxt"/>
        <w:spacing w:after="0" w:line="480" w:lineRule="auto"/>
        <w:rPr>
          <w:sz w:val="24"/>
          <w:szCs w:val="24"/>
        </w:rPr>
      </w:pPr>
      <w:r w:rsidRPr="005A7F64">
        <w:rPr>
          <w:noProof/>
          <w:sz w:val="24"/>
          <w:szCs w:val="24"/>
        </w:rPr>
        <mc:AlternateContent>
          <mc:Choice Requires="wps">
            <w:drawing>
              <wp:anchor distT="4294967295" distB="4294967295" distL="114300" distR="114300" simplePos="0" relativeHeight="251660288" behindDoc="0" locked="0" layoutInCell="1" allowOverlap="1" wp14:anchorId="39B2822C" wp14:editId="1038B02C">
                <wp:simplePos x="0" y="0"/>
                <wp:positionH relativeFrom="column">
                  <wp:posOffset>2669540</wp:posOffset>
                </wp:positionH>
                <wp:positionV relativeFrom="paragraph">
                  <wp:posOffset>304799</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" strokecolor="#010000" strokeweight=".25pt">
                <o:lock v:ext="edit" shapetype="f"/>
              </v:line>
            </w:pict>
          </mc:Fallback>
        </mc:AlternateContent>
      </w:r>
    </w:p>
    <w:p w:rsidR="004F7853" w:rsidRPr="004F7853" w:rsidRDefault="004F7853" w:rsidP="004F7853">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before="120"/>
        <w:ind w:left="0"/>
        <w:rPr>
          <w:rFonts w:ascii="黑体" w:eastAsia="黑体"/>
          <w:sz w:val="24"/>
          <w:szCs w:val="24"/>
        </w:rPr>
      </w:pPr>
    </w:p>
    <w:sectPr w:rsidR="004F7853" w:rsidRPr="004F7853" w:rsidSect="00E71BFA">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30T15:08:00Z" w:initials="Start">
    <w:p w:rsidR="00E71BFA" w:rsidRDefault="00E71BF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NO&gt;&gt;N1523830C&lt;&lt;ODS JOB NO&gt;&gt;</w:t>
      </w:r>
    </w:p>
    <w:p w:rsidR="00E71BFA" w:rsidRDefault="00E71BFA">
      <w:pPr>
        <w:pStyle w:val="a7"/>
      </w:pPr>
      <w:r>
        <w:t>&lt;&lt;ODS DOC SYMBOL1&gt;&gt;CED/C/9/2&lt;&lt;ODS DOC SYMBOL1&gt;&gt;</w:t>
      </w:r>
    </w:p>
    <w:p w:rsidR="00E71BFA" w:rsidRDefault="00E71BFA">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5A0" w:rsidRDefault="006355A0">
      <w:r>
        <w:separator/>
      </w:r>
    </w:p>
  </w:endnote>
  <w:endnote w:type="continuationSeparator" w:id="0">
    <w:p w:rsidR="006355A0" w:rsidRDefault="00635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71BFA" w:rsidTr="00E71BFA">
      <w:trPr>
        <w:jc w:val="center"/>
      </w:trPr>
      <w:tc>
        <w:tcPr>
          <w:tcW w:w="5126" w:type="dxa"/>
          <w:shd w:val="clear" w:color="auto" w:fill="auto"/>
        </w:tcPr>
        <w:p w:rsidR="00E71BFA" w:rsidRPr="00E71BFA" w:rsidRDefault="00E71BFA" w:rsidP="008B5B56">
          <w:pPr>
            <w:pStyle w:val="ac"/>
            <w:jc w:val="right"/>
            <w:rPr>
              <w:b w:val="0"/>
              <w:w w:val="103"/>
              <w:sz w:val="14"/>
            </w:rPr>
          </w:pPr>
          <w:r>
            <w:rPr>
              <w:b w:val="0"/>
              <w:w w:val="103"/>
              <w:sz w:val="14"/>
            </w:rPr>
            <w:t>GE.15-17289</w:t>
          </w:r>
        </w:p>
      </w:tc>
      <w:tc>
        <w:tcPr>
          <w:tcW w:w="5127" w:type="dxa"/>
          <w:shd w:val="clear" w:color="auto" w:fill="auto"/>
        </w:tcPr>
        <w:p w:rsidR="00E71BFA" w:rsidRPr="00E71BFA" w:rsidRDefault="00E71BFA" w:rsidP="00E71BFA">
          <w:pPr>
            <w:pStyle w:val="ac"/>
            <w:jc w:val="left"/>
            <w:rPr>
              <w:w w:val="103"/>
            </w:rPr>
          </w:pPr>
          <w:r>
            <w:rPr>
              <w:w w:val="103"/>
            </w:rPr>
            <w:fldChar w:fldCharType="begin"/>
          </w:r>
          <w:r>
            <w:rPr>
              <w:w w:val="103"/>
            </w:rPr>
            <w:instrText xml:space="preserve"> PAGE  \* Arabic  \* MERGEFORMAT </w:instrText>
          </w:r>
          <w:r>
            <w:rPr>
              <w:w w:val="103"/>
            </w:rPr>
            <w:fldChar w:fldCharType="separate"/>
          </w:r>
          <w:r w:rsidR="00CF1839">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F1839">
            <w:rPr>
              <w:w w:val="103"/>
            </w:rPr>
            <w:t>11</w:t>
          </w:r>
          <w:r>
            <w:rPr>
              <w:w w:val="103"/>
            </w:rPr>
            <w:fldChar w:fldCharType="end"/>
          </w:r>
        </w:p>
      </w:tc>
    </w:tr>
  </w:tbl>
  <w:p w:rsidR="00E71BFA" w:rsidRPr="00E71BFA" w:rsidRDefault="00E71BFA" w:rsidP="00E71BF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71BFA" w:rsidTr="00E71BFA">
      <w:trPr>
        <w:jc w:val="center"/>
      </w:trPr>
      <w:tc>
        <w:tcPr>
          <w:tcW w:w="5126" w:type="dxa"/>
          <w:shd w:val="clear" w:color="auto" w:fill="auto"/>
        </w:tcPr>
        <w:p w:rsidR="00E71BFA" w:rsidRPr="00E71BFA" w:rsidRDefault="00E71BFA" w:rsidP="00E71BFA">
          <w:pPr>
            <w:pStyle w:val="ac"/>
            <w:jc w:val="right"/>
          </w:pPr>
          <w:r>
            <w:fldChar w:fldCharType="begin"/>
          </w:r>
          <w:r>
            <w:instrText xml:space="preserve"> PAGE  \* Arabic  \* MERGEFORMAT </w:instrText>
          </w:r>
          <w:r>
            <w:fldChar w:fldCharType="separate"/>
          </w:r>
          <w:r w:rsidR="00CF1839">
            <w:t>11</w:t>
          </w:r>
          <w:r>
            <w:fldChar w:fldCharType="end"/>
          </w:r>
          <w:r>
            <w:t>/</w:t>
          </w:r>
          <w:r w:rsidR="00CF1839">
            <w:fldChar w:fldCharType="begin"/>
          </w:r>
          <w:r w:rsidR="00CF1839">
            <w:instrText xml:space="preserve"> NUMPAGES  \* Arabic  \* MERGEFORMAT </w:instrText>
          </w:r>
          <w:r w:rsidR="00CF1839">
            <w:fldChar w:fldCharType="separate"/>
          </w:r>
          <w:r w:rsidR="00CF1839">
            <w:t>11</w:t>
          </w:r>
          <w:r w:rsidR="00CF1839">
            <w:fldChar w:fldCharType="end"/>
          </w:r>
        </w:p>
      </w:tc>
      <w:tc>
        <w:tcPr>
          <w:tcW w:w="5127" w:type="dxa"/>
          <w:shd w:val="clear" w:color="auto" w:fill="auto"/>
        </w:tcPr>
        <w:p w:rsidR="00E71BFA" w:rsidRPr="00E71BFA" w:rsidRDefault="008B5B56" w:rsidP="00E71BFA">
          <w:pPr>
            <w:pStyle w:val="ac"/>
            <w:jc w:val="left"/>
            <w:rPr>
              <w:b w:val="0"/>
              <w:w w:val="103"/>
              <w:sz w:val="14"/>
            </w:rPr>
          </w:pPr>
          <w:r>
            <w:rPr>
              <w:b w:val="0"/>
              <w:w w:val="103"/>
              <w:sz w:val="14"/>
            </w:rPr>
            <w:t>GE.15-17289</w:t>
          </w:r>
        </w:p>
      </w:tc>
    </w:tr>
  </w:tbl>
  <w:p w:rsidR="00E71BFA" w:rsidRPr="00E71BFA" w:rsidRDefault="00E71BFA" w:rsidP="00E71BF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E71BFA" w:rsidTr="00E71BFA">
      <w:tc>
        <w:tcPr>
          <w:tcW w:w="3873" w:type="dxa"/>
        </w:tcPr>
        <w:p w:rsidR="00E71BFA" w:rsidRDefault="00E71BFA" w:rsidP="009376C5">
          <w:pPr>
            <w:pStyle w:val="Release"/>
          </w:pPr>
          <w:r>
            <w:rPr>
              <w:noProof/>
            </w:rPr>
            <w:drawing>
              <wp:anchor distT="0" distB="0" distL="114300" distR="114300" simplePos="0" relativeHeight="251658240" behindDoc="0" locked="0" layoutInCell="1" allowOverlap="1" wp14:anchorId="7FA150F6" wp14:editId="6AABEBC5">
                <wp:simplePos x="0" y="0"/>
                <wp:positionH relativeFrom="column">
                  <wp:posOffset>5692889</wp:posOffset>
                </wp:positionH>
                <wp:positionV relativeFrom="paragraph">
                  <wp:posOffset>-364895</wp:posOffset>
                </wp:positionV>
                <wp:extent cx="694690" cy="694690"/>
                <wp:effectExtent l="0" t="0" r="0" b="0"/>
                <wp:wrapNone/>
                <wp:docPr id="3" name="图片 3" descr="http://undocs.org/m2/QRCode2.ashx?DS=CED/C/9/2&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9/2&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F1839">
            <w:fldChar w:fldCharType="begin"/>
          </w:r>
          <w:r w:rsidR="00CF1839">
            <w:instrText xml:space="preserve"> DOCVARIABLE "jobn" \* MERGEFORMAT </w:instrText>
          </w:r>
          <w:r w:rsidR="00CF1839">
            <w:fldChar w:fldCharType="separate"/>
          </w:r>
          <w:r w:rsidR="00CF1839">
            <w:t>GE.15-17289 (C)</w:t>
          </w:r>
          <w:r w:rsidR="00CF1839">
            <w:fldChar w:fldCharType="end"/>
          </w:r>
          <w:r>
            <w:t xml:space="preserve">    301115    0</w:t>
          </w:r>
          <w:r w:rsidR="009376C5">
            <w:rPr>
              <w:rFonts w:hint="eastAsia"/>
            </w:rPr>
            <w:t>1</w:t>
          </w:r>
          <w:r>
            <w:t>1</w:t>
          </w:r>
          <w:r w:rsidR="009376C5">
            <w:rPr>
              <w:rFonts w:hint="eastAsia"/>
            </w:rPr>
            <w:t>2</w:t>
          </w:r>
          <w:r>
            <w:t>15</w:t>
          </w:r>
        </w:p>
        <w:p w:rsidR="00E71BFA" w:rsidRPr="00E71BFA" w:rsidRDefault="00E71BFA" w:rsidP="00E71BFA">
          <w:pPr>
            <w:spacing w:before="80" w:line="210" w:lineRule="exact"/>
            <w:rPr>
              <w:rFonts w:ascii="Barcode 3 of 9 by request" w:hAnsi="Barcode 3 of 9 by request"/>
              <w:sz w:val="24"/>
            </w:rPr>
          </w:pPr>
          <w:r>
            <w:rPr>
              <w:rFonts w:ascii="Barcode 3 of 9 by request" w:hAnsi="Barcode 3 of 9 by request"/>
              <w:sz w:val="24"/>
            </w:rPr>
            <w:t>*1517289*</w:t>
          </w:r>
        </w:p>
      </w:tc>
      <w:tc>
        <w:tcPr>
          <w:tcW w:w="5127" w:type="dxa"/>
        </w:tcPr>
        <w:p w:rsidR="00E71BFA" w:rsidRDefault="00E71BFA" w:rsidP="00E71BFA">
          <w:pPr>
            <w:pStyle w:val="ac"/>
            <w:jc w:val="right"/>
            <w:rPr>
              <w:b w:val="0"/>
              <w:sz w:val="21"/>
            </w:rPr>
          </w:pPr>
          <w:r>
            <w:rPr>
              <w:b w:val="0"/>
              <w:sz w:val="21"/>
            </w:rPr>
            <w:drawing>
              <wp:inline distT="0" distB="0" distL="0" distR="0" wp14:anchorId="43118EF0" wp14:editId="13A56BD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E71BFA" w:rsidRPr="00E71BFA" w:rsidRDefault="00E71BFA" w:rsidP="00E71BF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5A0" w:rsidRPr="00B2128F" w:rsidRDefault="00B2128F" w:rsidP="00B2128F">
      <w:pPr>
        <w:pStyle w:val="ac"/>
        <w:spacing w:after="80"/>
        <w:ind w:left="792"/>
        <w:rPr>
          <w:sz w:val="16"/>
        </w:rPr>
      </w:pPr>
      <w:r w:rsidRPr="00B2128F">
        <w:rPr>
          <w:sz w:val="16"/>
        </w:rPr>
        <w:t>__________________</w:t>
      </w:r>
    </w:p>
  </w:footnote>
  <w:footnote w:type="continuationSeparator" w:id="0">
    <w:p w:rsidR="006355A0" w:rsidRPr="00B2128F" w:rsidRDefault="00B2128F" w:rsidP="00B2128F">
      <w:pPr>
        <w:pStyle w:val="ac"/>
        <w:spacing w:after="80"/>
        <w:ind w:left="792"/>
        <w:rPr>
          <w:sz w:val="16"/>
        </w:rPr>
      </w:pPr>
      <w:r w:rsidRPr="00B2128F">
        <w:rPr>
          <w:sz w:val="16"/>
        </w:rPr>
        <w:t>__________________</w:t>
      </w:r>
    </w:p>
  </w:footnote>
  <w:footnote w:id="1">
    <w:p w:rsidR="004F7853" w:rsidRDefault="004F7853" w:rsidP="00B2128F">
      <w:pPr>
        <w:pStyle w:val="a5"/>
        <w:tabs>
          <w:tab w:val="clear" w:pos="418"/>
          <w:tab w:val="right" w:pos="1195"/>
          <w:tab w:val="left" w:pos="1264"/>
          <w:tab w:val="left" w:pos="1695"/>
          <w:tab w:val="left" w:pos="2126"/>
          <w:tab w:val="left" w:pos="2557"/>
        </w:tabs>
        <w:ind w:left="1264" w:right="1264" w:hanging="432"/>
      </w:pPr>
      <w:r>
        <w:rPr>
          <w:rStyle w:val="a3"/>
          <w:rFonts w:hint="eastAsia"/>
        </w:rPr>
        <w:tab/>
      </w:r>
      <w:r w:rsidRPr="00857DD9">
        <w:rPr>
          <w:rStyle w:val="a3"/>
          <w:noProof w:val="0"/>
          <w:w w:val="100"/>
          <w:sz w:val="21"/>
          <w:vertAlign w:val="baseline"/>
        </w:rPr>
        <w:t>*</w:t>
      </w:r>
      <w:r>
        <w:rPr>
          <w:rFonts w:hint="eastAsia"/>
        </w:rPr>
        <w:tab/>
      </w:r>
      <w:r w:rsidRPr="004F7853">
        <w:rPr>
          <w:rFonts w:hint="eastAsia"/>
          <w:spacing w:val="5"/>
          <w:w w:val="104"/>
        </w:rPr>
        <w:t>委员会第九届会议</w:t>
      </w:r>
      <w:r w:rsidRPr="004F7853">
        <w:rPr>
          <w:w w:val="104"/>
        </w:rPr>
        <w:t>(2015</w:t>
      </w:r>
      <w:r w:rsidRPr="004F7853">
        <w:rPr>
          <w:w w:val="104"/>
        </w:rPr>
        <w:t>年</w:t>
      </w:r>
      <w:r w:rsidRPr="004F7853">
        <w:rPr>
          <w:w w:val="104"/>
        </w:rPr>
        <w:t>9</w:t>
      </w:r>
      <w:r w:rsidRPr="004F7853">
        <w:rPr>
          <w:w w:val="104"/>
        </w:rPr>
        <w:t>月</w:t>
      </w:r>
      <w:r w:rsidRPr="004F7853">
        <w:rPr>
          <w:rFonts w:hint="eastAsia"/>
          <w:w w:val="104"/>
        </w:rPr>
        <w:t>7</w:t>
      </w:r>
      <w:r w:rsidRPr="004F7853">
        <w:rPr>
          <w:rFonts w:hint="eastAsia"/>
          <w:w w:val="104"/>
        </w:rPr>
        <w:t>日至</w:t>
      </w:r>
      <w:r w:rsidRPr="004F7853">
        <w:rPr>
          <w:w w:val="104"/>
        </w:rPr>
        <w:t>18</w:t>
      </w:r>
      <w:r w:rsidRPr="004F7853">
        <w:rPr>
          <w:w w:val="104"/>
        </w:rPr>
        <w:t>日</w:t>
      </w:r>
      <w:r w:rsidRPr="004F7853">
        <w:rPr>
          <w:w w:val="104"/>
        </w:rPr>
        <w:t>)</w:t>
      </w:r>
      <w:r w:rsidRPr="004F7853">
        <w:rPr>
          <w:rFonts w:hint="eastAsia"/>
          <w:w w:val="104"/>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71BFA" w:rsidTr="00E71BFA">
      <w:trPr>
        <w:trHeight w:hRule="exact" w:val="864"/>
        <w:jc w:val="center"/>
      </w:trPr>
      <w:tc>
        <w:tcPr>
          <w:tcW w:w="4882" w:type="dxa"/>
          <w:shd w:val="clear" w:color="auto" w:fill="auto"/>
          <w:vAlign w:val="bottom"/>
        </w:tcPr>
        <w:p w:rsidR="00E71BFA" w:rsidRPr="00E71BFA" w:rsidRDefault="00E71BFA" w:rsidP="00E71BF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F1839">
            <w:rPr>
              <w:b/>
              <w:sz w:val="17"/>
            </w:rPr>
            <w:t>CED/C/9/2</w:t>
          </w:r>
          <w:r>
            <w:rPr>
              <w:b/>
              <w:sz w:val="17"/>
            </w:rPr>
            <w:fldChar w:fldCharType="end"/>
          </w:r>
        </w:p>
      </w:tc>
      <w:tc>
        <w:tcPr>
          <w:tcW w:w="5127" w:type="dxa"/>
          <w:shd w:val="clear" w:color="auto" w:fill="auto"/>
          <w:vAlign w:val="bottom"/>
        </w:tcPr>
        <w:p w:rsidR="00E71BFA" w:rsidRDefault="00E71BFA" w:rsidP="00E71BFA">
          <w:pPr>
            <w:pStyle w:val="ab"/>
          </w:pPr>
        </w:p>
      </w:tc>
    </w:tr>
  </w:tbl>
  <w:p w:rsidR="00E71BFA" w:rsidRPr="00E71BFA" w:rsidRDefault="00E71BFA" w:rsidP="00E71BF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71BFA" w:rsidTr="00E71BFA">
      <w:trPr>
        <w:trHeight w:hRule="exact" w:val="864"/>
        <w:jc w:val="center"/>
      </w:trPr>
      <w:tc>
        <w:tcPr>
          <w:tcW w:w="4882" w:type="dxa"/>
          <w:shd w:val="clear" w:color="auto" w:fill="auto"/>
          <w:vAlign w:val="bottom"/>
        </w:tcPr>
        <w:p w:rsidR="00E71BFA" w:rsidRDefault="00E71BFA" w:rsidP="00E71BFA">
          <w:pPr>
            <w:pStyle w:val="ab"/>
          </w:pPr>
        </w:p>
      </w:tc>
      <w:tc>
        <w:tcPr>
          <w:tcW w:w="5127" w:type="dxa"/>
          <w:shd w:val="clear" w:color="auto" w:fill="auto"/>
          <w:vAlign w:val="bottom"/>
        </w:tcPr>
        <w:p w:rsidR="00E71BFA" w:rsidRPr="00E71BFA" w:rsidRDefault="00E71BFA" w:rsidP="00E71BF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F1839">
            <w:rPr>
              <w:b/>
              <w:sz w:val="17"/>
            </w:rPr>
            <w:t>CED/C/9/2</w:t>
          </w:r>
          <w:r>
            <w:rPr>
              <w:b/>
              <w:sz w:val="17"/>
            </w:rPr>
            <w:fldChar w:fldCharType="end"/>
          </w:r>
        </w:p>
      </w:tc>
    </w:tr>
  </w:tbl>
  <w:p w:rsidR="00E71BFA" w:rsidRPr="00E71BFA" w:rsidRDefault="00E71BFA" w:rsidP="00E71BF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E71BFA" w:rsidTr="00E71BFA">
      <w:trPr>
        <w:trHeight w:hRule="exact" w:val="864"/>
      </w:trPr>
      <w:tc>
        <w:tcPr>
          <w:tcW w:w="1267" w:type="dxa"/>
          <w:tcBorders>
            <w:bottom w:val="single" w:sz="4" w:space="0" w:color="auto"/>
          </w:tcBorders>
          <w:shd w:val="clear" w:color="auto" w:fill="auto"/>
          <w:vAlign w:val="bottom"/>
        </w:tcPr>
        <w:p w:rsidR="00E71BFA" w:rsidRDefault="00E71BFA" w:rsidP="00E71BFA">
          <w:pPr>
            <w:pStyle w:val="ab"/>
            <w:spacing w:after="120"/>
          </w:pPr>
        </w:p>
      </w:tc>
      <w:tc>
        <w:tcPr>
          <w:tcW w:w="1872" w:type="dxa"/>
          <w:tcBorders>
            <w:bottom w:val="single" w:sz="4" w:space="0" w:color="auto"/>
          </w:tcBorders>
          <w:shd w:val="clear" w:color="auto" w:fill="auto"/>
          <w:vAlign w:val="bottom"/>
        </w:tcPr>
        <w:p w:rsidR="00E71BFA" w:rsidRPr="00E71BFA" w:rsidRDefault="00E71BFA" w:rsidP="00E71BF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E71BFA" w:rsidRDefault="00E71BFA" w:rsidP="00E71BFA">
          <w:pPr>
            <w:pStyle w:val="ab"/>
            <w:spacing w:after="120"/>
          </w:pPr>
        </w:p>
      </w:tc>
      <w:tc>
        <w:tcPr>
          <w:tcW w:w="6653" w:type="dxa"/>
          <w:gridSpan w:val="4"/>
          <w:tcBorders>
            <w:bottom w:val="single" w:sz="4" w:space="0" w:color="auto"/>
          </w:tcBorders>
          <w:shd w:val="clear" w:color="auto" w:fill="auto"/>
          <w:vAlign w:val="bottom"/>
        </w:tcPr>
        <w:p w:rsidR="00E71BFA" w:rsidRPr="00E71BFA" w:rsidRDefault="00E71BFA" w:rsidP="00E71BFA">
          <w:pPr>
            <w:spacing w:after="80" w:line="240" w:lineRule="auto"/>
            <w:jc w:val="right"/>
            <w:rPr>
              <w:position w:val="-4"/>
            </w:rPr>
          </w:pPr>
          <w:r>
            <w:rPr>
              <w:position w:val="-4"/>
              <w:sz w:val="40"/>
            </w:rPr>
            <w:t>CED</w:t>
          </w:r>
          <w:r>
            <w:rPr>
              <w:position w:val="-4"/>
            </w:rPr>
            <w:t>/C/9/2</w:t>
          </w:r>
        </w:p>
      </w:tc>
    </w:tr>
    <w:tr w:rsidR="00E71BFA" w:rsidRPr="00E71BFA" w:rsidTr="00E71BFA">
      <w:trPr>
        <w:gridAfter w:val="1"/>
        <w:wAfter w:w="18" w:type="dxa"/>
        <w:trHeight w:hRule="exact" w:val="2880"/>
      </w:trPr>
      <w:tc>
        <w:tcPr>
          <w:tcW w:w="1267" w:type="dxa"/>
          <w:tcBorders>
            <w:top w:val="single" w:sz="4" w:space="0" w:color="auto"/>
            <w:bottom w:val="single" w:sz="12" w:space="0" w:color="auto"/>
          </w:tcBorders>
          <w:shd w:val="clear" w:color="auto" w:fill="auto"/>
        </w:tcPr>
        <w:p w:rsidR="00E71BFA" w:rsidRPr="00E71BFA" w:rsidRDefault="00E71BFA" w:rsidP="00E71BFA">
          <w:pPr>
            <w:pStyle w:val="ab"/>
            <w:spacing w:before="109"/>
            <w:ind w:left="-72"/>
          </w:pPr>
          <w:r>
            <w:t xml:space="preserve"> </w:t>
          </w:r>
          <w:r>
            <w:drawing>
              <wp:inline distT="0" distB="0" distL="0" distR="0" wp14:anchorId="0E41B5AA" wp14:editId="09E2F2B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71BFA" w:rsidRPr="00E71BFA" w:rsidRDefault="00E71BFA" w:rsidP="00E71BFA">
          <w:pPr>
            <w:pStyle w:val="XLarge"/>
            <w:spacing w:before="109" w:after="140" w:line="440" w:lineRule="exact"/>
            <w:rPr>
              <w:sz w:val="38"/>
            </w:rPr>
          </w:pPr>
          <w:r>
            <w:rPr>
              <w:rFonts w:hint="eastAsia"/>
              <w:sz w:val="38"/>
            </w:rPr>
            <w:t>保护所有人免遭强迫失踪</w:t>
          </w:r>
          <w:r>
            <w:rPr>
              <w:rFonts w:hint="eastAsia"/>
              <w:sz w:val="38"/>
            </w:rPr>
            <w:br/>
            <w:t>国际公约</w:t>
          </w:r>
        </w:p>
      </w:tc>
      <w:tc>
        <w:tcPr>
          <w:tcW w:w="245" w:type="dxa"/>
          <w:tcBorders>
            <w:top w:val="single" w:sz="4" w:space="0" w:color="auto"/>
            <w:bottom w:val="single" w:sz="12" w:space="0" w:color="auto"/>
          </w:tcBorders>
          <w:shd w:val="clear" w:color="auto" w:fill="auto"/>
        </w:tcPr>
        <w:p w:rsidR="00E71BFA" w:rsidRPr="00E71BFA" w:rsidRDefault="00E71BFA" w:rsidP="00E71BFA">
          <w:pPr>
            <w:pStyle w:val="ab"/>
            <w:spacing w:before="109"/>
          </w:pPr>
        </w:p>
      </w:tc>
      <w:tc>
        <w:tcPr>
          <w:tcW w:w="3280" w:type="dxa"/>
          <w:tcBorders>
            <w:top w:val="single" w:sz="4" w:space="0" w:color="auto"/>
            <w:bottom w:val="single" w:sz="12" w:space="0" w:color="auto"/>
          </w:tcBorders>
          <w:shd w:val="clear" w:color="auto" w:fill="auto"/>
        </w:tcPr>
        <w:p w:rsidR="00E71BFA" w:rsidRDefault="00E71BFA" w:rsidP="00E71BFA">
          <w:pPr>
            <w:pStyle w:val="Distr"/>
          </w:pPr>
          <w:r>
            <w:t>Distr.: General</w:t>
          </w:r>
        </w:p>
        <w:p w:rsidR="00E71BFA" w:rsidRDefault="00E71BFA" w:rsidP="00E71BFA">
          <w:pPr>
            <w:pStyle w:val="Publication"/>
          </w:pPr>
          <w:r>
            <w:t>16 November 2015</w:t>
          </w:r>
        </w:p>
        <w:p w:rsidR="00E71BFA" w:rsidRDefault="00E71BFA" w:rsidP="00E71BFA">
          <w:pPr>
            <w:spacing w:line="240" w:lineRule="exact"/>
          </w:pPr>
          <w:r>
            <w:t>Chinese</w:t>
          </w:r>
        </w:p>
        <w:p w:rsidR="00E71BFA" w:rsidRDefault="00E71BFA" w:rsidP="00E71BFA">
          <w:pPr>
            <w:pStyle w:val="Original"/>
          </w:pPr>
          <w:r>
            <w:t>Original: English</w:t>
          </w:r>
        </w:p>
        <w:p w:rsidR="00E71BFA" w:rsidRPr="00E71BFA" w:rsidRDefault="00E71BFA" w:rsidP="00E71BFA"/>
      </w:tc>
    </w:tr>
  </w:tbl>
  <w:p w:rsidR="00E71BFA" w:rsidRPr="00E71BFA" w:rsidRDefault="00E71BFA" w:rsidP="00E71BF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1228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289*"/>
    <w:docVar w:name="CreationDt" w:val="30/11/2015 15:08:16"/>
    <w:docVar w:name="DocCategory" w:val="Doc"/>
    <w:docVar w:name="DocType" w:val="Final"/>
    <w:docVar w:name="DutyStation" w:val="Geneva"/>
    <w:docVar w:name="FooterJN" w:val="GE.15-17289 (C)"/>
    <w:docVar w:name="jobn" w:val="GE.15-17289 (C)"/>
    <w:docVar w:name="jobnDT" w:val="15-17289 (C)   301115"/>
    <w:docVar w:name="jobnDTDT" w:val="15-17289 (C)   301115   301115"/>
    <w:docVar w:name="JobNo" w:val="GE.1517289C"/>
    <w:docVar w:name="LocalDrive" w:val="0"/>
    <w:docVar w:name="OandT" w:val="WUJS"/>
    <w:docVar w:name="PaperSize" w:val="A4"/>
    <w:docVar w:name="sss1" w:val="CED/C/9/2"/>
    <w:docVar w:name="sss2" w:val="-"/>
    <w:docVar w:name="Symbol1" w:val="CED/C/9/2"/>
    <w:docVar w:name="Symbol2" w:val="-"/>
  </w:docVars>
  <w:rsids>
    <w:rsidRoot w:val="006355A0"/>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D78B8"/>
    <w:rsid w:val="000E240F"/>
    <w:rsid w:val="000E49A4"/>
    <w:rsid w:val="000E4FFB"/>
    <w:rsid w:val="000F1058"/>
    <w:rsid w:val="000F55DC"/>
    <w:rsid w:val="00101C4E"/>
    <w:rsid w:val="00101D5B"/>
    <w:rsid w:val="00101F86"/>
    <w:rsid w:val="001034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0F14"/>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4D77"/>
    <w:rsid w:val="004B2C67"/>
    <w:rsid w:val="004B4F06"/>
    <w:rsid w:val="004C0224"/>
    <w:rsid w:val="004C053E"/>
    <w:rsid w:val="004C089F"/>
    <w:rsid w:val="004C1456"/>
    <w:rsid w:val="004C3255"/>
    <w:rsid w:val="004C3BAA"/>
    <w:rsid w:val="004C5120"/>
    <w:rsid w:val="004D07E1"/>
    <w:rsid w:val="004D1C19"/>
    <w:rsid w:val="004D60D1"/>
    <w:rsid w:val="004E4081"/>
    <w:rsid w:val="004E739A"/>
    <w:rsid w:val="004F29B8"/>
    <w:rsid w:val="004F3649"/>
    <w:rsid w:val="004F3D2A"/>
    <w:rsid w:val="004F4BBB"/>
    <w:rsid w:val="004F4EFB"/>
    <w:rsid w:val="004F5333"/>
    <w:rsid w:val="004F5E26"/>
    <w:rsid w:val="004F7853"/>
    <w:rsid w:val="0050413E"/>
    <w:rsid w:val="00512841"/>
    <w:rsid w:val="00515657"/>
    <w:rsid w:val="0051592B"/>
    <w:rsid w:val="00521275"/>
    <w:rsid w:val="0052216F"/>
    <w:rsid w:val="00523247"/>
    <w:rsid w:val="005232CA"/>
    <w:rsid w:val="00523636"/>
    <w:rsid w:val="00523A43"/>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96B51"/>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355A0"/>
    <w:rsid w:val="00640671"/>
    <w:rsid w:val="006432CB"/>
    <w:rsid w:val="00646B55"/>
    <w:rsid w:val="006479F1"/>
    <w:rsid w:val="0065055D"/>
    <w:rsid w:val="00650BEE"/>
    <w:rsid w:val="00651B0B"/>
    <w:rsid w:val="006520FA"/>
    <w:rsid w:val="0065377D"/>
    <w:rsid w:val="00661120"/>
    <w:rsid w:val="00666069"/>
    <w:rsid w:val="00666F57"/>
    <w:rsid w:val="006740A7"/>
    <w:rsid w:val="006767D5"/>
    <w:rsid w:val="00691524"/>
    <w:rsid w:val="006926DF"/>
    <w:rsid w:val="00697E61"/>
    <w:rsid w:val="006A2730"/>
    <w:rsid w:val="006A5CFB"/>
    <w:rsid w:val="006A654B"/>
    <w:rsid w:val="006B769C"/>
    <w:rsid w:val="006C092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5648"/>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240"/>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7DD9"/>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B56"/>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8F76C0"/>
    <w:rsid w:val="00907874"/>
    <w:rsid w:val="00911686"/>
    <w:rsid w:val="009122E0"/>
    <w:rsid w:val="00913351"/>
    <w:rsid w:val="00917344"/>
    <w:rsid w:val="00923D95"/>
    <w:rsid w:val="009248ED"/>
    <w:rsid w:val="009264B1"/>
    <w:rsid w:val="009331FA"/>
    <w:rsid w:val="009376C5"/>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508"/>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53B3"/>
    <w:rsid w:val="00AD6611"/>
    <w:rsid w:val="00AD74CC"/>
    <w:rsid w:val="00AE6719"/>
    <w:rsid w:val="00AE6C5D"/>
    <w:rsid w:val="00AF021F"/>
    <w:rsid w:val="00AF074D"/>
    <w:rsid w:val="00AF114B"/>
    <w:rsid w:val="00AF2A33"/>
    <w:rsid w:val="00AF4C2D"/>
    <w:rsid w:val="00AF4FD7"/>
    <w:rsid w:val="00B014C7"/>
    <w:rsid w:val="00B01FB8"/>
    <w:rsid w:val="00B02C51"/>
    <w:rsid w:val="00B03EFA"/>
    <w:rsid w:val="00B16C8C"/>
    <w:rsid w:val="00B171E7"/>
    <w:rsid w:val="00B2128F"/>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2D14"/>
    <w:rsid w:val="00C75600"/>
    <w:rsid w:val="00C76854"/>
    <w:rsid w:val="00C847BD"/>
    <w:rsid w:val="00C900C5"/>
    <w:rsid w:val="00C92AE0"/>
    <w:rsid w:val="00C93AFD"/>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839"/>
    <w:rsid w:val="00CF1FCA"/>
    <w:rsid w:val="00CF49BA"/>
    <w:rsid w:val="00CF7718"/>
    <w:rsid w:val="00D0025B"/>
    <w:rsid w:val="00D0701A"/>
    <w:rsid w:val="00D10888"/>
    <w:rsid w:val="00D10EE5"/>
    <w:rsid w:val="00D120A8"/>
    <w:rsid w:val="00D177F1"/>
    <w:rsid w:val="00D21209"/>
    <w:rsid w:val="00D21DF3"/>
    <w:rsid w:val="00D21FBA"/>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713C"/>
    <w:rsid w:val="00DF2A07"/>
    <w:rsid w:val="00DF5B53"/>
    <w:rsid w:val="00DF742A"/>
    <w:rsid w:val="00E030F5"/>
    <w:rsid w:val="00E041F4"/>
    <w:rsid w:val="00E050BA"/>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43F9"/>
    <w:rsid w:val="00E56B5D"/>
    <w:rsid w:val="00E63A20"/>
    <w:rsid w:val="00E66265"/>
    <w:rsid w:val="00E710FB"/>
    <w:rsid w:val="00E71BFA"/>
    <w:rsid w:val="00E730F1"/>
    <w:rsid w:val="00E73CC9"/>
    <w:rsid w:val="00E75847"/>
    <w:rsid w:val="00E76FC6"/>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C7887"/>
    <w:rsid w:val="00ED2708"/>
    <w:rsid w:val="00ED2D39"/>
    <w:rsid w:val="00ED3A3A"/>
    <w:rsid w:val="00EE0913"/>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91A5F-29FA-4881-A3FE-36A7EBB93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1795</Words>
  <Characters>10238</Characters>
  <Application>Microsoft Office Word</Application>
  <DocSecurity>0</DocSecurity>
  <Lines>85</Lines>
  <Paragraphs>24</Paragraphs>
  <ScaleCrop>false</ScaleCrop>
  <Company>DCM</Company>
  <LinksUpToDate>false</LinksUpToDate>
  <CharactersWithSpaces>12009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Wu Jiansheng</dc:creator>
  <cp:keywords/>
  <dc:description/>
  <cp:lastModifiedBy>mlu</cp:lastModifiedBy>
  <cp:revision>3</cp:revision>
  <cp:lastPrinted>2015-12-01T14:11:00Z</cp:lastPrinted>
  <dcterms:created xsi:type="dcterms:W3CDTF">2015-12-01T14:11:00Z</dcterms:created>
  <dcterms:modified xsi:type="dcterms:W3CDTF">2015-12-01T14:11:00Z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1517289</vt:lpwstr>
  </property>
  <property fmtid="{D5CDD505-2E9C-101B-9397-08002B2CF9AE}" pid="3" name="ODSRefJobNo">
    <vt:lpwstr>1523830C</vt:lpwstr>
  </property>
  <property fmtid="{D5CDD505-2E9C-101B-9397-08002B2CF9AE}" pid="4" name="Symbol1">
    <vt:lpwstr>CED/C/9/2</vt:lpwstr>
  </property>
  <property fmtid="{D5CDD505-2E9C-101B-9397-08002B2CF9AE}" pid="5" name="Symbol2">
    <vt:lpwstr/>
  </property>
  <property fmtid="{D5CDD505-2E9C-101B-9397-08002B2CF9AE}" pid="6" name="Translator">
    <vt:lpwstr/>
  </property>
  <property fmtid="{D5CDD505-2E9C-101B-9397-08002B2CF9AE}" pid="7" name="Operator">
    <vt:lpwstr>WUJS</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November 2015</vt:lpwstr>
  </property>
  <property fmtid="{D5CDD505-2E9C-101B-9397-08002B2CF9AE}" pid="12" name="Original">
    <vt:lpwstr>English</vt:lpwstr>
  </property>
  <property fmtid="{D5CDD505-2E9C-101B-9397-08002B2CF9AE}" pid="13" name="Release Date">
    <vt:lpwstr>301115</vt:lpwstr>
  </property>
</Properties>
</file>