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268"/>
        <w:gridCol w:w="2693"/>
      </w:tblGrid>
      <w:tr w:rsidR="002D5AAC" w14:paraId="68BE8887" w14:textId="77777777" w:rsidTr="00DD44B1">
        <w:trPr>
          <w:trHeight w:hRule="exact" w:val="851"/>
        </w:trPr>
        <w:tc>
          <w:tcPr>
            <w:tcW w:w="142" w:type="dxa"/>
            <w:tcBorders>
              <w:bottom w:val="single" w:sz="4" w:space="0" w:color="auto"/>
            </w:tcBorders>
          </w:tcPr>
          <w:p w14:paraId="3A1A0D48" w14:textId="77777777" w:rsidR="002D5AAC" w:rsidRDefault="002D5AAC" w:rsidP="00880DBB">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147C4565" w14:textId="77777777" w:rsidR="002D5AAC" w:rsidRPr="00BD33EE" w:rsidRDefault="00DF71B9" w:rsidP="00DD44B1">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7E7EFD0B" w14:textId="34E582E8" w:rsidR="002D5AAC" w:rsidRDefault="00880DBB" w:rsidP="00880DBB">
            <w:pPr>
              <w:jc w:val="right"/>
            </w:pPr>
            <w:r w:rsidRPr="00880DBB">
              <w:rPr>
                <w:sz w:val="40"/>
              </w:rPr>
              <w:t>E</w:t>
            </w:r>
            <w:r>
              <w:t>/C.12/MRT/CO/2</w:t>
            </w:r>
          </w:p>
        </w:tc>
      </w:tr>
      <w:tr w:rsidR="002D5AAC" w:rsidRPr="00880DBB" w14:paraId="50183CA4" w14:textId="77777777" w:rsidTr="00DD44B1">
        <w:trPr>
          <w:trHeight w:hRule="exact" w:val="2835"/>
        </w:trPr>
        <w:tc>
          <w:tcPr>
            <w:tcW w:w="1280" w:type="dxa"/>
            <w:gridSpan w:val="2"/>
            <w:tcBorders>
              <w:top w:val="single" w:sz="4" w:space="0" w:color="auto"/>
              <w:bottom w:val="single" w:sz="12" w:space="0" w:color="auto"/>
            </w:tcBorders>
          </w:tcPr>
          <w:p w14:paraId="708894DB" w14:textId="77777777" w:rsidR="002D5AAC" w:rsidRDefault="002E5067" w:rsidP="00DD44B1">
            <w:pPr>
              <w:spacing w:before="120"/>
              <w:jc w:val="center"/>
            </w:pPr>
            <w:r>
              <w:rPr>
                <w:noProof/>
                <w:lang w:val="fr-CH" w:eastAsia="fr-CH"/>
              </w:rPr>
              <w:drawing>
                <wp:inline distT="0" distB="0" distL="0" distR="0" wp14:anchorId="1175CCB3" wp14:editId="6F3ABA7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66" w:type="dxa"/>
            <w:gridSpan w:val="2"/>
            <w:tcBorders>
              <w:top w:val="single" w:sz="4" w:space="0" w:color="auto"/>
              <w:bottom w:val="single" w:sz="12" w:space="0" w:color="auto"/>
            </w:tcBorders>
          </w:tcPr>
          <w:p w14:paraId="42C39264" w14:textId="77777777" w:rsidR="002D5AAC" w:rsidRPr="00033EE1" w:rsidRDefault="00640F49" w:rsidP="00DD44B1">
            <w:pPr>
              <w:spacing w:before="120" w:line="380" w:lineRule="exact"/>
              <w:rPr>
                <w:b/>
                <w:sz w:val="34"/>
                <w:szCs w:val="34"/>
              </w:rPr>
            </w:pPr>
            <w:r>
              <w:rPr>
                <w:b/>
                <w:sz w:val="40"/>
                <w:szCs w:val="40"/>
              </w:rPr>
              <w:t xml:space="preserve">Экономический </w:t>
            </w:r>
            <w:r>
              <w:rPr>
                <w:b/>
                <w:sz w:val="40"/>
                <w:szCs w:val="40"/>
              </w:rPr>
              <w:br/>
              <w:t>и Социальный Совет</w:t>
            </w:r>
          </w:p>
        </w:tc>
        <w:tc>
          <w:tcPr>
            <w:tcW w:w="2693" w:type="dxa"/>
            <w:tcBorders>
              <w:top w:val="single" w:sz="4" w:space="0" w:color="auto"/>
              <w:bottom w:val="single" w:sz="12" w:space="0" w:color="auto"/>
            </w:tcBorders>
          </w:tcPr>
          <w:p w14:paraId="4630FED3" w14:textId="77777777" w:rsidR="002D5AAC" w:rsidRDefault="00880DBB" w:rsidP="00DD44B1">
            <w:pPr>
              <w:spacing w:before="240"/>
              <w:rPr>
                <w:lang w:val="en-US"/>
              </w:rPr>
            </w:pPr>
            <w:r>
              <w:rPr>
                <w:lang w:val="en-US"/>
              </w:rPr>
              <w:t>Distr.: General</w:t>
            </w:r>
          </w:p>
          <w:p w14:paraId="795D2F66" w14:textId="77777777" w:rsidR="00880DBB" w:rsidRDefault="00880DBB" w:rsidP="00880DBB">
            <w:pPr>
              <w:spacing w:line="240" w:lineRule="exact"/>
              <w:rPr>
                <w:lang w:val="en-US"/>
              </w:rPr>
            </w:pPr>
            <w:r>
              <w:rPr>
                <w:lang w:val="en-US"/>
              </w:rPr>
              <w:t>19 March 2024</w:t>
            </w:r>
          </w:p>
          <w:p w14:paraId="1CC1CB5D" w14:textId="77777777" w:rsidR="00880DBB" w:rsidRDefault="00880DBB" w:rsidP="00880DBB">
            <w:pPr>
              <w:spacing w:line="240" w:lineRule="exact"/>
              <w:rPr>
                <w:lang w:val="en-US"/>
              </w:rPr>
            </w:pPr>
            <w:r>
              <w:rPr>
                <w:lang w:val="en-US"/>
              </w:rPr>
              <w:t>Russian</w:t>
            </w:r>
          </w:p>
          <w:p w14:paraId="63D3D17B" w14:textId="02608B0C" w:rsidR="00880DBB" w:rsidRPr="00D62A45" w:rsidRDefault="00880DBB" w:rsidP="00880DBB">
            <w:pPr>
              <w:spacing w:line="240" w:lineRule="exact"/>
              <w:rPr>
                <w:lang w:val="en-US"/>
              </w:rPr>
            </w:pPr>
            <w:r>
              <w:rPr>
                <w:lang w:val="en-US"/>
              </w:rPr>
              <w:t xml:space="preserve">Original: </w:t>
            </w:r>
            <w:r w:rsidR="003C0275">
              <w:rPr>
                <w:lang w:val="en-US"/>
              </w:rPr>
              <w:t>French</w:t>
            </w:r>
          </w:p>
        </w:tc>
      </w:tr>
    </w:tbl>
    <w:p w14:paraId="2E599279" w14:textId="77777777" w:rsidR="00880DBB" w:rsidRPr="0085281D" w:rsidRDefault="00880DBB" w:rsidP="00880DBB">
      <w:pPr>
        <w:spacing w:before="120"/>
        <w:rPr>
          <w:b/>
          <w:sz w:val="24"/>
          <w:szCs w:val="24"/>
        </w:rPr>
      </w:pPr>
      <w:r w:rsidRPr="0085281D">
        <w:rPr>
          <w:b/>
          <w:bCs/>
          <w:sz w:val="24"/>
          <w:szCs w:val="24"/>
        </w:rPr>
        <w:t>Комитет по экономическим, социальным и культурным правам</w:t>
      </w:r>
    </w:p>
    <w:p w14:paraId="3D54F8D3" w14:textId="30F90164" w:rsidR="00880DBB" w:rsidRPr="007F18E7" w:rsidRDefault="00880DBB" w:rsidP="00880DBB">
      <w:pPr>
        <w:pStyle w:val="HChG"/>
      </w:pPr>
      <w:r>
        <w:tab/>
      </w:r>
      <w:r>
        <w:tab/>
      </w:r>
      <w:r>
        <w:rPr>
          <w:bCs/>
        </w:rPr>
        <w:t>Заключительные замечания по второму периодическому докладу Мавритании</w:t>
      </w:r>
      <w:r w:rsidRPr="000B3B07">
        <w:rPr>
          <w:rStyle w:val="a8"/>
          <w:b w:val="0"/>
          <w:bCs/>
          <w:sz w:val="20"/>
          <w:vertAlign w:val="baseline"/>
        </w:rPr>
        <w:footnoteReference w:customMarkFollows="1" w:id="1"/>
        <w:t>*</w:t>
      </w:r>
    </w:p>
    <w:p w14:paraId="7FDA8F2D" w14:textId="3C80ED9E" w:rsidR="00880DBB" w:rsidRPr="007F18E7" w:rsidRDefault="00880DBB" w:rsidP="00880DBB">
      <w:pPr>
        <w:pStyle w:val="SingleTxtG"/>
      </w:pPr>
      <w:r>
        <w:t>1.</w:t>
      </w:r>
      <w:r>
        <w:tab/>
        <w:t>Комитет рассмотрел второй периодический доклад Мавритании</w:t>
      </w:r>
      <w:r w:rsidRPr="00925AA7">
        <w:rPr>
          <w:rStyle w:val="a8"/>
        </w:rPr>
        <w:footnoteReference w:id="2"/>
      </w:r>
      <w:r>
        <w:t xml:space="preserve"> на своих 4-м и 6-м заседаниях</w:t>
      </w:r>
      <w:r w:rsidRPr="00925AA7">
        <w:rPr>
          <w:rStyle w:val="a8"/>
        </w:rPr>
        <w:footnoteReference w:id="3"/>
      </w:r>
      <w:r>
        <w:t>, состоявшихся 13 и 14 февраля 2024 года, и принял настоящие заключительные замечания на своем 29-м заседании, состоявшемся 1 марта 2024 года.</w:t>
      </w:r>
    </w:p>
    <w:p w14:paraId="7EB3B5AB" w14:textId="77777777" w:rsidR="00880DBB" w:rsidRPr="007F18E7" w:rsidRDefault="00880DBB" w:rsidP="00880DBB">
      <w:pPr>
        <w:pStyle w:val="H1G"/>
      </w:pPr>
      <w:r w:rsidRPr="00773774">
        <w:rPr>
          <w:bCs/>
        </w:rPr>
        <w:tab/>
      </w:r>
      <w:r>
        <w:rPr>
          <w:bCs/>
        </w:rPr>
        <w:t>A.</w:t>
      </w:r>
      <w:r>
        <w:tab/>
      </w:r>
      <w:r>
        <w:rPr>
          <w:bCs/>
        </w:rPr>
        <w:t>Введение</w:t>
      </w:r>
    </w:p>
    <w:p w14:paraId="4F4D58EE" w14:textId="39289479" w:rsidR="00880DBB" w:rsidRPr="007F18E7" w:rsidRDefault="00880DBB" w:rsidP="00880DBB">
      <w:pPr>
        <w:pStyle w:val="SingleTxtG"/>
      </w:pPr>
      <w:r>
        <w:t>2.</w:t>
      </w:r>
      <w:r>
        <w:tab/>
        <w:t>Комитет приветствует представление второго периодического доклада государства-участника, а также письменные ответы на перечень вопросов</w:t>
      </w:r>
      <w:r w:rsidRPr="00925AA7">
        <w:rPr>
          <w:rStyle w:val="a8"/>
        </w:rPr>
        <w:footnoteReference w:id="4"/>
      </w:r>
      <w:r>
        <w:t>. Комитет c удовлетворением отмечает конструктивный диалог, состоявшийся с делегацией государства-участника, а также информацию, предоставленную во время и после диалога.</w:t>
      </w:r>
    </w:p>
    <w:p w14:paraId="65598D62" w14:textId="77777777" w:rsidR="00880DBB" w:rsidRPr="007F18E7" w:rsidRDefault="00880DBB" w:rsidP="00880DBB">
      <w:pPr>
        <w:pStyle w:val="H1G"/>
      </w:pPr>
      <w:r w:rsidRPr="00880DBB">
        <w:rPr>
          <w:bCs/>
        </w:rPr>
        <w:tab/>
      </w:r>
      <w:r>
        <w:rPr>
          <w:bCs/>
        </w:rPr>
        <w:t>B.</w:t>
      </w:r>
      <w:r>
        <w:tab/>
      </w:r>
      <w:r>
        <w:rPr>
          <w:bCs/>
        </w:rPr>
        <w:t>Позитивные аспекты</w:t>
      </w:r>
    </w:p>
    <w:p w14:paraId="3791CA29" w14:textId="77777777" w:rsidR="00880DBB" w:rsidRPr="007F18E7" w:rsidRDefault="00880DBB" w:rsidP="00880DBB">
      <w:pPr>
        <w:pStyle w:val="SingleTxtG"/>
      </w:pPr>
      <w:r>
        <w:t>3.</w:t>
      </w:r>
      <w:r>
        <w:tab/>
        <w:t>Комитет с удовлетворением отмечает прогресс, достигнутый государством-участником в деле поощрения и защиты экономических, социальных и культурных прав. В частности, он приветствует усилия, предпринятые для борьбы с рабством, в частности принятие закона № 2015-031, устанавливающего уголовную ответственность за рабство и наказывающего за сходную с рабством практику. Комитет также приветствует меры, принятые государством-участником для борьбы с бедностью и укрепления защиты прав, закрепленных в Международном пакте об экономических, социальных и культурных правах, такие как Стратегия ускоренного роста и общего процветания, создание Национального фонда солидарности в области здравоохранения, который обеспечивает медицинское страхование для неформального сектора, и другие меры, упомянутые в настоящих заключительных замечаниях.</w:t>
      </w:r>
    </w:p>
    <w:p w14:paraId="6F054D66" w14:textId="77777777" w:rsidR="00880DBB" w:rsidRPr="007F18E7" w:rsidRDefault="00880DBB" w:rsidP="00880DBB">
      <w:pPr>
        <w:pStyle w:val="H1G"/>
      </w:pPr>
      <w:r w:rsidRPr="00880DBB">
        <w:rPr>
          <w:bCs/>
        </w:rPr>
        <w:tab/>
      </w:r>
      <w:r>
        <w:rPr>
          <w:bCs/>
        </w:rPr>
        <w:t>C.</w:t>
      </w:r>
      <w:r>
        <w:tab/>
      </w:r>
      <w:r>
        <w:rPr>
          <w:bCs/>
        </w:rPr>
        <w:t>Вопросы, вызывающие обеспокоенность, и рекомендации</w:t>
      </w:r>
    </w:p>
    <w:p w14:paraId="39773F56" w14:textId="77777777" w:rsidR="00880DBB" w:rsidRPr="007F18E7" w:rsidRDefault="00880DBB" w:rsidP="00880DBB">
      <w:pPr>
        <w:pStyle w:val="H23G"/>
      </w:pPr>
      <w:r>
        <w:tab/>
      </w:r>
      <w:r>
        <w:tab/>
      </w:r>
      <w:r>
        <w:rPr>
          <w:bCs/>
        </w:rPr>
        <w:t>Применимость Пакта</w:t>
      </w:r>
    </w:p>
    <w:p w14:paraId="2EC594B2" w14:textId="64D4CA22" w:rsidR="00880DBB" w:rsidRPr="007F18E7" w:rsidRDefault="00880DBB" w:rsidP="00880DBB">
      <w:pPr>
        <w:pStyle w:val="SingleTxtG"/>
      </w:pPr>
      <w:r>
        <w:t>4.</w:t>
      </w:r>
      <w:r>
        <w:tab/>
        <w:t xml:space="preserve">Комитет с удовлетворением отмечает публикацию Пакта в Официальном вестнике государства-участника 9 декабря 2014 года. Однако он сожалеет, что положения Пакта до сих пор не использовались в судах и не применялись ими. </w:t>
      </w:r>
      <w:r w:rsidR="00D932A4">
        <w:br/>
      </w:r>
      <w:r>
        <w:t xml:space="preserve">Он также обеспокоен недостаточной подготовкой специалистов в области права, </w:t>
      </w:r>
      <w:r>
        <w:lastRenderedPageBreak/>
        <w:t>включая сотрудников правоохранительных органов, парламентариев и других соответствующих субъектов, по вопросам применимости Пакта.</w:t>
      </w:r>
    </w:p>
    <w:p w14:paraId="6CE62AF5" w14:textId="525B74EF" w:rsidR="00880DBB" w:rsidRPr="007F18E7" w:rsidRDefault="00880DBB" w:rsidP="00880DBB">
      <w:pPr>
        <w:pStyle w:val="SingleTxtG"/>
      </w:pPr>
      <w:r>
        <w:t>5.</w:t>
      </w:r>
      <w:r>
        <w:tab/>
      </w:r>
      <w:r>
        <w:rPr>
          <w:b/>
          <w:bCs/>
        </w:rPr>
        <w:t>Комитет напоминает о рекомендации, сформулированной в этой связи в его предыдущих заключительных замечаниях</w:t>
      </w:r>
      <w:r w:rsidRPr="00925AA7">
        <w:rPr>
          <w:rStyle w:val="a8"/>
        </w:rPr>
        <w:footnoteReference w:id="5"/>
      </w:r>
      <w:r>
        <w:rPr>
          <w:b/>
          <w:bCs/>
        </w:rPr>
        <w:t>, и настоятельно призывает государство-участник удвоить усилия по обеспечению того, чтобы на экономические, социальные и культурные права можно было ссылаться в судах всех уровней, и облегчению доступа к эффективным средствам правовой защиты для жертв нарушений этих прав.</w:t>
      </w:r>
      <w:r>
        <w:t xml:space="preserve"> </w:t>
      </w:r>
      <w:r>
        <w:rPr>
          <w:b/>
          <w:bCs/>
        </w:rPr>
        <w:t>В частности, он настоятельно призывает государство-участник продолжать проводить регулярную подготовку, в частности судей, адвокатов, сотрудников правоохранительных органов, парламентариев и других субъектов, по вопросам содержания прав, изложенных в Пакте, и возможности их защиты в судебном порядке, а также предоставлять правообладателям информацию, позволяющую им отстаивать свои права.</w:t>
      </w:r>
      <w:r>
        <w:t xml:space="preserve"> </w:t>
      </w:r>
      <w:r>
        <w:rPr>
          <w:b/>
          <w:bCs/>
        </w:rPr>
        <w:t>В этой связи Комитет ссылается на свое замечание общего порядка № 9 (1998) о применении Пакта на национальном уровне.</w:t>
      </w:r>
    </w:p>
    <w:p w14:paraId="550ADEFB" w14:textId="77777777" w:rsidR="00880DBB" w:rsidRPr="007F18E7" w:rsidRDefault="00880DBB" w:rsidP="00880DBB">
      <w:pPr>
        <w:pStyle w:val="H23G"/>
      </w:pPr>
      <w:r>
        <w:tab/>
      </w:r>
      <w:r>
        <w:tab/>
      </w:r>
      <w:r>
        <w:rPr>
          <w:bCs/>
        </w:rPr>
        <w:t>Положение правозащитников</w:t>
      </w:r>
    </w:p>
    <w:p w14:paraId="1D192544" w14:textId="77777777" w:rsidR="00880DBB" w:rsidRPr="007F18E7" w:rsidRDefault="00880DBB" w:rsidP="00880DBB">
      <w:pPr>
        <w:pStyle w:val="SingleTxtG"/>
      </w:pPr>
      <w:r>
        <w:t>6.</w:t>
      </w:r>
      <w:r>
        <w:tab/>
        <w:t>Комитет принимает к сведению предоставленную делегацией информацию об инициативах, предпринятых для разработки закона о защите правозащитников в государстве-участнике. Тем не менее он по-прежнему обеспокоен сообщениями о том, что правозащитники, в том числе защитники экономических, социальных и культурных прав, борющиеся с дискриминацией и рабством и сходной с рабством практикой, осуществляют свою деятельность в ограничительных условиях и часто подвергаются различным формам преследований или возмездия. Комитет также обеспокоен тем, что правовые положения, в том числе содержащиеся в законе № 2021-021 от 2 декабря 2021 года о защите национальных символов и криминализации преступлений против государственной власти и чести граждан, могут использоваться для произвольного ограничения деятельности и работы правозащитников.</w:t>
      </w:r>
      <w:bookmarkStart w:id="0" w:name="_Hlk158890894"/>
      <w:bookmarkStart w:id="1" w:name="_Hlk158890805"/>
      <w:bookmarkEnd w:id="0"/>
      <w:bookmarkEnd w:id="1"/>
    </w:p>
    <w:p w14:paraId="68B772A0" w14:textId="77777777" w:rsidR="00880DBB" w:rsidRPr="007F18E7" w:rsidRDefault="00880DBB" w:rsidP="00880DBB">
      <w:pPr>
        <w:pStyle w:val="SingleTxtG"/>
        <w:rPr>
          <w:b/>
        </w:rPr>
      </w:pPr>
      <w:r>
        <w:t>7.</w:t>
      </w:r>
      <w:r>
        <w:tab/>
      </w:r>
      <w:r>
        <w:rPr>
          <w:b/>
          <w:bCs/>
        </w:rPr>
        <w:t>Комитет рекомендует государству-участнику:</w:t>
      </w:r>
    </w:p>
    <w:p w14:paraId="60B5448E" w14:textId="77777777" w:rsidR="00880DBB" w:rsidRPr="007F18E7" w:rsidRDefault="00880DBB" w:rsidP="00880DBB">
      <w:pPr>
        <w:pStyle w:val="SingleTxtG"/>
        <w:ind w:firstLine="567"/>
        <w:rPr>
          <w:b/>
        </w:rPr>
      </w:pPr>
      <w:r>
        <w:rPr>
          <w:b/>
          <w:bCs/>
        </w:rPr>
        <w:t>a)</w:t>
      </w:r>
      <w:r>
        <w:tab/>
      </w:r>
      <w:r>
        <w:rPr>
          <w:b/>
          <w:bCs/>
        </w:rPr>
        <w:t>ускорить принятие закона о защите правозащитников, упомянутого в ходе диалога, и других необходимых мер для эффективной защиты правозащитников, включая защитников экономических, социальных и культурных прав, от любых актов преследования, запугивания и возмездия, а также обеспечить привлечение виновных в таких актах к ответственности;</w:t>
      </w:r>
    </w:p>
    <w:p w14:paraId="2513F306" w14:textId="77777777" w:rsidR="00880DBB" w:rsidRPr="007F18E7" w:rsidRDefault="00880DBB" w:rsidP="00880DBB">
      <w:pPr>
        <w:pStyle w:val="SingleTxtG"/>
        <w:ind w:firstLine="567"/>
        <w:rPr>
          <w:b/>
        </w:rPr>
      </w:pPr>
      <w:r>
        <w:rPr>
          <w:b/>
          <w:bCs/>
        </w:rPr>
        <w:t>b)</w:t>
      </w:r>
      <w:r>
        <w:tab/>
      </w:r>
      <w:r>
        <w:rPr>
          <w:b/>
          <w:bCs/>
        </w:rPr>
        <w:t>проводить открытые и прозрачные консультации с организациями гражданского общества, правозащитниками и другими заинтересованными сторонами в процессе разработки и принятия закона о защите правозащитников;</w:t>
      </w:r>
    </w:p>
    <w:p w14:paraId="095EF530" w14:textId="77777777" w:rsidR="00880DBB" w:rsidRPr="007F18E7" w:rsidRDefault="00880DBB" w:rsidP="00880DBB">
      <w:pPr>
        <w:pStyle w:val="SingleTxtG"/>
        <w:ind w:firstLine="567"/>
        <w:rPr>
          <w:b/>
        </w:rPr>
      </w:pPr>
      <w:r>
        <w:rPr>
          <w:b/>
          <w:bCs/>
        </w:rPr>
        <w:t>c)</w:t>
      </w:r>
      <w:r>
        <w:tab/>
      </w:r>
      <w:r>
        <w:rPr>
          <w:b/>
          <w:bCs/>
        </w:rPr>
        <w:t>принять необходимые меры для предотвращения произвольного использования правовых положений, в частности положений, введенных законом № 2021-021, для ограничения деятельности и работы защитников экономических, социальных и культурных прав, особенно тех, кто ведет в области борьбы с дискриминацией, рабством и сходной с рабством практикой;</w:t>
      </w:r>
    </w:p>
    <w:p w14:paraId="1AF0FB45" w14:textId="77777777" w:rsidR="00880DBB" w:rsidRPr="007F18E7" w:rsidRDefault="00880DBB" w:rsidP="00880DBB">
      <w:pPr>
        <w:pStyle w:val="SingleTxtG"/>
        <w:ind w:firstLine="567"/>
        <w:rPr>
          <w:b/>
          <w:bCs/>
        </w:rPr>
      </w:pPr>
      <w:r>
        <w:rPr>
          <w:b/>
          <w:bCs/>
        </w:rPr>
        <w:t>d)</w:t>
      </w:r>
      <w:r>
        <w:tab/>
      </w:r>
      <w:r>
        <w:rPr>
          <w:b/>
          <w:bCs/>
        </w:rPr>
        <w:t>проводить информационно-просветительские кампании о важности работы, осуществляемой правозащитниками, с тем чтобы создать атмосферу терпимости, позволяющую им выполнять свою миссию, не опасаясь запугивания, угроз и возмездия в какой бы то ни было форме;</w:t>
      </w:r>
    </w:p>
    <w:p w14:paraId="29E44ED3" w14:textId="19A1D4F6" w:rsidR="00880DBB" w:rsidRPr="007F18E7" w:rsidRDefault="00880DBB" w:rsidP="00880DBB">
      <w:pPr>
        <w:pStyle w:val="SingleTxtG"/>
        <w:ind w:firstLine="567"/>
      </w:pPr>
      <w:r>
        <w:rPr>
          <w:b/>
          <w:bCs/>
        </w:rPr>
        <w:t>e)</w:t>
      </w:r>
      <w:r>
        <w:tab/>
      </w:r>
      <w:r>
        <w:rPr>
          <w:b/>
          <w:bCs/>
        </w:rPr>
        <w:t>принять во внимание заявление Комитета в отношении правозащитников и экономических, социальных и культурных прав</w:t>
      </w:r>
      <w:r w:rsidRPr="00925AA7">
        <w:rPr>
          <w:rStyle w:val="a8"/>
        </w:rPr>
        <w:footnoteReference w:id="6"/>
      </w:r>
      <w:r>
        <w:rPr>
          <w:b/>
          <w:bCs/>
        </w:rPr>
        <w:t>, принятое в 2016 году.</w:t>
      </w:r>
    </w:p>
    <w:p w14:paraId="36B0B671" w14:textId="70739690" w:rsidR="00880DBB" w:rsidRPr="007F18E7" w:rsidRDefault="00880DBB" w:rsidP="00880DBB">
      <w:pPr>
        <w:pStyle w:val="H23G"/>
      </w:pPr>
      <w:r>
        <w:lastRenderedPageBreak/>
        <w:tab/>
      </w:r>
      <w:r>
        <w:tab/>
      </w:r>
      <w:r>
        <w:rPr>
          <w:bCs/>
        </w:rPr>
        <w:t xml:space="preserve">Предпринимательская деятельность и экономические, социальные </w:t>
      </w:r>
      <w:r w:rsidR="00D932A4">
        <w:rPr>
          <w:bCs/>
        </w:rPr>
        <w:br/>
      </w:r>
      <w:r>
        <w:rPr>
          <w:bCs/>
        </w:rPr>
        <w:t>и культурные права</w:t>
      </w:r>
      <w:r>
        <w:t xml:space="preserve"> </w:t>
      </w:r>
    </w:p>
    <w:p w14:paraId="3453D2F6" w14:textId="77777777" w:rsidR="00880DBB" w:rsidRPr="007F18E7" w:rsidRDefault="00880DBB" w:rsidP="00880DBB">
      <w:pPr>
        <w:pStyle w:val="SingleTxtG"/>
        <w:rPr>
          <w:bCs/>
        </w:rPr>
      </w:pPr>
      <w:r>
        <w:t>8.</w:t>
      </w:r>
      <w:r>
        <w:tab/>
        <w:t>Комитет сожалеет, что не получил подробной информации о законодательной базе, обеспечивающей проявление компаниями должной заботы о правах человека.</w:t>
      </w:r>
    </w:p>
    <w:p w14:paraId="0ED0ECE7" w14:textId="77777777" w:rsidR="00880DBB" w:rsidRPr="007F18E7" w:rsidRDefault="00880DBB" w:rsidP="00880DBB">
      <w:pPr>
        <w:pStyle w:val="SingleTxtG"/>
        <w:rPr>
          <w:b/>
        </w:rPr>
      </w:pPr>
      <w:r>
        <w:t>9.</w:t>
      </w:r>
      <w:r>
        <w:tab/>
      </w:r>
      <w:r>
        <w:rPr>
          <w:b/>
          <w:bCs/>
        </w:rPr>
        <w:t>Комитет рекомендует государству-участнику принять на основе процесса консультаций и участия заинтересованных сторон, в частности трудящихся и предприятий, законодательные и административные меры, в том числе принять план действий для обеспечения того, чтобы деятельность национальных и международных компаний в государстве-участнике не оказывала негативного влияния на осуществление экономических, социальных и культурных прав.</w:t>
      </w:r>
      <w:r>
        <w:t xml:space="preserve"> </w:t>
      </w:r>
      <w:r>
        <w:rPr>
          <w:b/>
          <w:bCs/>
        </w:rPr>
        <w:t>Комитет также рекомендует государству-участнику принять законодательную базу в области социальной и экологической ответственности, а также правовой режим и нормативные стандарты, применимые к добывающим и горнопромышленным предприятиям, чтобы обязать их осуществлять процедуру должной осмотрительности в области прав человека с целью выявления рисков нарушения прав, гарантированных Пактом, предотвращения и смягчения таких рисков, а также предотвращения нарушения этих прав.</w:t>
      </w:r>
      <w:r>
        <w:t xml:space="preserve"> </w:t>
      </w:r>
      <w:r>
        <w:rPr>
          <w:b/>
          <w:bCs/>
        </w:rPr>
        <w:t>В этой связи Комитет ссылается на свое замечание общего порядка № 24 (2017) об обязательствах государств по Пакту в контексте предпринимательской деятельности.</w:t>
      </w:r>
    </w:p>
    <w:p w14:paraId="001D22FA" w14:textId="77777777" w:rsidR="00880DBB" w:rsidRPr="007F18E7" w:rsidRDefault="00880DBB" w:rsidP="00880DBB">
      <w:pPr>
        <w:pStyle w:val="H23G"/>
      </w:pPr>
      <w:r>
        <w:tab/>
      </w:r>
      <w:r>
        <w:tab/>
      </w:r>
      <w:r>
        <w:rPr>
          <w:bCs/>
        </w:rPr>
        <w:t>Коррупция</w:t>
      </w:r>
    </w:p>
    <w:p w14:paraId="78D3881D" w14:textId="77777777" w:rsidR="00880DBB" w:rsidRPr="007F18E7" w:rsidRDefault="00880DBB" w:rsidP="00880DBB">
      <w:pPr>
        <w:pStyle w:val="SingleTxtG"/>
      </w:pPr>
      <w:r>
        <w:t>10.</w:t>
      </w:r>
      <w:r>
        <w:tab/>
        <w:t>Комитет отмечает, что государство-участник укрепило свою законодательную базу в области борьбы с коррупцией, приняв закон № 2016-014 от 15 апреля 2016 года о борьбе с коррупцией. Однако он по-прежнему обеспокоен сохраняющейся коррупцией, которая по-прежнему препятствует осуществлению экономических, социальных и культурных прав (ст. 2, п. 1).</w:t>
      </w:r>
    </w:p>
    <w:p w14:paraId="6619C2AF" w14:textId="1D64112B" w:rsidR="00880DBB" w:rsidRPr="007F18E7" w:rsidRDefault="00880DBB" w:rsidP="00880DBB">
      <w:pPr>
        <w:pStyle w:val="SingleTxtG"/>
      </w:pPr>
      <w:r>
        <w:t>11.</w:t>
      </w:r>
      <w:r>
        <w:tab/>
      </w:r>
      <w:r>
        <w:rPr>
          <w:b/>
          <w:bCs/>
        </w:rPr>
        <w:t>Ссылаясь на рекомендацию, вынесенную в его предыдущих заключительных замечаниях по коррупции</w:t>
      </w:r>
      <w:r w:rsidRPr="00925AA7">
        <w:rPr>
          <w:rStyle w:val="a8"/>
        </w:rPr>
        <w:footnoteReference w:id="7"/>
      </w:r>
      <w:r>
        <w:rPr>
          <w:b/>
          <w:bCs/>
        </w:rPr>
        <w:t>, Комитет рекомендует государству-участнику продолжать в приоритетном порядке устранять коренные причины коррупции, обеспечивать строгое применение мер, принятых для борьбы с коррупцией, и эффективно бороться с безнаказанностью виновных.</w:t>
      </w:r>
      <w:r>
        <w:t xml:space="preserve"> </w:t>
      </w:r>
      <w:r>
        <w:rPr>
          <w:b/>
          <w:bCs/>
        </w:rPr>
        <w:t>Он также рекомендует государству-участнику принять необходимые законодательные и административные меры для обеспечения прозрачности системы государственного управления и защиты информаторов и активистов гражданского общества, борющихся с коррупцией, а также свидетелей и журналистов.</w:t>
      </w:r>
    </w:p>
    <w:p w14:paraId="054EAF6F" w14:textId="77777777" w:rsidR="00880DBB" w:rsidRPr="007F18E7" w:rsidRDefault="00880DBB" w:rsidP="00880DBB">
      <w:pPr>
        <w:pStyle w:val="H23G"/>
      </w:pPr>
      <w:r>
        <w:tab/>
      </w:r>
      <w:r>
        <w:tab/>
      </w:r>
      <w:r>
        <w:rPr>
          <w:bCs/>
        </w:rPr>
        <w:t>Максимальные пределы имеющихся ресурсов</w:t>
      </w:r>
    </w:p>
    <w:p w14:paraId="36ACF277" w14:textId="2A4FC284" w:rsidR="00880DBB" w:rsidRPr="007F18E7" w:rsidRDefault="00880DBB" w:rsidP="00880DBB">
      <w:pPr>
        <w:pStyle w:val="SingleTxtG"/>
      </w:pPr>
      <w:r>
        <w:t>12.</w:t>
      </w:r>
      <w:r>
        <w:tab/>
        <w:t xml:space="preserve">Комитет сожалеет, что не получил никакой подробной информации о мобилизации ресурсов для реализации экономических, социальных и культурных прав, в частности о доле государственных доходов, получаемых от налогообложения или от производственных секторов, таких как горнодобывающая промышленность. Отмечая, что внешняя задолженность составляет 44,8 </w:t>
      </w:r>
      <w:r w:rsidR="000B3B07" w:rsidRPr="001623B6">
        <w:t>%</w:t>
      </w:r>
      <w:r>
        <w:t xml:space="preserve"> валового внутреннего продукта, Комитет сожалеет, что не получил дополнительной информации о влиянии задолженности на бюджетное пространство, необходимое для постепенного осуществления экономических, социальных и культурных прав (ст. 2, п. 1).</w:t>
      </w:r>
    </w:p>
    <w:p w14:paraId="23DEA177" w14:textId="3D4D7E6B" w:rsidR="00880DBB" w:rsidRPr="007F18E7" w:rsidRDefault="00880DBB" w:rsidP="00880DBB">
      <w:pPr>
        <w:pStyle w:val="SingleTxtG"/>
        <w:rPr>
          <w:b/>
          <w:bCs/>
        </w:rPr>
      </w:pPr>
      <w:r>
        <w:t>13.</w:t>
      </w:r>
      <w:r>
        <w:tab/>
      </w:r>
      <w:r>
        <w:rPr>
          <w:b/>
          <w:bCs/>
        </w:rPr>
        <w:t>Комитет рекомендует государству-участнику обеспечить эффективную мобилизацию внутренних ресурсов, в том числе путем разработки более эффективной, прогрессивной и социально справедливой налоговой политики и взимания с иностранных инвесторов справедливой и равноправной платы за эксплуатацию природных ресурсов, в частности добычу полезных ископаемых, в целях борьбы с экономическим неравенством и постепенного обеспечения полного осуществления экономических, социальных и культурных прав.</w:t>
      </w:r>
      <w:r>
        <w:t xml:space="preserve"> </w:t>
      </w:r>
      <w:r>
        <w:rPr>
          <w:b/>
          <w:bCs/>
        </w:rPr>
        <w:t xml:space="preserve">Комитет также рекомендует государству-участнику обеспечить, чтобы как </w:t>
      </w:r>
      <w:r>
        <w:rPr>
          <w:b/>
          <w:bCs/>
        </w:rPr>
        <w:lastRenderedPageBreak/>
        <w:t>процесс укрепления налоговой политики, так и подготовка всех проектов бюджета были транспарентными и предусматривали широкое участие.</w:t>
      </w:r>
      <w:r>
        <w:t xml:space="preserve"> </w:t>
      </w:r>
      <w:r>
        <w:rPr>
          <w:b/>
          <w:bCs/>
        </w:rPr>
        <w:t>Комитет настоятельно призывает государство-участник принять совместно с международными финансовыми учреждениями и другими кредиторами надлежащие меры для обеспечения того, чтобы обязательства по государственному долгу, включая обслуживание долга, не сказывались на бюджетно-финансовом пространстве и не отвлекали ресурсы, необходимые государству-участнику для выполнения своих обязательств по Пакту, в частности в области образования, здравоохранения, доступа к достаточному питанию, доступа к воде и социального обеспечения.</w:t>
      </w:r>
      <w:r>
        <w:t xml:space="preserve"> </w:t>
      </w:r>
      <w:r>
        <w:rPr>
          <w:b/>
          <w:bCs/>
        </w:rPr>
        <w:t>В частности, Комитет подчеркивает обязанность как государств-кредиторов, так и государств- заемщиков, а также других частных кредиторов и международных финансовых учреждений проводить оценку воздействия на права человека до предоставления кредитов и в этой связи напоминает государству-участнику о заявлении по государственному долгу и мерам жесткой экономии под углом зрения Пакта</w:t>
      </w:r>
      <w:r w:rsidRPr="00925AA7">
        <w:rPr>
          <w:rStyle w:val="a8"/>
        </w:rPr>
        <w:footnoteReference w:id="8"/>
      </w:r>
      <w:r>
        <w:rPr>
          <w:b/>
          <w:bCs/>
        </w:rPr>
        <w:t>, принятом Комитетом в 2016 году.</w:t>
      </w:r>
    </w:p>
    <w:p w14:paraId="2EE50ABA" w14:textId="77777777" w:rsidR="00880DBB" w:rsidRPr="007F18E7" w:rsidRDefault="00880DBB" w:rsidP="00880DBB">
      <w:pPr>
        <w:pStyle w:val="H23G"/>
      </w:pPr>
      <w:r>
        <w:tab/>
      </w:r>
      <w:r>
        <w:tab/>
      </w:r>
      <w:r>
        <w:rPr>
          <w:bCs/>
        </w:rPr>
        <w:t>Сбор данных</w:t>
      </w:r>
    </w:p>
    <w:p w14:paraId="23D959C3" w14:textId="77777777" w:rsidR="00880DBB" w:rsidRPr="007F18E7" w:rsidRDefault="00880DBB" w:rsidP="00880DBB">
      <w:pPr>
        <w:pStyle w:val="SingleTxtG"/>
      </w:pPr>
      <w:r>
        <w:t>14.</w:t>
      </w:r>
      <w:r>
        <w:tab/>
        <w:t>Комитет сожалеет, что государство-участник не предоставило полную и обновленную статистическую информацию. Он опасается, что принятых мер недостаточно для обеспечения сбора и формирования надежных и дезагрегированных данных, необходимых для мониторинга постепенной реализации прав, признанных в Пакте, и для оценки воздействия государственной социальной и экономической политики, принятой государством-участником ( ст. 2, пп. 1 и 2).</w:t>
      </w:r>
    </w:p>
    <w:p w14:paraId="64555FA9" w14:textId="77777777" w:rsidR="00880DBB" w:rsidRPr="007F18E7" w:rsidRDefault="00880DBB" w:rsidP="00880DBB">
      <w:pPr>
        <w:pStyle w:val="SingleTxtG"/>
        <w:rPr>
          <w:b/>
        </w:rPr>
      </w:pPr>
      <w:r>
        <w:t>15.</w:t>
      </w:r>
      <w:r>
        <w:tab/>
      </w:r>
      <w:r>
        <w:rPr>
          <w:b/>
          <w:bCs/>
        </w:rPr>
        <w:t>Комитет рекомендует государству-участнику:</w:t>
      </w:r>
    </w:p>
    <w:p w14:paraId="3A43BDB9" w14:textId="77777777" w:rsidR="00880DBB" w:rsidRPr="007F18E7" w:rsidRDefault="00880DBB" w:rsidP="00880DBB">
      <w:pPr>
        <w:pStyle w:val="SingleTxtG"/>
        <w:ind w:firstLine="567"/>
        <w:rPr>
          <w:b/>
          <w:bCs/>
        </w:rPr>
      </w:pPr>
      <w:r>
        <w:rPr>
          <w:b/>
          <w:bCs/>
        </w:rPr>
        <w:t>a)</w:t>
      </w:r>
      <w:r>
        <w:tab/>
      </w:r>
      <w:r>
        <w:rPr>
          <w:b/>
          <w:bCs/>
        </w:rPr>
        <w:t>обеспечить, чтобы сбор официальных статистических данных для оценки степени осуществления прав, предусмотренных в Пакте, осуществлялся беспристрастным, технически обоснованным и прозрачным образом, с использованием всеобъемлющих открытых данных в разбивке по полу, возрасту, этнической принадлежности, географическим регионам, социально-экономическому уровню и любым другим ситуациям;</w:t>
      </w:r>
    </w:p>
    <w:p w14:paraId="53D22830" w14:textId="77777777" w:rsidR="00880DBB" w:rsidRPr="007F18E7" w:rsidRDefault="00880DBB" w:rsidP="00880DBB">
      <w:pPr>
        <w:pStyle w:val="SingleTxtG"/>
        <w:ind w:firstLine="567"/>
        <w:rPr>
          <w:b/>
          <w:bCs/>
        </w:rPr>
      </w:pPr>
      <w:r>
        <w:rPr>
          <w:b/>
          <w:bCs/>
        </w:rPr>
        <w:t>b)</w:t>
      </w:r>
      <w:r>
        <w:tab/>
      </w:r>
      <w:r>
        <w:rPr>
          <w:b/>
          <w:bCs/>
        </w:rPr>
        <w:t>включить в свой следующий периодический доклад ежегодные сравнительные статистические данные, необходимые для оценки достигнутого прогресса;</w:t>
      </w:r>
    </w:p>
    <w:p w14:paraId="405CAC4E" w14:textId="77777777" w:rsidR="00880DBB" w:rsidRPr="007F18E7" w:rsidRDefault="00880DBB" w:rsidP="00880DBB">
      <w:pPr>
        <w:pStyle w:val="SingleTxtG"/>
        <w:ind w:firstLine="567"/>
        <w:rPr>
          <w:b/>
          <w:bCs/>
        </w:rPr>
      </w:pPr>
      <w:r>
        <w:rPr>
          <w:b/>
          <w:bCs/>
        </w:rPr>
        <w:t>c)</w:t>
      </w:r>
      <w:r>
        <w:tab/>
      </w:r>
      <w:r>
        <w:rPr>
          <w:b/>
          <w:bCs/>
        </w:rPr>
        <w:t>измерять воздействие экономической и социальной политики и программ с помощью показателей, позволяющих оценить наличие, доступность, приемлемость и качество товаров и услуг;</w:t>
      </w:r>
    </w:p>
    <w:p w14:paraId="3E4AF145" w14:textId="6E9DF85A" w:rsidR="00880DBB" w:rsidRPr="007F18E7" w:rsidRDefault="00880DBB" w:rsidP="00880DBB">
      <w:pPr>
        <w:pStyle w:val="SingleTxtG"/>
        <w:ind w:firstLine="567"/>
        <w:rPr>
          <w:b/>
          <w:bCs/>
        </w:rPr>
      </w:pPr>
      <w:r>
        <w:rPr>
          <w:b/>
          <w:bCs/>
        </w:rPr>
        <w:t>d)</w:t>
      </w:r>
      <w:r>
        <w:tab/>
      </w:r>
      <w:r>
        <w:rPr>
          <w:b/>
          <w:bCs/>
        </w:rPr>
        <w:t>принять во внимание публикации Управления Верховного комиссара Организации Объединенных Наций по правам человека, касающиеся, с одной стороны, принятия правозащитного подхода к данным</w:t>
      </w:r>
      <w:r w:rsidRPr="00925AA7">
        <w:rPr>
          <w:rStyle w:val="a8"/>
        </w:rPr>
        <w:footnoteReference w:id="9"/>
      </w:r>
      <w:r>
        <w:rPr>
          <w:b/>
          <w:bCs/>
        </w:rPr>
        <w:t xml:space="preserve"> и, с другой стороны, концептуальных и методологических рамок для показателей в области прав человека</w:t>
      </w:r>
      <w:r w:rsidRPr="00925AA7">
        <w:rPr>
          <w:rStyle w:val="a8"/>
        </w:rPr>
        <w:footnoteReference w:id="10"/>
      </w:r>
      <w:r>
        <w:rPr>
          <w:b/>
          <w:bCs/>
        </w:rPr>
        <w:t>.</w:t>
      </w:r>
    </w:p>
    <w:p w14:paraId="5C16C21A" w14:textId="77777777" w:rsidR="00880DBB" w:rsidRPr="007F18E7" w:rsidRDefault="00880DBB" w:rsidP="00880DBB">
      <w:pPr>
        <w:pStyle w:val="H23G"/>
      </w:pPr>
      <w:r>
        <w:tab/>
      </w:r>
      <w:r>
        <w:tab/>
      </w:r>
      <w:r>
        <w:rPr>
          <w:bCs/>
        </w:rPr>
        <w:t>Недискриминация</w:t>
      </w:r>
    </w:p>
    <w:p w14:paraId="702137B5" w14:textId="77777777" w:rsidR="00880DBB" w:rsidRPr="007F18E7" w:rsidRDefault="00880DBB" w:rsidP="00880DBB">
      <w:pPr>
        <w:pStyle w:val="SingleTxtG"/>
      </w:pPr>
      <w:r>
        <w:t>16.</w:t>
      </w:r>
      <w:r>
        <w:tab/>
        <w:t xml:space="preserve">Комитет с обеспокоенностью отмечает отсутствие эффективных мер по борьбе с фактической дискриминацией в области эффективного осуществления экономических, социальных и культурных прав, с которой сталкиваются некоторые группы меньшинств и обездоленных. Он также с обеспокоенностью отмечает дискриминацию и социальную изоляцию, от которых страдают харатины и </w:t>
      </w:r>
      <w:r>
        <w:lastRenderedPageBreak/>
        <w:t>негроафриканцы (халпулары, сонинке и волофы), а также жертвы рабства, потомки рабов и те, кто недавно избежал рабства. Комитет также отмечает дискриминацию в отношении мигрантов, просителей убежища и беженцев. Комитет с обеспокоенностью отмечает, что отношения по обоюдному согласию между лицами одного пола являются уголовно наказуемыми в соответствии со статьей 308 Уголовного кодекса (ст. 2).</w:t>
      </w:r>
      <w:bookmarkStart w:id="2" w:name="_Hlk159257076"/>
      <w:bookmarkEnd w:id="2"/>
    </w:p>
    <w:p w14:paraId="456319E8" w14:textId="77777777" w:rsidR="00880DBB" w:rsidRPr="007F18E7" w:rsidRDefault="00880DBB" w:rsidP="00880DBB">
      <w:pPr>
        <w:pStyle w:val="SingleTxtG"/>
        <w:rPr>
          <w:b/>
          <w:bCs/>
        </w:rPr>
      </w:pPr>
      <w:r>
        <w:t>17.</w:t>
      </w:r>
      <w:r>
        <w:tab/>
      </w:r>
      <w:r>
        <w:rPr>
          <w:b/>
          <w:bCs/>
        </w:rPr>
        <w:t>Комитет рекомендует государству-участнику:</w:t>
      </w:r>
    </w:p>
    <w:p w14:paraId="05E5BC91" w14:textId="5CBBB880" w:rsidR="00880DBB" w:rsidRPr="007F18E7" w:rsidRDefault="00880DBB" w:rsidP="00880DBB">
      <w:pPr>
        <w:pStyle w:val="SingleTxtG"/>
        <w:ind w:firstLine="567"/>
        <w:rPr>
          <w:b/>
        </w:rPr>
      </w:pPr>
      <w:r>
        <w:rPr>
          <w:b/>
          <w:bCs/>
        </w:rPr>
        <w:t>a)</w:t>
      </w:r>
      <w:r>
        <w:tab/>
      </w:r>
      <w:r>
        <w:rPr>
          <w:b/>
          <w:bCs/>
        </w:rPr>
        <w:t xml:space="preserve">обеспечить соответствие своей </w:t>
      </w:r>
      <w:r w:rsidR="00D932A4">
        <w:rPr>
          <w:b/>
          <w:bCs/>
        </w:rPr>
        <w:t>законодательной</w:t>
      </w:r>
      <w:r>
        <w:rPr>
          <w:b/>
          <w:bCs/>
        </w:rPr>
        <w:t xml:space="preserve"> базы по борьбе с дискриминацией международным стандартам и принципам в области прав человека, в частности пункту 2 статьи 2 Пакта, и обратить внимание в этой связи на принятое Комитетом замечание общего порядка № 20 (2009) о недискриминации экономических, социальных и культурных прав, запрещающее прямую и косвенную дискриминацию по всем признакам во всех областях, охватываемых Пактом;</w:t>
      </w:r>
    </w:p>
    <w:p w14:paraId="597FADA3" w14:textId="77777777" w:rsidR="00880DBB" w:rsidRPr="007F18E7" w:rsidRDefault="00880DBB" w:rsidP="00880DBB">
      <w:pPr>
        <w:pStyle w:val="SingleTxtG"/>
        <w:ind w:firstLine="567"/>
        <w:rPr>
          <w:b/>
        </w:rPr>
      </w:pPr>
      <w:r>
        <w:rPr>
          <w:b/>
          <w:bCs/>
        </w:rPr>
        <w:t>b)</w:t>
      </w:r>
      <w:r>
        <w:tab/>
      </w:r>
      <w:r>
        <w:rPr>
          <w:b/>
          <w:bCs/>
        </w:rPr>
        <w:t>обеспечить доступ к эффективным средствам правовой защиты для жертв дискриминации, включая возможность получения возмещения;</w:t>
      </w:r>
    </w:p>
    <w:p w14:paraId="12353171" w14:textId="77777777" w:rsidR="00880DBB" w:rsidRPr="007F18E7" w:rsidRDefault="00880DBB" w:rsidP="00880DBB">
      <w:pPr>
        <w:pStyle w:val="SingleTxtG"/>
        <w:keepNext/>
        <w:keepLines/>
        <w:ind w:firstLine="567"/>
        <w:rPr>
          <w:b/>
        </w:rPr>
      </w:pPr>
      <w:r>
        <w:rPr>
          <w:b/>
          <w:bCs/>
        </w:rPr>
        <w:t>c)</w:t>
      </w:r>
      <w:r>
        <w:tab/>
      </w:r>
      <w:r>
        <w:rPr>
          <w:b/>
          <w:bCs/>
        </w:rPr>
        <w:t>эффективно предупреждать и бороться с дискриминацией в отношении харатинов и негроафриканцев, а также мигрантов, просителей убежища и беженцев, в том числе путем проведения информационно-просветительских кампаний и использования мер компенсаторной дискриминации для обеспечения осуществления всех закрепленных в Пакте прав всеми без какой-либо дискриминации;</w:t>
      </w:r>
    </w:p>
    <w:p w14:paraId="1DB66CC2" w14:textId="77777777" w:rsidR="00880DBB" w:rsidRPr="007F18E7" w:rsidRDefault="00880DBB" w:rsidP="00880DBB">
      <w:pPr>
        <w:pStyle w:val="SingleTxtG"/>
        <w:ind w:firstLine="567"/>
      </w:pPr>
      <w:r>
        <w:rPr>
          <w:b/>
          <w:bCs/>
        </w:rPr>
        <w:t>d)</w:t>
      </w:r>
      <w:r>
        <w:tab/>
      </w:r>
      <w:r>
        <w:rPr>
          <w:b/>
          <w:bCs/>
        </w:rPr>
        <w:t>декриминализировать однополые отношения по обоюдному согласию и отменить статью 308 Уголовного кодекса, а также любые дискриминационные положения законодательства, касающиеся сексуальной ориентации и гендерной идентичности, бороться с дискриминацией и стигматизацией лесбиянок, геев, бисексуальных, трансгендерных и интерсекс-людей, в том числе путем проведения информационно-просветительских кампаний, и обеспечить, чтобы никто не подвергался дискриминации при осуществлении экономических, социальных и культурных прав по причине своей сексуальной ориентации или гендерной идентичности.</w:t>
      </w:r>
    </w:p>
    <w:p w14:paraId="7A77047F" w14:textId="77777777" w:rsidR="00880DBB" w:rsidRPr="007F18E7" w:rsidRDefault="00880DBB" w:rsidP="00880DBB">
      <w:pPr>
        <w:pStyle w:val="H23G"/>
        <w:rPr>
          <w:bCs/>
        </w:rPr>
      </w:pPr>
      <w:r>
        <w:tab/>
      </w:r>
      <w:r>
        <w:tab/>
      </w:r>
      <w:r>
        <w:rPr>
          <w:bCs/>
        </w:rPr>
        <w:t>Гражданский реестр</w:t>
      </w:r>
    </w:p>
    <w:p w14:paraId="42F47AEA" w14:textId="77777777" w:rsidR="00880DBB" w:rsidRPr="007F18E7" w:rsidRDefault="00880DBB" w:rsidP="00880DBB">
      <w:pPr>
        <w:pStyle w:val="SingleTxtG"/>
      </w:pPr>
      <w:r>
        <w:t>18.</w:t>
      </w:r>
      <w:r>
        <w:tab/>
        <w:t>Несмотря на меры, принятые государством-участником, Комитет с обеспокоенностью отмечает сообщения о том, что многие люди, в частности харатины и негроафриканцы, а также жертвы рабства и потомки рабов, по-прежнему сталкиваются с серьезными трудностями при регистрации в органах записи актов гражданского состояния и получении документов, удостоверяющих личность. Комитет также с обеспокоенностью отмечает, что меры, принятые государством-участником для обеспечения регистрации в гражданском реестре, как сообщается, не применяются систематически во всех юрисдикциях (ст. 2 и 10).</w:t>
      </w:r>
    </w:p>
    <w:p w14:paraId="381C49BC" w14:textId="77777777" w:rsidR="00880DBB" w:rsidRPr="007F18E7" w:rsidRDefault="00880DBB" w:rsidP="00880DBB">
      <w:pPr>
        <w:pStyle w:val="SingleTxtG"/>
        <w:rPr>
          <w:b/>
          <w:spacing w:val="-2"/>
        </w:rPr>
      </w:pPr>
      <w:r>
        <w:t>19.</w:t>
      </w:r>
      <w:r>
        <w:tab/>
      </w:r>
      <w:r>
        <w:rPr>
          <w:b/>
          <w:bCs/>
        </w:rPr>
        <w:t>Комитет рекомендует государству-участнику активизировать усилия для повышения уровня регистрации рождений и гарантировать доступ к удостоверениям личности для всех лиц без дискриминации, в частности харатинов и негроафриканцев, жертв рабства, потомков рабов, жертв нерешенных гуманитарных вопросов, вернувшихся в страну, и мигрантов, с тем чтобы обеспечить им доступ к экономическим, социальным и культурным правам, включая доступ к образованию, официальной занятости и земельной собственности.</w:t>
      </w:r>
      <w:r>
        <w:t xml:space="preserve"> </w:t>
      </w:r>
      <w:r>
        <w:rPr>
          <w:b/>
          <w:bCs/>
        </w:rPr>
        <w:t>В частности, он просит государство-участник: a) эффективно применять бесплатную регистрацию рождений;</w:t>
      </w:r>
      <w:r>
        <w:t xml:space="preserve"> </w:t>
      </w:r>
      <w:r>
        <w:rPr>
          <w:b/>
          <w:bCs/>
        </w:rPr>
        <w:t>b) обеспечить доступность органов записи актов гражданского состояния на всей территории страны, в том числе с помощью мобильных устройств;</w:t>
      </w:r>
      <w:r>
        <w:t xml:space="preserve"> </w:t>
      </w:r>
      <w:r>
        <w:rPr>
          <w:b/>
          <w:bCs/>
        </w:rPr>
        <w:t>и c) обеспечить, чтобы меры, принятые для облегчения регистрации актов гражданского состояния, осуществлялись решительно и без дискриминации во всех юрисдикциях, в частности в сельских районах, в том числе путем выделения достаточных ресурсов.</w:t>
      </w:r>
    </w:p>
    <w:p w14:paraId="30458C43" w14:textId="77777777" w:rsidR="00880DBB" w:rsidRPr="007F18E7" w:rsidRDefault="00880DBB" w:rsidP="00880DBB">
      <w:pPr>
        <w:pStyle w:val="H23G"/>
      </w:pPr>
      <w:r>
        <w:lastRenderedPageBreak/>
        <w:tab/>
      </w:r>
      <w:r>
        <w:tab/>
      </w:r>
      <w:r>
        <w:rPr>
          <w:bCs/>
        </w:rPr>
        <w:t>Гендерное равноправие</w:t>
      </w:r>
    </w:p>
    <w:p w14:paraId="7722AD72" w14:textId="77777777" w:rsidR="00880DBB" w:rsidRPr="007F18E7" w:rsidRDefault="00880DBB" w:rsidP="00880DBB">
      <w:pPr>
        <w:pStyle w:val="SingleTxtG"/>
      </w:pPr>
      <w:r>
        <w:t>20.</w:t>
      </w:r>
      <w:r>
        <w:tab/>
        <w:t>Комитет отмечает, что закон № 2001-052 от 19 июля 2001 года, касающийся Кодекса о личном статусе, в настоящее время пересматривается. Тем не менее Комитет по-прежнему обеспокоен правовыми положениями, дискриминирующими женщин, включая продолжающие действовать в государстве-участнике положения, касающиеся брака, развода, опеки, управления имуществом и наследования. Комитет также обеспокоен сохранением стереотипов и практикой некоторых традиций, которые продолжают усиливать неравенство между мужчинами и женщинами, особенно в том, что касается их доступа к образованию, земле, рынку труда, равной оплате и справедливым и благоприятным условиям труда, а также их участия в общественной и политической жизни (ст. 3).</w:t>
      </w:r>
    </w:p>
    <w:p w14:paraId="0864D6B8" w14:textId="60F7B419" w:rsidR="00880DBB" w:rsidRPr="007F18E7" w:rsidRDefault="00880DBB" w:rsidP="00880DBB">
      <w:pPr>
        <w:pStyle w:val="SingleTxtG"/>
        <w:rPr>
          <w:b/>
        </w:rPr>
      </w:pPr>
      <w:r>
        <w:t>21.</w:t>
      </w:r>
      <w:r>
        <w:tab/>
      </w:r>
      <w:r>
        <w:rPr>
          <w:b/>
          <w:bCs/>
        </w:rPr>
        <w:t>Комитет напоминает о рекомендациях, сформулированных в его предыдущих заключительных замечаниях</w:t>
      </w:r>
      <w:r w:rsidRPr="00925AA7">
        <w:rPr>
          <w:rStyle w:val="a8"/>
        </w:rPr>
        <w:footnoteReference w:id="11"/>
      </w:r>
      <w:r>
        <w:rPr>
          <w:b/>
          <w:bCs/>
        </w:rPr>
        <w:t>, и настоятельно призывает государство-участник уделять первоочередное внимание ликвидации сохраняющегося неравенства между мужчинами и женщинами.</w:t>
      </w:r>
      <w:r>
        <w:t xml:space="preserve"> </w:t>
      </w:r>
      <w:r>
        <w:rPr>
          <w:b/>
          <w:bCs/>
        </w:rPr>
        <w:t>С этой целью он призывает его:</w:t>
      </w:r>
    </w:p>
    <w:p w14:paraId="1F8DFE54" w14:textId="77777777" w:rsidR="00880DBB" w:rsidRPr="007F18E7" w:rsidRDefault="00880DBB" w:rsidP="00880DBB">
      <w:pPr>
        <w:pStyle w:val="SingleTxtG"/>
        <w:ind w:firstLine="567"/>
        <w:rPr>
          <w:b/>
          <w:bCs/>
          <w:color w:val="000000"/>
        </w:rPr>
      </w:pPr>
      <w:r>
        <w:rPr>
          <w:b/>
          <w:bCs/>
        </w:rPr>
        <w:t>a)</w:t>
      </w:r>
      <w:r>
        <w:tab/>
      </w:r>
      <w:r>
        <w:rPr>
          <w:b/>
          <w:bCs/>
        </w:rPr>
        <w:t>ускорить пересмотр закона № 2001-052, касающегося Кодекса о личном статусе, чтобы отменить или изменить все положения, дискриминирующие женщин, и включить в него определение и запрет всех форм дискриминации в отношении женщин, в том числе с учетом межсекторальной перспективы;</w:t>
      </w:r>
    </w:p>
    <w:p w14:paraId="256299CF" w14:textId="77777777" w:rsidR="00880DBB" w:rsidRPr="007F18E7" w:rsidRDefault="00880DBB" w:rsidP="00880DBB">
      <w:pPr>
        <w:pStyle w:val="SingleTxtG"/>
        <w:keepNext/>
        <w:keepLines/>
        <w:ind w:firstLine="567"/>
        <w:rPr>
          <w:b/>
          <w:bCs/>
        </w:rPr>
      </w:pPr>
      <w:r>
        <w:rPr>
          <w:b/>
          <w:bCs/>
        </w:rPr>
        <w:t>b)</w:t>
      </w:r>
      <w:r>
        <w:tab/>
      </w:r>
      <w:r>
        <w:rPr>
          <w:b/>
          <w:bCs/>
        </w:rPr>
        <w:t>принять меры по борьбе с гендерными стереотипами и изменению традиционных взглядов, препятствующих осуществлению экономических, социальных и культурных прав женщин, в частности в отношении доступа к образованию, доступа к земле и наследованию, доступа к рынку труда, равной оплаты и условий труда, и, в частности, принять меры по перераспределению неоплачиваемого труда женщин, например путем расширения доступности услуг по уходу за детьми и других мер по уходу, а также путем поощрения участия мужчин в выполнении домашних и семейных обязанностей путем предоставления родительского отпуска, включая совместный отпуск по уходу за ребенком;</w:t>
      </w:r>
    </w:p>
    <w:p w14:paraId="52B36401" w14:textId="77777777" w:rsidR="00880DBB" w:rsidRPr="007F18E7" w:rsidRDefault="00880DBB" w:rsidP="00880DBB">
      <w:pPr>
        <w:pStyle w:val="SingleTxtG"/>
        <w:ind w:firstLine="567"/>
        <w:rPr>
          <w:b/>
          <w:bCs/>
        </w:rPr>
      </w:pPr>
      <w:r>
        <w:rPr>
          <w:b/>
          <w:bCs/>
        </w:rPr>
        <w:t>c)</w:t>
      </w:r>
      <w:r>
        <w:tab/>
      </w:r>
      <w:r>
        <w:rPr>
          <w:b/>
          <w:bCs/>
        </w:rPr>
        <w:t>принять все необходимые меры, включая временные специальные меры, для обеспечения равного доступа женщин ко всем сферам политической и общественной жизни;</w:t>
      </w:r>
    </w:p>
    <w:p w14:paraId="471050FB" w14:textId="77777777" w:rsidR="00880DBB" w:rsidRPr="007F18E7" w:rsidRDefault="00880DBB" w:rsidP="00880DBB">
      <w:pPr>
        <w:pStyle w:val="SingleTxtG"/>
        <w:ind w:firstLine="567"/>
        <w:rPr>
          <w:b/>
          <w:bCs/>
          <w:color w:val="000000"/>
        </w:rPr>
      </w:pPr>
      <w:r>
        <w:rPr>
          <w:b/>
          <w:bCs/>
        </w:rPr>
        <w:t>d)</w:t>
      </w:r>
      <w:r>
        <w:tab/>
      </w:r>
      <w:r>
        <w:rPr>
          <w:b/>
          <w:bCs/>
        </w:rPr>
        <w:t>усилить информационно-просветительские кампании по вопросам равенства между женщинами и мужчинами во всех сферах общественной и частной жизни среди религиозных лидеров, политиков, членов законодательных органов, судей, адвокатов, сотрудников полиции и других правоохранительных органов, как в городских, так и в сельских районах;</w:t>
      </w:r>
    </w:p>
    <w:p w14:paraId="57FF861F" w14:textId="19C50C22" w:rsidR="00880DBB" w:rsidRPr="007F18E7" w:rsidRDefault="00880DBB" w:rsidP="00880DBB">
      <w:pPr>
        <w:pStyle w:val="SingleTxtG"/>
        <w:ind w:firstLine="567"/>
        <w:rPr>
          <w:b/>
        </w:rPr>
      </w:pPr>
      <w:r>
        <w:rPr>
          <w:b/>
          <w:bCs/>
        </w:rPr>
        <w:t>e)</w:t>
      </w:r>
      <w:r>
        <w:tab/>
      </w:r>
      <w:r>
        <w:rPr>
          <w:b/>
          <w:bCs/>
        </w:rPr>
        <w:t>обратить внимание в этой связи на принятое Комитетом замечание общего порядка № 16 (2005) о равном для мужчин и женщин праве пользования всеми экономическими, социальными и культурными правами и на рекомендации Комитета по ликвидации дискриминации в отношении женщин</w:t>
      </w:r>
      <w:r w:rsidRPr="00925AA7">
        <w:rPr>
          <w:rStyle w:val="a8"/>
        </w:rPr>
        <w:footnoteReference w:id="12"/>
      </w:r>
      <w:r>
        <w:rPr>
          <w:b/>
          <w:bCs/>
        </w:rPr>
        <w:t>.</w:t>
      </w:r>
    </w:p>
    <w:p w14:paraId="00C94468" w14:textId="77777777" w:rsidR="00880DBB" w:rsidRPr="007F18E7" w:rsidRDefault="00880DBB" w:rsidP="00880DBB">
      <w:pPr>
        <w:pStyle w:val="H23G"/>
      </w:pPr>
      <w:r>
        <w:tab/>
      </w:r>
      <w:r>
        <w:tab/>
      </w:r>
      <w:r>
        <w:rPr>
          <w:bCs/>
        </w:rPr>
        <w:t>Право на труд</w:t>
      </w:r>
    </w:p>
    <w:p w14:paraId="445207E6" w14:textId="77777777" w:rsidR="00880DBB" w:rsidRPr="007F18E7" w:rsidRDefault="00880DBB" w:rsidP="00880DBB">
      <w:pPr>
        <w:pStyle w:val="SingleTxtG"/>
      </w:pPr>
      <w:r>
        <w:t>22.</w:t>
      </w:r>
      <w:r>
        <w:tab/>
        <w:t>Отмечая принятые меры по расширению доступа к рынку труда, Комитет указывает на то, что уровень безработицы среди молодежи и женщин остается высоким. Он также обеспокоен проблемами, с которыми сталкиваются харатины и негроафриканцы при доступе к рынку труда (ст. 6).</w:t>
      </w:r>
    </w:p>
    <w:p w14:paraId="1A05CC4A" w14:textId="77777777" w:rsidR="00880DBB" w:rsidRPr="007F18E7" w:rsidRDefault="00880DBB" w:rsidP="00D932A4">
      <w:pPr>
        <w:pStyle w:val="SingleTxtG"/>
        <w:pageBreakBefore/>
        <w:rPr>
          <w:b/>
        </w:rPr>
      </w:pPr>
      <w:r>
        <w:lastRenderedPageBreak/>
        <w:t>23.</w:t>
      </w:r>
      <w:r>
        <w:tab/>
      </w:r>
      <w:r>
        <w:rPr>
          <w:b/>
          <w:bCs/>
        </w:rPr>
        <w:t>Комитет рекомендует государству-участнику:</w:t>
      </w:r>
    </w:p>
    <w:p w14:paraId="6B7AE7A1" w14:textId="77777777" w:rsidR="00880DBB" w:rsidRPr="007F18E7" w:rsidRDefault="00880DBB" w:rsidP="00880DBB">
      <w:pPr>
        <w:pStyle w:val="SingleTxtG"/>
        <w:ind w:firstLine="567"/>
        <w:rPr>
          <w:b/>
        </w:rPr>
      </w:pPr>
      <w:r>
        <w:rPr>
          <w:b/>
          <w:bCs/>
        </w:rPr>
        <w:t>a)</w:t>
      </w:r>
      <w:r>
        <w:tab/>
      </w:r>
      <w:r>
        <w:rPr>
          <w:b/>
          <w:bCs/>
        </w:rPr>
        <w:t>разработать и осуществлять, в консультации с социальными партнерами, национальную политику в области занятости, предусматривающую четкие цели по снижению безработицы и борьбе со всеми формами дискриминации и ориентированную, в частности, на молодежь, женщин, людей с ограниченными возможностями здоровья и все другие группы, подвергающиеся дискриминации, включая харатинов и негроафриканцев;</w:t>
      </w:r>
    </w:p>
    <w:p w14:paraId="651506E5" w14:textId="77777777" w:rsidR="00880DBB" w:rsidRPr="007F18E7" w:rsidRDefault="00880DBB" w:rsidP="00880DBB">
      <w:pPr>
        <w:pStyle w:val="SingleTxtG"/>
        <w:ind w:firstLine="567"/>
        <w:rPr>
          <w:b/>
        </w:rPr>
      </w:pPr>
      <w:r>
        <w:rPr>
          <w:b/>
          <w:bCs/>
        </w:rPr>
        <w:t>b)</w:t>
      </w:r>
      <w:r>
        <w:tab/>
      </w:r>
      <w:r>
        <w:rPr>
          <w:b/>
          <w:bCs/>
        </w:rPr>
        <w:t>удвоить усилия для повышения качества образования и программ профессионально-технической подготовки, а также адаптировать их таким образом, чтобы они обеспечивали доступ и интеграцию на рынке труда, особенно для тех групп населения, которые в наибольшей степени страдают от безработицы;</w:t>
      </w:r>
    </w:p>
    <w:p w14:paraId="72B65F52" w14:textId="77777777" w:rsidR="00880DBB" w:rsidRPr="007F18E7" w:rsidRDefault="00880DBB" w:rsidP="00880DBB">
      <w:pPr>
        <w:pStyle w:val="SingleTxtG"/>
        <w:ind w:firstLine="567"/>
        <w:rPr>
          <w:b/>
        </w:rPr>
      </w:pPr>
      <w:r>
        <w:rPr>
          <w:b/>
          <w:bCs/>
        </w:rPr>
        <w:t>c)</w:t>
      </w:r>
      <w:r>
        <w:tab/>
      </w:r>
      <w:r>
        <w:rPr>
          <w:b/>
          <w:bCs/>
        </w:rPr>
        <w:t>обратить внимание в этой связи на принятое Комитетом замечание общего порядка № 18 (2005) о праве на труд.</w:t>
      </w:r>
    </w:p>
    <w:p w14:paraId="5973CEB7" w14:textId="77777777" w:rsidR="00880DBB" w:rsidRPr="007F18E7" w:rsidRDefault="00880DBB" w:rsidP="00880DBB">
      <w:pPr>
        <w:pStyle w:val="H23G"/>
      </w:pPr>
      <w:r>
        <w:tab/>
      </w:r>
      <w:r>
        <w:tab/>
      </w:r>
      <w:r>
        <w:rPr>
          <w:bCs/>
        </w:rPr>
        <w:t>Неформальный сектор экономики</w:t>
      </w:r>
    </w:p>
    <w:p w14:paraId="4ACE1B1F" w14:textId="77777777" w:rsidR="00880DBB" w:rsidRPr="007F18E7" w:rsidRDefault="00880DBB" w:rsidP="00880DBB">
      <w:pPr>
        <w:pStyle w:val="SingleTxtG"/>
      </w:pPr>
      <w:r>
        <w:t>24.</w:t>
      </w:r>
      <w:r>
        <w:tab/>
        <w:t>Комитет с обеспокоенностью отмечает, что подавляющее большинство работников по-прежнему заняты в неформальном секторе экономики и поэтому не защищены должным образом ни трудовым законодательством, ни системой социальной защиты (ст. 6, 7 и 9).</w:t>
      </w:r>
    </w:p>
    <w:p w14:paraId="5FF34987" w14:textId="0A97C07C" w:rsidR="00880DBB" w:rsidRPr="007F18E7" w:rsidRDefault="00880DBB" w:rsidP="00880DBB">
      <w:pPr>
        <w:pStyle w:val="SingleTxtG"/>
        <w:rPr>
          <w:b/>
          <w:bCs/>
        </w:rPr>
      </w:pPr>
      <w:r>
        <w:t>25.</w:t>
      </w:r>
      <w:r>
        <w:tab/>
      </w:r>
      <w:r>
        <w:rPr>
          <w:b/>
          <w:bCs/>
        </w:rPr>
        <w:t>Комитет настоятельно призывает государство-участник обеспечить, чтобы работники, особенно женщины, занятые в неформальном секторе экономики, были защищены трудовым законодательством и пользовались социальной защитой, в том числе путем обеспечения того, чтобы службы трудовой инспекции охватывали и этот сектор.</w:t>
      </w:r>
      <w:r>
        <w:t xml:space="preserve"> </w:t>
      </w:r>
      <w:r>
        <w:rPr>
          <w:b/>
          <w:bCs/>
        </w:rPr>
        <w:t xml:space="preserve">Он также настоятельно призывает государство-участник продолжить консультации с Международным бюро труда, чтобы принять все необходимые меры для постепенного официального урегулирования положения работников неформального сектора экономики, ссылаясь в этой связи на свои замечания общего порядка № 18 (2005) о праве на труд, </w:t>
      </w:r>
      <w:r w:rsidRPr="00D932A4">
        <w:rPr>
          <w:b/>
          <w:bCs/>
        </w:rPr>
        <w:t>19 (2007)</w:t>
      </w:r>
      <w:r>
        <w:rPr>
          <w:b/>
          <w:bCs/>
        </w:rPr>
        <w:t xml:space="preserve"> о праве на социальное обеспечение и </w:t>
      </w:r>
      <w:r w:rsidRPr="00D932A4">
        <w:rPr>
          <w:b/>
          <w:bCs/>
        </w:rPr>
        <w:t>23 (2016)</w:t>
      </w:r>
      <w:r>
        <w:rPr>
          <w:b/>
          <w:bCs/>
        </w:rPr>
        <w:t xml:space="preserve"> о праве на справедливые и благоприятные условия работы.</w:t>
      </w:r>
    </w:p>
    <w:p w14:paraId="1358B502" w14:textId="77777777" w:rsidR="00880DBB" w:rsidRPr="007F18E7" w:rsidRDefault="00880DBB" w:rsidP="00880DBB">
      <w:pPr>
        <w:pStyle w:val="H23G"/>
      </w:pPr>
      <w:r>
        <w:tab/>
      </w:r>
      <w:r>
        <w:tab/>
      </w:r>
      <w:r>
        <w:rPr>
          <w:bCs/>
        </w:rPr>
        <w:t>Применение законодательной базы для борьбы с рабством и современными формами рабства</w:t>
      </w:r>
    </w:p>
    <w:p w14:paraId="4D24D5F5" w14:textId="7AC019FA" w:rsidR="00880DBB" w:rsidRPr="007F18E7" w:rsidRDefault="00880DBB" w:rsidP="00880DBB">
      <w:pPr>
        <w:pStyle w:val="SingleTxtG"/>
      </w:pPr>
      <w:r>
        <w:t>26.</w:t>
      </w:r>
      <w:r>
        <w:tab/>
        <w:t xml:space="preserve">Комитет признает значительный прогресс, достигнутый государством-участником в борьбе с рабством и современными формами рабства, в частности путем укрепления его законодательной базы. Тем не менее он по-прежнему обеспокоен недостаточным применением законодательной базы, отчасти из-за ограниченности имеющихся ресурсов, а также социальным и культурным принятием практики рабства, которая сохраняется в государстве-участнике. Комитет также обеспокоен сообщениями о том, что практика принудительного труда и экономической эксплуатации продолжает иметь место, в том числе в сфере домашней работы и сельскохозяйственного труда, особенно среди трудящихся-мигрантов и женщин </w:t>
      </w:r>
      <w:r w:rsidR="00D932A4">
        <w:br/>
      </w:r>
      <w:r>
        <w:t>(ст. 7).</w:t>
      </w:r>
    </w:p>
    <w:p w14:paraId="1930F5BE" w14:textId="77777777" w:rsidR="00880DBB" w:rsidRPr="007F18E7" w:rsidRDefault="00880DBB" w:rsidP="00880DBB">
      <w:pPr>
        <w:pStyle w:val="SingleTxtG"/>
        <w:rPr>
          <w:b/>
          <w:bCs/>
        </w:rPr>
      </w:pPr>
      <w:r>
        <w:t>27.</w:t>
      </w:r>
      <w:r>
        <w:tab/>
      </w:r>
      <w:r>
        <w:rPr>
          <w:b/>
          <w:bCs/>
        </w:rPr>
        <w:t>Комитет рекомендует государству-участнику:</w:t>
      </w:r>
      <w:r>
        <w:t xml:space="preserve"> </w:t>
      </w:r>
    </w:p>
    <w:p w14:paraId="0650366B" w14:textId="77777777" w:rsidR="00880DBB" w:rsidRPr="007F18E7" w:rsidRDefault="00880DBB" w:rsidP="00880DBB">
      <w:pPr>
        <w:pStyle w:val="SingleTxtG"/>
        <w:ind w:firstLine="567"/>
        <w:rPr>
          <w:b/>
          <w:bCs/>
          <w:iCs/>
        </w:rPr>
      </w:pPr>
      <w:r>
        <w:rPr>
          <w:b/>
          <w:bCs/>
        </w:rPr>
        <w:t>a)</w:t>
      </w:r>
      <w:r>
        <w:tab/>
      </w:r>
      <w:r>
        <w:rPr>
          <w:b/>
          <w:bCs/>
        </w:rPr>
        <w:t>усилить применение законодательной базы для борьбы с рабством и современными формами рабства, обеспечить тщательное расследование всех случаев рабства и других современных форм рабства, а также привлечение виновных к ответственности и назначение им наказаний, соразмерных тяжести совершенных ими деяний;</w:t>
      </w:r>
    </w:p>
    <w:p w14:paraId="4E4469C8" w14:textId="77777777" w:rsidR="00880DBB" w:rsidRPr="007F18E7" w:rsidRDefault="00880DBB" w:rsidP="00880DBB">
      <w:pPr>
        <w:pStyle w:val="SingleTxtG"/>
        <w:ind w:firstLine="567"/>
        <w:rPr>
          <w:b/>
          <w:bCs/>
          <w:iCs/>
        </w:rPr>
      </w:pPr>
      <w:r>
        <w:rPr>
          <w:b/>
          <w:bCs/>
        </w:rPr>
        <w:t>b)</w:t>
      </w:r>
      <w:r>
        <w:tab/>
      </w:r>
      <w:r>
        <w:rPr>
          <w:b/>
          <w:bCs/>
        </w:rPr>
        <w:t>обеспечить наличие у специализированных уголовных судов кадровых, финансовых и технических ресурсов, необходимых для гарантирования эффективного применения законодательной базы по борьбе с рабством;</w:t>
      </w:r>
    </w:p>
    <w:p w14:paraId="319AFF5D" w14:textId="77777777" w:rsidR="00880DBB" w:rsidRPr="007F18E7" w:rsidRDefault="00880DBB" w:rsidP="00880DBB">
      <w:pPr>
        <w:pStyle w:val="SingleTxtG"/>
        <w:ind w:firstLine="567"/>
        <w:rPr>
          <w:b/>
          <w:bCs/>
          <w:iCs/>
        </w:rPr>
      </w:pPr>
      <w:r>
        <w:rPr>
          <w:b/>
          <w:bCs/>
        </w:rPr>
        <w:lastRenderedPageBreak/>
        <w:t>c)</w:t>
      </w:r>
      <w:r>
        <w:tab/>
      </w:r>
      <w:r>
        <w:rPr>
          <w:b/>
          <w:bCs/>
        </w:rPr>
        <w:t>обеспечить жертвам рабства или других современных форм рабства доступ к эффективным средствам правовой защиты и возмещению ущерба, а также к средствам поддержки, направленным на расширение их экономических и политических прав и их социальную реинтеграцию, в частности посредством специальных позитивных мер, гарантирующих им доступ к образованию, занятости, жилью, земле и природным ресурсам, а также к медико-санитарному обслуживанию;</w:t>
      </w:r>
    </w:p>
    <w:p w14:paraId="2243673B" w14:textId="77777777" w:rsidR="00880DBB" w:rsidRPr="007F18E7" w:rsidRDefault="00880DBB" w:rsidP="00880DBB">
      <w:pPr>
        <w:pStyle w:val="SingleTxtG"/>
        <w:ind w:firstLine="567"/>
        <w:rPr>
          <w:b/>
          <w:bCs/>
        </w:rPr>
      </w:pPr>
      <w:r>
        <w:rPr>
          <w:b/>
          <w:bCs/>
        </w:rPr>
        <w:t>d)</w:t>
      </w:r>
      <w:r>
        <w:tab/>
      </w:r>
      <w:r>
        <w:rPr>
          <w:b/>
          <w:bCs/>
        </w:rPr>
        <w:t>продолжать усилия для повышения осведомленности, просвещения и информирования населения, в частности традиционных и религиозных лидеров и старейшин, о природе рабства и современной практике рабства, а также о законодательстве по борьбе с рабством и существующих механизмах подачи жалоб;</w:t>
      </w:r>
    </w:p>
    <w:p w14:paraId="0EDC111D" w14:textId="36B19038" w:rsidR="00880DBB" w:rsidRPr="007F18E7" w:rsidRDefault="00880DBB" w:rsidP="00880DBB">
      <w:pPr>
        <w:pStyle w:val="SingleTxtG"/>
        <w:ind w:firstLine="567"/>
        <w:rPr>
          <w:b/>
          <w:bCs/>
        </w:rPr>
      </w:pPr>
      <w:r>
        <w:rPr>
          <w:b/>
          <w:bCs/>
        </w:rPr>
        <w:t>e)</w:t>
      </w:r>
      <w:r>
        <w:tab/>
      </w:r>
      <w:r>
        <w:rPr>
          <w:b/>
          <w:bCs/>
        </w:rPr>
        <w:t>обратить внимание на содержащиеся в докладе Специального докладчика по вопросу о современных формах рабства, включая его причины и последствия, рекомендации, опубликованные после его посещения Мавритании в 2022 году</w:t>
      </w:r>
      <w:r w:rsidRPr="00925AA7">
        <w:rPr>
          <w:rStyle w:val="a8"/>
        </w:rPr>
        <w:footnoteReference w:id="13"/>
      </w:r>
      <w:r>
        <w:rPr>
          <w:b/>
          <w:bCs/>
        </w:rPr>
        <w:t>.</w:t>
      </w:r>
    </w:p>
    <w:p w14:paraId="2B892E5F" w14:textId="77777777" w:rsidR="00880DBB" w:rsidRPr="007F18E7" w:rsidRDefault="00880DBB" w:rsidP="00880DBB">
      <w:pPr>
        <w:pStyle w:val="H23G"/>
      </w:pPr>
      <w:r>
        <w:tab/>
      </w:r>
      <w:r>
        <w:tab/>
      </w:r>
      <w:r>
        <w:rPr>
          <w:bCs/>
        </w:rPr>
        <w:t>Профсоюзные права</w:t>
      </w:r>
    </w:p>
    <w:p w14:paraId="48C4CC20" w14:textId="77777777" w:rsidR="00880DBB" w:rsidRPr="007F18E7" w:rsidRDefault="00880DBB" w:rsidP="00880DBB">
      <w:pPr>
        <w:pStyle w:val="SingleTxtG"/>
      </w:pPr>
      <w:r>
        <w:t>28.</w:t>
      </w:r>
      <w:r>
        <w:tab/>
        <w:t>Комитет обеспокоен утверждениями о запугивании, давлении и дискриминации в отношении работников и руководителей, состоящих в профсоюзах, а также сообщениями о том, что на практике осуществление некоторых профсоюзных прав не гарантируется (ст. 8).</w:t>
      </w:r>
    </w:p>
    <w:p w14:paraId="40D7CAC1" w14:textId="77777777" w:rsidR="00880DBB" w:rsidRPr="007F18E7" w:rsidRDefault="00880DBB" w:rsidP="00880DBB">
      <w:pPr>
        <w:pStyle w:val="SingleTxtG"/>
        <w:rPr>
          <w:b/>
          <w:bCs/>
        </w:rPr>
      </w:pPr>
      <w:r>
        <w:t>29.</w:t>
      </w:r>
      <w:r>
        <w:tab/>
      </w:r>
      <w:r>
        <w:rPr>
          <w:b/>
          <w:bCs/>
        </w:rPr>
        <w:t>Комитет рекомендует государству-участнику создать механизмы для эффективной защиты профсоюзных прав всех работников в соответствии со статьей 8 Пакта, принимая во внимание принятые Международной организацией труда Конвенцию 1948 года (№ 87) о свободе объединений и защите права объединяться в профсоюзы и Конвенцию 1949 года (№ 98) о применении принципов права на объединение в профсоюзы и на ведение коллективных переговоров.</w:t>
      </w:r>
      <w:r>
        <w:t xml:space="preserve"> </w:t>
      </w:r>
      <w:r>
        <w:rPr>
          <w:b/>
          <w:bCs/>
        </w:rPr>
        <w:t>Он также рекомендует государству-участнику обеспечить, чтобы профсоюзные деятели и профсоюзные руководители могли осуществлять свою деятельность в условиях, свободных от запугивания и дискриминации.</w:t>
      </w:r>
    </w:p>
    <w:p w14:paraId="318A33DE" w14:textId="77777777" w:rsidR="00880DBB" w:rsidRPr="007F18E7" w:rsidRDefault="00880DBB" w:rsidP="00880DBB">
      <w:pPr>
        <w:pStyle w:val="H23G"/>
      </w:pPr>
      <w:r>
        <w:tab/>
      </w:r>
      <w:r>
        <w:tab/>
      </w:r>
      <w:r>
        <w:rPr>
          <w:bCs/>
        </w:rPr>
        <w:t>Право на социальное обеспечение</w:t>
      </w:r>
    </w:p>
    <w:p w14:paraId="1DF498C1" w14:textId="77777777" w:rsidR="00880DBB" w:rsidRPr="007F18E7" w:rsidRDefault="00880DBB" w:rsidP="00880DBB">
      <w:pPr>
        <w:pStyle w:val="SingleTxtG"/>
      </w:pPr>
      <w:r>
        <w:t>30.</w:t>
      </w:r>
      <w:r>
        <w:tab/>
        <w:t>Комитет отмечает усилия, предпринятые государством-участником по укреплению своей системы социального обеспечения, в частности путем принятия программ денежных выплат наиболее обездоленным семьям и создания Национального фонда солидарности в области здравоохранения, направленного на защиту работников неформального сектора. Однако он с обеспокоенностью отмечает, что, несмотря на эти усилия, большое число людей по-прежнему исключено из системы социального обеспечения, которая не покрывает все социальные риски и непредвиденные обстоятельства. Комитет сожалеет, что не получил информации о доступе к социальному обеспечению пожилых людей и людей с ограниченными возможностями здоровья (ст. 9).</w:t>
      </w:r>
    </w:p>
    <w:p w14:paraId="4B94D411" w14:textId="44CB2657" w:rsidR="00880DBB" w:rsidRPr="007F18E7" w:rsidRDefault="00880DBB" w:rsidP="00880DBB">
      <w:pPr>
        <w:pStyle w:val="SingleTxtG"/>
        <w:rPr>
          <w:b/>
        </w:rPr>
      </w:pPr>
      <w:r>
        <w:t>31.</w:t>
      </w:r>
      <w:r>
        <w:tab/>
      </w:r>
      <w:r>
        <w:rPr>
          <w:b/>
          <w:bCs/>
        </w:rPr>
        <w:t>Комитет рекомендует государству-участнику удвоить усилия по созданию системы социального обеспечения, являющейся достаточной и доступной для всех, гарантирующей, в частности, всеобщий охват социальным обеспечением, предоставляющей надлежащие льготы всем, в частности наиболее обездоленным и маргинализированным группам, с тем чтобы обеспечить для них достойные условия жизни, покрывающей все социальные риски и непредвиденные обстоятельства.</w:t>
      </w:r>
      <w:r>
        <w:t xml:space="preserve"> </w:t>
      </w:r>
      <w:r>
        <w:rPr>
          <w:b/>
          <w:bCs/>
        </w:rPr>
        <w:t>Он призывает государство-участник продолжать расширять охват программами денежных выплат всем наиболее обездоленным и маргинализированным семьям, чтобы гарантировать им достойные условия жизни.</w:t>
      </w:r>
      <w:r>
        <w:t xml:space="preserve"> </w:t>
      </w:r>
      <w:r>
        <w:rPr>
          <w:b/>
          <w:bCs/>
        </w:rPr>
        <w:t xml:space="preserve">Он также рекомендует государству-участнику продолжать усилия по установлению минимального уровня социальной защиты, включающего </w:t>
      </w:r>
      <w:r>
        <w:rPr>
          <w:b/>
          <w:bCs/>
        </w:rPr>
        <w:lastRenderedPageBreak/>
        <w:t>основные универсальные социальные гарантии, и в этом отношении просит государство-участник обратить внимание на свое замечание общего порядка</w:t>
      </w:r>
      <w:r w:rsidR="001623B6">
        <w:rPr>
          <w:b/>
          <w:bCs/>
          <w:lang w:val="en-US"/>
        </w:rPr>
        <w:t> </w:t>
      </w:r>
      <w:r>
        <w:rPr>
          <w:b/>
          <w:bCs/>
        </w:rPr>
        <w:t>№</w:t>
      </w:r>
      <w:r w:rsidR="001623B6">
        <w:rPr>
          <w:b/>
          <w:bCs/>
          <w:lang w:val="en-US"/>
        </w:rPr>
        <w:t> </w:t>
      </w:r>
      <w:r>
        <w:rPr>
          <w:b/>
          <w:bCs/>
        </w:rPr>
        <w:t>19 (2007) о праве на социальное обеспечение, а также на свое заявление под названием «Минимальные уровни социальной защиты: важнейшая составляющая права на социальное обеспечение и целей устойчивого развития», принятое в 2015 году</w:t>
      </w:r>
      <w:r w:rsidRPr="00925AA7">
        <w:rPr>
          <w:rStyle w:val="a8"/>
        </w:rPr>
        <w:footnoteReference w:id="14"/>
      </w:r>
      <w:r>
        <w:rPr>
          <w:b/>
          <w:bCs/>
        </w:rPr>
        <w:t>.</w:t>
      </w:r>
    </w:p>
    <w:p w14:paraId="2798739C" w14:textId="77777777" w:rsidR="00880DBB" w:rsidRPr="007F18E7" w:rsidRDefault="00880DBB" w:rsidP="00880DBB">
      <w:pPr>
        <w:pStyle w:val="H23G"/>
      </w:pPr>
      <w:r>
        <w:tab/>
      </w:r>
      <w:r>
        <w:tab/>
      </w:r>
      <w:r>
        <w:rPr>
          <w:bCs/>
        </w:rPr>
        <w:t>Экономическая эксплуатация детей</w:t>
      </w:r>
    </w:p>
    <w:p w14:paraId="1E97DC93" w14:textId="77777777" w:rsidR="00880DBB" w:rsidRPr="007F18E7" w:rsidRDefault="00880DBB" w:rsidP="00880DBB">
      <w:pPr>
        <w:pStyle w:val="SingleTxtG"/>
      </w:pPr>
      <w:r>
        <w:t>32.</w:t>
      </w:r>
      <w:r>
        <w:tab/>
        <w:t>Комитет с обеспокоенностью отмечает, что, несмотря на меры, принятые по борьбе с детским трудом, многие дети в возрасте до 14 лет занимаются той или иной формой экономической деятельности. Эти дети, особенно потомки рабов, мигрантов и тех, кто в наибольшей степени затронуты бедностью, часто становятся жертвами экономической эксплуатации или подвергаются наихудшим формам детского труда. Комитет также с обеспокоенностью отмечает, что значительное число детей подвергаются принудительному попрошайничеству, в частности дети-талибе и беспризорники (ст. 10).</w:t>
      </w:r>
    </w:p>
    <w:p w14:paraId="42F5B005" w14:textId="77777777" w:rsidR="00880DBB" w:rsidRPr="007F18E7" w:rsidRDefault="00880DBB" w:rsidP="00880DBB">
      <w:pPr>
        <w:pStyle w:val="SingleTxtG"/>
        <w:rPr>
          <w:b/>
        </w:rPr>
      </w:pPr>
      <w:r>
        <w:t>33.</w:t>
      </w:r>
      <w:r>
        <w:tab/>
      </w:r>
      <w:r>
        <w:rPr>
          <w:b/>
          <w:bCs/>
        </w:rPr>
        <w:t>Комитет рекомендует государству-участнику:</w:t>
      </w:r>
    </w:p>
    <w:p w14:paraId="666E87A1" w14:textId="77777777" w:rsidR="00880DBB" w:rsidRPr="007F18E7" w:rsidRDefault="00880DBB" w:rsidP="00880DBB">
      <w:pPr>
        <w:pStyle w:val="SingleTxtG"/>
        <w:ind w:firstLine="567"/>
        <w:rPr>
          <w:b/>
        </w:rPr>
      </w:pPr>
      <w:r>
        <w:rPr>
          <w:b/>
          <w:bCs/>
        </w:rPr>
        <w:t>a)</w:t>
      </w:r>
      <w:r>
        <w:tab/>
      </w:r>
      <w:r>
        <w:rPr>
          <w:b/>
          <w:bCs/>
        </w:rPr>
        <w:t>укрепить систему комплексной защиты детей, в частности Национальный совет по вопросам детства, с тем чтобы гарантировать эффективный уход за детьми, находящимися в особо уязвимом положении, в частности за детьми-жертвами рабства, детьми-мигрантами, беспризорными детьми и детьми-талибе;</w:t>
      </w:r>
    </w:p>
    <w:p w14:paraId="39562732" w14:textId="77777777" w:rsidR="00880DBB" w:rsidRPr="007F18E7" w:rsidRDefault="00880DBB" w:rsidP="00880DBB">
      <w:pPr>
        <w:pStyle w:val="SingleTxtG"/>
        <w:ind w:firstLine="567"/>
        <w:rPr>
          <w:b/>
        </w:rPr>
      </w:pPr>
      <w:r>
        <w:rPr>
          <w:b/>
          <w:bCs/>
        </w:rPr>
        <w:t>b)</w:t>
      </w:r>
      <w:r>
        <w:tab/>
      </w:r>
      <w:r>
        <w:rPr>
          <w:b/>
          <w:bCs/>
        </w:rPr>
        <w:t>принять эффективные меры по предотвращению и пресечению наихудших форм детского труда и экономической эксплуатации детей, особенно в неформальном секторе экономики, обеспечить надлежащее применение правовых положений о детском труде и надлежащее наказание лиц, эксплуатирующих детей, а также обеспечить эффективный контроль за применением правовых положений о детском труде;</w:t>
      </w:r>
    </w:p>
    <w:p w14:paraId="392A7EBC" w14:textId="77777777" w:rsidR="00880DBB" w:rsidRPr="007F18E7" w:rsidRDefault="00880DBB" w:rsidP="00880DBB">
      <w:pPr>
        <w:pStyle w:val="SingleTxtG"/>
        <w:ind w:firstLine="567"/>
        <w:rPr>
          <w:b/>
        </w:rPr>
      </w:pPr>
      <w:r>
        <w:rPr>
          <w:b/>
          <w:bCs/>
        </w:rPr>
        <w:t>c)</w:t>
      </w:r>
      <w:r>
        <w:tab/>
      </w:r>
      <w:r>
        <w:rPr>
          <w:b/>
          <w:bCs/>
        </w:rPr>
        <w:t>укреплять механизмы, созданные для того, чтобы обездоленные семьи, особенно жертвы рабства, могли воспользоваться мерами поддержки, позволяющими им выбраться из ситуации бедности и изоляции, которая часто является причиной экономической эксплуатации детей.</w:t>
      </w:r>
    </w:p>
    <w:p w14:paraId="2E4CB668" w14:textId="77777777" w:rsidR="00880DBB" w:rsidRPr="007F18E7" w:rsidRDefault="00880DBB" w:rsidP="00880DBB">
      <w:pPr>
        <w:pStyle w:val="H23G"/>
      </w:pPr>
      <w:r>
        <w:tab/>
      </w:r>
      <w:r>
        <w:tab/>
      </w:r>
      <w:r>
        <w:rPr>
          <w:bCs/>
        </w:rPr>
        <w:t>Вредные виды практики в отношении женщин и девочек</w:t>
      </w:r>
    </w:p>
    <w:p w14:paraId="4FFE91E4" w14:textId="77777777" w:rsidR="00880DBB" w:rsidRPr="007F18E7" w:rsidRDefault="00880DBB" w:rsidP="00880DBB">
      <w:pPr>
        <w:pStyle w:val="SingleTxtG"/>
        <w:keepNext/>
        <w:keepLines/>
      </w:pPr>
      <w:r>
        <w:t>34.</w:t>
      </w:r>
      <w:r>
        <w:tab/>
        <w:t>Комитет обеспокоен тем, что вредные виды практики в отношении женщин и девочек, такие как ранние браки и калечащие операции на половых органах, по-прежнему широко распространены в государстве-участнике, несмотря на их прямое запрещение во внутреннем уголовном законодательстве (ст. 3 и 10).</w:t>
      </w:r>
    </w:p>
    <w:p w14:paraId="742FB70F" w14:textId="77777777" w:rsidR="00880DBB" w:rsidRPr="007F18E7" w:rsidRDefault="00880DBB" w:rsidP="00880DBB">
      <w:pPr>
        <w:pStyle w:val="SingleTxtG"/>
        <w:rPr>
          <w:b/>
        </w:rPr>
      </w:pPr>
      <w:r>
        <w:t>35.</w:t>
      </w:r>
      <w:r>
        <w:tab/>
      </w:r>
      <w:r>
        <w:rPr>
          <w:b/>
          <w:bCs/>
        </w:rPr>
        <w:t>Комитет рекомендует государству-участнику уделять первоочередное внимание принятию всеобъемлющих мер по искоренению всех видов вредной практики в отношении женщин и девочек.</w:t>
      </w:r>
      <w:r>
        <w:t xml:space="preserve"> </w:t>
      </w:r>
      <w:r>
        <w:rPr>
          <w:b/>
          <w:bCs/>
        </w:rPr>
        <w:t>С этой целью он настоятельно призывает государство-участник:</w:t>
      </w:r>
    </w:p>
    <w:p w14:paraId="658EB57B" w14:textId="77777777" w:rsidR="00880DBB" w:rsidRPr="007F18E7" w:rsidRDefault="00880DBB" w:rsidP="00880DBB">
      <w:pPr>
        <w:pStyle w:val="SingleTxtG"/>
        <w:ind w:firstLine="567"/>
        <w:rPr>
          <w:b/>
        </w:rPr>
      </w:pPr>
      <w:r>
        <w:rPr>
          <w:b/>
          <w:bCs/>
        </w:rPr>
        <w:t>a)</w:t>
      </w:r>
      <w:r>
        <w:tab/>
      </w:r>
      <w:r>
        <w:rPr>
          <w:b/>
          <w:bCs/>
        </w:rPr>
        <w:t>укреплять механизмы применения своего законодательства, направленного против вредных видов практики в отношении женщин и девочек, с тем чтобы обеспечить привлечение виновных к ответственности и назначение им наказаний, соразмерных тяжести совершенных ими деяний, а также доступ жертв к эффективным средствам правовой защиты и компенсационным мерам;</w:t>
      </w:r>
    </w:p>
    <w:p w14:paraId="2ED5136A" w14:textId="77777777" w:rsidR="00880DBB" w:rsidRPr="007F18E7" w:rsidRDefault="00880DBB" w:rsidP="00880DBB">
      <w:pPr>
        <w:pStyle w:val="SingleTxtG"/>
        <w:ind w:firstLine="567"/>
        <w:rPr>
          <w:b/>
        </w:rPr>
      </w:pPr>
      <w:r>
        <w:rPr>
          <w:b/>
          <w:bCs/>
        </w:rPr>
        <w:t>b)</w:t>
      </w:r>
      <w:r>
        <w:tab/>
      </w:r>
      <w:r>
        <w:rPr>
          <w:b/>
          <w:bCs/>
        </w:rPr>
        <w:t>отменить все исключения, позволяющие вступать в брак в возрасте до 18 лет, и обеспечить должное соблюдение установленного законом минимального 18-летнего брачного возраста для девушек и юношей;</w:t>
      </w:r>
    </w:p>
    <w:p w14:paraId="3F569A48" w14:textId="77777777" w:rsidR="00880DBB" w:rsidRPr="007F18E7" w:rsidRDefault="00880DBB" w:rsidP="00880DBB">
      <w:pPr>
        <w:pStyle w:val="SingleTxtG"/>
        <w:ind w:firstLine="567"/>
        <w:rPr>
          <w:b/>
        </w:rPr>
      </w:pPr>
      <w:r>
        <w:rPr>
          <w:b/>
          <w:bCs/>
        </w:rPr>
        <w:t>c)</w:t>
      </w:r>
      <w:r>
        <w:tab/>
      </w:r>
      <w:r>
        <w:rPr>
          <w:b/>
          <w:bCs/>
        </w:rPr>
        <w:t xml:space="preserve">принять эффективные меры по предотвращению ранних браков и калечащих операций на женских половых органах, в том числе путем усиления </w:t>
      </w:r>
      <w:r>
        <w:rPr>
          <w:b/>
          <w:bCs/>
        </w:rPr>
        <w:lastRenderedPageBreak/>
        <w:t>информационно-просветительских кампаний и повышения информированности о вредном характере этих видов практики</w:t>
      </w:r>
      <w:r>
        <w:t>.</w:t>
      </w:r>
    </w:p>
    <w:p w14:paraId="78698EA6" w14:textId="77777777" w:rsidR="00880DBB" w:rsidRPr="007F18E7" w:rsidRDefault="00880DBB" w:rsidP="00880DBB">
      <w:pPr>
        <w:pStyle w:val="H23G"/>
        <w:rPr>
          <w:bCs/>
        </w:rPr>
      </w:pPr>
      <w:r>
        <w:tab/>
      </w:r>
      <w:r>
        <w:tab/>
      </w:r>
      <w:r>
        <w:rPr>
          <w:bCs/>
        </w:rPr>
        <w:t>Бедность</w:t>
      </w:r>
    </w:p>
    <w:p w14:paraId="049275FD" w14:textId="77777777" w:rsidR="00880DBB" w:rsidRPr="007F18E7" w:rsidRDefault="00880DBB" w:rsidP="00880DBB">
      <w:pPr>
        <w:pStyle w:val="SingleTxtG"/>
      </w:pPr>
      <w:r>
        <w:t>36.</w:t>
      </w:r>
      <w:r>
        <w:tab/>
        <w:t>Комитет отмечает усилия, предпринимаемые в борьбе с бедностью в рамках Стратегии ускоренного роста и общего процветания. Однако он сожалеет, что не получил точной информации, сопровождаемой статистическими данными, о результатах мер, принятых для борьбы с бедностью. Он также отмечает, что бедность и нищета по-прежнему непропорционально сильно затрагивают людей, живущих в сельских районах, а также жертв рабства, потомков рабов, харатинов и негроафриканцев. Комитет также сожалеет, что не получил информацию о влиянии мер, принятых для смягчения последствий пандемии коронавирусной инфекции (COVID-19), на рост бедности и неравенства (ст. 11).</w:t>
      </w:r>
    </w:p>
    <w:p w14:paraId="01C50BCF" w14:textId="40D97677" w:rsidR="00880DBB" w:rsidRPr="007F18E7" w:rsidRDefault="00880DBB" w:rsidP="00880DBB">
      <w:pPr>
        <w:pStyle w:val="SingleTxtG"/>
        <w:rPr>
          <w:b/>
          <w:bCs/>
        </w:rPr>
      </w:pPr>
      <w:r>
        <w:t>37.</w:t>
      </w:r>
      <w:r>
        <w:tab/>
      </w:r>
      <w:r>
        <w:rPr>
          <w:b/>
          <w:bCs/>
        </w:rPr>
        <w:t>Комитет рекомендует государству-участнику удвоить усилия по борьбе с бедностью, в частности с нищетой, в том числе посредством всеобъемлющей оценки программ и стратегий, осуществляемых с этой целью, включая Стратегию ускоренного роста и общего процветания, для выявления препятствий и внесения необходимых изменений в интересах осуществления комплексной стратегии сокращения масштабов бедности.</w:t>
      </w:r>
      <w:r>
        <w:t xml:space="preserve"> </w:t>
      </w:r>
      <w:r>
        <w:rPr>
          <w:b/>
          <w:bCs/>
        </w:rPr>
        <w:t>Комитет настоятельно призывает государство-участник обеспечить, чтобы эта стратегия имела четкие и измеримые цели, была обеспечена необходимыми ресурсами, предусматривала эффективные механизмы координации между различными субъектами, осуществлялась в соответствии со стандартами и принципами прав человека и должным образом учитывала существующие региональные различия и реальные потребности населения, в частности находящиеся в наиболее неблагоприятном и маргинальном положении группы.</w:t>
      </w:r>
      <w:r>
        <w:t xml:space="preserve"> </w:t>
      </w:r>
      <w:r>
        <w:rPr>
          <w:b/>
          <w:bCs/>
        </w:rPr>
        <w:t>Комитет рекомендует государству-участнику включить в свою стратегию борьбы с бедностью меры, необходимые для решения проблемы воздействия пандемии COVID-19 на бедность.</w:t>
      </w:r>
      <w:r>
        <w:t xml:space="preserve"> </w:t>
      </w:r>
      <w:r>
        <w:rPr>
          <w:b/>
          <w:bCs/>
        </w:rPr>
        <w:t>Наконец, Комитет обращает внимание государства-участника на свое заявление о проблеме бедности и осуществлении Пакта, которое он принял в 2001</w:t>
      </w:r>
      <w:r w:rsidR="00D932A4">
        <w:rPr>
          <w:b/>
          <w:bCs/>
          <w:lang w:val="en-US"/>
        </w:rPr>
        <w:t> </w:t>
      </w:r>
      <w:r>
        <w:rPr>
          <w:b/>
          <w:bCs/>
        </w:rPr>
        <w:t>году</w:t>
      </w:r>
      <w:r w:rsidRPr="00925AA7">
        <w:rPr>
          <w:rStyle w:val="a8"/>
        </w:rPr>
        <w:footnoteReference w:id="15"/>
      </w:r>
      <w:r>
        <w:rPr>
          <w:b/>
          <w:bCs/>
        </w:rPr>
        <w:t>.</w:t>
      </w:r>
    </w:p>
    <w:p w14:paraId="7F62ADB5" w14:textId="77777777" w:rsidR="00880DBB" w:rsidRPr="007F18E7" w:rsidRDefault="00880DBB" w:rsidP="00880DBB">
      <w:pPr>
        <w:pStyle w:val="H23G"/>
        <w:rPr>
          <w:bCs/>
        </w:rPr>
      </w:pPr>
      <w:r>
        <w:tab/>
      </w:r>
      <w:r>
        <w:tab/>
      </w:r>
      <w:r>
        <w:rPr>
          <w:bCs/>
        </w:rPr>
        <w:t>Горнодобывающая промышленность и разработка карьеров</w:t>
      </w:r>
    </w:p>
    <w:p w14:paraId="07AEEABA" w14:textId="77777777" w:rsidR="00880DBB" w:rsidRPr="007F18E7" w:rsidRDefault="00880DBB" w:rsidP="00880DBB">
      <w:pPr>
        <w:pStyle w:val="SingleTxtG"/>
      </w:pPr>
      <w:r>
        <w:t>38.</w:t>
      </w:r>
      <w:r>
        <w:tab/>
        <w:t>Комитет принимает к сведению предоставленную информацию о применении законодательной базы в отношении горнодобывающей промышленности и разработки карьеров в государстве-участнике и о мерах, принятых для проведения оценок их воздействия на окружающую среду. Тем не менее он по-прежнему обеспокоен сообщениями о неэффективном осуществлении этих мер и негативном воздействии горнодобывающей промышленности и разработки карьеров на окружающую среду, а также на доступ к земле, достаточному питанию, воде и достаточному уровню жизни и на здоровье затронутых общин (ст. 11).</w:t>
      </w:r>
    </w:p>
    <w:p w14:paraId="5C6F9040" w14:textId="71A278B0" w:rsidR="00880DBB" w:rsidRPr="007F18E7" w:rsidRDefault="00880DBB" w:rsidP="00880DBB">
      <w:pPr>
        <w:pStyle w:val="SingleTxtG"/>
        <w:rPr>
          <w:b/>
        </w:rPr>
      </w:pPr>
      <w:r>
        <w:t>39.</w:t>
      </w:r>
      <w:r>
        <w:tab/>
      </w:r>
      <w:r>
        <w:rPr>
          <w:b/>
          <w:bCs/>
        </w:rPr>
        <w:t>Комитет напоминает о рекомендации, содержащейся в его предыдущих заключительных замечаниях</w:t>
      </w:r>
      <w:r w:rsidRPr="00925AA7">
        <w:rPr>
          <w:rStyle w:val="a8"/>
        </w:rPr>
        <w:footnoteReference w:id="16"/>
      </w:r>
      <w:r>
        <w:rPr>
          <w:b/>
          <w:bCs/>
        </w:rPr>
        <w:t>, и рекомендует государству-участнику:</w:t>
      </w:r>
    </w:p>
    <w:p w14:paraId="3EFDC74F" w14:textId="77777777" w:rsidR="00880DBB" w:rsidRPr="007F18E7" w:rsidRDefault="00880DBB" w:rsidP="00880DBB">
      <w:pPr>
        <w:pStyle w:val="SingleTxtG"/>
        <w:ind w:firstLine="567"/>
        <w:rPr>
          <w:b/>
          <w:bCs/>
        </w:rPr>
      </w:pPr>
      <w:r>
        <w:rPr>
          <w:b/>
          <w:bCs/>
        </w:rPr>
        <w:t>a)</w:t>
      </w:r>
      <w:r>
        <w:tab/>
      </w:r>
      <w:r>
        <w:rPr>
          <w:b/>
          <w:bCs/>
        </w:rPr>
        <w:t>обеспечить, чтобы исследования воздействия на экономические, социальные и культурные права и на окружающую среду проводились прозрачным и систематическим образом до реализации экономических проектов по освоению и эксплуатации природных ресурсов, в частности горнодобывающей промышленности и разработки картеров;</w:t>
      </w:r>
    </w:p>
    <w:p w14:paraId="28D3F64C" w14:textId="77777777" w:rsidR="00880DBB" w:rsidRPr="007F18E7" w:rsidRDefault="00880DBB" w:rsidP="00880DBB">
      <w:pPr>
        <w:pStyle w:val="SingleTxtG"/>
        <w:ind w:firstLine="567"/>
        <w:rPr>
          <w:b/>
        </w:rPr>
      </w:pPr>
      <w:r>
        <w:rPr>
          <w:b/>
          <w:bCs/>
        </w:rPr>
        <w:t>b)</w:t>
      </w:r>
      <w:r>
        <w:tab/>
      </w:r>
      <w:r>
        <w:rPr>
          <w:b/>
          <w:bCs/>
        </w:rPr>
        <w:t xml:space="preserve">принять необходимые меры для обеспечения того, чтобы с общинами, затрагиваемыми деятельностью, связанной с экономическим развитием и эксплуатацией природных ресурсов, проводились свободные, предварительные и информированные консультации, чтобы им </w:t>
      </w:r>
      <w:r>
        <w:rPr>
          <w:b/>
          <w:bCs/>
        </w:rPr>
        <w:lastRenderedPageBreak/>
        <w:t>предоставлялась компенсация за причиненный ущерб или понесенные потери и чтобы они получали реальные выгоды от этой деятельности;</w:t>
      </w:r>
    </w:p>
    <w:p w14:paraId="669C77DB" w14:textId="77777777" w:rsidR="00880DBB" w:rsidRPr="007F18E7" w:rsidRDefault="00880DBB" w:rsidP="00880DBB">
      <w:pPr>
        <w:pStyle w:val="SingleTxtG"/>
        <w:ind w:firstLine="567"/>
        <w:rPr>
          <w:b/>
        </w:rPr>
      </w:pPr>
      <w:r>
        <w:rPr>
          <w:b/>
          <w:bCs/>
        </w:rPr>
        <w:t>c)</w:t>
      </w:r>
      <w:r>
        <w:tab/>
      </w:r>
      <w:r>
        <w:rPr>
          <w:b/>
          <w:bCs/>
        </w:rPr>
        <w:t>принять меры по исправлению положения для устранения рисков для окружающей среды и здоровья, создаваемых проектами экономического развития и разработкой природных ресурсов, в частности горнодобывающей промышленностью.</w:t>
      </w:r>
    </w:p>
    <w:p w14:paraId="1BAEF9E2" w14:textId="77777777" w:rsidR="00880DBB" w:rsidRPr="007F18E7" w:rsidRDefault="00880DBB" w:rsidP="00880DBB">
      <w:pPr>
        <w:pStyle w:val="H23G"/>
        <w:rPr>
          <w:bCs/>
        </w:rPr>
      </w:pPr>
      <w:r>
        <w:tab/>
      </w:r>
      <w:r>
        <w:tab/>
      </w:r>
      <w:r>
        <w:rPr>
          <w:bCs/>
        </w:rPr>
        <w:t>Адаптация к изменению климата</w:t>
      </w:r>
    </w:p>
    <w:p w14:paraId="22B5071B" w14:textId="77777777" w:rsidR="00880DBB" w:rsidRPr="007F18E7" w:rsidRDefault="00880DBB" w:rsidP="00880DBB">
      <w:pPr>
        <w:pStyle w:val="SingleTxtG"/>
      </w:pPr>
      <w:r>
        <w:t>40.</w:t>
      </w:r>
      <w:r>
        <w:tab/>
        <w:t>Комитет обеспокоен отсутствием национального плана адаптации к изменению климата и тем, что экологические последствия изменения климата, включая засухи, оказывают значительное влияние на осуществление экономических, социальных и культурных прав в государстве-участнике (ст. 11).</w:t>
      </w:r>
    </w:p>
    <w:p w14:paraId="15DE4C89" w14:textId="77777777" w:rsidR="00880DBB" w:rsidRPr="007F18E7" w:rsidRDefault="00880DBB" w:rsidP="00880DBB">
      <w:pPr>
        <w:pStyle w:val="SingleTxtG"/>
      </w:pPr>
      <w:r>
        <w:t>41.</w:t>
      </w:r>
      <w:r>
        <w:tab/>
      </w:r>
      <w:r>
        <w:rPr>
          <w:b/>
          <w:bCs/>
        </w:rPr>
        <w:t>Комитет рекомендует государству-участнику удвоить усилия для продвижения вперед в процессе разработки и реализации плана адаптации к изменению климата и принять все меры по адаптации, необходимые для защиты окружающей среды и решения проблемы деградации окружающей среды с учетом ее последствий для экономических, социальных и культурных прав.</w:t>
      </w:r>
    </w:p>
    <w:p w14:paraId="0C2AE051" w14:textId="77777777" w:rsidR="00880DBB" w:rsidRPr="007F18E7" w:rsidRDefault="00880DBB" w:rsidP="00880DBB">
      <w:pPr>
        <w:pStyle w:val="H23G"/>
      </w:pPr>
      <w:r>
        <w:tab/>
      </w:r>
      <w:r>
        <w:tab/>
      </w:r>
      <w:r>
        <w:rPr>
          <w:bCs/>
        </w:rPr>
        <w:t>Право на питание</w:t>
      </w:r>
    </w:p>
    <w:p w14:paraId="63EC2DE9" w14:textId="00FCE064" w:rsidR="00880DBB" w:rsidRPr="007F18E7" w:rsidRDefault="00880DBB" w:rsidP="00880DBB">
      <w:pPr>
        <w:pStyle w:val="SingleTxtG"/>
      </w:pPr>
      <w:r>
        <w:t>42.</w:t>
      </w:r>
      <w:r>
        <w:tab/>
        <w:t xml:space="preserve">Комитет с обеспокоенностью отмечает, что большое число людей по-прежнему сталкивается с проблемой отсутствия продовольственной безопасности, особенно в сельских районах. Несмотря на усилия, предпринимаемые государством-участником, в стране отмечается высокая распространенность недостаточности питания, особенно среди детей и наиболее обездоленных и маргинализированных групп населения </w:t>
      </w:r>
      <w:r w:rsidR="00D932A4">
        <w:br/>
      </w:r>
      <w:r>
        <w:t>(ст. 11).</w:t>
      </w:r>
    </w:p>
    <w:p w14:paraId="76AA1D1B" w14:textId="77777777" w:rsidR="00880DBB" w:rsidRPr="007F18E7" w:rsidRDefault="00880DBB" w:rsidP="00880DBB">
      <w:pPr>
        <w:pStyle w:val="SingleTxtG"/>
        <w:rPr>
          <w:b/>
          <w:bCs/>
          <w:color w:val="000000"/>
        </w:rPr>
      </w:pPr>
      <w:r>
        <w:t>43.</w:t>
      </w:r>
      <w:r>
        <w:tab/>
      </w:r>
      <w:r>
        <w:rPr>
          <w:b/>
          <w:bCs/>
        </w:rPr>
        <w:t>Комитет рекомендует государству-участнику:</w:t>
      </w:r>
    </w:p>
    <w:p w14:paraId="772B905D" w14:textId="2956958B" w:rsidR="00880DBB" w:rsidRPr="007F18E7" w:rsidRDefault="00880DBB" w:rsidP="00880DBB">
      <w:pPr>
        <w:pStyle w:val="SingleTxtG"/>
        <w:ind w:firstLine="567"/>
        <w:rPr>
          <w:b/>
          <w:bCs/>
          <w:color w:val="000000"/>
        </w:rPr>
      </w:pPr>
      <w:r>
        <w:rPr>
          <w:b/>
          <w:bCs/>
        </w:rPr>
        <w:t>a)</w:t>
      </w:r>
      <w:r>
        <w:tab/>
      </w:r>
      <w:r>
        <w:rPr>
          <w:b/>
          <w:bCs/>
        </w:rPr>
        <w:t>принять законодательную и институциональную базу и комплексную стратегию для обеспечения права на достаточное питание и борьбы с отсутствием продовольственной безопасности и недостаточностью питания, в частности для детей в возрасте до 5 лет, беременных и кормящих женщин и жителей сельских районов, и обратиться за технической поддержкой в этом отношении к группе по праву на питание Продовольственной и сельскохозяйственной организации Объединенных Наций;</w:t>
      </w:r>
    </w:p>
    <w:p w14:paraId="5D4E2DDA" w14:textId="77777777" w:rsidR="00880DBB" w:rsidRPr="007F18E7" w:rsidRDefault="00880DBB" w:rsidP="00880DBB">
      <w:pPr>
        <w:pStyle w:val="SingleTxtG"/>
        <w:ind w:firstLine="567"/>
        <w:rPr>
          <w:b/>
          <w:bCs/>
          <w:color w:val="000000"/>
        </w:rPr>
      </w:pPr>
      <w:r>
        <w:rPr>
          <w:b/>
          <w:bCs/>
        </w:rPr>
        <w:t>b)</w:t>
      </w:r>
      <w:r>
        <w:tab/>
      </w:r>
      <w:r>
        <w:rPr>
          <w:b/>
          <w:bCs/>
        </w:rPr>
        <w:t>активизировать усилия, направленные на повышение производительности хозяйств мелких фермеров, путем расширения их доступа к соответствующим технологиям и местным рынкам в целях повышения доходов в сельских районах;</w:t>
      </w:r>
    </w:p>
    <w:p w14:paraId="1B41FDF5" w14:textId="77777777" w:rsidR="00880DBB" w:rsidRPr="007F18E7" w:rsidRDefault="00880DBB" w:rsidP="00880DBB">
      <w:pPr>
        <w:pStyle w:val="SingleTxtG"/>
        <w:ind w:firstLine="567"/>
        <w:rPr>
          <w:b/>
          <w:bCs/>
          <w:color w:val="000000"/>
        </w:rPr>
      </w:pPr>
      <w:r>
        <w:rPr>
          <w:b/>
          <w:bCs/>
        </w:rPr>
        <w:t>c)</w:t>
      </w:r>
      <w:r>
        <w:tab/>
      </w:r>
      <w:r>
        <w:rPr>
          <w:b/>
          <w:bCs/>
        </w:rPr>
        <w:t>обратить внимание в этом отношении на принятое Комитетом замечание общего порядка № 12 (1999) о праве на достаточное питание и на Добровольные руководящие принципы в поддержку постепенного осуществления права на достаточное питание в контексте национальной продовольственной безопасности, принятые в 2004 году Советом Продовольственной и сельскохозяйственной организации Объединенных Наций.</w:t>
      </w:r>
    </w:p>
    <w:p w14:paraId="4DB859D9" w14:textId="77777777" w:rsidR="00880DBB" w:rsidRPr="007F18E7" w:rsidRDefault="00880DBB" w:rsidP="00880DBB">
      <w:pPr>
        <w:pStyle w:val="H23G"/>
        <w:rPr>
          <w:bCs/>
        </w:rPr>
      </w:pPr>
      <w:r>
        <w:tab/>
      </w:r>
      <w:r>
        <w:tab/>
      </w:r>
      <w:r>
        <w:rPr>
          <w:bCs/>
        </w:rPr>
        <w:t>Доступ к земле</w:t>
      </w:r>
    </w:p>
    <w:p w14:paraId="345BBC5D" w14:textId="77777777" w:rsidR="00880DBB" w:rsidRPr="007F18E7" w:rsidRDefault="00880DBB" w:rsidP="00880DBB">
      <w:pPr>
        <w:pStyle w:val="SingleTxtG"/>
      </w:pPr>
      <w:r>
        <w:t>44.</w:t>
      </w:r>
      <w:r>
        <w:tab/>
        <w:t>Комитет обеспокоен конфликтами по поводу доступа к земле, возникающими из-за существующей системы землевладения. Он также обеспокоен трудностями, с которыми сталкиваются наиболее обездоленные и маргинализированные группы населения при получении доступа к земле, в частности жертвы нерешенных гуманитарных вопросов, вернувшиеся в страну, а также жертвы рабства и женщины (ст. 11).</w:t>
      </w:r>
    </w:p>
    <w:p w14:paraId="3E561028" w14:textId="77777777" w:rsidR="00880DBB" w:rsidRPr="007F18E7" w:rsidRDefault="00880DBB" w:rsidP="00880DBB">
      <w:pPr>
        <w:pStyle w:val="SingleTxtG"/>
        <w:rPr>
          <w:b/>
          <w:bCs/>
        </w:rPr>
      </w:pPr>
      <w:r>
        <w:t>45.</w:t>
      </w:r>
      <w:r>
        <w:tab/>
      </w:r>
      <w:r>
        <w:rPr>
          <w:b/>
          <w:bCs/>
        </w:rPr>
        <w:t xml:space="preserve">Комитет рекомендует государству-участнику продолжить реформу земельного сектора с целью принятия мер, направленных на рациональное использование земли и преодоление существующей дискриминационной </w:t>
      </w:r>
      <w:r>
        <w:rPr>
          <w:b/>
          <w:bCs/>
        </w:rPr>
        <w:lastRenderedPageBreak/>
        <w:t>практики, особенно в отношении жертв нерешенных гуманитарных вопросов, жертв рабства и женщин.</w:t>
      </w:r>
      <w:r>
        <w:t xml:space="preserve"> </w:t>
      </w:r>
      <w:r>
        <w:rPr>
          <w:b/>
          <w:bCs/>
        </w:rPr>
        <w:t>В рамках этой реформы Комитет настоятельно призывает государство-участник провести широкие и транспарентные консультации с общинами и отдельными лицами, затронутыми земельными спорами и проблемами конфискации и выселения, включая жертв нерешенных гуманитарных вопросов и жертв рабства, и обратить внимание в этой связи на принятое Комитетом замечание общего порядка № 26 (2022) о земле и экономических, социальных и культурных правах.</w:t>
      </w:r>
    </w:p>
    <w:p w14:paraId="06B6963E" w14:textId="77777777" w:rsidR="00880DBB" w:rsidRPr="007F18E7" w:rsidRDefault="00880DBB" w:rsidP="00880DBB">
      <w:pPr>
        <w:pStyle w:val="H23G"/>
        <w:rPr>
          <w:bCs/>
        </w:rPr>
      </w:pPr>
      <w:r>
        <w:tab/>
      </w:r>
      <w:r>
        <w:tab/>
      </w:r>
      <w:r>
        <w:rPr>
          <w:bCs/>
        </w:rPr>
        <w:t>Право на доступ к безопасной питьевой воде и санитарии</w:t>
      </w:r>
    </w:p>
    <w:p w14:paraId="25AE757B" w14:textId="77777777" w:rsidR="00880DBB" w:rsidRPr="007F18E7" w:rsidRDefault="00880DBB" w:rsidP="00880DBB">
      <w:pPr>
        <w:pStyle w:val="SingleTxtG"/>
      </w:pPr>
      <w:r>
        <w:t>46.</w:t>
      </w:r>
      <w:r>
        <w:tab/>
        <w:t>Несмотря на усилия, предпринятые государством-участником, Комитет обеспокоен тем, что снабжение безопасной питьевой водой и санитарными удобствами остается ограниченным, особенно в сельских районах. Он с обеспокоенностью отмечает сообщения о том, что значительное число центров здравоохранения и школ не имеют доступа к безопасной питьевой воде и санитарии (ст. 11).</w:t>
      </w:r>
    </w:p>
    <w:p w14:paraId="30DDC8ED" w14:textId="79B3C34E" w:rsidR="00880DBB" w:rsidRPr="007F18E7" w:rsidRDefault="00880DBB" w:rsidP="00880DBB">
      <w:pPr>
        <w:pStyle w:val="SingleTxtG"/>
        <w:rPr>
          <w:b/>
          <w:bCs/>
        </w:rPr>
      </w:pPr>
      <w:r>
        <w:t>47.</w:t>
      </w:r>
      <w:r>
        <w:tab/>
      </w:r>
      <w:r>
        <w:rPr>
          <w:b/>
          <w:bCs/>
        </w:rPr>
        <w:t>Комитет настоятельно призывает государство-участник удвоить усилия по обеспечению того, чтобы все население, в частности наиболее маргинализированные и обездоленные группы и лица, проживающие в сельских и отдаленных районах, имели доступ к безопасной питьевой воде и услугам санитарии, включая надлежащее предоставление таких услуг в центрах здравоохранения и школах.</w:t>
      </w:r>
      <w:r>
        <w:t xml:space="preserve"> </w:t>
      </w:r>
      <w:r>
        <w:rPr>
          <w:b/>
          <w:bCs/>
        </w:rPr>
        <w:t>Он также рекомендует государству-участнику обеспечить надлежащую защиту своих водных ресурсов, в том числе путем принятия закона о праве на воду и санитарию, который бы: a) признавал право на доступ к безопасной питьевой воде и право на санитарию в качестве прав человека, которые должны быть гарантированы без дискриминации;</w:t>
      </w:r>
      <w:r>
        <w:t xml:space="preserve"> </w:t>
      </w:r>
      <w:r w:rsidR="00D932A4">
        <w:br/>
      </w:r>
      <w:r>
        <w:rPr>
          <w:b/>
          <w:bCs/>
        </w:rPr>
        <w:t>b) предусматривал устранение негативных последствий экономической деятельности и эксплуатации природных ресурсов, а также последствий изменения климата;</w:t>
      </w:r>
      <w:r>
        <w:t xml:space="preserve"> </w:t>
      </w:r>
      <w:r>
        <w:rPr>
          <w:b/>
          <w:bCs/>
        </w:rPr>
        <w:t>c) определял санкции и штрафы для компаний, которые в рамках своей деятельности загрязняют водные ресурсы;</w:t>
      </w:r>
      <w:r>
        <w:t xml:space="preserve"> </w:t>
      </w:r>
      <w:r>
        <w:rPr>
          <w:b/>
          <w:bCs/>
        </w:rPr>
        <w:t>и d) предусматривал создание надлежащей и устойчивой системы обработки и очистки сточных вод.</w:t>
      </w:r>
      <w:r>
        <w:t xml:space="preserve"> </w:t>
      </w:r>
      <w:r>
        <w:rPr>
          <w:b/>
          <w:bCs/>
        </w:rPr>
        <w:t>Комитет предлагает государству-участнику обеспечить, чтобы этот закон был разработан в консультации со всеми заинтересованными социальными субъектами, и обратить внимание в этой связи на принятое Комитетом замечание общего порядка № 15 (2002) о праве на воду.</w:t>
      </w:r>
    </w:p>
    <w:p w14:paraId="4771EC63" w14:textId="77777777" w:rsidR="00880DBB" w:rsidRPr="007F18E7" w:rsidRDefault="00880DBB" w:rsidP="00880DBB">
      <w:pPr>
        <w:pStyle w:val="H23G"/>
      </w:pPr>
      <w:r>
        <w:tab/>
      </w:r>
      <w:r>
        <w:tab/>
      </w:r>
      <w:r>
        <w:rPr>
          <w:bCs/>
        </w:rPr>
        <w:t>Право на физическое и психическое здоровье</w:t>
      </w:r>
    </w:p>
    <w:p w14:paraId="788665F5" w14:textId="77777777" w:rsidR="00880DBB" w:rsidRPr="007F18E7" w:rsidRDefault="00880DBB" w:rsidP="00880DBB">
      <w:pPr>
        <w:pStyle w:val="SingleTxtG"/>
      </w:pPr>
      <w:r>
        <w:t>48.</w:t>
      </w:r>
      <w:r>
        <w:tab/>
        <w:t>Комитет обеспокоен тем, что доступ к услугам в области физического и психического здоровья в государстве-участнике, а также их наличие и качество остаются ограниченными, в частности из-за по-прежнему ограниченного доступа к Фонду медико-социальных мероприятий, отсутствия инфраструктуры и надлежащего медицинского оборудования, а также нехватки квалифицированного медицинского персонала. Комитет также с обеспокоенностью отмечает ограниченный доступ к качественным лекарствам (ст. 12).</w:t>
      </w:r>
    </w:p>
    <w:p w14:paraId="57025998" w14:textId="77777777" w:rsidR="00880DBB" w:rsidRPr="007F18E7" w:rsidRDefault="00880DBB" w:rsidP="00880DBB">
      <w:pPr>
        <w:pStyle w:val="SingleTxtG"/>
        <w:rPr>
          <w:b/>
        </w:rPr>
      </w:pPr>
      <w:r>
        <w:t>49.</w:t>
      </w:r>
      <w:r>
        <w:tab/>
      </w:r>
      <w:r>
        <w:rPr>
          <w:b/>
          <w:bCs/>
        </w:rPr>
        <w:t>Комитет рекомендует государству-участнику:</w:t>
      </w:r>
    </w:p>
    <w:p w14:paraId="10340426" w14:textId="77777777" w:rsidR="00880DBB" w:rsidRPr="007F18E7" w:rsidRDefault="00880DBB" w:rsidP="00880DBB">
      <w:pPr>
        <w:pStyle w:val="SingleTxtG"/>
        <w:ind w:firstLine="567"/>
        <w:rPr>
          <w:b/>
          <w:bCs/>
          <w:color w:val="000000"/>
        </w:rPr>
      </w:pPr>
      <w:r>
        <w:rPr>
          <w:b/>
          <w:bCs/>
        </w:rPr>
        <w:t>a)</w:t>
      </w:r>
      <w:r>
        <w:tab/>
      </w:r>
      <w:r>
        <w:rPr>
          <w:b/>
          <w:bCs/>
        </w:rPr>
        <w:t>выделить достаточные ресурсы на сектор здравоохранения и укрепить национальную систему доступа к медицинской помощи и качественным основным лекарственным средствам, известную под названием «Муяссар»;</w:t>
      </w:r>
    </w:p>
    <w:p w14:paraId="368FD6CF" w14:textId="77777777" w:rsidR="00880DBB" w:rsidRPr="007F18E7" w:rsidRDefault="00880DBB" w:rsidP="00880DBB">
      <w:pPr>
        <w:pStyle w:val="SingleTxtG"/>
        <w:ind w:firstLine="567"/>
        <w:rPr>
          <w:b/>
          <w:bCs/>
          <w:color w:val="000000"/>
        </w:rPr>
      </w:pPr>
      <w:r>
        <w:rPr>
          <w:b/>
          <w:bCs/>
        </w:rPr>
        <w:t>b)</w:t>
      </w:r>
      <w:r>
        <w:tab/>
      </w:r>
      <w:r>
        <w:rPr>
          <w:b/>
          <w:bCs/>
        </w:rPr>
        <w:t>обеспечить доступность, наличие и качество медицинской помощи во всех регионах, в том числе за счет совершенствования инфраструктуры системы первичной медико-санитарной помощи, а также обеспечить наличие в больницах медицинского персонала, инфраструктуры и надлежащего медицинского оборудования в достаточном количестве, а также регулярные поставки медикаментов;</w:t>
      </w:r>
    </w:p>
    <w:p w14:paraId="47309519" w14:textId="5D15A4BE" w:rsidR="00880DBB" w:rsidRPr="007F18E7" w:rsidRDefault="00880DBB" w:rsidP="00880DBB">
      <w:pPr>
        <w:pStyle w:val="SingleTxtG"/>
        <w:ind w:firstLine="567"/>
        <w:rPr>
          <w:b/>
          <w:bCs/>
          <w:color w:val="000000"/>
        </w:rPr>
      </w:pPr>
      <w:r>
        <w:rPr>
          <w:b/>
          <w:bCs/>
        </w:rPr>
        <w:lastRenderedPageBreak/>
        <w:t>c)</w:t>
      </w:r>
      <w:r>
        <w:tab/>
      </w:r>
      <w:r>
        <w:rPr>
          <w:b/>
          <w:bCs/>
        </w:rPr>
        <w:t xml:space="preserve">принять все необходимые бюджетные и административные меры, в том числе по линии Национального фонда социального обеспечения, для увеличения охвата Фондом медико-социальных мероприятий 70 </w:t>
      </w:r>
      <w:r w:rsidR="00D932A4" w:rsidRPr="00D932A4">
        <w:rPr>
          <w:b/>
          <w:bCs/>
        </w:rPr>
        <w:t>%</w:t>
      </w:r>
      <w:r>
        <w:rPr>
          <w:b/>
          <w:bCs/>
        </w:rPr>
        <w:t xml:space="preserve"> населения, не имеющих в настоящее время доступа к нему;</w:t>
      </w:r>
    </w:p>
    <w:p w14:paraId="2DD4A804" w14:textId="77777777" w:rsidR="00880DBB" w:rsidRPr="007F18E7" w:rsidRDefault="00880DBB" w:rsidP="00880DBB">
      <w:pPr>
        <w:pStyle w:val="SingleTxtG"/>
        <w:ind w:firstLine="567"/>
        <w:rPr>
          <w:b/>
        </w:rPr>
      </w:pPr>
      <w:r>
        <w:rPr>
          <w:b/>
          <w:bCs/>
        </w:rPr>
        <w:t>d)</w:t>
      </w:r>
      <w:r>
        <w:tab/>
      </w:r>
      <w:r>
        <w:rPr>
          <w:b/>
          <w:bCs/>
        </w:rPr>
        <w:t>принять законодательство и общую политику в области здравоохранения, включая психическое здоровье, обеспечить предоставление услуг в области психического здоровья, в том числе на уровне общин, и увеличить число специалистов, работающих в этой области;</w:t>
      </w:r>
    </w:p>
    <w:p w14:paraId="523E6350" w14:textId="77777777" w:rsidR="00880DBB" w:rsidRPr="007F18E7" w:rsidRDefault="00880DBB" w:rsidP="00880DBB">
      <w:pPr>
        <w:pStyle w:val="SingleTxtG"/>
        <w:ind w:firstLine="567"/>
        <w:rPr>
          <w:b/>
          <w:bCs/>
        </w:rPr>
      </w:pPr>
      <w:r>
        <w:rPr>
          <w:b/>
          <w:bCs/>
        </w:rPr>
        <w:t>e)</w:t>
      </w:r>
      <w:r>
        <w:tab/>
      </w:r>
      <w:r>
        <w:rPr>
          <w:b/>
          <w:bCs/>
        </w:rPr>
        <w:t>обратить внимание в этой связи на принятое Комитетом замечание общего порядка № 14 (2000) о праве на наивысший достижимый уровень здоровья.</w:t>
      </w:r>
    </w:p>
    <w:p w14:paraId="3E74E74D" w14:textId="77777777" w:rsidR="00880DBB" w:rsidRPr="007F18E7" w:rsidRDefault="00880DBB" w:rsidP="00880DBB">
      <w:pPr>
        <w:pStyle w:val="H23G"/>
      </w:pPr>
      <w:r>
        <w:tab/>
      </w:r>
      <w:r>
        <w:tab/>
      </w:r>
      <w:r>
        <w:rPr>
          <w:bCs/>
        </w:rPr>
        <w:t>Сексуальное и репродуктивное здоровье</w:t>
      </w:r>
    </w:p>
    <w:p w14:paraId="25DA5CC0" w14:textId="225DFFF8" w:rsidR="00880DBB" w:rsidRPr="007F18E7" w:rsidRDefault="00880DBB" w:rsidP="00880DBB">
      <w:pPr>
        <w:pStyle w:val="SingleTxtG"/>
      </w:pPr>
      <w:r>
        <w:t>50.</w:t>
      </w:r>
      <w:r>
        <w:tab/>
        <w:t xml:space="preserve">Комитет с обеспокоенностью отмечает ограниченный доступ к медико-санитарному обслуживанию и информации в области охраны сексуального и репродуктивного здоровья, включая доступ к противозачаточным средствам. Он также обеспокоен тем, что добровольное прерывание беременности разрешено только в очень ограниченных обстоятельствах. Комитет с обеспокоенностью отмечает, что, несмотря на снижение показателя материнской смертности, он остается высоким </w:t>
      </w:r>
      <w:r w:rsidR="00D932A4">
        <w:br/>
      </w:r>
      <w:r>
        <w:t>(ст. 12).</w:t>
      </w:r>
    </w:p>
    <w:p w14:paraId="4524FB2E" w14:textId="77777777" w:rsidR="00880DBB" w:rsidRPr="007F18E7" w:rsidRDefault="00880DBB" w:rsidP="00880DBB">
      <w:pPr>
        <w:pStyle w:val="SingleTxtG"/>
        <w:rPr>
          <w:b/>
          <w:bCs/>
        </w:rPr>
      </w:pPr>
      <w:r>
        <w:t>51.</w:t>
      </w:r>
      <w:r>
        <w:tab/>
      </w:r>
      <w:r>
        <w:rPr>
          <w:b/>
          <w:bCs/>
        </w:rPr>
        <w:t>Комитет рекомендует государству-участнику:</w:t>
      </w:r>
    </w:p>
    <w:p w14:paraId="36C4EDDA" w14:textId="052F71F0" w:rsidR="00880DBB" w:rsidRPr="007F18E7" w:rsidRDefault="00880DBB" w:rsidP="00880DBB">
      <w:pPr>
        <w:pStyle w:val="SingleTxtG"/>
        <w:ind w:firstLine="567"/>
      </w:pPr>
      <w:r>
        <w:rPr>
          <w:b/>
          <w:bCs/>
        </w:rPr>
        <w:t>a)</w:t>
      </w:r>
      <w:r>
        <w:tab/>
      </w:r>
      <w:r>
        <w:rPr>
          <w:b/>
          <w:bCs/>
        </w:rPr>
        <w:t>пересмотреть свое уголовное законодательство, запрещающее аборты, с тем чтобы привести его в соответствие с правами женщин, расширить круг обстоятельств, при которых разрешается делать легальный аборт, и устранить ограничительные требования, которые могли бы ограничить доступ к нему, и принять во внимание в этой связи принятое Всемирной организацией здравоохранения Руководство по уходу при прерывании беременности</w:t>
      </w:r>
      <w:r w:rsidRPr="00925AA7">
        <w:rPr>
          <w:rStyle w:val="a8"/>
        </w:rPr>
        <w:footnoteReference w:id="17"/>
      </w:r>
      <w:r>
        <w:rPr>
          <w:b/>
          <w:bCs/>
        </w:rPr>
        <w:t>;</w:t>
      </w:r>
    </w:p>
    <w:p w14:paraId="3BE58B61" w14:textId="77777777" w:rsidR="00880DBB" w:rsidRPr="007F18E7" w:rsidRDefault="00880DBB" w:rsidP="00880DBB">
      <w:pPr>
        <w:pStyle w:val="SingleTxtG"/>
        <w:ind w:firstLine="567"/>
        <w:rPr>
          <w:b/>
        </w:rPr>
      </w:pPr>
      <w:r>
        <w:rPr>
          <w:b/>
          <w:bCs/>
        </w:rPr>
        <w:t>b)</w:t>
      </w:r>
      <w:r>
        <w:tab/>
      </w:r>
      <w:r>
        <w:rPr>
          <w:b/>
          <w:bCs/>
        </w:rPr>
        <w:t>обеспечить доступность и наличие надлежащих, качественных услуг и информации по охране сексуального и репродуктивного здоровья, включая доступ к методам контрацепции, в том числе к средствам экстренной контрацепции, а также доступ к дородовому и послеродовому уходу для всех женщин и девочек-подростков в государстве-участнике, особенно в сельских и отдаленных районах;</w:t>
      </w:r>
    </w:p>
    <w:p w14:paraId="7020D124" w14:textId="237B7773" w:rsidR="00880DBB" w:rsidRPr="001623B6" w:rsidRDefault="00880DBB" w:rsidP="00880DBB">
      <w:pPr>
        <w:pStyle w:val="SingleTxtG"/>
        <w:ind w:firstLine="567"/>
        <w:rPr>
          <w:b/>
        </w:rPr>
      </w:pPr>
      <w:r>
        <w:rPr>
          <w:b/>
          <w:bCs/>
        </w:rPr>
        <w:t>c)</w:t>
      </w:r>
      <w:r>
        <w:tab/>
      </w:r>
      <w:r>
        <w:rPr>
          <w:b/>
          <w:bCs/>
        </w:rPr>
        <w:t xml:space="preserve">принять необходимые законодательные и административные меры в целях предупреждения материнской смертности и заболеваемости, взяв за основу техническое руководство Управления Верховного комиссара Организации Объединенных Наций по правам человека по вопросам применения правозащитного подхода при осуществлении политики и программ, направленных на сокращение масштабов предотвратимой материнской заболеваемости и смертности, опубликованное </w:t>
      </w:r>
      <w:r w:rsidR="00D932A4">
        <w:rPr>
          <w:b/>
          <w:bCs/>
        </w:rPr>
        <w:t>Управлением</w:t>
      </w:r>
      <w:r>
        <w:rPr>
          <w:b/>
          <w:bCs/>
        </w:rPr>
        <w:t xml:space="preserve"> Верховного комиссара Организации Объединенных Наций по правам человека</w:t>
      </w:r>
      <w:r w:rsidRPr="00925AA7">
        <w:rPr>
          <w:rStyle w:val="a8"/>
        </w:rPr>
        <w:footnoteReference w:id="18"/>
      </w:r>
      <w:r w:rsidR="001623B6" w:rsidRPr="001623B6">
        <w:rPr>
          <w:b/>
          <w:bCs/>
        </w:rPr>
        <w:t>;</w:t>
      </w:r>
    </w:p>
    <w:p w14:paraId="3604482B" w14:textId="77777777" w:rsidR="00880DBB" w:rsidRPr="007F18E7" w:rsidRDefault="00880DBB" w:rsidP="00880DBB">
      <w:pPr>
        <w:pStyle w:val="SingleTxtG"/>
        <w:ind w:firstLine="567"/>
        <w:rPr>
          <w:b/>
          <w:bCs/>
        </w:rPr>
      </w:pPr>
      <w:r>
        <w:rPr>
          <w:b/>
          <w:bCs/>
        </w:rPr>
        <w:t>d)</w:t>
      </w:r>
      <w:r>
        <w:tab/>
      </w:r>
      <w:r>
        <w:rPr>
          <w:b/>
          <w:bCs/>
        </w:rPr>
        <w:t>обратить внимание в этой связи на принятое Комитетом замечание общего порядка № 22 (2016) о праве на сексуальное и репродуктивное здоровье.</w:t>
      </w:r>
    </w:p>
    <w:p w14:paraId="5D515749" w14:textId="77777777" w:rsidR="00880DBB" w:rsidRPr="007F18E7" w:rsidRDefault="00880DBB" w:rsidP="00880DBB">
      <w:pPr>
        <w:pStyle w:val="H23G"/>
        <w:rPr>
          <w:bCs/>
        </w:rPr>
      </w:pPr>
      <w:r>
        <w:tab/>
      </w:r>
      <w:r>
        <w:tab/>
      </w:r>
      <w:r>
        <w:rPr>
          <w:bCs/>
        </w:rPr>
        <w:t>Политика в отношении наркотиков</w:t>
      </w:r>
    </w:p>
    <w:p w14:paraId="148E782B" w14:textId="77777777" w:rsidR="00880DBB" w:rsidRPr="007F18E7" w:rsidRDefault="00880DBB" w:rsidP="00880DBB">
      <w:pPr>
        <w:pStyle w:val="SingleTxtG"/>
      </w:pPr>
      <w:r>
        <w:t>52.</w:t>
      </w:r>
      <w:r>
        <w:tab/>
        <w:t>Комитет с обеспокоенностью отмечает, что государство-участник криминализирует употребление наркотиков, что негативно сказывается на правах их потребителей (ст. 12).</w:t>
      </w:r>
    </w:p>
    <w:p w14:paraId="38A4CBA2" w14:textId="77777777" w:rsidR="00880DBB" w:rsidRPr="007F18E7" w:rsidRDefault="00880DBB" w:rsidP="00880DBB">
      <w:pPr>
        <w:pStyle w:val="SingleTxtG"/>
        <w:rPr>
          <w:b/>
          <w:bCs/>
        </w:rPr>
      </w:pPr>
      <w:r>
        <w:t>53.</w:t>
      </w:r>
      <w:r>
        <w:tab/>
      </w:r>
      <w:r>
        <w:rPr>
          <w:b/>
          <w:bCs/>
        </w:rPr>
        <w:t xml:space="preserve">Комитет рекомендует государству-участнику пересмотреть свое законодательство, устанавливающее уголовную ответственность за </w:t>
      </w:r>
      <w:r>
        <w:rPr>
          <w:b/>
          <w:bCs/>
        </w:rPr>
        <w:lastRenderedPageBreak/>
        <w:t>употребление наркотиков, включая смертную казнь за некоторые случаи повторных преступлений, связанных с наркотиками, и предусмотреть для людей, употребляющих наркотики или другие психоактивные вещества, услуги по снижению риска, которые были бы доступны на всей территории государства-участника.</w:t>
      </w:r>
    </w:p>
    <w:p w14:paraId="2524E0AB" w14:textId="77777777" w:rsidR="00880DBB" w:rsidRPr="007F18E7" w:rsidRDefault="00880DBB" w:rsidP="00880DBB">
      <w:pPr>
        <w:pStyle w:val="H23G"/>
        <w:rPr>
          <w:bCs/>
        </w:rPr>
      </w:pPr>
      <w:r>
        <w:tab/>
      </w:r>
      <w:r>
        <w:tab/>
      </w:r>
      <w:r>
        <w:rPr>
          <w:bCs/>
        </w:rPr>
        <w:t>Право на образование</w:t>
      </w:r>
    </w:p>
    <w:p w14:paraId="12CBB94B" w14:textId="77777777" w:rsidR="00880DBB" w:rsidRPr="007F18E7" w:rsidRDefault="00880DBB" w:rsidP="00880DBB">
      <w:pPr>
        <w:pStyle w:val="SingleTxtG"/>
        <w:keepNext/>
        <w:keepLines/>
      </w:pPr>
      <w:r>
        <w:t>54.</w:t>
      </w:r>
      <w:r>
        <w:tab/>
        <w:t>Комитет отмечает прогресс, достигнутый в области доступа к образованию в государстве-участнике, в частности развитие дошкольного образования и принятие закона № 2022-023 от 17 августа 2022 года об ориентации национальной системы образования. Тем не менее Комитет по-прежнему обеспокоен многочисленными проблемами, которые сохраняются в отношении эффективного осуществления права на образование в государстве-участнике, в частности:</w:t>
      </w:r>
    </w:p>
    <w:p w14:paraId="2C903C6D" w14:textId="77777777" w:rsidR="00880DBB" w:rsidRPr="007F18E7" w:rsidRDefault="00880DBB" w:rsidP="00880DBB">
      <w:pPr>
        <w:pStyle w:val="SingleTxtG"/>
        <w:ind w:firstLine="567"/>
        <w:rPr>
          <w:bCs/>
          <w:color w:val="000000"/>
        </w:rPr>
      </w:pPr>
      <w:r>
        <w:t>a)</w:t>
      </w:r>
      <w:r>
        <w:tab/>
        <w:t>высоким показателем детей, не посещающих школу;</w:t>
      </w:r>
    </w:p>
    <w:p w14:paraId="346AF4B2" w14:textId="77777777" w:rsidR="00880DBB" w:rsidRPr="007F18E7" w:rsidRDefault="00880DBB" w:rsidP="00880DBB">
      <w:pPr>
        <w:pStyle w:val="SingleTxtG"/>
        <w:ind w:firstLine="567"/>
        <w:rPr>
          <w:bCs/>
          <w:color w:val="000000"/>
        </w:rPr>
      </w:pPr>
      <w:r>
        <w:t>b)</w:t>
      </w:r>
      <w:r>
        <w:tab/>
        <w:t>высоким показателем отсева из начальной и средней школы;</w:t>
      </w:r>
    </w:p>
    <w:p w14:paraId="063A1501" w14:textId="77777777" w:rsidR="00880DBB" w:rsidRPr="007F18E7" w:rsidRDefault="00880DBB" w:rsidP="00880DBB">
      <w:pPr>
        <w:pStyle w:val="SingleTxtG"/>
        <w:ind w:firstLine="567"/>
        <w:rPr>
          <w:bCs/>
          <w:color w:val="000000"/>
        </w:rPr>
      </w:pPr>
      <w:r>
        <w:t>c)</w:t>
      </w:r>
      <w:r>
        <w:tab/>
        <w:t>низким показателем охвата девочек школьным образованием и сохраняющимися трудностями с их удержанием в школе;</w:t>
      </w:r>
    </w:p>
    <w:p w14:paraId="7D446DA6" w14:textId="77777777" w:rsidR="00880DBB" w:rsidRPr="007F18E7" w:rsidRDefault="00880DBB" w:rsidP="00880DBB">
      <w:pPr>
        <w:pStyle w:val="SingleTxtG"/>
        <w:ind w:firstLine="567"/>
        <w:rPr>
          <w:bCs/>
          <w:color w:val="000000"/>
        </w:rPr>
      </w:pPr>
      <w:r>
        <w:t>d)</w:t>
      </w:r>
      <w:r>
        <w:tab/>
        <w:t>низким качеством образования, которое отчасти объясняется отсутствием достаточных ресурсов и недостаточным числом преподавателей;</w:t>
      </w:r>
    </w:p>
    <w:p w14:paraId="452F728A" w14:textId="77777777" w:rsidR="00880DBB" w:rsidRPr="007F18E7" w:rsidRDefault="00880DBB" w:rsidP="00880DBB">
      <w:pPr>
        <w:pStyle w:val="SingleTxtG"/>
        <w:ind w:firstLine="567"/>
        <w:rPr>
          <w:bCs/>
          <w:color w:val="000000"/>
        </w:rPr>
      </w:pPr>
      <w:r>
        <w:t>e)</w:t>
      </w:r>
      <w:r>
        <w:tab/>
        <w:t>отсутствием надлежащей образовательной инфраструктуры, характеризующимся недостаточным доступом к безопасной питьевой воде и санитарным услугам;</w:t>
      </w:r>
    </w:p>
    <w:p w14:paraId="4849EE13" w14:textId="77777777" w:rsidR="00880DBB" w:rsidRPr="007F18E7" w:rsidRDefault="00880DBB" w:rsidP="00880DBB">
      <w:pPr>
        <w:pStyle w:val="SingleTxtG"/>
        <w:ind w:firstLine="567"/>
        <w:rPr>
          <w:bCs/>
          <w:color w:val="000000"/>
        </w:rPr>
      </w:pPr>
      <w:r>
        <w:t>f)</w:t>
      </w:r>
      <w:r>
        <w:tab/>
        <w:t>препятствиями на пути реализации права на образование для детей из неблагополучных семей, таких как дети-жертвы рабства, дети-мигранты и дети с инвалидностью;</w:t>
      </w:r>
    </w:p>
    <w:p w14:paraId="573F35DA" w14:textId="77777777" w:rsidR="00880DBB" w:rsidRPr="007F18E7" w:rsidRDefault="00880DBB" w:rsidP="00880DBB">
      <w:pPr>
        <w:pStyle w:val="SingleTxtG"/>
        <w:ind w:firstLine="567"/>
        <w:rPr>
          <w:bCs/>
          <w:color w:val="000000"/>
        </w:rPr>
      </w:pPr>
      <w:r>
        <w:t>g)</w:t>
      </w:r>
      <w:r>
        <w:tab/>
        <w:t>отсутствием информации о том, как обеспечивается уважение академической свободы в университете (ст. 13 и 14).</w:t>
      </w:r>
    </w:p>
    <w:p w14:paraId="2F01DC11" w14:textId="77777777" w:rsidR="00880DBB" w:rsidRPr="007F18E7" w:rsidRDefault="00880DBB" w:rsidP="00880DBB">
      <w:pPr>
        <w:pStyle w:val="SingleTxtG"/>
        <w:rPr>
          <w:b/>
        </w:rPr>
      </w:pPr>
      <w:r>
        <w:t>55.</w:t>
      </w:r>
      <w:r>
        <w:tab/>
      </w:r>
      <w:r>
        <w:rPr>
          <w:b/>
          <w:bCs/>
        </w:rPr>
        <w:t>Комитет настоятельно призывает государство-участник:</w:t>
      </w:r>
    </w:p>
    <w:p w14:paraId="756432EB" w14:textId="77777777" w:rsidR="00880DBB" w:rsidRPr="007F18E7" w:rsidRDefault="00880DBB" w:rsidP="00880DBB">
      <w:pPr>
        <w:pStyle w:val="SingleTxtG"/>
        <w:ind w:firstLine="567"/>
        <w:rPr>
          <w:b/>
          <w:bCs/>
          <w:color w:val="000000"/>
        </w:rPr>
      </w:pPr>
      <w:r>
        <w:rPr>
          <w:b/>
          <w:bCs/>
        </w:rPr>
        <w:t>a)</w:t>
      </w:r>
      <w:r>
        <w:tab/>
      </w:r>
      <w:r>
        <w:rPr>
          <w:b/>
          <w:bCs/>
        </w:rPr>
        <w:t>удвоить усилия по увеличению числа учащихся в начальной и средней школе и расширению доступности дошкольного образования;</w:t>
      </w:r>
    </w:p>
    <w:p w14:paraId="20024ACC" w14:textId="77777777" w:rsidR="00880DBB" w:rsidRPr="007F18E7" w:rsidRDefault="00880DBB" w:rsidP="00880DBB">
      <w:pPr>
        <w:pStyle w:val="SingleTxtG"/>
        <w:ind w:firstLine="567"/>
        <w:rPr>
          <w:b/>
          <w:bCs/>
          <w:color w:val="000000"/>
        </w:rPr>
      </w:pPr>
      <w:r>
        <w:rPr>
          <w:b/>
          <w:bCs/>
        </w:rPr>
        <w:t>b)</w:t>
      </w:r>
      <w:r>
        <w:tab/>
      </w:r>
      <w:r>
        <w:rPr>
          <w:b/>
          <w:bCs/>
        </w:rPr>
        <w:t>принять необходимые меры для снижения высокого показателя отсева из начальной и средней школы;</w:t>
      </w:r>
    </w:p>
    <w:p w14:paraId="12FC3D78" w14:textId="77777777" w:rsidR="00880DBB" w:rsidRPr="007F18E7" w:rsidRDefault="00880DBB" w:rsidP="00880DBB">
      <w:pPr>
        <w:pStyle w:val="SingleTxtG"/>
        <w:ind w:firstLine="567"/>
        <w:rPr>
          <w:b/>
          <w:bCs/>
          <w:color w:val="000000"/>
        </w:rPr>
      </w:pPr>
      <w:r>
        <w:rPr>
          <w:b/>
          <w:bCs/>
        </w:rPr>
        <w:t>c)</w:t>
      </w:r>
      <w:r>
        <w:tab/>
      </w:r>
      <w:r>
        <w:rPr>
          <w:b/>
          <w:bCs/>
        </w:rPr>
        <w:t>преодолеть сохраняющиеся трудности и препятствия, чтобы девочки имели доступ к образованию на тех же условиях, что и мальчики, начиная с дошкольного и заканчивая высшим и средним специальным образованием;</w:t>
      </w:r>
    </w:p>
    <w:p w14:paraId="71CED166" w14:textId="77777777" w:rsidR="00880DBB" w:rsidRPr="007F18E7" w:rsidRDefault="00880DBB" w:rsidP="00880DBB">
      <w:pPr>
        <w:pStyle w:val="SingleTxtG"/>
        <w:ind w:firstLine="567"/>
        <w:rPr>
          <w:b/>
          <w:bCs/>
          <w:color w:val="000000"/>
        </w:rPr>
      </w:pPr>
      <w:r>
        <w:rPr>
          <w:b/>
          <w:bCs/>
        </w:rPr>
        <w:t>d)</w:t>
      </w:r>
      <w:r>
        <w:tab/>
      </w:r>
      <w:r>
        <w:rPr>
          <w:b/>
          <w:bCs/>
        </w:rPr>
        <w:t>продолжать усилия, направленные на повышение качества образования, в частности путем выделения достаточных ресурсов, увеличения числа и повышения оплаты труда квалифицированных преподавателей и улучшения качества учебных материалов, а также на включение образования в области прав человека в школьные программы с целью укрепления уважения к правам человека, принципу недискриминации и основным свободам;</w:t>
      </w:r>
    </w:p>
    <w:p w14:paraId="264427B9" w14:textId="77777777" w:rsidR="00880DBB" w:rsidRPr="007F18E7" w:rsidRDefault="00880DBB" w:rsidP="00880DBB">
      <w:pPr>
        <w:pStyle w:val="SingleTxtG"/>
        <w:ind w:firstLine="567"/>
        <w:rPr>
          <w:b/>
          <w:bCs/>
          <w:color w:val="000000"/>
        </w:rPr>
      </w:pPr>
      <w:r>
        <w:rPr>
          <w:b/>
          <w:bCs/>
        </w:rPr>
        <w:t>e)</w:t>
      </w:r>
      <w:r>
        <w:tab/>
      </w:r>
      <w:r>
        <w:rPr>
          <w:b/>
          <w:bCs/>
        </w:rPr>
        <w:t>принять необходимые шаги для улучшения образовательной инфраструктуры, в частности путем обеспечения доступа к безопасной питьевой воде и надлежащим санитарным услугам;</w:t>
      </w:r>
    </w:p>
    <w:p w14:paraId="1FB4ACD1" w14:textId="77777777" w:rsidR="00880DBB" w:rsidRPr="007F18E7" w:rsidRDefault="00880DBB" w:rsidP="00880DBB">
      <w:pPr>
        <w:pStyle w:val="SingleTxtG"/>
        <w:ind w:firstLine="567"/>
        <w:rPr>
          <w:b/>
          <w:bCs/>
          <w:color w:val="000000"/>
        </w:rPr>
      </w:pPr>
      <w:r>
        <w:rPr>
          <w:b/>
          <w:bCs/>
        </w:rPr>
        <w:t>f)</w:t>
      </w:r>
      <w:r>
        <w:tab/>
      </w:r>
      <w:r>
        <w:rPr>
          <w:b/>
          <w:bCs/>
        </w:rPr>
        <w:t>гарантировать доступ к качественному образованию для детей из неблагополучных семей, в частности детей-жертв рабства, детей-мигрантов и дети с инвалидностью;</w:t>
      </w:r>
    </w:p>
    <w:p w14:paraId="715681C6" w14:textId="77777777" w:rsidR="00880DBB" w:rsidRPr="007F18E7" w:rsidRDefault="00880DBB" w:rsidP="00880DBB">
      <w:pPr>
        <w:pStyle w:val="SingleTxtG"/>
        <w:ind w:firstLine="567"/>
        <w:rPr>
          <w:b/>
          <w:bCs/>
          <w:color w:val="000000"/>
        </w:rPr>
      </w:pPr>
      <w:r>
        <w:rPr>
          <w:b/>
          <w:bCs/>
        </w:rPr>
        <w:t>g)</w:t>
      </w:r>
      <w:r>
        <w:tab/>
      </w:r>
      <w:r>
        <w:rPr>
          <w:b/>
          <w:bCs/>
        </w:rPr>
        <w:t>принять меры по обеспечению соблюдения принципа академической свободы, свободы мысли, мнений и их свободного выражения в университете, а также свободы научных исследований и творческой деятельности.</w:t>
      </w:r>
    </w:p>
    <w:p w14:paraId="1EBD7D72" w14:textId="77777777" w:rsidR="00880DBB" w:rsidRPr="007F18E7" w:rsidRDefault="00880DBB" w:rsidP="00880DBB">
      <w:pPr>
        <w:pStyle w:val="H23G"/>
      </w:pPr>
      <w:r>
        <w:lastRenderedPageBreak/>
        <w:tab/>
      </w:r>
      <w:r>
        <w:tab/>
      </w:r>
      <w:r>
        <w:rPr>
          <w:bCs/>
        </w:rPr>
        <w:t>Культурное многообразие</w:t>
      </w:r>
    </w:p>
    <w:p w14:paraId="66824345" w14:textId="77777777" w:rsidR="00880DBB" w:rsidRPr="007F18E7" w:rsidRDefault="00880DBB" w:rsidP="00880DBB">
      <w:pPr>
        <w:pStyle w:val="SingleTxtG"/>
      </w:pPr>
      <w:r>
        <w:t>56.</w:t>
      </w:r>
      <w:r>
        <w:tab/>
        <w:t>Комитет признает усилия государства-участника по сохранению культурного и языкового многообразия своего общества, в том числе путем признания пулара, сонинке и волофа в качестве национальных языков и принятия закона № 2019-024 от 14 мая 2019 года об охране культурного наследия. Тем не менее Комитет по-прежнему обеспокоен ограниченным продвижением и распространением культуры, языков и традиций различных этнических и языковых меньшинств (ст. 15).</w:t>
      </w:r>
    </w:p>
    <w:p w14:paraId="2E5BAB7F" w14:textId="77777777" w:rsidR="00880DBB" w:rsidRPr="007F18E7" w:rsidRDefault="00880DBB" w:rsidP="00880DBB">
      <w:pPr>
        <w:pStyle w:val="SingleTxtG"/>
        <w:rPr>
          <w:b/>
        </w:rPr>
      </w:pPr>
      <w:r>
        <w:t>57.</w:t>
      </w:r>
      <w:r>
        <w:tab/>
      </w:r>
      <w:r>
        <w:rPr>
          <w:b/>
          <w:bCs/>
        </w:rPr>
        <w:t>Комитет рекомендует государству-участнику удвоить усилия по укреплению уважения к культурному многообразию и созданию условий, позволяющих меньшинствам сохранять, развивать, выражать и распространять свою самобытность, историю, языки, культуру, традиции и обычаи.</w:t>
      </w:r>
      <w:r>
        <w:t xml:space="preserve"> </w:t>
      </w:r>
      <w:r>
        <w:rPr>
          <w:b/>
          <w:bCs/>
        </w:rPr>
        <w:t>Он также рекомендует государству-участнику укрепить преподавание и использование языков пулар, сонинке и волоф, в том числе в официальных документах.</w:t>
      </w:r>
    </w:p>
    <w:p w14:paraId="0DCF0387" w14:textId="77777777" w:rsidR="00880DBB" w:rsidRPr="007F18E7" w:rsidRDefault="00880DBB" w:rsidP="00880DBB">
      <w:pPr>
        <w:pStyle w:val="H23G"/>
        <w:rPr>
          <w:bCs/>
        </w:rPr>
      </w:pPr>
      <w:r>
        <w:tab/>
      </w:r>
      <w:r>
        <w:tab/>
      </w:r>
      <w:r>
        <w:rPr>
          <w:bCs/>
        </w:rPr>
        <w:t>Доступ женщин и девочек к науке</w:t>
      </w:r>
    </w:p>
    <w:p w14:paraId="59C70418" w14:textId="77777777" w:rsidR="00880DBB" w:rsidRPr="007F18E7" w:rsidRDefault="00880DBB" w:rsidP="00880DBB">
      <w:pPr>
        <w:pStyle w:val="SingleTxtG"/>
      </w:pPr>
      <w:r>
        <w:t>58.</w:t>
      </w:r>
      <w:r>
        <w:tab/>
        <w:t>Комитет сожалеет, что государство-участник не предоставило достаточной информации, включая статистическую информацию о доступе женщин и девочек к науке (ст. 3 и 15).</w:t>
      </w:r>
    </w:p>
    <w:p w14:paraId="42F4F372" w14:textId="77777777" w:rsidR="00880DBB" w:rsidRPr="007F18E7" w:rsidRDefault="00880DBB" w:rsidP="00880DBB">
      <w:pPr>
        <w:pStyle w:val="SingleTxtG"/>
        <w:rPr>
          <w:b/>
          <w:bCs/>
        </w:rPr>
      </w:pPr>
      <w:r>
        <w:t>59.</w:t>
      </w:r>
      <w:r>
        <w:tab/>
      </w:r>
      <w:r>
        <w:rPr>
          <w:b/>
          <w:bCs/>
        </w:rPr>
        <w:t>Комитет рекомендует государству-участнику принять надлежащие меры для выявления и ликвидации законов, мер политики, видов практики, предрассудков и стереотипов всех видов, которые препятствуют участию женщин и девочек в научно-технической деятельности, и обратить внимание в этой связи на принятое Комитетом замечание общего порядка № 25 (2020) о науке и экономических, социальных и культурных правах.</w:t>
      </w:r>
    </w:p>
    <w:p w14:paraId="4A2C3760" w14:textId="77777777" w:rsidR="00880DBB" w:rsidRPr="007F18E7" w:rsidRDefault="00880DBB" w:rsidP="00880DBB">
      <w:pPr>
        <w:pStyle w:val="H1G"/>
        <w:rPr>
          <w:bCs/>
        </w:rPr>
      </w:pPr>
      <w:r>
        <w:rPr>
          <w:bCs/>
        </w:rPr>
        <w:tab/>
        <w:t>D.</w:t>
      </w:r>
      <w:r>
        <w:tab/>
      </w:r>
      <w:r>
        <w:rPr>
          <w:bCs/>
        </w:rPr>
        <w:t>Прочие рекомендации</w:t>
      </w:r>
    </w:p>
    <w:p w14:paraId="1D554B59" w14:textId="77777777" w:rsidR="00880DBB" w:rsidRPr="007F18E7" w:rsidRDefault="00880DBB" w:rsidP="00880DBB">
      <w:pPr>
        <w:pStyle w:val="SingleTxtG"/>
        <w:rPr>
          <w:b/>
          <w:bCs/>
        </w:rPr>
      </w:pPr>
      <w:r>
        <w:t>60.</w:t>
      </w:r>
      <w:r>
        <w:tab/>
      </w:r>
      <w:r>
        <w:rPr>
          <w:b/>
          <w:bCs/>
        </w:rPr>
        <w:t>Комитет призывает государство-участник ратифицировать Факультативный протокол к Международному пакту об экономических, социальных и культурных правах.</w:t>
      </w:r>
    </w:p>
    <w:p w14:paraId="6C385744" w14:textId="77777777" w:rsidR="00880DBB" w:rsidRPr="007F18E7" w:rsidRDefault="00880DBB" w:rsidP="00880DBB">
      <w:pPr>
        <w:pStyle w:val="SingleTxtG"/>
        <w:rPr>
          <w:b/>
          <w:bCs/>
        </w:rPr>
      </w:pPr>
      <w:r>
        <w:t>61.</w:t>
      </w:r>
      <w:r>
        <w:tab/>
      </w:r>
      <w:r>
        <w:rPr>
          <w:b/>
          <w:bCs/>
        </w:rPr>
        <w:t>Комитет рекомендует государству-участнику рассмотреть вопрос о ратификации основных договоров по правам человека, участником которых оно еще не является, а именно Факультативного протокола к Международному пакту о гражданских и политических правах;</w:t>
      </w:r>
      <w:r>
        <w:t xml:space="preserve"> </w:t>
      </w:r>
      <w:r>
        <w:rPr>
          <w:b/>
          <w:bCs/>
        </w:rPr>
        <w:t>Факультативного протокола к Конвенции о правах ребенка, касающегося участия детей в вооруженных конфликтах;</w:t>
      </w:r>
      <w:r>
        <w:t xml:space="preserve"> </w:t>
      </w:r>
      <w:r>
        <w:rPr>
          <w:b/>
          <w:bCs/>
        </w:rPr>
        <w:t>Факультативного протокола к Конвенции о ликвидации всех форм дискриминации в отношении женщин;</w:t>
      </w:r>
      <w:r>
        <w:t xml:space="preserve"> </w:t>
      </w:r>
      <w:r>
        <w:rPr>
          <w:b/>
          <w:bCs/>
        </w:rPr>
        <w:t>Факультативного протокола к Конвенции о правах ребенка, касающегося процедуры сообщений.</w:t>
      </w:r>
    </w:p>
    <w:p w14:paraId="4878C5E9" w14:textId="0832C4DB" w:rsidR="00880DBB" w:rsidRPr="007F18E7" w:rsidRDefault="00880DBB" w:rsidP="00880DBB">
      <w:pPr>
        <w:pStyle w:val="SingleTxtG"/>
        <w:rPr>
          <w:b/>
        </w:rPr>
      </w:pPr>
      <w:r>
        <w:t>62.</w:t>
      </w:r>
      <w:r>
        <w:tab/>
      </w:r>
      <w:r>
        <w:rPr>
          <w:b/>
          <w:bCs/>
        </w:rPr>
        <w:t>Комитет рекомендует государству-участнику в полной мере учитывать свои обязательства, предусмотренные Пактом, и гарантировать полноценное осуществление закрепленных в нем прав как при реализации на национальном уровне Повестки дня в области устойчивого развития на период до 2030 года, так и в рамках мер, принимаемых для восстановления страны после пандемии COVID-19, с международной помощью и сотрудничеством, когда это необходимо.</w:t>
      </w:r>
      <w:r>
        <w:t xml:space="preserve"> </w:t>
      </w:r>
      <w:r>
        <w:rPr>
          <w:b/>
          <w:bCs/>
        </w:rPr>
        <w:t>Достижение целей в области устойчивого развития было бы значительно облегчено, если бы государство-участник создало независимые механизмы для мониторинга достигнутого прогресса и рассматривало бы бенефициаров программ государственной помощи как обладателей прав, которые они могут отстаивать.</w:t>
      </w:r>
      <w:r>
        <w:t xml:space="preserve"> </w:t>
      </w:r>
      <w:r>
        <w:rPr>
          <w:b/>
          <w:bCs/>
        </w:rPr>
        <w:t>Кроме того, Комитет рекомендует государству-участнику поддержать глобальное обязательство десятилетия действий по достижению целей в области устойчивого развития.</w:t>
      </w:r>
      <w:r>
        <w:t xml:space="preserve"> </w:t>
      </w:r>
      <w:r>
        <w:rPr>
          <w:b/>
          <w:bCs/>
        </w:rPr>
        <w:t>Достижение целей на основе принципов участия, подотчетности и недискриминации будет способствовать обеспечению того, чтобы никто не был забыт.</w:t>
      </w:r>
      <w:r>
        <w:t xml:space="preserve"> </w:t>
      </w:r>
      <w:r>
        <w:rPr>
          <w:b/>
          <w:bCs/>
        </w:rPr>
        <w:t xml:space="preserve">В этой связи Комитет обращает внимание </w:t>
      </w:r>
      <w:r>
        <w:rPr>
          <w:b/>
          <w:bCs/>
        </w:rPr>
        <w:lastRenderedPageBreak/>
        <w:t>государства-участника на свое заявление по поводу обязательства не обходить никого вниманием</w:t>
      </w:r>
      <w:r w:rsidRPr="00925AA7">
        <w:rPr>
          <w:rStyle w:val="a8"/>
        </w:rPr>
        <w:footnoteReference w:id="19"/>
      </w:r>
      <w:r>
        <w:rPr>
          <w:b/>
          <w:bCs/>
        </w:rPr>
        <w:t>.</w:t>
      </w:r>
    </w:p>
    <w:p w14:paraId="5C4D5F5F" w14:textId="77777777" w:rsidR="00880DBB" w:rsidRPr="007F18E7" w:rsidRDefault="00880DBB" w:rsidP="00880DBB">
      <w:pPr>
        <w:pStyle w:val="SingleTxtG"/>
        <w:rPr>
          <w:b/>
          <w:bCs/>
        </w:rPr>
      </w:pPr>
      <w:r>
        <w:t>63.</w:t>
      </w:r>
      <w:r>
        <w:tab/>
      </w:r>
      <w:r>
        <w:rPr>
          <w:b/>
          <w:bCs/>
        </w:rPr>
        <w:t>Комитет просит государство-участник широко распространить настоящие заключительные замечания среди всех слоев общества, в том числе на национальном уровне, в ви­лай­е­тах, в частности среди парламентариев, государственных должностных лиц и судебных органов, и в своем следующем периодическом докладе проинформировать Комитет о мерах, принятых с целью их осуществления</w:t>
      </w:r>
      <w:r>
        <w:t xml:space="preserve">. </w:t>
      </w:r>
      <w:r>
        <w:rPr>
          <w:b/>
          <w:bCs/>
        </w:rPr>
        <w:t>Комитет рекомендует государству-участнику привлечь Национальную комиссию по правам человека Мавритании, неправительственные организации и других членов гражданского общества к процессу принятия последующих мер в соответствии с настоящими заключительными замечаниями, а также к процессу консультаций на национальном уровне перед представлением своего следующего периодического доклада.</w:t>
      </w:r>
    </w:p>
    <w:p w14:paraId="1F50B6A6" w14:textId="77777777" w:rsidR="00880DBB" w:rsidRPr="007F18E7" w:rsidRDefault="00880DBB" w:rsidP="00880DBB">
      <w:pPr>
        <w:pStyle w:val="SingleTxtG"/>
        <w:rPr>
          <w:b/>
          <w:bCs/>
        </w:rPr>
      </w:pPr>
      <w:r>
        <w:t>64.</w:t>
      </w:r>
      <w:r>
        <w:tab/>
      </w:r>
      <w:r>
        <w:rPr>
          <w:b/>
          <w:bCs/>
        </w:rPr>
        <w:t>В соответствии с процедурой последующих действий в связи с заключительными замечаниями, принятыми Комитетом, государству-участнику предлагается представить в течение 24 месяцев с момента принятия настоящих заключительных замечаний (31 марта 2026 года) информацию о выполнении рекомендаций Комитета, содержащихся в вышеизложенных пунктах 19 (гражданский реестр), 27 с) (применение законодательной базы для борьбы с рабством и современными формами рабства) и 49 с) (право на физическое и психическое здоровье).</w:t>
      </w:r>
    </w:p>
    <w:p w14:paraId="767BD0CC" w14:textId="77777777" w:rsidR="00880DBB" w:rsidRPr="007F18E7" w:rsidRDefault="00880DBB" w:rsidP="00880DBB">
      <w:pPr>
        <w:pStyle w:val="SingleTxtG"/>
        <w:rPr>
          <w:b/>
          <w:bCs/>
        </w:rPr>
      </w:pPr>
      <w:r>
        <w:t>65.</w:t>
      </w:r>
      <w:r>
        <w:tab/>
      </w:r>
      <w:r>
        <w:rPr>
          <w:b/>
          <w:bCs/>
        </w:rPr>
        <w:t>Комитет просит государство-участник представить свой третий периодический доклад в соответствии со статьей 16 Пакта не позднее 31 марта 2029 года, если в результате изменения цикла обзора не поступит иного уведомления.</w:t>
      </w:r>
      <w:r>
        <w:t xml:space="preserve"> </w:t>
      </w:r>
      <w:r>
        <w:rPr>
          <w:b/>
          <w:bCs/>
        </w:rPr>
        <w:t>В соответствии с резолюцией 68/268 Генеральной Ассамблеи объем доклада не должен превышать 21 200 слов.</w:t>
      </w:r>
    </w:p>
    <w:p w14:paraId="070621CA" w14:textId="77777777" w:rsidR="00880DBB" w:rsidRPr="007F18E7" w:rsidRDefault="00880DBB" w:rsidP="00880DBB">
      <w:pPr>
        <w:pStyle w:val="SingleTxtG"/>
        <w:keepNext/>
        <w:keepLines/>
        <w:spacing w:before="240" w:after="0"/>
        <w:jc w:val="center"/>
        <w:rPr>
          <w:u w:val="single"/>
        </w:rPr>
      </w:pPr>
      <w:r w:rsidRPr="007F18E7">
        <w:rPr>
          <w:u w:val="single"/>
        </w:rPr>
        <w:tab/>
      </w:r>
      <w:r w:rsidRPr="007F18E7">
        <w:rPr>
          <w:u w:val="single"/>
        </w:rPr>
        <w:tab/>
      </w:r>
      <w:r w:rsidRPr="007F18E7">
        <w:rPr>
          <w:u w:val="single"/>
        </w:rPr>
        <w:tab/>
      </w:r>
    </w:p>
    <w:p w14:paraId="0B07A5E1" w14:textId="77777777" w:rsidR="00381C24" w:rsidRPr="00880DBB" w:rsidRDefault="00381C24" w:rsidP="00896BA2"/>
    <w:sectPr w:rsidR="00381C24" w:rsidRPr="00880DBB" w:rsidSect="00880DBB">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564F9" w14:textId="77777777" w:rsidR="00947D51" w:rsidRPr="00A312BC" w:rsidRDefault="00947D51" w:rsidP="00A312BC"/>
  </w:endnote>
  <w:endnote w:type="continuationSeparator" w:id="0">
    <w:p w14:paraId="4E106815" w14:textId="77777777" w:rsidR="00947D51" w:rsidRPr="00A312BC" w:rsidRDefault="00947D51"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56C9F" w14:textId="4D86E6FB" w:rsidR="00880DBB" w:rsidRPr="00880DBB" w:rsidRDefault="00880DBB">
    <w:pPr>
      <w:pStyle w:val="aa"/>
    </w:pPr>
    <w:r w:rsidRPr="00880DBB">
      <w:rPr>
        <w:b/>
        <w:sz w:val="18"/>
      </w:rPr>
      <w:fldChar w:fldCharType="begin"/>
    </w:r>
    <w:r w:rsidRPr="00880DBB">
      <w:rPr>
        <w:b/>
        <w:sz w:val="18"/>
      </w:rPr>
      <w:instrText xml:space="preserve"> PAGE  \* MERGEFORMAT </w:instrText>
    </w:r>
    <w:r w:rsidRPr="00880DBB">
      <w:rPr>
        <w:b/>
        <w:sz w:val="18"/>
      </w:rPr>
      <w:fldChar w:fldCharType="separate"/>
    </w:r>
    <w:r w:rsidRPr="00880DBB">
      <w:rPr>
        <w:b/>
        <w:noProof/>
        <w:sz w:val="18"/>
      </w:rPr>
      <w:t>2</w:t>
    </w:r>
    <w:r w:rsidRPr="00880DBB">
      <w:rPr>
        <w:b/>
        <w:sz w:val="18"/>
      </w:rPr>
      <w:fldChar w:fldCharType="end"/>
    </w:r>
    <w:r>
      <w:rPr>
        <w:b/>
        <w:sz w:val="18"/>
      </w:rPr>
      <w:tab/>
    </w:r>
    <w:r>
      <w:t>GE.24-04413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A39AE" w14:textId="614860BC" w:rsidR="00880DBB" w:rsidRPr="00880DBB" w:rsidRDefault="00880DBB" w:rsidP="00880DBB">
    <w:pPr>
      <w:pStyle w:val="aa"/>
      <w:tabs>
        <w:tab w:val="clear" w:pos="9639"/>
        <w:tab w:val="right" w:pos="9638"/>
      </w:tabs>
      <w:rPr>
        <w:b/>
        <w:sz w:val="18"/>
      </w:rPr>
    </w:pPr>
    <w:r>
      <w:t>GE.24-04413</w:t>
    </w:r>
    <w:r>
      <w:tab/>
    </w:r>
    <w:r w:rsidRPr="00880DBB">
      <w:rPr>
        <w:b/>
        <w:sz w:val="18"/>
      </w:rPr>
      <w:fldChar w:fldCharType="begin"/>
    </w:r>
    <w:r w:rsidRPr="00880DBB">
      <w:rPr>
        <w:b/>
        <w:sz w:val="18"/>
      </w:rPr>
      <w:instrText xml:space="preserve"> PAGE  \* MERGEFORMAT </w:instrText>
    </w:r>
    <w:r w:rsidRPr="00880DBB">
      <w:rPr>
        <w:b/>
        <w:sz w:val="18"/>
      </w:rPr>
      <w:fldChar w:fldCharType="separate"/>
    </w:r>
    <w:r w:rsidRPr="00880DBB">
      <w:rPr>
        <w:b/>
        <w:noProof/>
        <w:sz w:val="18"/>
      </w:rPr>
      <w:t>3</w:t>
    </w:r>
    <w:r w:rsidRPr="00880DB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70F03" w14:textId="3974E444" w:rsidR="00042B72" w:rsidRPr="00880DBB" w:rsidRDefault="00880DBB" w:rsidP="00880DBB">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5729CE60" wp14:editId="4D51D24D">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24-04413  (R)</w:t>
    </w:r>
    <w:r>
      <w:rPr>
        <w:noProof/>
      </w:rPr>
      <w:drawing>
        <wp:anchor distT="0" distB="0" distL="114300" distR="114300" simplePos="0" relativeHeight="251659264" behindDoc="0" locked="0" layoutInCell="1" allowOverlap="1" wp14:anchorId="51A9EE24" wp14:editId="0CF3D510">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190424  220424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0D727" w14:textId="77777777" w:rsidR="00947D51" w:rsidRPr="001075E9" w:rsidRDefault="00947D51" w:rsidP="001075E9">
      <w:pPr>
        <w:tabs>
          <w:tab w:val="right" w:pos="2155"/>
        </w:tabs>
        <w:spacing w:after="80" w:line="240" w:lineRule="auto"/>
        <w:ind w:left="680"/>
        <w:rPr>
          <w:u w:val="single"/>
        </w:rPr>
      </w:pPr>
      <w:r>
        <w:rPr>
          <w:u w:val="single"/>
        </w:rPr>
        <w:tab/>
      </w:r>
    </w:p>
  </w:footnote>
  <w:footnote w:type="continuationSeparator" w:id="0">
    <w:p w14:paraId="6D0430BE" w14:textId="77777777" w:rsidR="00947D51" w:rsidRDefault="00947D51" w:rsidP="00407B78">
      <w:pPr>
        <w:tabs>
          <w:tab w:val="right" w:pos="2155"/>
        </w:tabs>
        <w:spacing w:after="80"/>
        <w:ind w:left="680"/>
        <w:rPr>
          <w:u w:val="single"/>
        </w:rPr>
      </w:pPr>
      <w:r>
        <w:rPr>
          <w:u w:val="single"/>
        </w:rPr>
        <w:tab/>
      </w:r>
    </w:p>
  </w:footnote>
  <w:footnote w:id="1">
    <w:p w14:paraId="114B09A5" w14:textId="77777777" w:rsidR="00880DBB" w:rsidRPr="007F18E7" w:rsidRDefault="00880DBB" w:rsidP="00880DBB">
      <w:pPr>
        <w:pStyle w:val="af"/>
      </w:pPr>
      <w:r>
        <w:tab/>
        <w:t>*</w:t>
      </w:r>
      <w:r>
        <w:tab/>
        <w:t>Приняты Комитетом на его семьдесят пятой сессии (12 февраля — 1 марта 2024 года).</w:t>
      </w:r>
    </w:p>
  </w:footnote>
  <w:footnote w:id="2">
    <w:p w14:paraId="06BDA875" w14:textId="6551A5D0" w:rsidR="00880DBB" w:rsidRPr="007F18E7" w:rsidRDefault="00880DBB" w:rsidP="00880DBB">
      <w:pPr>
        <w:pStyle w:val="af"/>
        <w:rPr>
          <w:szCs w:val="18"/>
        </w:rPr>
      </w:pPr>
      <w:r>
        <w:rPr>
          <w:sz w:val="16"/>
          <w:szCs w:val="16"/>
        </w:rPr>
        <w:tab/>
      </w:r>
      <w:r w:rsidRPr="00925AA7">
        <w:rPr>
          <w:rStyle w:val="a8"/>
        </w:rPr>
        <w:footnoteRef/>
      </w:r>
      <w:r>
        <w:tab/>
      </w:r>
      <w:hyperlink r:id="rId1" w:history="1">
        <w:r w:rsidRPr="00D932A4">
          <w:rPr>
            <w:rStyle w:val="a7"/>
          </w:rPr>
          <w:t>E/C.12/MRT/2</w:t>
        </w:r>
      </w:hyperlink>
      <w:r>
        <w:t>.</w:t>
      </w:r>
    </w:p>
  </w:footnote>
  <w:footnote w:id="3">
    <w:p w14:paraId="34F435BF" w14:textId="79361018" w:rsidR="00880DBB" w:rsidRPr="00883513" w:rsidRDefault="00880DBB" w:rsidP="00880DBB">
      <w:pPr>
        <w:pStyle w:val="af"/>
        <w:rPr>
          <w:szCs w:val="18"/>
          <w:lang w:val="en-US"/>
        </w:rPr>
      </w:pPr>
      <w:r w:rsidRPr="009A55FC">
        <w:rPr>
          <w:szCs w:val="18"/>
        </w:rPr>
        <w:tab/>
      </w:r>
      <w:r w:rsidRPr="00925AA7">
        <w:rPr>
          <w:rStyle w:val="a8"/>
        </w:rPr>
        <w:footnoteRef/>
      </w:r>
      <w:r>
        <w:tab/>
        <w:t xml:space="preserve">См. </w:t>
      </w:r>
      <w:hyperlink r:id="rId2" w:history="1">
        <w:r w:rsidRPr="00883513">
          <w:rPr>
            <w:rStyle w:val="a7"/>
            <w:lang w:val="en-US"/>
          </w:rPr>
          <w:t>E/C.12/2</w:t>
        </w:r>
        <w:r w:rsidRPr="00883513">
          <w:rPr>
            <w:rStyle w:val="a7"/>
            <w:lang w:val="en-US"/>
          </w:rPr>
          <w:t>0</w:t>
        </w:r>
        <w:r w:rsidRPr="00883513">
          <w:rPr>
            <w:rStyle w:val="a7"/>
            <w:lang w:val="en-US"/>
          </w:rPr>
          <w:t>24/SR.4</w:t>
        </w:r>
      </w:hyperlink>
      <w:r w:rsidRPr="00883513">
        <w:rPr>
          <w:lang w:val="en-US"/>
        </w:rPr>
        <w:t xml:space="preserve"> </w:t>
      </w:r>
      <w:r>
        <w:t>и</w:t>
      </w:r>
      <w:r w:rsidRPr="00883513">
        <w:rPr>
          <w:lang w:val="en-US"/>
        </w:rPr>
        <w:t xml:space="preserve"> </w:t>
      </w:r>
      <w:hyperlink r:id="rId3" w:history="1">
        <w:r w:rsidRPr="00883513">
          <w:rPr>
            <w:rStyle w:val="a7"/>
            <w:lang w:val="en-US"/>
          </w:rPr>
          <w:t>E/C.12/202</w:t>
        </w:r>
        <w:r w:rsidRPr="00883513">
          <w:rPr>
            <w:rStyle w:val="a7"/>
            <w:lang w:val="en-US"/>
          </w:rPr>
          <w:t>4</w:t>
        </w:r>
        <w:r w:rsidRPr="00883513">
          <w:rPr>
            <w:rStyle w:val="a7"/>
            <w:lang w:val="en-US"/>
          </w:rPr>
          <w:t>/SR.6</w:t>
        </w:r>
      </w:hyperlink>
      <w:r w:rsidRPr="00883513">
        <w:rPr>
          <w:lang w:val="en-US"/>
        </w:rPr>
        <w:t>.</w:t>
      </w:r>
    </w:p>
  </w:footnote>
  <w:footnote w:id="4">
    <w:p w14:paraId="17BE9E6E" w14:textId="4730C2C4" w:rsidR="00880DBB" w:rsidRPr="00883513" w:rsidRDefault="00880DBB" w:rsidP="00880DBB">
      <w:pPr>
        <w:pStyle w:val="af"/>
        <w:rPr>
          <w:sz w:val="16"/>
          <w:szCs w:val="16"/>
          <w:lang w:val="en-US"/>
        </w:rPr>
      </w:pPr>
      <w:r w:rsidRPr="00883513">
        <w:rPr>
          <w:szCs w:val="18"/>
          <w:lang w:val="en-US"/>
        </w:rPr>
        <w:tab/>
      </w:r>
      <w:r w:rsidRPr="00925AA7">
        <w:rPr>
          <w:rStyle w:val="a8"/>
        </w:rPr>
        <w:footnoteRef/>
      </w:r>
      <w:r w:rsidRPr="00883513">
        <w:rPr>
          <w:lang w:val="en-US"/>
        </w:rPr>
        <w:tab/>
      </w:r>
      <w:hyperlink r:id="rId4" w:history="1">
        <w:r w:rsidRPr="00D932A4">
          <w:rPr>
            <w:rStyle w:val="a7"/>
            <w:lang w:val="en-US"/>
          </w:rPr>
          <w:t>E</w:t>
        </w:r>
        <w:r w:rsidRPr="00883513">
          <w:rPr>
            <w:rStyle w:val="a7"/>
            <w:lang w:val="en-US"/>
          </w:rPr>
          <w:t>/</w:t>
        </w:r>
        <w:r w:rsidRPr="00D932A4">
          <w:rPr>
            <w:rStyle w:val="a7"/>
            <w:lang w:val="en-US"/>
          </w:rPr>
          <w:t>C</w:t>
        </w:r>
        <w:r w:rsidRPr="00883513">
          <w:rPr>
            <w:rStyle w:val="a7"/>
            <w:lang w:val="en-US"/>
          </w:rPr>
          <w:t>.12/</w:t>
        </w:r>
        <w:r w:rsidRPr="00D932A4">
          <w:rPr>
            <w:rStyle w:val="a7"/>
            <w:lang w:val="en-US"/>
          </w:rPr>
          <w:t>MRT</w:t>
        </w:r>
        <w:r w:rsidRPr="00883513">
          <w:rPr>
            <w:rStyle w:val="a7"/>
            <w:lang w:val="en-US"/>
          </w:rPr>
          <w:t>/</w:t>
        </w:r>
        <w:r w:rsidRPr="00D932A4">
          <w:rPr>
            <w:rStyle w:val="a7"/>
            <w:lang w:val="en-US"/>
          </w:rPr>
          <w:t>RQ</w:t>
        </w:r>
        <w:r w:rsidRPr="00883513">
          <w:rPr>
            <w:rStyle w:val="a7"/>
            <w:lang w:val="en-US"/>
          </w:rPr>
          <w:t>/2</w:t>
        </w:r>
      </w:hyperlink>
      <w:r w:rsidRPr="00883513">
        <w:rPr>
          <w:lang w:val="en-US"/>
        </w:rPr>
        <w:t>.</w:t>
      </w:r>
    </w:p>
  </w:footnote>
  <w:footnote w:id="5">
    <w:p w14:paraId="06D0A4BA" w14:textId="473CC53C" w:rsidR="00880DBB" w:rsidRPr="007F18E7" w:rsidRDefault="00880DBB" w:rsidP="00880DBB">
      <w:pPr>
        <w:pStyle w:val="af"/>
        <w:rPr>
          <w:lang w:val="en-US"/>
        </w:rPr>
      </w:pPr>
      <w:r w:rsidRPr="00883513">
        <w:rPr>
          <w:lang w:val="en-US"/>
        </w:rPr>
        <w:tab/>
      </w:r>
      <w:r w:rsidRPr="00925AA7">
        <w:rPr>
          <w:rStyle w:val="a8"/>
        </w:rPr>
        <w:footnoteRef/>
      </w:r>
      <w:r w:rsidRPr="007F18E7">
        <w:rPr>
          <w:lang w:val="en-US"/>
        </w:rPr>
        <w:tab/>
      </w:r>
      <w:hyperlink r:id="rId5" w:history="1">
        <w:r w:rsidRPr="00D932A4">
          <w:rPr>
            <w:rStyle w:val="a7"/>
            <w:lang w:val="en-US"/>
          </w:rPr>
          <w:t>E/C.12/MRT/CO/1</w:t>
        </w:r>
      </w:hyperlink>
      <w:r w:rsidRPr="007F18E7">
        <w:rPr>
          <w:lang w:val="en-US"/>
        </w:rPr>
        <w:t xml:space="preserve">, </w:t>
      </w:r>
      <w:r>
        <w:t>п</w:t>
      </w:r>
      <w:r w:rsidRPr="007F18E7">
        <w:rPr>
          <w:lang w:val="en-US"/>
        </w:rPr>
        <w:t>. 7.</w:t>
      </w:r>
    </w:p>
  </w:footnote>
  <w:footnote w:id="6">
    <w:p w14:paraId="0D4C20FB" w14:textId="54533546" w:rsidR="00880DBB" w:rsidRPr="007F18E7" w:rsidRDefault="00880DBB" w:rsidP="00880DBB">
      <w:pPr>
        <w:pStyle w:val="af"/>
        <w:rPr>
          <w:lang w:val="en-US"/>
        </w:rPr>
      </w:pPr>
      <w:r w:rsidRPr="007F18E7">
        <w:rPr>
          <w:lang w:val="en-US"/>
        </w:rPr>
        <w:tab/>
      </w:r>
      <w:r w:rsidRPr="00925AA7">
        <w:rPr>
          <w:rStyle w:val="a8"/>
        </w:rPr>
        <w:footnoteRef/>
      </w:r>
      <w:r w:rsidRPr="007F18E7">
        <w:rPr>
          <w:lang w:val="en-US"/>
        </w:rPr>
        <w:tab/>
      </w:r>
      <w:hyperlink r:id="rId6" w:history="1">
        <w:r w:rsidRPr="00D932A4">
          <w:rPr>
            <w:rStyle w:val="a7"/>
            <w:lang w:val="en-US"/>
          </w:rPr>
          <w:t>E/C.12/2016/2</w:t>
        </w:r>
      </w:hyperlink>
      <w:r w:rsidRPr="007F18E7">
        <w:rPr>
          <w:lang w:val="en-US"/>
        </w:rPr>
        <w:t>.</w:t>
      </w:r>
    </w:p>
  </w:footnote>
  <w:footnote w:id="7">
    <w:p w14:paraId="3C99F382" w14:textId="2B14C0E3" w:rsidR="00880DBB" w:rsidRPr="00DE7EFC" w:rsidRDefault="00880DBB" w:rsidP="00880DBB">
      <w:pPr>
        <w:pStyle w:val="af"/>
        <w:rPr>
          <w:lang w:val="es-ES"/>
        </w:rPr>
      </w:pPr>
      <w:r w:rsidRPr="00E05806">
        <w:rPr>
          <w:lang w:val="es-ES"/>
        </w:rPr>
        <w:tab/>
      </w:r>
      <w:r w:rsidRPr="00925AA7">
        <w:rPr>
          <w:rStyle w:val="a8"/>
        </w:rPr>
        <w:footnoteRef/>
      </w:r>
      <w:r w:rsidRPr="00DE7EFC">
        <w:rPr>
          <w:lang w:val="es-ES"/>
        </w:rPr>
        <w:tab/>
      </w:r>
      <w:r w:rsidRPr="00DE7EFC">
        <w:rPr>
          <w:lang w:val="es-ES"/>
        </w:rPr>
        <w:tab/>
      </w:r>
      <w:hyperlink r:id="rId7" w:history="1">
        <w:r w:rsidRPr="00DE7EFC">
          <w:rPr>
            <w:rStyle w:val="a7"/>
            <w:lang w:val="es-ES"/>
          </w:rPr>
          <w:t>E/C.12/</w:t>
        </w:r>
        <w:r w:rsidRPr="00DE7EFC">
          <w:rPr>
            <w:rStyle w:val="a7"/>
            <w:lang w:val="es-ES"/>
          </w:rPr>
          <w:t>M</w:t>
        </w:r>
        <w:r w:rsidRPr="00DE7EFC">
          <w:rPr>
            <w:rStyle w:val="a7"/>
            <w:lang w:val="es-ES"/>
          </w:rPr>
          <w:t>RT/CO/1</w:t>
        </w:r>
      </w:hyperlink>
      <w:r w:rsidRPr="00DE7EFC">
        <w:rPr>
          <w:lang w:val="es-ES"/>
        </w:rPr>
        <w:t>,</w:t>
      </w:r>
      <w:r w:rsidRPr="00880DBB">
        <w:rPr>
          <w:lang w:val="en-US"/>
        </w:rPr>
        <w:t xml:space="preserve"> </w:t>
      </w:r>
      <w:r>
        <w:t>п</w:t>
      </w:r>
      <w:r w:rsidRPr="00DE7EFC">
        <w:rPr>
          <w:lang w:val="es-ES"/>
        </w:rPr>
        <w:t>. 9.</w:t>
      </w:r>
    </w:p>
  </w:footnote>
  <w:footnote w:id="8">
    <w:p w14:paraId="791F9026" w14:textId="62996A9D" w:rsidR="00880DBB" w:rsidRPr="00880DBB" w:rsidRDefault="00880DBB" w:rsidP="00880DBB">
      <w:pPr>
        <w:pStyle w:val="af"/>
        <w:rPr>
          <w:lang w:val="fr-CH"/>
        </w:rPr>
      </w:pPr>
      <w:r w:rsidRPr="007F18E7">
        <w:rPr>
          <w:lang w:val="en-US"/>
        </w:rPr>
        <w:tab/>
      </w:r>
      <w:r w:rsidRPr="00925AA7">
        <w:rPr>
          <w:rStyle w:val="a8"/>
        </w:rPr>
        <w:footnoteRef/>
      </w:r>
      <w:r w:rsidRPr="007F18E7">
        <w:rPr>
          <w:lang w:val="fr-FR"/>
        </w:rPr>
        <w:tab/>
      </w:r>
      <w:hyperlink r:id="rId8" w:history="1">
        <w:r w:rsidRPr="00D932A4">
          <w:rPr>
            <w:rStyle w:val="a7"/>
            <w:lang w:val="fr-FR"/>
          </w:rPr>
          <w:t>E/C.12/2016/1</w:t>
        </w:r>
      </w:hyperlink>
      <w:r w:rsidRPr="007F18E7">
        <w:rPr>
          <w:lang w:val="fr-FR"/>
        </w:rPr>
        <w:t>.</w:t>
      </w:r>
    </w:p>
  </w:footnote>
  <w:footnote w:id="9">
    <w:p w14:paraId="4AE9FE69" w14:textId="77777777" w:rsidR="00880DBB" w:rsidRPr="00880DBB" w:rsidRDefault="00880DBB" w:rsidP="00880DBB">
      <w:pPr>
        <w:pStyle w:val="af"/>
        <w:rPr>
          <w:lang w:val="fr-CH"/>
        </w:rPr>
      </w:pPr>
      <w:r w:rsidRPr="007F18E7">
        <w:rPr>
          <w:lang w:val="fr-FR"/>
        </w:rPr>
        <w:tab/>
      </w:r>
      <w:r w:rsidRPr="00925AA7">
        <w:rPr>
          <w:rStyle w:val="a8"/>
        </w:rPr>
        <w:footnoteRef/>
      </w:r>
      <w:r w:rsidRPr="007F18E7">
        <w:rPr>
          <w:lang w:val="fr-FR"/>
        </w:rPr>
        <w:tab/>
        <w:t>Haut-Commissariat aux droits de l’homme, Une approche des données fondée sur les droits de l’homme, note d’orientation, 2018.</w:t>
      </w:r>
    </w:p>
  </w:footnote>
  <w:footnote w:id="10">
    <w:p w14:paraId="0DD1DEAF" w14:textId="50E238C3" w:rsidR="00880DBB" w:rsidRPr="007F18E7" w:rsidRDefault="00880DBB" w:rsidP="00880DBB">
      <w:pPr>
        <w:pStyle w:val="af"/>
      </w:pPr>
      <w:r w:rsidRPr="007F18E7">
        <w:rPr>
          <w:lang w:val="fr-FR"/>
        </w:rPr>
        <w:tab/>
      </w:r>
      <w:r w:rsidRPr="00925AA7">
        <w:rPr>
          <w:rStyle w:val="a8"/>
        </w:rPr>
        <w:footnoteRef/>
      </w:r>
      <w:r>
        <w:tab/>
        <w:t xml:space="preserve">Управление Верховного комиссара по правам человека, </w:t>
      </w:r>
      <w:r w:rsidRPr="00282706">
        <w:rPr>
          <w:i/>
          <w:iCs/>
        </w:rPr>
        <w:t>Показатели соблюдения прав человека: руководство по количественной оценке и осуществлению</w:t>
      </w:r>
      <w:r>
        <w:t xml:space="preserve">, документ </w:t>
      </w:r>
      <w:r w:rsidRPr="00C447BA">
        <w:t>HR/PUB/12/5</w:t>
      </w:r>
      <w:r>
        <w:t>, 2012.</w:t>
      </w:r>
    </w:p>
  </w:footnote>
  <w:footnote w:id="11">
    <w:p w14:paraId="47589F90" w14:textId="3A27E4DC" w:rsidR="00880DBB" w:rsidRPr="007F18E7" w:rsidRDefault="00880DBB" w:rsidP="00880DBB">
      <w:pPr>
        <w:pStyle w:val="af"/>
        <w:rPr>
          <w:lang w:val="en-US"/>
        </w:rPr>
      </w:pPr>
      <w:r w:rsidRPr="00925AA7">
        <w:tab/>
      </w:r>
      <w:r w:rsidRPr="00925AA7">
        <w:rPr>
          <w:rStyle w:val="a8"/>
        </w:rPr>
        <w:footnoteRef/>
      </w:r>
      <w:r w:rsidRPr="007F18E7">
        <w:rPr>
          <w:lang w:val="en-US"/>
        </w:rPr>
        <w:tab/>
      </w:r>
      <w:r w:rsidRPr="007F18E7">
        <w:rPr>
          <w:lang w:val="en-US"/>
        </w:rPr>
        <w:tab/>
      </w:r>
      <w:hyperlink r:id="rId9" w:history="1">
        <w:r w:rsidRPr="00D932A4">
          <w:rPr>
            <w:rStyle w:val="a7"/>
            <w:lang w:val="en-US"/>
          </w:rPr>
          <w:t>E/C.12/MRT/CO/1</w:t>
        </w:r>
      </w:hyperlink>
      <w:r w:rsidRPr="007F18E7">
        <w:rPr>
          <w:lang w:val="en-US"/>
        </w:rPr>
        <w:t xml:space="preserve">, </w:t>
      </w:r>
      <w:r>
        <w:t>пп</w:t>
      </w:r>
      <w:r w:rsidRPr="007F18E7">
        <w:rPr>
          <w:lang w:val="en-US"/>
        </w:rPr>
        <w:t xml:space="preserve">. 10 </w:t>
      </w:r>
      <w:r>
        <w:t>и</w:t>
      </w:r>
      <w:r w:rsidRPr="007F18E7">
        <w:rPr>
          <w:lang w:val="en-US"/>
        </w:rPr>
        <w:t xml:space="preserve"> 11.</w:t>
      </w:r>
    </w:p>
  </w:footnote>
  <w:footnote w:id="12">
    <w:p w14:paraId="2DEE35CC" w14:textId="0CAD9D14" w:rsidR="00880DBB" w:rsidRPr="007F18E7" w:rsidRDefault="00880DBB" w:rsidP="00880DBB">
      <w:pPr>
        <w:pStyle w:val="af"/>
        <w:rPr>
          <w:lang w:val="en-US"/>
        </w:rPr>
      </w:pPr>
      <w:r w:rsidRPr="007F18E7">
        <w:rPr>
          <w:lang w:val="en-US"/>
        </w:rPr>
        <w:tab/>
      </w:r>
      <w:r w:rsidRPr="00925AA7">
        <w:rPr>
          <w:rStyle w:val="a8"/>
        </w:rPr>
        <w:footnoteRef/>
      </w:r>
      <w:r w:rsidRPr="007F18E7">
        <w:rPr>
          <w:lang w:val="en-US"/>
        </w:rPr>
        <w:tab/>
      </w:r>
      <w:r>
        <w:t>См</w:t>
      </w:r>
      <w:r w:rsidRPr="007F18E7">
        <w:rPr>
          <w:lang w:val="en-US"/>
        </w:rPr>
        <w:t xml:space="preserve">. </w:t>
      </w:r>
      <w:hyperlink r:id="rId10" w:history="1">
        <w:r w:rsidRPr="00D932A4">
          <w:rPr>
            <w:rStyle w:val="a7"/>
            <w:lang w:val="en-US"/>
          </w:rPr>
          <w:t>CEDAW/C/MRT/CO/4</w:t>
        </w:r>
      </w:hyperlink>
      <w:r w:rsidRPr="007F18E7">
        <w:rPr>
          <w:lang w:val="en-US"/>
        </w:rPr>
        <w:t>.</w:t>
      </w:r>
    </w:p>
  </w:footnote>
  <w:footnote w:id="13">
    <w:p w14:paraId="2692AED3" w14:textId="46B5F420" w:rsidR="00880DBB" w:rsidRPr="007F18E7" w:rsidRDefault="00880DBB" w:rsidP="00880DBB">
      <w:pPr>
        <w:pStyle w:val="af"/>
        <w:rPr>
          <w:lang w:val="en-US"/>
        </w:rPr>
      </w:pPr>
      <w:r w:rsidRPr="007F18E7">
        <w:rPr>
          <w:lang w:val="en-US"/>
        </w:rPr>
        <w:tab/>
      </w:r>
      <w:r w:rsidRPr="00925AA7">
        <w:rPr>
          <w:rStyle w:val="a8"/>
        </w:rPr>
        <w:footnoteRef/>
      </w:r>
      <w:r w:rsidRPr="007F18E7">
        <w:rPr>
          <w:lang w:val="en-US"/>
        </w:rPr>
        <w:t xml:space="preserve"> </w:t>
      </w:r>
      <w:r w:rsidRPr="007F18E7">
        <w:rPr>
          <w:lang w:val="en-US"/>
        </w:rPr>
        <w:tab/>
      </w:r>
      <w:r w:rsidRPr="007F18E7">
        <w:rPr>
          <w:lang w:val="en-US"/>
        </w:rPr>
        <w:tab/>
      </w:r>
      <w:r>
        <w:t>См</w:t>
      </w:r>
      <w:r w:rsidRPr="007F18E7">
        <w:rPr>
          <w:lang w:val="en-US"/>
        </w:rPr>
        <w:t xml:space="preserve">. </w:t>
      </w:r>
      <w:hyperlink r:id="rId11" w:history="1">
        <w:r w:rsidRPr="00D932A4">
          <w:rPr>
            <w:rStyle w:val="a7"/>
            <w:lang w:val="en-US"/>
          </w:rPr>
          <w:t>A/HRC/54/30/Add.2</w:t>
        </w:r>
      </w:hyperlink>
      <w:r w:rsidRPr="007F18E7">
        <w:rPr>
          <w:lang w:val="en-US"/>
        </w:rPr>
        <w:t>.</w:t>
      </w:r>
    </w:p>
  </w:footnote>
  <w:footnote w:id="14">
    <w:p w14:paraId="644994B7" w14:textId="3EA873FC" w:rsidR="00880DBB" w:rsidRPr="007F18E7" w:rsidRDefault="00880DBB" w:rsidP="00880DBB">
      <w:pPr>
        <w:pStyle w:val="af"/>
        <w:rPr>
          <w:lang w:val="en-US"/>
        </w:rPr>
      </w:pPr>
      <w:r w:rsidRPr="007F18E7">
        <w:rPr>
          <w:lang w:val="en-US"/>
        </w:rPr>
        <w:tab/>
      </w:r>
      <w:r w:rsidRPr="00925AA7">
        <w:rPr>
          <w:rStyle w:val="a8"/>
        </w:rPr>
        <w:footnoteRef/>
      </w:r>
      <w:r w:rsidRPr="007F18E7">
        <w:rPr>
          <w:lang w:val="en-US"/>
        </w:rPr>
        <w:tab/>
      </w:r>
      <w:hyperlink r:id="rId12" w:history="1">
        <w:r w:rsidRPr="00D932A4">
          <w:rPr>
            <w:rStyle w:val="a7"/>
            <w:lang w:val="en-US"/>
          </w:rPr>
          <w:t>E/C.12/2015/1</w:t>
        </w:r>
      </w:hyperlink>
      <w:r w:rsidRPr="007F18E7">
        <w:rPr>
          <w:lang w:val="en-US"/>
        </w:rPr>
        <w:t>.</w:t>
      </w:r>
    </w:p>
  </w:footnote>
  <w:footnote w:id="15">
    <w:p w14:paraId="75DB15EE" w14:textId="5473F621" w:rsidR="00880DBB" w:rsidRPr="007F18E7" w:rsidRDefault="00880DBB" w:rsidP="00880DBB">
      <w:pPr>
        <w:pStyle w:val="af"/>
        <w:rPr>
          <w:lang w:val="en-US"/>
        </w:rPr>
      </w:pPr>
      <w:r w:rsidRPr="007F18E7">
        <w:rPr>
          <w:lang w:val="en-US"/>
        </w:rPr>
        <w:tab/>
      </w:r>
      <w:r w:rsidRPr="00925AA7">
        <w:rPr>
          <w:rStyle w:val="a8"/>
        </w:rPr>
        <w:footnoteRef/>
      </w:r>
      <w:r w:rsidRPr="007F18E7">
        <w:rPr>
          <w:lang w:val="en-US"/>
        </w:rPr>
        <w:tab/>
      </w:r>
      <w:hyperlink r:id="rId13" w:history="1">
        <w:r w:rsidRPr="00D932A4">
          <w:rPr>
            <w:rStyle w:val="a7"/>
            <w:lang w:val="en-US"/>
          </w:rPr>
          <w:t>E/C.12/2001/10</w:t>
        </w:r>
      </w:hyperlink>
      <w:r w:rsidRPr="007F18E7">
        <w:rPr>
          <w:lang w:val="en-US"/>
        </w:rPr>
        <w:t>.</w:t>
      </w:r>
    </w:p>
  </w:footnote>
  <w:footnote w:id="16">
    <w:p w14:paraId="70E5496A" w14:textId="485DE731" w:rsidR="00880DBB" w:rsidRPr="007F18E7" w:rsidRDefault="00880DBB" w:rsidP="00880DBB">
      <w:pPr>
        <w:pStyle w:val="af"/>
        <w:rPr>
          <w:lang w:val="en-US"/>
        </w:rPr>
      </w:pPr>
      <w:r w:rsidRPr="007F18E7">
        <w:rPr>
          <w:lang w:val="en-US"/>
        </w:rPr>
        <w:tab/>
      </w:r>
      <w:r w:rsidRPr="00925AA7">
        <w:rPr>
          <w:rStyle w:val="a8"/>
        </w:rPr>
        <w:footnoteRef/>
      </w:r>
      <w:r w:rsidRPr="007F18E7">
        <w:rPr>
          <w:lang w:val="en-US"/>
        </w:rPr>
        <w:tab/>
      </w:r>
      <w:r w:rsidRPr="007F18E7">
        <w:rPr>
          <w:lang w:val="en-US"/>
        </w:rPr>
        <w:tab/>
      </w:r>
      <w:hyperlink r:id="rId14" w:history="1">
        <w:r w:rsidRPr="00D932A4">
          <w:rPr>
            <w:rStyle w:val="a7"/>
            <w:lang w:val="en-US"/>
          </w:rPr>
          <w:t>E/C.12/MRT/CO/1</w:t>
        </w:r>
      </w:hyperlink>
      <w:r w:rsidRPr="007F18E7">
        <w:rPr>
          <w:lang w:val="en-US"/>
        </w:rPr>
        <w:t xml:space="preserve">, </w:t>
      </w:r>
      <w:r>
        <w:t>п</w:t>
      </w:r>
      <w:r w:rsidRPr="007F18E7">
        <w:rPr>
          <w:lang w:val="en-US"/>
        </w:rPr>
        <w:t>. 8.</w:t>
      </w:r>
    </w:p>
  </w:footnote>
  <w:footnote w:id="17">
    <w:p w14:paraId="273E4E63" w14:textId="77777777" w:rsidR="00880DBB" w:rsidRPr="007F18E7" w:rsidRDefault="00880DBB" w:rsidP="00880DBB">
      <w:pPr>
        <w:pStyle w:val="af"/>
      </w:pPr>
      <w:r w:rsidRPr="007F18E7">
        <w:rPr>
          <w:lang w:val="en-US"/>
        </w:rPr>
        <w:tab/>
      </w:r>
      <w:r w:rsidRPr="00925AA7">
        <w:rPr>
          <w:rStyle w:val="a8"/>
        </w:rPr>
        <w:footnoteRef/>
      </w:r>
      <w:r>
        <w:tab/>
        <w:t xml:space="preserve">Всемирная организация здравоохранения, </w:t>
      </w:r>
      <w:r>
        <w:rPr>
          <w:i/>
          <w:iCs/>
        </w:rPr>
        <w:t>Руководство по уходу при прерывании беременности</w:t>
      </w:r>
      <w:r>
        <w:t>, Женева, 2022.</w:t>
      </w:r>
    </w:p>
  </w:footnote>
  <w:footnote w:id="18">
    <w:p w14:paraId="1C51EE94" w14:textId="5FEFC736" w:rsidR="00880DBB" w:rsidRPr="005C787C" w:rsidRDefault="00880DBB" w:rsidP="00880DBB">
      <w:pPr>
        <w:pStyle w:val="af"/>
      </w:pPr>
      <w:r w:rsidRPr="00925AA7">
        <w:tab/>
      </w:r>
      <w:r w:rsidRPr="00925AA7">
        <w:rPr>
          <w:rStyle w:val="a8"/>
        </w:rPr>
        <w:footnoteRef/>
      </w:r>
      <w:r>
        <w:tab/>
      </w:r>
      <w:hyperlink r:id="rId15" w:history="1">
        <w:r w:rsidRPr="00D932A4">
          <w:rPr>
            <w:rStyle w:val="a7"/>
          </w:rPr>
          <w:t>A/HRC/21/22</w:t>
        </w:r>
      </w:hyperlink>
      <w:r>
        <w:t>.</w:t>
      </w:r>
    </w:p>
  </w:footnote>
  <w:footnote w:id="19">
    <w:p w14:paraId="0E3A699A" w14:textId="04DBCC88" w:rsidR="00880DBB" w:rsidRPr="001329CF" w:rsidRDefault="00880DBB" w:rsidP="00880DBB">
      <w:pPr>
        <w:pStyle w:val="af"/>
        <w:rPr>
          <w:sz w:val="16"/>
          <w:szCs w:val="16"/>
        </w:rPr>
      </w:pPr>
      <w:r w:rsidRPr="003665F1">
        <w:rPr>
          <w:sz w:val="16"/>
          <w:szCs w:val="16"/>
        </w:rPr>
        <w:tab/>
      </w:r>
      <w:r w:rsidRPr="00925AA7">
        <w:rPr>
          <w:rStyle w:val="a8"/>
        </w:rPr>
        <w:footnoteRef/>
      </w:r>
      <w:r>
        <w:tab/>
      </w:r>
      <w:hyperlink r:id="rId16" w:history="1">
        <w:r w:rsidRPr="00D932A4">
          <w:rPr>
            <w:rStyle w:val="a7"/>
          </w:rPr>
          <w:t>E/C.12/2019/1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9EC1C" w14:textId="2B6D62BB" w:rsidR="00880DBB" w:rsidRPr="00880DBB" w:rsidRDefault="00880DBB">
    <w:pPr>
      <w:pStyle w:val="a5"/>
    </w:pPr>
    <w:fldSimple w:instr=" TITLE  \* MERGEFORMAT ">
      <w:r w:rsidR="00883513">
        <w:t>E/C.12/MRT/CO/2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F3961" w14:textId="7D884A14" w:rsidR="00880DBB" w:rsidRPr="00880DBB" w:rsidRDefault="00880DBB" w:rsidP="00880DBB">
    <w:pPr>
      <w:pStyle w:val="a5"/>
      <w:jc w:val="right"/>
    </w:pPr>
    <w:fldSimple w:instr=" TITLE  \* MERGEFORMAT ">
      <w:r w:rsidR="00883513">
        <w:t>E/C.12/MRT/CO/2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83515647">
    <w:abstractNumId w:val="16"/>
  </w:num>
  <w:num w:numId="2" w16cid:durableId="165480186">
    <w:abstractNumId w:val="11"/>
  </w:num>
  <w:num w:numId="3" w16cid:durableId="797145407">
    <w:abstractNumId w:val="10"/>
  </w:num>
  <w:num w:numId="4" w16cid:durableId="2098402380">
    <w:abstractNumId w:val="17"/>
  </w:num>
  <w:num w:numId="5" w16cid:durableId="1213663139">
    <w:abstractNumId w:val="13"/>
  </w:num>
  <w:num w:numId="6" w16cid:durableId="1483742281">
    <w:abstractNumId w:val="8"/>
  </w:num>
  <w:num w:numId="7" w16cid:durableId="1972008872">
    <w:abstractNumId w:val="3"/>
  </w:num>
  <w:num w:numId="8" w16cid:durableId="1296915218">
    <w:abstractNumId w:val="2"/>
  </w:num>
  <w:num w:numId="9" w16cid:durableId="225263847">
    <w:abstractNumId w:val="1"/>
  </w:num>
  <w:num w:numId="10" w16cid:durableId="977731691">
    <w:abstractNumId w:val="0"/>
  </w:num>
  <w:num w:numId="11" w16cid:durableId="2060740775">
    <w:abstractNumId w:val="9"/>
  </w:num>
  <w:num w:numId="12" w16cid:durableId="1575359716">
    <w:abstractNumId w:val="7"/>
  </w:num>
  <w:num w:numId="13" w16cid:durableId="510802238">
    <w:abstractNumId w:val="6"/>
  </w:num>
  <w:num w:numId="14" w16cid:durableId="1008367470">
    <w:abstractNumId w:val="5"/>
  </w:num>
  <w:num w:numId="15" w16cid:durableId="1640961470">
    <w:abstractNumId w:val="4"/>
  </w:num>
  <w:num w:numId="16" w16cid:durableId="162210492">
    <w:abstractNumId w:val="15"/>
  </w:num>
  <w:num w:numId="17" w16cid:durableId="1171027790">
    <w:abstractNumId w:val="12"/>
  </w:num>
  <w:num w:numId="18" w16cid:durableId="443505298">
    <w:abstractNumId w:val="14"/>
  </w:num>
  <w:num w:numId="19" w16cid:durableId="1228803418">
    <w:abstractNumId w:val="15"/>
  </w:num>
  <w:num w:numId="20" w16cid:durableId="564492139">
    <w:abstractNumId w:val="12"/>
  </w:num>
  <w:num w:numId="21" w16cid:durableId="1685746452">
    <w:abstractNumId w:val="14"/>
  </w:num>
  <w:num w:numId="22" w16cid:durableId="795373002">
    <w:abstractNumId w:val="15"/>
  </w:num>
  <w:num w:numId="23" w16cid:durableId="1438671887">
    <w:abstractNumId w:val="12"/>
  </w:num>
  <w:num w:numId="24" w16cid:durableId="758906972">
    <w:abstractNumId w:val="14"/>
  </w:num>
  <w:num w:numId="25" w16cid:durableId="1085809168">
    <w:abstractNumId w:val="15"/>
  </w:num>
  <w:num w:numId="26" w16cid:durableId="2042632279">
    <w:abstractNumId w:val="12"/>
  </w:num>
  <w:num w:numId="27" w16cid:durableId="255287582">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D51"/>
    <w:rsid w:val="000041D5"/>
    <w:rsid w:val="00033EE1"/>
    <w:rsid w:val="00042B72"/>
    <w:rsid w:val="00043B08"/>
    <w:rsid w:val="000558BD"/>
    <w:rsid w:val="00056A94"/>
    <w:rsid w:val="000857D2"/>
    <w:rsid w:val="000B3B07"/>
    <w:rsid w:val="000B57E7"/>
    <w:rsid w:val="000B6373"/>
    <w:rsid w:val="000F09DF"/>
    <w:rsid w:val="000F61B2"/>
    <w:rsid w:val="001075E9"/>
    <w:rsid w:val="001253D8"/>
    <w:rsid w:val="0014152F"/>
    <w:rsid w:val="00142F5E"/>
    <w:rsid w:val="001623B6"/>
    <w:rsid w:val="00180183"/>
    <w:rsid w:val="0018024D"/>
    <w:rsid w:val="0018649F"/>
    <w:rsid w:val="00196389"/>
    <w:rsid w:val="001B3EF6"/>
    <w:rsid w:val="001C7A89"/>
    <w:rsid w:val="001D5C5A"/>
    <w:rsid w:val="00203065"/>
    <w:rsid w:val="00210C73"/>
    <w:rsid w:val="002979E2"/>
    <w:rsid w:val="002A2EFC"/>
    <w:rsid w:val="002B74B1"/>
    <w:rsid w:val="002C0E18"/>
    <w:rsid w:val="002D5AAC"/>
    <w:rsid w:val="002E5067"/>
    <w:rsid w:val="002F405F"/>
    <w:rsid w:val="002F7011"/>
    <w:rsid w:val="002F7EEC"/>
    <w:rsid w:val="00301299"/>
    <w:rsid w:val="00305C08"/>
    <w:rsid w:val="00307FB6"/>
    <w:rsid w:val="00317339"/>
    <w:rsid w:val="00322004"/>
    <w:rsid w:val="003402C2"/>
    <w:rsid w:val="003446CC"/>
    <w:rsid w:val="00381C24"/>
    <w:rsid w:val="003958D0"/>
    <w:rsid w:val="003A0D43"/>
    <w:rsid w:val="003B00E5"/>
    <w:rsid w:val="003C0275"/>
    <w:rsid w:val="003D6B66"/>
    <w:rsid w:val="00407B78"/>
    <w:rsid w:val="00424203"/>
    <w:rsid w:val="0042551A"/>
    <w:rsid w:val="00452493"/>
    <w:rsid w:val="00453318"/>
    <w:rsid w:val="00454E07"/>
    <w:rsid w:val="00472C5C"/>
    <w:rsid w:val="0050108D"/>
    <w:rsid w:val="00513081"/>
    <w:rsid w:val="00517901"/>
    <w:rsid w:val="00526683"/>
    <w:rsid w:val="005709E0"/>
    <w:rsid w:val="00572E19"/>
    <w:rsid w:val="005961C8"/>
    <w:rsid w:val="005966F1"/>
    <w:rsid w:val="005B2F86"/>
    <w:rsid w:val="005D7914"/>
    <w:rsid w:val="005E2B41"/>
    <w:rsid w:val="005F0B42"/>
    <w:rsid w:val="005F1707"/>
    <w:rsid w:val="00640F49"/>
    <w:rsid w:val="00681A10"/>
    <w:rsid w:val="006A16E3"/>
    <w:rsid w:val="006A1ED8"/>
    <w:rsid w:val="006C2031"/>
    <w:rsid w:val="006D461A"/>
    <w:rsid w:val="006F35EE"/>
    <w:rsid w:val="007021FF"/>
    <w:rsid w:val="00712895"/>
    <w:rsid w:val="00734ACB"/>
    <w:rsid w:val="00757357"/>
    <w:rsid w:val="00792497"/>
    <w:rsid w:val="00806737"/>
    <w:rsid w:val="00811570"/>
    <w:rsid w:val="00825F8D"/>
    <w:rsid w:val="00834B71"/>
    <w:rsid w:val="0086445C"/>
    <w:rsid w:val="00880DBB"/>
    <w:rsid w:val="00881771"/>
    <w:rsid w:val="00883513"/>
    <w:rsid w:val="00894693"/>
    <w:rsid w:val="00896BA2"/>
    <w:rsid w:val="008A08D7"/>
    <w:rsid w:val="008B6909"/>
    <w:rsid w:val="008C30BC"/>
    <w:rsid w:val="00906890"/>
    <w:rsid w:val="00911BE4"/>
    <w:rsid w:val="00947D51"/>
    <w:rsid w:val="00951972"/>
    <w:rsid w:val="009608F3"/>
    <w:rsid w:val="009A24AC"/>
    <w:rsid w:val="00A14DA8"/>
    <w:rsid w:val="00A21F00"/>
    <w:rsid w:val="00A312BC"/>
    <w:rsid w:val="00A84021"/>
    <w:rsid w:val="00A84D35"/>
    <w:rsid w:val="00A917B3"/>
    <w:rsid w:val="00AB2DBD"/>
    <w:rsid w:val="00AB4B51"/>
    <w:rsid w:val="00AC3430"/>
    <w:rsid w:val="00B10CC7"/>
    <w:rsid w:val="00B36DF7"/>
    <w:rsid w:val="00B520D9"/>
    <w:rsid w:val="00B539E7"/>
    <w:rsid w:val="00B62458"/>
    <w:rsid w:val="00BC18B2"/>
    <w:rsid w:val="00BD33EE"/>
    <w:rsid w:val="00BF21E1"/>
    <w:rsid w:val="00C106D6"/>
    <w:rsid w:val="00C447BA"/>
    <w:rsid w:val="00C60F0C"/>
    <w:rsid w:val="00C805C9"/>
    <w:rsid w:val="00C92939"/>
    <w:rsid w:val="00CA1679"/>
    <w:rsid w:val="00CB151C"/>
    <w:rsid w:val="00CE5A1A"/>
    <w:rsid w:val="00CF55F6"/>
    <w:rsid w:val="00D1565E"/>
    <w:rsid w:val="00D33D63"/>
    <w:rsid w:val="00D34308"/>
    <w:rsid w:val="00D5253A"/>
    <w:rsid w:val="00D62A45"/>
    <w:rsid w:val="00D90028"/>
    <w:rsid w:val="00D90138"/>
    <w:rsid w:val="00D932A4"/>
    <w:rsid w:val="00DD44B1"/>
    <w:rsid w:val="00DD78D1"/>
    <w:rsid w:val="00DE32CD"/>
    <w:rsid w:val="00DF71B9"/>
    <w:rsid w:val="00E73F76"/>
    <w:rsid w:val="00E90403"/>
    <w:rsid w:val="00EA2C9F"/>
    <w:rsid w:val="00EA420E"/>
    <w:rsid w:val="00ED0BDA"/>
    <w:rsid w:val="00EE142A"/>
    <w:rsid w:val="00EF1360"/>
    <w:rsid w:val="00EF3220"/>
    <w:rsid w:val="00F43903"/>
    <w:rsid w:val="00F471DE"/>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3CE0A6"/>
  <w15:docId w15:val="{94D4FBA4-350A-4BCE-AEB0-A538D9121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96BA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1253D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811570"/>
    <w:pPr>
      <w:keepNext/>
      <w:outlineLvl w:val="1"/>
    </w:pPr>
    <w:rPr>
      <w:rFonts w:cs="Arial"/>
      <w:bCs/>
      <w:iCs/>
      <w:szCs w:val="28"/>
    </w:rPr>
  </w:style>
  <w:style w:type="paragraph" w:styleId="3">
    <w:name w:val="heading 3"/>
    <w:basedOn w:val="a"/>
    <w:next w:val="a"/>
    <w:semiHidden/>
    <w:rsid w:val="00811570"/>
    <w:pPr>
      <w:keepNext/>
      <w:spacing w:before="240" w:after="60"/>
      <w:outlineLvl w:val="2"/>
    </w:pPr>
    <w:rPr>
      <w:rFonts w:ascii="Arial" w:hAnsi="Arial" w:cs="Arial"/>
      <w:b/>
      <w:bCs/>
      <w:sz w:val="26"/>
      <w:szCs w:val="26"/>
    </w:rPr>
  </w:style>
  <w:style w:type="paragraph" w:styleId="4">
    <w:name w:val="heading 4"/>
    <w:basedOn w:val="a"/>
    <w:next w:val="a"/>
    <w:semiHidden/>
    <w:rsid w:val="00811570"/>
    <w:pPr>
      <w:keepNext/>
      <w:spacing w:before="240" w:after="60"/>
      <w:outlineLvl w:val="3"/>
    </w:pPr>
    <w:rPr>
      <w:b/>
      <w:bCs/>
      <w:sz w:val="28"/>
      <w:szCs w:val="28"/>
    </w:rPr>
  </w:style>
  <w:style w:type="paragraph" w:styleId="5">
    <w:name w:val="heading 5"/>
    <w:basedOn w:val="a"/>
    <w:next w:val="a"/>
    <w:semiHidden/>
    <w:rsid w:val="00811570"/>
    <w:pPr>
      <w:spacing w:before="240" w:after="60"/>
      <w:outlineLvl w:val="4"/>
    </w:pPr>
    <w:rPr>
      <w:b/>
      <w:bCs/>
      <w:i/>
      <w:iCs/>
      <w:sz w:val="26"/>
      <w:szCs w:val="26"/>
    </w:rPr>
  </w:style>
  <w:style w:type="paragraph" w:styleId="6">
    <w:name w:val="heading 6"/>
    <w:basedOn w:val="a"/>
    <w:next w:val="a"/>
    <w:semiHidden/>
    <w:rsid w:val="00811570"/>
    <w:pPr>
      <w:spacing w:before="240" w:after="60"/>
      <w:outlineLvl w:val="5"/>
    </w:pPr>
    <w:rPr>
      <w:b/>
      <w:bCs/>
      <w:sz w:val="22"/>
    </w:rPr>
  </w:style>
  <w:style w:type="paragraph" w:styleId="7">
    <w:name w:val="heading 7"/>
    <w:basedOn w:val="a"/>
    <w:next w:val="a"/>
    <w:semiHidden/>
    <w:rsid w:val="00811570"/>
    <w:pPr>
      <w:spacing w:before="240" w:after="60"/>
      <w:outlineLvl w:val="6"/>
    </w:pPr>
    <w:rPr>
      <w:sz w:val="24"/>
      <w:szCs w:val="24"/>
    </w:rPr>
  </w:style>
  <w:style w:type="paragraph" w:styleId="8">
    <w:name w:val="heading 8"/>
    <w:basedOn w:val="a"/>
    <w:next w:val="a"/>
    <w:semiHidden/>
    <w:rsid w:val="00811570"/>
    <w:pPr>
      <w:spacing w:before="240" w:after="60"/>
      <w:outlineLvl w:val="7"/>
    </w:pPr>
    <w:rPr>
      <w:i/>
      <w:iCs/>
      <w:sz w:val="24"/>
      <w:szCs w:val="24"/>
    </w:rPr>
  </w:style>
  <w:style w:type="paragraph" w:styleId="9">
    <w:name w:val="heading 9"/>
    <w:basedOn w:val="a"/>
    <w:next w:val="a"/>
    <w:semiHidden/>
    <w:rsid w:val="0081157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811570"/>
    <w:pPr>
      <w:spacing w:line="240" w:lineRule="auto"/>
    </w:pPr>
    <w:rPr>
      <w:rFonts w:ascii="Tahoma" w:hAnsi="Tahoma" w:cs="Tahoma"/>
      <w:sz w:val="16"/>
      <w:szCs w:val="16"/>
    </w:rPr>
  </w:style>
  <w:style w:type="character" w:customStyle="1" w:styleId="a4">
    <w:name w:val="Текст выноски Знак"/>
    <w:basedOn w:val="a0"/>
    <w:link w:val="a3"/>
    <w:semiHidden/>
    <w:rsid w:val="00811570"/>
    <w:rPr>
      <w:rFonts w:ascii="Tahoma" w:eastAsiaTheme="minorHAnsi" w:hAnsi="Tahoma" w:cs="Tahoma"/>
      <w:spacing w:val="4"/>
      <w:w w:val="103"/>
      <w:kern w:val="14"/>
      <w:sz w:val="16"/>
      <w:szCs w:val="16"/>
      <w:lang w:val="ru-RU" w:eastAsia="en-US"/>
    </w:rPr>
  </w:style>
  <w:style w:type="paragraph" w:customStyle="1" w:styleId="HMG">
    <w:name w:val="_ H __M_G"/>
    <w:basedOn w:val="a"/>
    <w:next w:val="a"/>
    <w:qFormat/>
    <w:rsid w:val="001253D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1253D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link w:val="H1GChar"/>
    <w:qFormat/>
    <w:rsid w:val="001253D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1253D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1253D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1253D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uiPriority w:val="99"/>
    <w:qFormat/>
    <w:rsid w:val="008817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1253D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1253D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1253D8"/>
    <w:pPr>
      <w:numPr>
        <w:numId w:val="25"/>
      </w:numPr>
      <w:spacing w:after="120"/>
      <w:ind w:right="1134"/>
      <w:jc w:val="both"/>
    </w:pPr>
    <w:rPr>
      <w:rFonts w:eastAsia="Times New Roman" w:cs="Times New Roman"/>
      <w:szCs w:val="20"/>
      <w:lang w:eastAsia="ru-RU"/>
    </w:rPr>
  </w:style>
  <w:style w:type="paragraph" w:customStyle="1" w:styleId="Bullet2G">
    <w:name w:val="_Bullet 2_G"/>
    <w:basedOn w:val="a"/>
    <w:qFormat/>
    <w:rsid w:val="001253D8"/>
    <w:pPr>
      <w:numPr>
        <w:numId w:val="26"/>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881771"/>
    <w:pPr>
      <w:numPr>
        <w:numId w:val="27"/>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1253D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1253D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1253D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1253D8"/>
    <w:rPr>
      <w:b/>
      <w:sz w:val="18"/>
      <w:lang w:val="en-GB" w:eastAsia="ru-RU"/>
    </w:rPr>
  </w:style>
  <w:style w:type="character" w:styleId="a7">
    <w:name w:val="Hyperlink"/>
    <w:basedOn w:val="a0"/>
    <w:rsid w:val="001253D8"/>
    <w:rPr>
      <w:color w:val="0000FF"/>
      <w:u w:val="none"/>
    </w:rPr>
  </w:style>
  <w:style w:type="character" w:styleId="a8">
    <w:name w:val="footnote reference"/>
    <w:aliases w:val="4_G,Footnotes refss,Texto de nota al pie,Appel note de bas de page,referencia nota al pie,BVI fnr,Footnote number,Ref. de nota al pie.,16 Point,Superscript 6 Point,Texto nota al pie,Footnote Reference Char3,Footnote symbol"/>
    <w:basedOn w:val="a0"/>
    <w:link w:val="BVIfnrCar1CarCarCarCar"/>
    <w:qFormat/>
    <w:rsid w:val="001253D8"/>
    <w:rPr>
      <w:rFonts w:ascii="Times New Roman" w:hAnsi="Times New Roman"/>
      <w:dstrike w:val="0"/>
      <w:sz w:val="18"/>
      <w:vertAlign w:val="superscript"/>
    </w:rPr>
  </w:style>
  <w:style w:type="character" w:styleId="a9">
    <w:name w:val="endnote reference"/>
    <w:aliases w:val="1_G"/>
    <w:basedOn w:val="a8"/>
    <w:qFormat/>
    <w:rsid w:val="001253D8"/>
    <w:rPr>
      <w:rFonts w:ascii="Times New Roman" w:hAnsi="Times New Roman"/>
      <w:dstrike w:val="0"/>
      <w:sz w:val="18"/>
      <w:vertAlign w:val="superscript"/>
    </w:rPr>
  </w:style>
  <w:style w:type="paragraph" w:styleId="aa">
    <w:name w:val="footer"/>
    <w:aliases w:val="3_G"/>
    <w:basedOn w:val="a"/>
    <w:link w:val="ab"/>
    <w:qFormat/>
    <w:rsid w:val="001253D8"/>
    <w:pPr>
      <w:tabs>
        <w:tab w:val="right" w:pos="9639"/>
      </w:tabs>
    </w:pPr>
    <w:rPr>
      <w:rFonts w:eastAsia="Times New Roman" w:cs="Times New Roman"/>
      <w:sz w:val="16"/>
      <w:szCs w:val="20"/>
      <w:lang w:val="en-GB" w:eastAsia="ru-RU"/>
    </w:rPr>
  </w:style>
  <w:style w:type="character" w:customStyle="1" w:styleId="ab">
    <w:name w:val="Нижний колонтитул Знак"/>
    <w:aliases w:val="3_G Знак"/>
    <w:basedOn w:val="a0"/>
    <w:link w:val="aa"/>
    <w:rsid w:val="001253D8"/>
    <w:rPr>
      <w:sz w:val="16"/>
      <w:lang w:val="en-GB" w:eastAsia="ru-RU"/>
    </w:rPr>
  </w:style>
  <w:style w:type="character" w:styleId="ac">
    <w:name w:val="page number"/>
    <w:aliases w:val="7_G"/>
    <w:basedOn w:val="a0"/>
    <w:qFormat/>
    <w:rsid w:val="001253D8"/>
    <w:rPr>
      <w:rFonts w:ascii="Times New Roman" w:hAnsi="Times New Roman"/>
      <w:b/>
      <w:sz w:val="18"/>
    </w:rPr>
  </w:style>
  <w:style w:type="character" w:styleId="ad">
    <w:name w:val="FollowedHyperlink"/>
    <w:basedOn w:val="a0"/>
    <w:rsid w:val="001253D8"/>
    <w:rPr>
      <w:color w:val="0000FF"/>
      <w:u w:val="none"/>
    </w:rPr>
  </w:style>
  <w:style w:type="table" w:styleId="ae">
    <w:name w:val="Table Grid"/>
    <w:basedOn w:val="a1"/>
    <w:uiPriority w:val="59"/>
    <w:rsid w:val="00896BA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
    <w:name w:val="footnote text"/>
    <w:aliases w:val="5_G"/>
    <w:basedOn w:val="a"/>
    <w:link w:val="af0"/>
    <w:qFormat/>
    <w:rsid w:val="001253D8"/>
    <w:pPr>
      <w:tabs>
        <w:tab w:val="right" w:pos="1021"/>
      </w:tabs>
      <w:spacing w:line="220" w:lineRule="exact"/>
      <w:ind w:left="1134" w:right="1134" w:hanging="1134"/>
    </w:pPr>
    <w:rPr>
      <w:rFonts w:eastAsia="Times New Roman" w:cs="Times New Roman"/>
      <w:sz w:val="18"/>
      <w:szCs w:val="20"/>
      <w:lang w:eastAsia="ru-RU"/>
    </w:rPr>
  </w:style>
  <w:style w:type="character" w:customStyle="1" w:styleId="af0">
    <w:name w:val="Текст сноски Знак"/>
    <w:aliases w:val="5_G Знак"/>
    <w:basedOn w:val="a0"/>
    <w:link w:val="af"/>
    <w:rsid w:val="001253D8"/>
    <w:rPr>
      <w:sz w:val="18"/>
      <w:lang w:val="ru-RU" w:eastAsia="ru-RU"/>
    </w:rPr>
  </w:style>
  <w:style w:type="character" w:customStyle="1" w:styleId="10">
    <w:name w:val="Заголовок 1 Знак"/>
    <w:aliases w:val="Table_G Знак"/>
    <w:basedOn w:val="a0"/>
    <w:link w:val="1"/>
    <w:rsid w:val="001253D8"/>
    <w:rPr>
      <w:rFonts w:cs="Arial"/>
      <w:b/>
      <w:bCs/>
      <w:szCs w:val="32"/>
      <w:lang w:val="ru-RU" w:eastAsia="ru-RU"/>
    </w:rPr>
  </w:style>
  <w:style w:type="paragraph" w:styleId="af1">
    <w:name w:val="endnote text"/>
    <w:aliases w:val="2_G"/>
    <w:basedOn w:val="af"/>
    <w:link w:val="af2"/>
    <w:qFormat/>
    <w:rsid w:val="001253D8"/>
  </w:style>
  <w:style w:type="character" w:customStyle="1" w:styleId="af2">
    <w:name w:val="Текст концевой сноски Знак"/>
    <w:aliases w:val="2_G Знак"/>
    <w:basedOn w:val="a0"/>
    <w:link w:val="af1"/>
    <w:rsid w:val="001253D8"/>
    <w:rPr>
      <w:sz w:val="18"/>
      <w:lang w:val="ru-RU" w:eastAsia="ru-RU"/>
    </w:rPr>
  </w:style>
  <w:style w:type="character" w:customStyle="1" w:styleId="HChGChar">
    <w:name w:val="_ H _Ch_G Char"/>
    <w:link w:val="HChG"/>
    <w:locked/>
    <w:rsid w:val="00880DBB"/>
    <w:rPr>
      <w:b/>
      <w:sz w:val="28"/>
      <w:lang w:val="ru-RU" w:eastAsia="ru-RU"/>
    </w:rPr>
  </w:style>
  <w:style w:type="character" w:customStyle="1" w:styleId="H1GChar">
    <w:name w:val="_ H_1_G Char"/>
    <w:link w:val="H1G"/>
    <w:locked/>
    <w:rsid w:val="00880DBB"/>
    <w:rPr>
      <w:b/>
      <w:sz w:val="24"/>
      <w:lang w:val="ru-RU" w:eastAsia="ru-RU"/>
    </w:rPr>
  </w:style>
  <w:style w:type="character" w:customStyle="1" w:styleId="SingleTxtGChar">
    <w:name w:val="_ Single Txt_G Char"/>
    <w:link w:val="SingleTxtG"/>
    <w:uiPriority w:val="99"/>
    <w:rsid w:val="00880DBB"/>
    <w:rPr>
      <w:lang w:val="ru-RU" w:eastAsia="en-US"/>
    </w:rPr>
  </w:style>
  <w:style w:type="character" w:customStyle="1" w:styleId="H23GChar">
    <w:name w:val="_ H_2/3_G Char"/>
    <w:link w:val="H23G"/>
    <w:locked/>
    <w:rsid w:val="00880DBB"/>
    <w:rPr>
      <w:b/>
      <w:lang w:val="ru-RU" w:eastAsia="ru-RU"/>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a"/>
    <w:link w:val="a8"/>
    <w:rsid w:val="00880DBB"/>
    <w:pPr>
      <w:suppressAutoHyphens w:val="0"/>
      <w:spacing w:before="200" w:after="160" w:line="240" w:lineRule="exact"/>
    </w:pPr>
    <w:rPr>
      <w:rFonts w:eastAsia="Times New Roman" w:cs="Times New Roman"/>
      <w:sz w:val="18"/>
      <w:szCs w:val="20"/>
      <w:vertAlign w:val="superscript"/>
      <w:lang w:val="es-ES" w:eastAsia="es-ES"/>
    </w:rPr>
  </w:style>
  <w:style w:type="character" w:styleId="af3">
    <w:name w:val="Unresolved Mention"/>
    <w:basedOn w:val="a0"/>
    <w:uiPriority w:val="99"/>
    <w:semiHidden/>
    <w:unhideWhenUsed/>
    <w:rsid w:val="00D932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E/C.12/2016/1" TargetMode="External"/><Relationship Id="rId13" Type="http://schemas.openxmlformats.org/officeDocument/2006/relationships/hyperlink" Target="http://undocs.org/ru/E/C.12/2001/10" TargetMode="External"/><Relationship Id="rId3" Type="http://schemas.openxmlformats.org/officeDocument/2006/relationships/hyperlink" Target="http://undocs.org/en/E/C.12/2024/SR.6" TargetMode="External"/><Relationship Id="rId7" Type="http://schemas.openxmlformats.org/officeDocument/2006/relationships/hyperlink" Target="http://undocs.org/ru/E/C.12/MRT/CO/1" TargetMode="External"/><Relationship Id="rId12" Type="http://schemas.openxmlformats.org/officeDocument/2006/relationships/hyperlink" Target="http://undocs.org/ru/E/C.12/2015/1" TargetMode="External"/><Relationship Id="rId2" Type="http://schemas.openxmlformats.org/officeDocument/2006/relationships/hyperlink" Target="http://undocs.org/en/E/C.12/2024/SR.4" TargetMode="External"/><Relationship Id="rId16" Type="http://schemas.openxmlformats.org/officeDocument/2006/relationships/hyperlink" Target="http://undocs.org/ru/E/C.12/2019/1" TargetMode="External"/><Relationship Id="rId1" Type="http://schemas.openxmlformats.org/officeDocument/2006/relationships/hyperlink" Target="http://undocs.org/fr/E/C.12/MRT/2" TargetMode="External"/><Relationship Id="rId6" Type="http://schemas.openxmlformats.org/officeDocument/2006/relationships/hyperlink" Target="http://undocs.org/ru/E/C.12/2016/2" TargetMode="External"/><Relationship Id="rId11" Type="http://schemas.openxmlformats.org/officeDocument/2006/relationships/hyperlink" Target="http://undocs.org/ru/A/HRC/54/30/Add.2" TargetMode="External"/><Relationship Id="rId5" Type="http://schemas.openxmlformats.org/officeDocument/2006/relationships/hyperlink" Target="http://undocs.org/ru/E/C.12/MRT/CO/1" TargetMode="External"/><Relationship Id="rId15" Type="http://schemas.openxmlformats.org/officeDocument/2006/relationships/hyperlink" Target="http://undocs.org/ru/A/HRC/21/22" TargetMode="External"/><Relationship Id="rId10" Type="http://schemas.openxmlformats.org/officeDocument/2006/relationships/hyperlink" Target="http://undocs.org/ru/CEDAW/C/MRT/CO/4" TargetMode="External"/><Relationship Id="rId4" Type="http://schemas.openxmlformats.org/officeDocument/2006/relationships/hyperlink" Target="http://undocs.org/fr/E/C.12/MRT/RQ/2" TargetMode="External"/><Relationship Id="rId9" Type="http://schemas.openxmlformats.org/officeDocument/2006/relationships/hyperlink" Target="http://undocs.org/ru/E/C.12/MRT/CO/1" TargetMode="External"/><Relationship Id="rId14" Type="http://schemas.openxmlformats.org/officeDocument/2006/relationships/hyperlink" Target="http://undocs.org/ru/E/C.12/MRT/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17</TotalTime>
  <Pages>16</Pages>
  <Words>6071</Words>
  <Characters>42733</Characters>
  <Application>Microsoft Office Word</Application>
  <DocSecurity>0</DocSecurity>
  <Lines>774</Lines>
  <Paragraphs>167</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E/C.12/MRT/CO/2</vt:lpstr>
      <vt:lpstr>A/</vt:lpstr>
      <vt:lpstr>A/</vt:lpstr>
    </vt:vector>
  </TitlesOfParts>
  <Company>DCM</Company>
  <LinksUpToDate>false</LinksUpToDate>
  <CharactersWithSpaces>48695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E/C.12/MRT/CO/2</dc:title>
  <dc:subject/>
  <dc:creator>Sharkina</dc:creator>
  <cp:keywords/>
  <cp:lastModifiedBy>Sharkina</cp:lastModifiedBy>
  <cp:revision>3</cp:revision>
  <cp:lastPrinted>2024-04-22T13:50:00Z</cp:lastPrinted>
  <dcterms:created xsi:type="dcterms:W3CDTF">2024-04-22T13:50:00Z</dcterms:created>
  <dcterms:modified xsi:type="dcterms:W3CDTF">2024-04-22T14:06:00Z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