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C17E6F">
        <w:tblPrEx>
          <w:tblCellMar>
            <w:top w:w="0" w:type="dxa"/>
            <w:bottom w:w="0" w:type="dxa"/>
          </w:tblCellMar>
        </w:tblPrEx>
        <w:tc>
          <w:tcPr>
            <w:tcW w:w="1559" w:type="dxa"/>
            <w:tcBorders>
              <w:bottom w:val="single" w:sz="8" w:space="0" w:color="auto"/>
            </w:tcBorders>
          </w:tcPr>
          <w:p w:rsidR="00C17E6F" w:rsidRDefault="00C17E6F">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C17E6F" w:rsidRDefault="00C17E6F">
            <w:pPr>
              <w:tabs>
                <w:tab w:val="right" w:pos="3195"/>
              </w:tabs>
              <w:ind w:hanging="1"/>
            </w:pPr>
          </w:p>
        </w:tc>
        <w:tc>
          <w:tcPr>
            <w:tcW w:w="3402" w:type="dxa"/>
            <w:tcBorders>
              <w:bottom w:val="single" w:sz="8" w:space="0" w:color="auto"/>
            </w:tcBorders>
          </w:tcPr>
          <w:p w:rsidR="00C17E6F" w:rsidRDefault="00C17E6F">
            <w:pPr>
              <w:tabs>
                <w:tab w:val="right" w:pos="3195"/>
              </w:tabs>
              <w:spacing w:after="120"/>
              <w:ind w:left="1134"/>
              <w:rPr>
                <w:b/>
                <w:bCs/>
                <w:sz w:val="72"/>
              </w:rPr>
            </w:pPr>
            <w:r>
              <w:rPr>
                <w:rFonts w:ascii="Arial" w:hAnsi="Arial"/>
                <w:b/>
                <w:bCs/>
                <w:sz w:val="72"/>
              </w:rPr>
              <w:t>CRC</w:t>
            </w:r>
          </w:p>
        </w:tc>
      </w:tr>
      <w:tr w:rsidR="00C17E6F">
        <w:tblPrEx>
          <w:tblCellMar>
            <w:top w:w="0" w:type="dxa"/>
            <w:bottom w:w="0" w:type="dxa"/>
          </w:tblCellMar>
        </w:tblPrEx>
        <w:trPr>
          <w:trHeight w:hRule="exact" w:val="2438"/>
        </w:trPr>
        <w:tc>
          <w:tcPr>
            <w:tcW w:w="1559" w:type="dxa"/>
            <w:tcBorders>
              <w:top w:val="single" w:sz="8" w:space="0" w:color="auto"/>
              <w:bottom w:val="single" w:sz="36" w:space="0" w:color="auto"/>
            </w:tcBorders>
            <w:tcMar>
              <w:top w:w="170" w:type="dxa"/>
            </w:tcMar>
          </w:tcPr>
          <w:p w:rsidR="00C17E6F" w:rsidRDefault="00C17E6F">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860906" r:id="rId8"/>
              </w:object>
            </w:r>
          </w:p>
        </w:tc>
        <w:tc>
          <w:tcPr>
            <w:tcW w:w="4534" w:type="dxa"/>
            <w:tcBorders>
              <w:top w:val="single" w:sz="8" w:space="0" w:color="auto"/>
              <w:bottom w:val="single" w:sz="36" w:space="0" w:color="auto"/>
            </w:tcBorders>
            <w:tcMar>
              <w:top w:w="170" w:type="dxa"/>
            </w:tcMar>
          </w:tcPr>
          <w:p w:rsidR="00C17E6F" w:rsidRDefault="00C17E6F">
            <w:pPr>
              <w:spacing w:before="120"/>
              <w:rPr>
                <w:rFonts w:ascii="Arial" w:hAnsi="Arial"/>
                <w:b/>
                <w:sz w:val="34"/>
              </w:rPr>
            </w:pPr>
            <w:r>
              <w:rPr>
                <w:rFonts w:ascii="Arial" w:hAnsi="Arial"/>
                <w:b/>
                <w:sz w:val="34"/>
              </w:rPr>
              <w:t>Convention relative</w:t>
            </w:r>
            <w:r>
              <w:rPr>
                <w:rFonts w:ascii="Arial" w:hAnsi="Arial"/>
                <w:b/>
                <w:sz w:val="34"/>
              </w:rPr>
              <w:br/>
              <w:t>aux droits de l’enfant</w:t>
            </w:r>
          </w:p>
          <w:p w:rsidR="00C17E6F" w:rsidRDefault="00C17E6F">
            <w:pPr>
              <w:spacing w:after="58"/>
              <w:ind w:hanging="1"/>
              <w:rPr>
                <w:rFonts w:ascii="Courier New" w:hAnsi="Courier New"/>
                <w:sz w:val="20"/>
              </w:rPr>
            </w:pPr>
          </w:p>
        </w:tc>
        <w:tc>
          <w:tcPr>
            <w:tcW w:w="3402" w:type="dxa"/>
            <w:tcBorders>
              <w:top w:val="single" w:sz="8" w:space="0" w:color="auto"/>
              <w:bottom w:val="single" w:sz="36" w:space="0" w:color="auto"/>
            </w:tcBorders>
            <w:tcMar>
              <w:top w:w="170" w:type="dxa"/>
            </w:tcMar>
          </w:tcPr>
          <w:p w:rsidR="00C17E6F" w:rsidRDefault="00C17E6F">
            <w:pPr>
              <w:spacing w:before="120" w:after="240"/>
              <w:ind w:left="227"/>
            </w:pPr>
            <w:r>
              <w:t>Distr.</w:t>
            </w:r>
            <w:r>
              <w:br/>
              <w:t>GÉNÉRALE</w:t>
            </w:r>
          </w:p>
          <w:p w:rsidR="00C17E6F" w:rsidRDefault="00B551A1">
            <w:pPr>
              <w:spacing w:after="240"/>
              <w:ind w:left="227"/>
            </w:pPr>
            <w:r w:rsidRPr="00B551A1">
              <w:rPr>
                <w:lang w:val="de-CH"/>
              </w:rPr>
              <w:t>CRC/C/SR.1314</w:t>
            </w:r>
            <w:r w:rsidR="00C17E6F">
              <w:rPr>
                <w:lang w:val="de-CH"/>
              </w:rPr>
              <w:br/>
            </w:r>
            <w:r w:rsidR="00306C2B">
              <w:rPr>
                <w:lang w:val="de-CH"/>
              </w:rPr>
              <w:t>23 mai</w:t>
            </w:r>
            <w:r w:rsidR="00C17E6F">
              <w:rPr>
                <w:lang w:val="de-CH"/>
              </w:rPr>
              <w:t xml:space="preserve"> </w:t>
            </w:r>
            <w:r w:rsidR="00C17E6F">
              <w:t>200</w:t>
            </w:r>
            <w:r w:rsidR="00F662E3">
              <w:t>8</w:t>
            </w:r>
          </w:p>
          <w:p w:rsidR="00C17E6F" w:rsidRDefault="00C17E6F">
            <w:pPr>
              <w:ind w:left="227"/>
            </w:pPr>
            <w:r>
              <w:t>Original: FRANÇAIS</w:t>
            </w:r>
          </w:p>
        </w:tc>
      </w:tr>
    </w:tbl>
    <w:p w:rsidR="00C17E6F" w:rsidRDefault="00C17E6F">
      <w:pPr>
        <w:spacing w:before="240" w:after="240"/>
        <w:jc w:val="center"/>
      </w:pPr>
      <w:r>
        <w:t>COMITÉ DES DROITS DE L’ENFANT</w:t>
      </w:r>
    </w:p>
    <w:p w:rsidR="00C17E6F" w:rsidRDefault="00C17E6F">
      <w:pPr>
        <w:spacing w:after="240"/>
        <w:jc w:val="center"/>
      </w:pPr>
      <w:r>
        <w:t>Quarante-</w:t>
      </w:r>
      <w:r w:rsidR="00E919A2">
        <w:t xml:space="preserve">huitième </w:t>
      </w:r>
      <w:r>
        <w:t>session</w:t>
      </w:r>
    </w:p>
    <w:p w:rsidR="00C17E6F" w:rsidRDefault="00C17E6F">
      <w:pPr>
        <w:spacing w:after="240"/>
        <w:jc w:val="center"/>
      </w:pPr>
      <w:r>
        <w:t>COMPTE RENDU ANALYTIQUE DE LA PREMIÈRE PARTIE (PUBLIQUE)</w:t>
      </w:r>
      <w:r>
        <w:rPr>
          <w:b/>
          <w:bCs/>
          <w:vertAlign w:val="superscript"/>
        </w:rPr>
        <w:t>*</w:t>
      </w:r>
      <w:r>
        <w:br/>
        <w:t xml:space="preserve">DE LA </w:t>
      </w:r>
      <w:r w:rsidR="00B551A1">
        <w:t>1314</w:t>
      </w:r>
      <w:r>
        <w:rPr>
          <w:vertAlign w:val="superscript"/>
        </w:rPr>
        <w:t>e</w:t>
      </w:r>
      <w:r>
        <w:t xml:space="preserve"> SÉANCE</w:t>
      </w:r>
    </w:p>
    <w:p w:rsidR="00C17E6F" w:rsidRDefault="00C17E6F">
      <w:pPr>
        <w:spacing w:after="240"/>
        <w:jc w:val="center"/>
      </w:pPr>
      <w:r>
        <w:t>tenue au Palais Wilson, à Genève,</w:t>
      </w:r>
      <w:r>
        <w:br/>
        <w:t xml:space="preserve">le </w:t>
      </w:r>
      <w:r w:rsidR="00B551A1">
        <w:t>lundi 19 mai</w:t>
      </w:r>
      <w:r>
        <w:t xml:space="preserve"> 200</w:t>
      </w:r>
      <w:r w:rsidR="00F662E3">
        <w:t>8</w:t>
      </w:r>
      <w:r>
        <w:t xml:space="preserve">, à </w:t>
      </w:r>
      <w:r w:rsidR="00B551A1">
        <w:t>10 heures</w:t>
      </w:r>
    </w:p>
    <w:p w:rsidR="00C17E6F" w:rsidRDefault="00C17E6F">
      <w:pPr>
        <w:spacing w:after="240"/>
        <w:jc w:val="center"/>
      </w:pPr>
      <w:r>
        <w:rPr>
          <w:u w:val="single"/>
        </w:rPr>
        <w:t>Président</w:t>
      </w:r>
      <w:r w:rsidR="00B551A1">
        <w:rPr>
          <w:u w:val="single"/>
        </w:rPr>
        <w:t>e</w:t>
      </w:r>
      <w:r w:rsidR="003E7D6F">
        <w:t xml:space="preserve">: </w:t>
      </w:r>
      <w:r w:rsidR="00B551A1">
        <w:t>M</w:t>
      </w:r>
      <w:r w:rsidR="00B551A1">
        <w:rPr>
          <w:vertAlign w:val="superscript"/>
        </w:rPr>
        <w:t>me</w:t>
      </w:r>
      <w:r w:rsidR="00B551A1">
        <w:t> LEE</w:t>
      </w:r>
    </w:p>
    <w:p w:rsidR="00C17E6F" w:rsidRDefault="00C17E6F">
      <w:pPr>
        <w:spacing w:after="240"/>
        <w:jc w:val="center"/>
      </w:pPr>
      <w:r>
        <w:t>SOMMAIRE</w:t>
      </w:r>
    </w:p>
    <w:p w:rsidR="00C17E6F" w:rsidRDefault="00B551A1">
      <w:pPr>
        <w:spacing w:after="240"/>
      </w:pPr>
      <w:r>
        <w:t>OUVERTURE DE LA SESSION</w:t>
      </w:r>
    </w:p>
    <w:p w:rsidR="00B551A1" w:rsidRDefault="00B551A1">
      <w:pPr>
        <w:spacing w:after="240"/>
      </w:pPr>
      <w:r>
        <w:t>ADOPTION DE L’ORDRE DU JOUR</w:t>
      </w:r>
    </w:p>
    <w:p w:rsidR="00B551A1" w:rsidRDefault="00B551A1">
      <w:pPr>
        <w:spacing w:after="240"/>
      </w:pPr>
      <w:r>
        <w:t>QUESTIONS D’ORGANISATION</w:t>
      </w:r>
    </w:p>
    <w:p w:rsidR="00B551A1" w:rsidRDefault="00B551A1">
      <w:pPr>
        <w:spacing w:after="240"/>
      </w:pPr>
      <w:r>
        <w:t>PRÉSENTATION DE RAPPORTS PAR LES ÉTATS PARTIES</w:t>
      </w:r>
    </w:p>
    <w:p w:rsidR="00B551A1" w:rsidRDefault="00B551A1">
      <w:pPr>
        <w:spacing w:after="240"/>
      </w:pPr>
      <w:r>
        <w:t>DÉCLARATION DE LA HAUT-COMMISSAIRE ADJOINTE AUX DROITS DE L’HOMME</w:t>
      </w:r>
    </w:p>
    <w:p w:rsidR="00B551A1" w:rsidRDefault="00B551A1" w:rsidP="00B551A1">
      <w:pPr>
        <w:spacing w:after="240"/>
        <w:jc w:val="center"/>
        <w:rPr>
          <w:i/>
        </w:rPr>
      </w:pPr>
      <w:r>
        <w:br w:type="page"/>
      </w:r>
      <w:r w:rsidRPr="00670F32">
        <w:rPr>
          <w:i/>
        </w:rPr>
        <w:t>La séance est ouverte  à 10 h 10</w:t>
      </w:r>
      <w:r w:rsidR="00243A2A">
        <w:rPr>
          <w:i/>
        </w:rPr>
        <w:t>.</w:t>
      </w:r>
    </w:p>
    <w:p w:rsidR="00B551A1" w:rsidRDefault="00B551A1" w:rsidP="00B551A1">
      <w:pPr>
        <w:spacing w:after="240"/>
      </w:pPr>
      <w:r>
        <w:t>OUVERTURE DE LA SESSION</w:t>
      </w:r>
    </w:p>
    <w:p w:rsidR="00B551A1" w:rsidRDefault="00B551A1" w:rsidP="00B551A1">
      <w:pPr>
        <w:spacing w:after="240"/>
      </w:pPr>
      <w:r>
        <w:t>1.</w:t>
      </w:r>
      <w:r>
        <w:tab/>
        <w:t xml:space="preserve">La </w:t>
      </w:r>
      <w:r w:rsidRPr="000246F1">
        <w:rPr>
          <w:u w:val="single"/>
        </w:rPr>
        <w:t>PRÉSIDENTE</w:t>
      </w:r>
      <w:r>
        <w:t xml:space="preserve"> déclare ouverte la quarante-huitième session du Comité des droits de l’enfant.</w:t>
      </w:r>
    </w:p>
    <w:p w:rsidR="00B551A1" w:rsidRDefault="00B551A1" w:rsidP="00B551A1">
      <w:pPr>
        <w:spacing w:after="240"/>
      </w:pPr>
      <w:r>
        <w:t>ADOPTION DE L’ORDRE DU JOUR (point 1 de l’ordre du jour provisoire) (CRC/C/48/1)</w:t>
      </w:r>
    </w:p>
    <w:p w:rsidR="00B551A1" w:rsidRDefault="00B551A1" w:rsidP="00B551A1">
      <w:pPr>
        <w:spacing w:after="240"/>
        <w:rPr>
          <w:i/>
        </w:rPr>
      </w:pPr>
      <w:r>
        <w:t>2.</w:t>
      </w:r>
      <w:r>
        <w:tab/>
      </w:r>
      <w:r w:rsidRPr="007672C3">
        <w:rPr>
          <w:i/>
        </w:rPr>
        <w:t>L</w:t>
      </w:r>
      <w:r>
        <w:rPr>
          <w:i/>
        </w:rPr>
        <w:t>’</w:t>
      </w:r>
      <w:r w:rsidRPr="007672C3">
        <w:rPr>
          <w:i/>
        </w:rPr>
        <w:t>ordre du jour est ad</w:t>
      </w:r>
      <w:r>
        <w:rPr>
          <w:i/>
        </w:rPr>
        <w:t>o</w:t>
      </w:r>
      <w:r w:rsidRPr="007672C3">
        <w:rPr>
          <w:i/>
        </w:rPr>
        <w:t>pté.</w:t>
      </w:r>
    </w:p>
    <w:p w:rsidR="00B551A1" w:rsidRDefault="00B551A1" w:rsidP="00B551A1">
      <w:pPr>
        <w:spacing w:after="240"/>
      </w:pPr>
      <w:r>
        <w:t>QUESTIONS D’ORGANISATION (point 2 de l’ordre du jour)</w:t>
      </w:r>
    </w:p>
    <w:p w:rsidR="00B551A1" w:rsidRDefault="00B551A1" w:rsidP="00B551A1">
      <w:pPr>
        <w:spacing w:after="240"/>
      </w:pPr>
      <w:r>
        <w:t>3.</w:t>
      </w:r>
      <w:r>
        <w:tab/>
      </w:r>
      <w:r w:rsidRPr="00B551A1">
        <w:t xml:space="preserve">La </w:t>
      </w:r>
      <w:r w:rsidRPr="00541F10">
        <w:rPr>
          <w:u w:val="single"/>
        </w:rPr>
        <w:t>PRÉSIDENTE</w:t>
      </w:r>
      <w:r w:rsidRPr="005E78E4">
        <w:t xml:space="preserve"> </w:t>
      </w:r>
      <w:r>
        <w:t>indique que le Comité examine les rapports dans l’ordre dans lequel il les reçoit. Les rapports initiaux soumis au titre des Protocoles facultatifs sont toutefois examinés en priorité, et le Comité s’efforcera donc d’examiner les six rapports initiaux en retard dès qu’il les aura reçus.</w:t>
      </w:r>
    </w:p>
    <w:p w:rsidR="00B551A1" w:rsidRDefault="00B551A1" w:rsidP="00B551A1">
      <w:pPr>
        <w:spacing w:after="240"/>
      </w:pPr>
      <w:r>
        <w:t>4.</w:t>
      </w:r>
      <w:r>
        <w:tab/>
        <w:t xml:space="preserve">En ce qui concerne le point 5 de l’ordre du jour, la Présidente souligne que le Comité et l’UNICEF ont eu une réunion de travail d’une journée au cours de laquelle ils ont réfléchi aux moyens d’améliorer leur collaboration. Concernant le point 6, le Comité va achever la mise au point et la mise à jour de ses lignes directrices en vue d’intégrer les informations relatives aux Protocoles facultatifs dans les rapports périodiques présentés au titre de la Convention. Il va envisager la possibilité de travailler en deux chambres dans les années à venir. </w:t>
      </w:r>
    </w:p>
    <w:p w:rsidR="00B551A1" w:rsidRDefault="00B551A1" w:rsidP="00B551A1">
      <w:pPr>
        <w:spacing w:after="240"/>
      </w:pPr>
      <w:r>
        <w:t>PRÉSENTATION DE RAPPORTS PAR LES ÉTATS PARTIES (point 3 de l’ordre du jour)</w:t>
      </w:r>
    </w:p>
    <w:p w:rsidR="00B551A1" w:rsidRDefault="00B551A1" w:rsidP="00B551A1">
      <w:pPr>
        <w:spacing w:after="240"/>
        <w:rPr>
          <w:szCs w:val="24"/>
          <w:lang w:val="fr-FR"/>
        </w:rPr>
      </w:pPr>
      <w:r>
        <w:rPr>
          <w:szCs w:val="24"/>
          <w:lang w:val="fr-FR"/>
        </w:rPr>
        <w:t>5.</w:t>
      </w:r>
      <w:r>
        <w:rPr>
          <w:szCs w:val="24"/>
          <w:lang w:val="fr-FR"/>
        </w:rPr>
        <w:tab/>
      </w:r>
      <w:r w:rsidRPr="00541F10">
        <w:rPr>
          <w:szCs w:val="24"/>
          <w:u w:val="single"/>
          <w:lang w:val="fr-FR"/>
        </w:rPr>
        <w:t>M</w:t>
      </w:r>
      <w:r w:rsidRPr="00B551A1">
        <w:rPr>
          <w:szCs w:val="24"/>
          <w:u w:val="single"/>
          <w:vertAlign w:val="superscript"/>
          <w:lang w:val="fr-FR"/>
        </w:rPr>
        <w:t>me</w:t>
      </w:r>
      <w:r w:rsidRPr="00541F10">
        <w:rPr>
          <w:szCs w:val="24"/>
          <w:u w:val="single"/>
          <w:lang w:val="fr-FR"/>
        </w:rPr>
        <w:t xml:space="preserve"> ANDRIJASEVIC-BOKO</w:t>
      </w:r>
      <w:r w:rsidRPr="005E78E4">
        <w:rPr>
          <w:szCs w:val="24"/>
          <w:lang w:val="fr-FR"/>
        </w:rPr>
        <w:t xml:space="preserve"> </w:t>
      </w:r>
      <w:r>
        <w:rPr>
          <w:szCs w:val="24"/>
          <w:lang w:val="fr-FR"/>
        </w:rPr>
        <w:t xml:space="preserve">(Secrétaire du Comité) indique que, depuis la précédente session, le Comité a reçu 31 rapports d’États parties, dont 16 au titre de la Convention, 7 au titre du Protocole facultatif concernant l’implication d’enfants dans les conflits armés et 8 au titre du Protocole facultatif concernant la vente d’enfants, la prostitution des enfants et la pornographie mettant en scène des enfants. </w:t>
      </w:r>
    </w:p>
    <w:p w:rsidR="00B551A1" w:rsidRDefault="00B551A1" w:rsidP="00B551A1">
      <w:pPr>
        <w:spacing w:after="240"/>
        <w:rPr>
          <w:szCs w:val="24"/>
          <w:lang w:val="fr-FR"/>
        </w:rPr>
      </w:pPr>
      <w:r>
        <w:rPr>
          <w:szCs w:val="24"/>
          <w:lang w:val="fr-FR"/>
        </w:rPr>
        <w:t>6.</w:t>
      </w:r>
      <w:r>
        <w:rPr>
          <w:szCs w:val="24"/>
          <w:lang w:val="fr-FR"/>
        </w:rPr>
        <w:tab/>
        <w:t xml:space="preserve">Le Comité a reçu </w:t>
      </w:r>
      <w:r w:rsidRPr="009825E8">
        <w:rPr>
          <w:szCs w:val="24"/>
          <w:lang w:val="fr-FR"/>
        </w:rPr>
        <w:t>à ce jour</w:t>
      </w:r>
      <w:r>
        <w:rPr>
          <w:szCs w:val="24"/>
          <w:lang w:val="fr-FR"/>
        </w:rPr>
        <w:t xml:space="preserve"> un total de 462 rapports d’États parties, dont 364 au titre de la Convention, 55 au titre du Protocole facultatif concernant l’implication d’enfants dans les conflits armés, et 43 au titre du Protocole facultatif concernant la vente d’enfants, la prostitution des enfants et la pornographie mettant en scène des enfants. Trois cent soixante-neuf rapports ont été examinés par le Comité à ses sessions précédentes, et environ </w:t>
      </w:r>
      <w:r w:rsidRPr="00904DE6">
        <w:rPr>
          <w:szCs w:val="24"/>
          <w:lang w:val="fr-FR"/>
        </w:rPr>
        <w:t>80</w:t>
      </w:r>
      <w:r>
        <w:rPr>
          <w:szCs w:val="24"/>
          <w:lang w:val="fr-FR"/>
        </w:rPr>
        <w:t xml:space="preserve"> rapports sont en attente d’être examinés. Le Comité n’a toujours pas reçu le rapport initial de l’Afghanistan, des</w:t>
      </w:r>
      <w:r w:rsidR="009B5E57">
        <w:rPr>
          <w:szCs w:val="24"/>
          <w:lang w:val="fr-FR"/>
        </w:rPr>
        <w:t> </w:t>
      </w:r>
      <w:r w:rsidR="009B5E57">
        <w:rPr>
          <w:rFonts w:ascii="Times" w:hAnsi="Times"/>
          <w:szCs w:val="24"/>
          <w:lang w:val="fr-FR"/>
        </w:rPr>
        <w:t>Î</w:t>
      </w:r>
      <w:r>
        <w:rPr>
          <w:szCs w:val="24"/>
          <w:lang w:val="fr-FR"/>
        </w:rPr>
        <w:t>les</w:t>
      </w:r>
      <w:r w:rsidR="009B5E57">
        <w:rPr>
          <w:szCs w:val="24"/>
          <w:lang w:val="fr-FR"/>
        </w:rPr>
        <w:t> </w:t>
      </w:r>
      <w:r>
        <w:rPr>
          <w:szCs w:val="24"/>
          <w:lang w:val="fr-FR"/>
        </w:rPr>
        <w:t xml:space="preserve">Cook, de Nauru, de </w:t>
      </w:r>
      <w:r w:rsidRPr="00AE25F7">
        <w:rPr>
          <w:szCs w:val="24"/>
          <w:lang w:val="fr-FR"/>
        </w:rPr>
        <w:t>Nioué</w:t>
      </w:r>
      <w:r>
        <w:rPr>
          <w:szCs w:val="24"/>
          <w:lang w:val="fr-FR"/>
        </w:rPr>
        <w:t>, de Tonga et de Tuvalu.</w:t>
      </w:r>
    </w:p>
    <w:p w:rsidR="000D1404" w:rsidRPr="00211E1E" w:rsidRDefault="000D1404" w:rsidP="009B5E57">
      <w:pPr>
        <w:keepNext/>
        <w:spacing w:after="240"/>
        <w:rPr>
          <w:szCs w:val="24"/>
          <w:lang w:val="fr-FR"/>
        </w:rPr>
      </w:pPr>
      <w:r>
        <w:t>DÉCLARATION DE LA HAUT-COMMISSAIRE ADJOINTE AUX DROITS DE L’HOMME</w:t>
      </w:r>
    </w:p>
    <w:p w:rsidR="005D5BE8" w:rsidRDefault="000D1404" w:rsidP="00B551A1">
      <w:pPr>
        <w:spacing w:after="240"/>
      </w:pPr>
      <w:r w:rsidRPr="000D1404">
        <w:t>7.</w:t>
      </w:r>
      <w:r w:rsidRPr="000D1404">
        <w:tab/>
      </w:r>
      <w:r w:rsidR="00B551A1" w:rsidRPr="00F32470">
        <w:rPr>
          <w:u w:val="single"/>
        </w:rPr>
        <w:t>M</w:t>
      </w:r>
      <w:r w:rsidR="00B551A1" w:rsidRPr="000D1404">
        <w:rPr>
          <w:u w:val="single"/>
          <w:vertAlign w:val="superscript"/>
        </w:rPr>
        <w:t>me</w:t>
      </w:r>
      <w:r w:rsidR="00B551A1" w:rsidRPr="00F32470">
        <w:rPr>
          <w:u w:val="single"/>
        </w:rPr>
        <w:t xml:space="preserve"> KYUNG-WHA KANG</w:t>
      </w:r>
      <w:r w:rsidR="00B551A1" w:rsidRPr="000D1404">
        <w:t xml:space="preserve"> </w:t>
      </w:r>
      <w:r w:rsidR="00B551A1">
        <w:t xml:space="preserve">(Haut-Commissaire adjointe aux droits de l’homme) dit que </w:t>
      </w:r>
      <w:r>
        <w:t xml:space="preserve">la Convention relative aux droits des personnes handicapées est entrée en vigueur </w:t>
      </w:r>
      <w:r w:rsidR="00B551A1">
        <w:t>le 3 mai 2008, après avoir été ratifiée par l’Équateur. Le Secrétaire général convoquera dans les mois à venir la première Conférence des États partie</w:t>
      </w:r>
      <w:r w:rsidR="00243A2A">
        <w:t>s</w:t>
      </w:r>
      <w:r w:rsidR="00B551A1">
        <w:t xml:space="preserve">, au cours de laquelle seront élus les dix premiers membres du Comité des droits des personnes handicapées. Il est </w:t>
      </w:r>
      <w:r>
        <w:t xml:space="preserve">évident </w:t>
      </w:r>
      <w:r w:rsidR="00B551A1">
        <w:t xml:space="preserve">que le nouveau comité </w:t>
      </w:r>
      <w:r>
        <w:t xml:space="preserve">tirera </w:t>
      </w:r>
      <w:r w:rsidR="00B551A1">
        <w:t xml:space="preserve">largement parti des </w:t>
      </w:r>
      <w:r>
        <w:t xml:space="preserve">vingt ans </w:t>
      </w:r>
      <w:r w:rsidR="00B551A1">
        <w:t xml:space="preserve">d’expérience du Comité des droits de l’enfant, d’autant plus que de nombreuses dispositions de la nouvelle Convention </w:t>
      </w:r>
      <w:r w:rsidR="00306C2B">
        <w:t>portent sur les</w:t>
      </w:r>
      <w:r>
        <w:t xml:space="preserve"> </w:t>
      </w:r>
      <w:r w:rsidR="00B551A1">
        <w:t>droits des enfants handicapés et contiennent des références spécifiques à la Convention relative aux droits de l’enfant.</w:t>
      </w:r>
    </w:p>
    <w:p w:rsidR="00B551A1" w:rsidRDefault="005D5BE8" w:rsidP="00B551A1">
      <w:pPr>
        <w:spacing w:after="240"/>
      </w:pPr>
      <w:r>
        <w:t>8.</w:t>
      </w:r>
      <w:r>
        <w:tab/>
      </w:r>
      <w:r w:rsidR="00B551A1">
        <w:t xml:space="preserve">La création </w:t>
      </w:r>
      <w:r>
        <w:t xml:space="preserve">de ce </w:t>
      </w:r>
      <w:r w:rsidR="00306C2B">
        <w:t>c</w:t>
      </w:r>
      <w:r>
        <w:t xml:space="preserve">omité </w:t>
      </w:r>
      <w:r w:rsidR="00B551A1" w:rsidRPr="00B333A3">
        <w:t>rappelle</w:t>
      </w:r>
      <w:r w:rsidR="00B551A1">
        <w:t xml:space="preserve"> une fois de plus la nécessité de poursuivre l’harmonisation du système des organes </w:t>
      </w:r>
      <w:r>
        <w:t>conventionnels</w:t>
      </w:r>
      <w:r w:rsidR="00B551A1">
        <w:t xml:space="preserve">. La prochaine réunion intercomités visera notamment à </w:t>
      </w:r>
      <w:r>
        <w:t xml:space="preserve">définir </w:t>
      </w:r>
      <w:r w:rsidR="00B551A1">
        <w:t xml:space="preserve">les domaines dans lesquels une harmonisation est nécessaire, et il ne fait aucun doute que le Comité des droits de l’enfant contribuera activement à ces débats. </w:t>
      </w:r>
      <w:r>
        <w:t>À cet égard, la Haut</w:t>
      </w:r>
      <w:r>
        <w:noBreakHyphen/>
        <w:t xml:space="preserve">Commissaire adjointe </w:t>
      </w:r>
      <w:r w:rsidR="00B551A1">
        <w:t xml:space="preserve">constate avec satisfaction que le Comité </w:t>
      </w:r>
      <w:r>
        <w:t xml:space="preserve">envisage </w:t>
      </w:r>
      <w:r w:rsidR="00B551A1">
        <w:t xml:space="preserve">d’adopter des lignes directrices spécifiques </w:t>
      </w:r>
      <w:r>
        <w:t xml:space="preserve">qui compléteraient </w:t>
      </w:r>
      <w:r w:rsidR="00B551A1">
        <w:t xml:space="preserve">celles relatives à l’établissement du </w:t>
      </w:r>
      <w:r w:rsidR="00B551A1" w:rsidRPr="001A5D7C">
        <w:t>document de base commun</w:t>
      </w:r>
      <w:r w:rsidR="00B551A1">
        <w:t xml:space="preserve"> et permettraient aux États parties </w:t>
      </w:r>
      <w:r>
        <w:t xml:space="preserve">de faire figurer </w:t>
      </w:r>
      <w:r w:rsidR="00B551A1">
        <w:t>dans leurs rapports périodiques soumis au titre de la Convention des informations relatives à la mise en œuvre des Protocoles facultatifs.</w:t>
      </w:r>
    </w:p>
    <w:p w:rsidR="00B551A1" w:rsidRDefault="005D5BE8" w:rsidP="00B551A1">
      <w:pPr>
        <w:spacing w:after="240"/>
      </w:pPr>
      <w:r>
        <w:t>9.</w:t>
      </w:r>
      <w:r>
        <w:tab/>
      </w:r>
      <w:r w:rsidR="00B551A1">
        <w:t xml:space="preserve">Au cours de ses deux premières sessions, le Groupe de travail chargé de l’Examen périodique universel a examiné les rapports de 32 pays. Le Haut-Commissariat aux droits de l’homme avait élaboré à ces fins des compilations d’informations émanant </w:t>
      </w:r>
      <w:r>
        <w:t xml:space="preserve">d’organismes des Nations Unies </w:t>
      </w:r>
      <w:r w:rsidR="00B551A1">
        <w:t xml:space="preserve">et d’autres parties prenantes. Le Comité des droits de l’enfant examinera en 2009 les rapports d’un certain nombre de pays qui </w:t>
      </w:r>
      <w:r>
        <w:t>se sont soumis à l’</w:t>
      </w:r>
      <w:r w:rsidR="00243A2A">
        <w:t>E</w:t>
      </w:r>
      <w:r>
        <w:t xml:space="preserve">xamen périodique universel </w:t>
      </w:r>
      <w:r w:rsidR="00B551A1">
        <w:t>(la</w:t>
      </w:r>
      <w:r w:rsidR="00243A2A">
        <w:t> </w:t>
      </w:r>
      <w:r w:rsidR="00B551A1">
        <w:t>France, les Pays-Bas, la République de Corée, la Roumanie, le Royaume-Uni et la Tunisie). À</w:t>
      </w:r>
      <w:r w:rsidR="00243A2A">
        <w:t> </w:t>
      </w:r>
      <w:r w:rsidR="00B551A1">
        <w:t>cet égard, il serait utile que le Comité réfléchisse aux enseignements qu’il pourrait tirer des travaux du Groupe de travail chargé de l’Examen périodique universel et à la manière dont il pourrait au mieux tirer parti du processus et des résultats de l’E</w:t>
      </w:r>
      <w:r>
        <w:t>xamen</w:t>
      </w:r>
      <w:r w:rsidR="00B551A1">
        <w:t xml:space="preserve">, cette question devant certainement être débattue à la réunion </w:t>
      </w:r>
      <w:r w:rsidR="00B551A1" w:rsidRPr="007C2941">
        <w:t xml:space="preserve">intercomités et à la réunion des Présidents </w:t>
      </w:r>
      <w:r>
        <w:t xml:space="preserve">prévues </w:t>
      </w:r>
      <w:r w:rsidR="00B551A1">
        <w:t>en juin</w:t>
      </w:r>
      <w:r>
        <w:t> </w:t>
      </w:r>
      <w:r w:rsidR="00B551A1">
        <w:t xml:space="preserve">2008. </w:t>
      </w:r>
    </w:p>
    <w:p w:rsidR="00B551A1" w:rsidRDefault="005D5BE8" w:rsidP="00B551A1">
      <w:pPr>
        <w:spacing w:after="240"/>
      </w:pPr>
      <w:r>
        <w:t>10.</w:t>
      </w:r>
      <w:r>
        <w:tab/>
        <w:t>L</w:t>
      </w:r>
      <w:r w:rsidR="00B551A1">
        <w:t xml:space="preserve">e Haut-Commissariat va continuer à </w:t>
      </w:r>
      <w:r>
        <w:t>faire mieux connaître l</w:t>
      </w:r>
      <w:r w:rsidR="00B551A1">
        <w:t xml:space="preserve">’Étude sur la violence </w:t>
      </w:r>
      <w:r>
        <w:t>à l’encontre d</w:t>
      </w:r>
      <w:r w:rsidR="00B551A1">
        <w:t xml:space="preserve">es enfants, à promouvoir la mise en œuvre de ses recommandations et à encourager leur intégration dans les travaux des organes de suivi des traités et des </w:t>
      </w:r>
      <w:r w:rsidR="00B551A1" w:rsidRPr="00306668">
        <w:t>procédures</w:t>
      </w:r>
      <w:r w:rsidR="00B551A1">
        <w:t xml:space="preserve"> spéciales. Il a organisé des séances d’information à l’intention des experts et des titulaires de mandat au titre des procédures spéciales et </w:t>
      </w:r>
      <w:r>
        <w:t xml:space="preserve">a </w:t>
      </w:r>
      <w:r w:rsidR="00B551A1">
        <w:t xml:space="preserve">élaboré </w:t>
      </w:r>
      <w:r>
        <w:t xml:space="preserve">divers </w:t>
      </w:r>
      <w:r w:rsidR="00B551A1">
        <w:t>outils</w:t>
      </w:r>
      <w:r>
        <w:t>,</w:t>
      </w:r>
      <w:r w:rsidR="00B551A1">
        <w:t xml:space="preserve"> tels que </w:t>
      </w:r>
      <w:r>
        <w:t>l</w:t>
      </w:r>
      <w:r w:rsidR="00B551A1">
        <w:t>es listes récapitulatives</w:t>
      </w:r>
      <w:r>
        <w:t>,</w:t>
      </w:r>
      <w:r w:rsidR="00B551A1">
        <w:t xml:space="preserve"> pour encourager les mécanismes des droits de l’homme à mettre l’accent sur les questions relatives à la violence contre les enfants. </w:t>
      </w:r>
    </w:p>
    <w:p w:rsidR="00B551A1" w:rsidRDefault="005D5BE8" w:rsidP="00B551A1">
      <w:pPr>
        <w:spacing w:after="240"/>
      </w:pPr>
      <w:r>
        <w:t>11.</w:t>
      </w:r>
      <w:r>
        <w:tab/>
      </w:r>
      <w:r w:rsidR="00B551A1">
        <w:t xml:space="preserve">Le HCDH continuera aussi à appuyer la mise en œuvre des recommandations de l’Étude sur </w:t>
      </w:r>
      <w:r>
        <w:t>la violence à l’encontre des enfants sur le terrain</w:t>
      </w:r>
      <w:r w:rsidR="00B551A1">
        <w:t xml:space="preserve">, en particulier en aidant ses bureaux hors siège à </w:t>
      </w:r>
      <w:r>
        <w:t xml:space="preserve">intégrer </w:t>
      </w:r>
      <w:r w:rsidR="00B551A1">
        <w:t xml:space="preserve">les recommandations de l’Étude dans </w:t>
      </w:r>
      <w:r>
        <w:t xml:space="preserve">leurs différentes </w:t>
      </w:r>
      <w:r w:rsidR="00B551A1">
        <w:t>activités</w:t>
      </w:r>
      <w:r>
        <w:t>,</w:t>
      </w:r>
      <w:r w:rsidR="00B551A1">
        <w:t xml:space="preserve"> </w:t>
      </w:r>
      <w:r>
        <w:t xml:space="preserve">comme la </w:t>
      </w:r>
      <w:r w:rsidR="00B551A1">
        <w:t xml:space="preserve">formation et </w:t>
      </w:r>
      <w:r>
        <w:t xml:space="preserve">le </w:t>
      </w:r>
      <w:r w:rsidR="00B551A1">
        <w:t xml:space="preserve">renforcement des capacités, </w:t>
      </w:r>
      <w:r>
        <w:t>l</w:t>
      </w:r>
      <w:r w:rsidR="00B551A1">
        <w:t xml:space="preserve">’aide à l’élaboration de politiques et de plans nationaux, </w:t>
      </w:r>
      <w:r>
        <w:t xml:space="preserve">l’aide </w:t>
      </w:r>
      <w:r w:rsidR="00B551A1">
        <w:t xml:space="preserve">la réalisation de réformes juridiques, </w:t>
      </w:r>
      <w:r>
        <w:t xml:space="preserve">ou encore l’aide à </w:t>
      </w:r>
      <w:r w:rsidR="00B551A1">
        <w:t>l’élaboration de rapports thématiques. Le HCDH élabore actuellement un document contenant des lignes directrices sur les dispositions juridiques visant à interdire toutes les formes de violence contre les enfants. Il espère qu’il servira d’outil concret, y compris à ses représentants sur le terrain, pour tou</w:t>
      </w:r>
      <w:r>
        <w:t xml:space="preserve">tes </w:t>
      </w:r>
      <w:r w:rsidR="00243A2A">
        <w:t xml:space="preserve">les </w:t>
      </w:r>
      <w:r>
        <w:t xml:space="preserve">activités relatives aux </w:t>
      </w:r>
      <w:r w:rsidR="00B551A1">
        <w:t>réformes juridiques.</w:t>
      </w:r>
      <w:r>
        <w:t xml:space="preserve"> </w:t>
      </w:r>
      <w:r w:rsidR="00B551A1">
        <w:t xml:space="preserve">Le HCDH compte en la matière sur l’engagement des membres du Comité, qui ont joué un rôle </w:t>
      </w:r>
      <w:r w:rsidR="00243A2A">
        <w:t xml:space="preserve">clef </w:t>
      </w:r>
      <w:r w:rsidR="00B551A1">
        <w:t>dans le lancement et l’exécution de nombreuses activités dans leurs pays ou régions respectifs.</w:t>
      </w:r>
    </w:p>
    <w:p w:rsidR="00B551A1" w:rsidRDefault="005D5BE8" w:rsidP="00B551A1">
      <w:pPr>
        <w:spacing w:after="240"/>
      </w:pPr>
      <w:r>
        <w:t>12.</w:t>
      </w:r>
      <w:r>
        <w:tab/>
      </w:r>
      <w:r w:rsidR="00B551A1">
        <w:t xml:space="preserve">Des consultations ont lieu actuellement en vue de désigner les candidats au mandat de Représentant spécial du Secrétaire général </w:t>
      </w:r>
      <w:r>
        <w:t xml:space="preserve">sur </w:t>
      </w:r>
      <w:r w:rsidR="00B551A1">
        <w:t>la violence contre les enfants. Le HCDH est prêt à apporter tout son soutien au Représentant spécial pour qu’il puisse exécuter son mandat selon une démarche fondée sur les droits de l’enfant. La contribution du Comité est à cet égard d’une extrême importance. Le HCDH fera tout son possible pour favoriser la coordination et la coopération entre le Comité et le Représentant spécial.</w:t>
      </w:r>
    </w:p>
    <w:p w:rsidR="00B551A1" w:rsidRDefault="005D5BE8" w:rsidP="00B551A1">
      <w:pPr>
        <w:spacing w:after="240"/>
      </w:pPr>
      <w:r>
        <w:t>13.</w:t>
      </w:r>
      <w:r>
        <w:tab/>
      </w:r>
      <w:r w:rsidR="00B551A1">
        <w:t>Le Comité des droits de l’enfant est à l’origine du projet de lignes directrices des Nations</w:t>
      </w:r>
      <w:r w:rsidR="00243A2A">
        <w:t> </w:t>
      </w:r>
      <w:r w:rsidR="00B551A1">
        <w:t>Unies pour la fourniture d’une protection et de soins de remplacement aux enfants privés de soins parentaux, et a beaucoup contribué à son élaboration. Ces lignes directrices sont aujourd’hui à l’ordre du jour de la huitième session du Conseil des droits de l’homme</w:t>
      </w:r>
      <w:r>
        <w:t>.</w:t>
      </w:r>
    </w:p>
    <w:p w:rsidR="00B551A1" w:rsidRDefault="005D5BE8" w:rsidP="00B551A1">
      <w:pPr>
        <w:spacing w:after="240"/>
      </w:pPr>
      <w:r>
        <w:t>14.</w:t>
      </w:r>
      <w:r>
        <w:tab/>
        <w:t>D</w:t>
      </w:r>
      <w:r w:rsidR="00B551A1">
        <w:t>epuis la précédente session, deux États, l’Albanie et la Grèce</w:t>
      </w:r>
      <w:r>
        <w:t>,</w:t>
      </w:r>
      <w:r w:rsidR="00B551A1">
        <w:t xml:space="preserve"> sont devenus parties au Protocole facultatif concernant la vente d’enfants, la prostitution des enfants et la pornographie mettant en scène des enfants, et un État, la République populaire de Chine, a ratifié le Protocole concernant l’implication d’enfants dans les conflits armés. Le nombre total d’États parties aux </w:t>
      </w:r>
      <w:r>
        <w:t xml:space="preserve">deux </w:t>
      </w:r>
      <w:r w:rsidR="00B551A1">
        <w:t xml:space="preserve">Protocoles facultatifs est donc aujourd’hui de 126 et 120 respectivement. </w:t>
      </w:r>
    </w:p>
    <w:p w:rsidR="00B551A1" w:rsidRDefault="005D5BE8" w:rsidP="00B551A1">
      <w:pPr>
        <w:spacing w:after="240"/>
      </w:pPr>
      <w:r>
        <w:t>15.</w:t>
      </w:r>
      <w:r>
        <w:tab/>
      </w:r>
      <w:r w:rsidR="00B551A1">
        <w:t xml:space="preserve">Le programme de la </w:t>
      </w:r>
      <w:r>
        <w:t>quarante</w:t>
      </w:r>
      <w:r>
        <w:noBreakHyphen/>
        <w:t xml:space="preserve">huitième </w:t>
      </w:r>
      <w:r w:rsidR="00B551A1">
        <w:t xml:space="preserve">session du Comité est très chargé puisqu’il </w:t>
      </w:r>
      <w:r>
        <w:t xml:space="preserve">devra </w:t>
      </w:r>
      <w:r w:rsidR="00B551A1">
        <w:t xml:space="preserve">examiner 10 rapports de pays, dont cinq soumis au titre de la Convention et cinq au titre des deux Protocoles facultatifs. </w:t>
      </w:r>
      <w:r>
        <w:t xml:space="preserve">Il consacrera également des débats au </w:t>
      </w:r>
      <w:r w:rsidR="00B551A1">
        <w:t xml:space="preserve">projet d’observation générale sur l’article 12, relatif à la participation des enfants, </w:t>
      </w:r>
      <w:r w:rsidR="009B5E57">
        <w:t xml:space="preserve">au </w:t>
      </w:r>
      <w:r w:rsidR="00B551A1">
        <w:t xml:space="preserve">projet d’observation générale sur les droits des enfants autochtones, </w:t>
      </w:r>
      <w:r w:rsidR="009B5E57">
        <w:t xml:space="preserve">à </w:t>
      </w:r>
      <w:r w:rsidR="00B551A1">
        <w:t xml:space="preserve">la réforme des méthodes de travail et des organes de suivi des traités, et </w:t>
      </w:r>
      <w:r w:rsidR="009B5E57">
        <w:t xml:space="preserve">à </w:t>
      </w:r>
      <w:r w:rsidR="00B551A1">
        <w:t>de nombreuses autres questions relatives aux droits de l’enfant.</w:t>
      </w:r>
    </w:p>
    <w:p w:rsidR="00B551A1" w:rsidRDefault="009B5E57" w:rsidP="00B551A1">
      <w:pPr>
        <w:spacing w:after="240"/>
      </w:pPr>
      <w:r>
        <w:t>16.</w:t>
      </w:r>
      <w:r>
        <w:tab/>
      </w:r>
      <w:r w:rsidR="00B551A1">
        <w:t xml:space="preserve">Comme à chacune de ses sessions, le Comité tiendra des réunions avec d’autres entités du système des Nations Unies et avec des ONG. </w:t>
      </w:r>
      <w:r>
        <w:t>Une réunion</w:t>
      </w:r>
      <w:r w:rsidR="00B551A1">
        <w:t xml:space="preserve"> particulièrement importante a déjà </w:t>
      </w:r>
      <w:r>
        <w:t xml:space="preserve">été organisée avec </w:t>
      </w:r>
      <w:r w:rsidR="00B551A1">
        <w:t xml:space="preserve">l’UNICEF. Elle a été une excellente occasion pour </w:t>
      </w:r>
      <w:r>
        <w:t xml:space="preserve">les deux entités </w:t>
      </w:r>
      <w:r w:rsidR="00B551A1">
        <w:t>d’examiner les possibilités de renforcer leur collaboration dans le domaine des droits de l’enfant. La</w:t>
      </w:r>
      <w:r>
        <w:t> </w:t>
      </w:r>
      <w:r w:rsidR="00B551A1">
        <w:t>Haut</w:t>
      </w:r>
      <w:r>
        <w:noBreakHyphen/>
        <w:t>C</w:t>
      </w:r>
      <w:r w:rsidR="00B551A1">
        <w:t xml:space="preserve">ommissaire adjointe </w:t>
      </w:r>
      <w:r>
        <w:t xml:space="preserve">est convaincue </w:t>
      </w:r>
      <w:r w:rsidR="00B551A1">
        <w:t xml:space="preserve">que cette réunion a déjà commencé à porter ses fruits et </w:t>
      </w:r>
      <w:r>
        <w:t xml:space="preserve">souhaite </w:t>
      </w:r>
      <w:r w:rsidR="00B551A1">
        <w:t>qu’elle contribue</w:t>
      </w:r>
      <w:r>
        <w:t xml:space="preserve"> </w:t>
      </w:r>
      <w:r w:rsidR="00B551A1">
        <w:t xml:space="preserve">à renforcer le dialogue entre les deux principaux acteurs du domaine des droits de l’enfant. </w:t>
      </w:r>
    </w:p>
    <w:p w:rsidR="00B551A1" w:rsidRDefault="009B5E57" w:rsidP="00B551A1">
      <w:pPr>
        <w:spacing w:after="240"/>
      </w:pPr>
      <w:r>
        <w:t>17.</w:t>
      </w:r>
      <w:r>
        <w:tab/>
      </w:r>
      <w:r w:rsidR="00B551A1" w:rsidRPr="009B5E57">
        <w:t xml:space="preserve">La </w:t>
      </w:r>
      <w:r w:rsidR="00B551A1" w:rsidRPr="00D5027E">
        <w:rPr>
          <w:u w:val="single"/>
        </w:rPr>
        <w:t>PRÉSIDENTE</w:t>
      </w:r>
      <w:r w:rsidR="00B551A1" w:rsidRPr="006B3051">
        <w:t xml:space="preserve"> </w:t>
      </w:r>
      <w:r w:rsidR="00B551A1">
        <w:t xml:space="preserve">dit que le Comité </w:t>
      </w:r>
      <w:r>
        <w:t xml:space="preserve">des droits de l’enfant </w:t>
      </w:r>
      <w:r w:rsidR="00B551A1">
        <w:t xml:space="preserve">fera tout son possible pour apporter son concours au Haut-Commissariat et </w:t>
      </w:r>
      <w:r>
        <w:t xml:space="preserve">aux </w:t>
      </w:r>
      <w:r w:rsidR="00B551A1">
        <w:t xml:space="preserve">autres organes </w:t>
      </w:r>
      <w:r>
        <w:t xml:space="preserve">conventionnels </w:t>
      </w:r>
      <w:r w:rsidR="00B551A1">
        <w:t>en ce qui concerne la Convention relative aux droits des personnes handicapées</w:t>
      </w:r>
      <w:r w:rsidR="00243A2A">
        <w:t>.</w:t>
      </w:r>
    </w:p>
    <w:p w:rsidR="00B551A1" w:rsidRDefault="009B5E57" w:rsidP="00B551A1">
      <w:pPr>
        <w:spacing w:after="240"/>
      </w:pPr>
      <w:r>
        <w:t>18.</w:t>
      </w:r>
      <w:r>
        <w:tab/>
        <w:t xml:space="preserve">Elle souligne </w:t>
      </w:r>
      <w:r w:rsidR="00B551A1">
        <w:t>que le Comité travaille en permanence à l’élaboration de méthodes de travail nouvelles et innovantes en vue de renforcer l’efficacité de ses travaux. Elle fait observer que le Comité des droits de l’enfant est différent des autres comités</w:t>
      </w:r>
      <w:r>
        <w:t xml:space="preserve">, puisqu’il se consacre à </w:t>
      </w:r>
      <w:r w:rsidR="00B551A1">
        <w:t>trois</w:t>
      </w:r>
      <w:r>
        <w:t> </w:t>
      </w:r>
      <w:r w:rsidR="00B551A1">
        <w:t>instruments internationaux, et qu’il doit actuellement assurer seul le suivi de 442</w:t>
      </w:r>
      <w:r>
        <w:t> </w:t>
      </w:r>
      <w:r w:rsidR="00B551A1">
        <w:t xml:space="preserve">ratifications. Les membres du Comité sont </w:t>
      </w:r>
      <w:r>
        <w:t xml:space="preserve">convaincus </w:t>
      </w:r>
      <w:r w:rsidR="00B551A1">
        <w:t xml:space="preserve">que le Haut-Commissariat leur apportera </w:t>
      </w:r>
      <w:r>
        <w:t xml:space="preserve">le </w:t>
      </w:r>
      <w:r w:rsidR="00B551A1">
        <w:t xml:space="preserve">soutien </w:t>
      </w:r>
      <w:r>
        <w:t xml:space="preserve">nécessaire </w:t>
      </w:r>
      <w:r w:rsidR="00B551A1">
        <w:t>afin qu’ils puissent travailler efficacement.</w:t>
      </w:r>
    </w:p>
    <w:p w:rsidR="00B551A1" w:rsidRDefault="00B551A1" w:rsidP="00B551A1">
      <w:pPr>
        <w:spacing w:after="240"/>
        <w:jc w:val="center"/>
      </w:pPr>
      <w:r w:rsidRPr="00C74E3A">
        <w:rPr>
          <w:i/>
        </w:rPr>
        <w:t>L</w:t>
      </w:r>
      <w:r>
        <w:rPr>
          <w:i/>
        </w:rPr>
        <w:t xml:space="preserve">e débat faisant l’objet du compte rendu </w:t>
      </w:r>
      <w:r w:rsidRPr="00C74E3A">
        <w:rPr>
          <w:i/>
        </w:rPr>
        <w:t>prend fin à 10 h 30.</w:t>
      </w:r>
    </w:p>
    <w:p w:rsidR="009B5E57" w:rsidRPr="009B5E57" w:rsidRDefault="009B5E57" w:rsidP="00B551A1">
      <w:pPr>
        <w:spacing w:after="240"/>
        <w:jc w:val="center"/>
      </w:pPr>
      <w:r>
        <w:t>-----</w:t>
      </w:r>
    </w:p>
    <w:sectPr w:rsidR="009B5E57" w:rsidRPr="009B5E57" w:rsidSect="00B551A1">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13044" w:rsidRDefault="00513044">
      <w:r>
        <w:separator/>
      </w:r>
    </w:p>
  </w:endnote>
  <w:endnote w:type="continuationSeparator" w:id="0">
    <w:p w:rsidR="00513044" w:rsidRDefault="005130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1B99" w:rsidRDefault="00E41B99">
    <w:pPr>
      <w:spacing w:after="120"/>
    </w:pPr>
    <w:r>
      <w:t>________________________</w:t>
    </w:r>
  </w:p>
  <w:p w:rsidR="00E41B99" w:rsidRDefault="00E41B99">
    <w:r>
      <w:rPr>
        <w:b/>
        <w:bCs/>
        <w:vertAlign w:val="superscript"/>
      </w:rPr>
      <w:t>*</w:t>
    </w:r>
    <w:r>
      <w:t xml:space="preserve"> Il n’est pas établi de compte rendu analytique pour la deuxième partie (privée) de la séance.</w:t>
    </w:r>
  </w:p>
  <w:p w:rsidR="00E41B99" w:rsidRDefault="00E41B99">
    <w:pPr>
      <w:spacing w:after="120"/>
    </w:pPr>
    <w:r>
      <w:t>________________________</w:t>
    </w:r>
  </w:p>
  <w:p w:rsidR="00E41B99" w:rsidRDefault="00E41B99">
    <w:pPr>
      <w:spacing w:after="120"/>
      <w:ind w:firstLine="567"/>
    </w:pPr>
    <w:r>
      <w:t>Le présent compte rendu est sujet à rectifications.</w:t>
    </w:r>
  </w:p>
  <w:p w:rsidR="00E41B99" w:rsidRDefault="00E41B99">
    <w:pPr>
      <w:spacing w:after="12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au Groupe d’édition, bureau E.4108, Palais des Nations, Genève.</w:t>
    </w:r>
  </w:p>
  <w:p w:rsidR="00E41B99" w:rsidRDefault="00E41B99">
    <w:pPr>
      <w:spacing w:after="240"/>
      <w:ind w:firstLine="567"/>
    </w:pPr>
    <w:r>
      <w:t>Les rectifications aux comptes rendus des séances publiques du Comité seront groupées dans un rectificatif unique qui sera publié peu après la session.</w:t>
    </w:r>
  </w:p>
  <w:p w:rsidR="00E41B99" w:rsidRDefault="00E41B99">
    <w:pPr>
      <w:pStyle w:val="Footer"/>
    </w:pPr>
    <w:r>
      <w:t>GE.08</w:t>
    </w:r>
    <w:r>
      <w:noBreakHyphen/>
    </w:r>
    <w:r w:rsidR="00B551A1">
      <w:t>42072</w:t>
    </w:r>
    <w:r>
      <w:t xml:space="preserve">  (F)</w:t>
    </w:r>
    <w:r w:rsidR="00B551A1">
      <w:t xml:space="preserve">    210508</w:t>
    </w:r>
    <w:r w:rsidR="00306C2B">
      <w:t xml:space="preserve">    230508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13044" w:rsidRDefault="00513044">
      <w:r>
        <w:separator/>
      </w:r>
    </w:p>
  </w:footnote>
  <w:footnote w:type="continuationSeparator" w:id="0">
    <w:p w:rsidR="00513044" w:rsidRDefault="0051304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51A1" w:rsidRDefault="00B551A1">
    <w:pPr>
      <w:pStyle w:val="Header"/>
    </w:pPr>
    <w:r>
      <w:t>CRC/C/SR.1314</w:t>
    </w:r>
  </w:p>
  <w:p w:rsidR="00B551A1" w:rsidRDefault="00B551A1">
    <w:pPr>
      <w:pStyle w:val="Header"/>
    </w:pPr>
    <w:r>
      <w:t xml:space="preserve">page </w:t>
    </w:r>
    <w:r>
      <w:fldChar w:fldCharType="begin"/>
    </w:r>
    <w:r>
      <w:instrText xml:space="preserve"> PAGE  \* MERGEFORMAT </w:instrText>
    </w:r>
    <w:r>
      <w:fldChar w:fldCharType="separate"/>
    </w:r>
    <w:r w:rsidR="002B1F66">
      <w:rPr>
        <w:noProof/>
      </w:rPr>
      <w:t>4</w:t>
    </w:r>
    <w:r>
      <w:fldChar w:fldCharType="end"/>
    </w:r>
  </w:p>
  <w:p w:rsidR="00B551A1" w:rsidRDefault="00B551A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51A1" w:rsidRDefault="00B551A1" w:rsidP="00B551A1">
    <w:pPr>
      <w:pStyle w:val="Header"/>
      <w:tabs>
        <w:tab w:val="clear" w:pos="4320"/>
        <w:tab w:val="clear" w:pos="8640"/>
        <w:tab w:val="left" w:pos="6803"/>
      </w:tabs>
    </w:pPr>
    <w:r>
      <w:tab/>
      <w:t>CRC/C/SR.1314</w:t>
    </w:r>
  </w:p>
  <w:p w:rsidR="00B551A1" w:rsidRDefault="00B551A1" w:rsidP="00B551A1">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2B1F66">
      <w:rPr>
        <w:noProof/>
      </w:rPr>
      <w:t>3</w:t>
    </w:r>
    <w:r>
      <w:fldChar w:fldCharType="end"/>
    </w:r>
  </w:p>
  <w:p w:rsidR="00B551A1" w:rsidRDefault="00B551A1" w:rsidP="00B551A1">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ctiveWritingStyle w:appName="MSWord" w:lang="de-CH" w:vendorID="9" w:dllVersion="512"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425"/>
  <w:evenAndOddHeaders/>
  <w:drawingGridHorizontalSpacing w:val="120"/>
  <w:displayHorizontalDrawingGridEvery w:val="0"/>
  <w:displayVertic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41B99"/>
    <w:rsid w:val="000D1404"/>
    <w:rsid w:val="00134429"/>
    <w:rsid w:val="00243A2A"/>
    <w:rsid w:val="002B1F66"/>
    <w:rsid w:val="00306C2B"/>
    <w:rsid w:val="003E7D6F"/>
    <w:rsid w:val="00513044"/>
    <w:rsid w:val="005D5BE8"/>
    <w:rsid w:val="00632D1E"/>
    <w:rsid w:val="007308DD"/>
    <w:rsid w:val="00771EFD"/>
    <w:rsid w:val="009B5E57"/>
    <w:rsid w:val="00B551A1"/>
    <w:rsid w:val="00C17E6F"/>
    <w:rsid w:val="00D06105"/>
    <w:rsid w:val="00D87D31"/>
    <w:rsid w:val="00E41B99"/>
    <w:rsid w:val="00E70A18"/>
    <w:rsid w:val="00E919A2"/>
    <w:rsid w:val="00F52FB3"/>
    <w:rsid w:val="00F662E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919A2"/>
    <w:rPr>
      <w:sz w:val="24"/>
      <w:lang w:eastAsia="en-US"/>
    </w:rPr>
  </w:style>
  <w:style w:type="paragraph" w:styleId="Heading1">
    <w:name w:val="heading 1"/>
    <w:basedOn w:val="Normal"/>
    <w:next w:val="Normal"/>
    <w:qFormat/>
    <w:rsid w:val="00E919A2"/>
    <w:pPr>
      <w:keepNext/>
      <w:spacing w:after="240"/>
      <w:outlineLvl w:val="0"/>
    </w:pPr>
    <w:rPr>
      <w:b/>
      <w:bCs/>
    </w:rPr>
  </w:style>
  <w:style w:type="paragraph" w:styleId="Heading2">
    <w:name w:val="heading 2"/>
    <w:basedOn w:val="Normal"/>
    <w:next w:val="Normal"/>
    <w:qFormat/>
    <w:rsid w:val="00E919A2"/>
    <w:pPr>
      <w:keepNext/>
      <w:spacing w:after="240"/>
      <w:outlineLvl w:val="1"/>
    </w:pPr>
    <w:rPr>
      <w:b/>
    </w:rPr>
  </w:style>
  <w:style w:type="paragraph" w:styleId="Heading3">
    <w:name w:val="heading 3"/>
    <w:basedOn w:val="Normal"/>
    <w:next w:val="Normal"/>
    <w:qFormat/>
    <w:rsid w:val="00E919A2"/>
    <w:pPr>
      <w:keepNext/>
      <w:spacing w:after="240"/>
      <w:outlineLvl w:val="2"/>
    </w:pPr>
  </w:style>
  <w:style w:type="character" w:default="1" w:styleId="DefaultParagraphFont">
    <w:name w:val="Default Paragraph Font"/>
    <w:rsid w:val="00E919A2"/>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919A2"/>
  </w:style>
  <w:style w:type="character" w:styleId="FootnoteReference">
    <w:name w:val="footnote reference"/>
    <w:rsid w:val="00E919A2"/>
    <w:rPr>
      <w:rFonts w:ascii="Times New Roman" w:hAnsi="Times New Roman"/>
      <w:b/>
      <w:sz w:val="24"/>
      <w:vertAlign w:val="superscript"/>
    </w:rPr>
  </w:style>
  <w:style w:type="paragraph" w:styleId="Header">
    <w:name w:val="header"/>
    <w:basedOn w:val="Normal"/>
    <w:rsid w:val="00E919A2"/>
    <w:pPr>
      <w:tabs>
        <w:tab w:val="center" w:pos="4320"/>
        <w:tab w:val="right" w:pos="8640"/>
      </w:tabs>
    </w:pPr>
  </w:style>
  <w:style w:type="character" w:styleId="PageNumber">
    <w:name w:val="page number"/>
    <w:basedOn w:val="DefaultParagraphFont"/>
    <w:rsid w:val="00E919A2"/>
  </w:style>
  <w:style w:type="paragraph" w:styleId="Footer">
    <w:name w:val="footer"/>
    <w:basedOn w:val="Normal"/>
    <w:rsid w:val="00E919A2"/>
    <w:pPr>
      <w:tabs>
        <w:tab w:val="center" w:pos="4320"/>
        <w:tab w:val="right" w:pos="8640"/>
      </w:tabs>
    </w:pPr>
  </w:style>
  <w:style w:type="paragraph" w:styleId="FootnoteText">
    <w:name w:val="footnote text"/>
    <w:basedOn w:val="Normal"/>
    <w:rsid w:val="00E919A2"/>
  </w:style>
  <w:style w:type="character" w:styleId="EndnoteReference">
    <w:name w:val="endnote reference"/>
    <w:rsid w:val="00E919A2"/>
    <w:rPr>
      <w:rFonts w:ascii="Times New Roman" w:hAnsi="Times New Roman"/>
      <w:b/>
      <w:sz w:val="24"/>
      <w:vertAlign w:val="superscript"/>
    </w:rPr>
  </w:style>
  <w:style w:type="paragraph" w:styleId="EndnoteText">
    <w:name w:val="endnote text"/>
    <w:basedOn w:val="Normal"/>
    <w:rsid w:val="00E919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4.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C4</Template>
  <TotalTime>0</TotalTime>
  <Pages>4</Pages>
  <Words>1624</Words>
  <Characters>8726</Characters>
  <Application>Microsoft Office Word</Application>
  <DocSecurity>4</DocSecurity>
  <Lines>145</Lines>
  <Paragraphs>50</Paragraphs>
  <ScaleCrop>false</ScaleCrop>
  <HeadingPairs>
    <vt:vector size="2" baseType="variant">
      <vt:variant>
        <vt:lpstr>Titre</vt:lpstr>
      </vt:variant>
      <vt:variant>
        <vt:i4>1</vt:i4>
      </vt:variant>
    </vt:vector>
  </HeadingPairs>
  <TitlesOfParts>
    <vt:vector size="1" baseType="lpstr">
      <vt:lpstr>CRC/C/SR.1314</vt:lpstr>
    </vt:vector>
  </TitlesOfParts>
  <Company>ONU</Company>
  <LinksUpToDate>false</LinksUpToDate>
  <CharactersWithSpaces>10300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CRC/C/SR.1314</dc:title>
  <dc:subject>final</dc:subject>
  <dc:creator>M. Urli</dc:creator>
  <cp:keywords/>
  <dc:description/>
  <cp:lastModifiedBy>Adtpsfra</cp:lastModifiedBy>
  <cp:revision>2</cp:revision>
  <cp:lastPrinted>2008-05-23T09:34:00Z</cp:lastPrinted>
  <dcterms:created xsi:type="dcterms:W3CDTF">2008-05-23T09:38:00Z</dcterms:created>
  <dcterms:modified xsi:type="dcterms:W3CDTF">2008-05-23T09:38:00Z</dcterms:modified>
</cp:coreProperties>
</file>