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8CE" w:rsidRDefault="00EB58CE" w:rsidP="00EB58CE">
      <w:pPr>
        <w:spacing w:line="60" w:lineRule="exact"/>
        <w:sectPr w:rsidR="00EB58CE" w:rsidSect="00EB58C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8Size =1Lang = C"/>
            <w10:wrap anchorx="page" anchory="page"/>
          </v:shape>
        </w:pict>
      </w:r>
      <w:commentRangeEnd w:id="1"/>
      <w:r>
        <w:rPr>
          <w:rStyle w:val="CommentReference"/>
        </w:rPr>
        <w:commentReference w:id="1"/>
      </w:r>
    </w:p>
    <w:p w:rsidR="00EB58CE" w:rsidRDefault="00EB58CE" w:rsidP="00EB58CE">
      <w:pPr>
        <w:spacing w:line="60" w:lineRule="exact"/>
        <w:rPr>
          <w:rFonts w:hint="eastAsia"/>
        </w:rPr>
      </w:pPr>
    </w:p>
    <w:p w:rsidR="00BD566C" w:rsidRDefault="00BD566C" w:rsidP="00BA369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BA369E" w:rsidRPr="00BA369E" w:rsidRDefault="00BA369E" w:rsidP="00BA369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A369E" w:rsidRPr="00BA369E" w:rsidRDefault="00BA369E" w:rsidP="00BA369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A369E" w:rsidRPr="00BA369E" w:rsidRDefault="00BA369E" w:rsidP="00BA369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D566C" w:rsidRDefault="00BA369E" w:rsidP="00BA369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D566C">
        <w:rPr>
          <w:rFonts w:hint="eastAsia"/>
        </w:rPr>
        <w:t>审议缔约国根据《消除对妇女一切形式歧视公约》第18条提交的报告</w:t>
      </w:r>
    </w:p>
    <w:p w:rsidR="00BA369E" w:rsidRPr="00BA369E" w:rsidRDefault="00BA369E" w:rsidP="00BA369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A369E" w:rsidRPr="00BA369E" w:rsidRDefault="00BA369E" w:rsidP="00BA369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D566C" w:rsidRDefault="00BA369E" w:rsidP="00BA369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BD566C">
        <w:rPr>
          <w:rFonts w:hint="eastAsia"/>
        </w:rPr>
        <w:t>应在2013年提交的缔约国第八次定期报告</w:t>
      </w:r>
    </w:p>
    <w:p w:rsidR="00BA369E" w:rsidRPr="00BA369E" w:rsidRDefault="00BA369E" w:rsidP="00BA36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A369E" w:rsidRPr="00BA369E" w:rsidRDefault="00BA369E" w:rsidP="00BA36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A369E" w:rsidRPr="00BA369E" w:rsidRDefault="00BA369E" w:rsidP="00BA369E">
      <w:pPr>
        <w:framePr w:w="9792" w:h="432" w:hSpace="180" w:wrap="around" w:hAnchor="page" w:x="1210" w:yAlign="bottom"/>
        <w:spacing w:line="100" w:lineRule="exact"/>
        <w:rPr>
          <w:sz w:val="10"/>
        </w:rPr>
      </w:pPr>
    </w:p>
    <w:p w:rsidR="00BA369E" w:rsidRPr="00BA369E" w:rsidRDefault="00BA369E" w:rsidP="00BA369E">
      <w:pPr>
        <w:framePr w:w="9792" w:h="432" w:hSpace="180" w:wrap="around" w:hAnchor="page" w:x="1210" w:yAlign="bottom"/>
        <w:spacing w:line="60" w:lineRule="exact"/>
        <w:rPr>
          <w:sz w:val="6"/>
        </w:rPr>
      </w:pPr>
      <w:r w:rsidRPr="00BA369E">
        <w:rPr>
          <w:noProof/>
          <w:sz w:val="6"/>
        </w:rPr>
        <w:pict>
          <v:line id="_x0000_s1065" style="position:absolute;left:0;text-align:left;z-index:39;mso-position-horizontal-relative:page" from="108pt,-1pt" to="180pt,-1pt" strokeweight=".25pt">
            <w10:wrap anchorx="page"/>
          </v:line>
        </w:pict>
      </w:r>
    </w:p>
    <w:p w:rsidR="00BA369E" w:rsidRPr="00BA369E" w:rsidRDefault="00BA369E" w:rsidP="00BA369E">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BA369E">
        <w:rPr>
          <w:rFonts w:hint="eastAsia"/>
          <w:sz w:val="18"/>
        </w:rPr>
        <w:tab/>
      </w:r>
      <w:r w:rsidRPr="00BA369E">
        <w:rPr>
          <w:rFonts w:ascii="Times New Roman"/>
          <w:sz w:val="18"/>
          <w:vertAlign w:val="superscript"/>
        </w:rPr>
        <w:t>*</w:t>
      </w:r>
      <w:r w:rsidRPr="00BA369E">
        <w:rPr>
          <w:rFonts w:hint="eastAsia"/>
          <w:sz w:val="18"/>
        </w:rPr>
        <w:tab/>
        <w:t>本报告分发前未经正式编辑。</w:t>
      </w:r>
    </w:p>
    <w:p w:rsidR="00EA31C3" w:rsidRDefault="00BA369E" w:rsidP="00BA36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vertAlign w:val="superscript"/>
        </w:rPr>
      </w:pPr>
      <w:r>
        <w:rPr>
          <w:rFonts w:hint="eastAsia"/>
        </w:rPr>
        <w:tab/>
      </w:r>
      <w:r>
        <w:rPr>
          <w:rFonts w:hint="eastAsia"/>
        </w:rPr>
        <w:tab/>
      </w:r>
      <w:r w:rsidR="00BD566C">
        <w:rPr>
          <w:rFonts w:hint="eastAsia"/>
        </w:rPr>
        <w:t>丹麦</w:t>
      </w:r>
      <w:r w:rsidR="00BD566C" w:rsidRPr="00BA369E">
        <w:rPr>
          <w:rFonts w:ascii="Times New Roman"/>
          <w:vertAlign w:val="superscript"/>
        </w:rPr>
        <w:t>*</w:t>
      </w:r>
    </w:p>
    <w:p w:rsidR="00AE51F4" w:rsidRDefault="00AE51F4" w:rsidP="00AE51F4">
      <w:pPr>
        <w:pStyle w:val="SingleTxt"/>
        <w:rPr>
          <w:rFonts w:hint="eastAsia"/>
        </w:rPr>
      </w:pPr>
    </w:p>
    <w:p w:rsidR="00AE51F4" w:rsidRPr="00AE51F4" w:rsidRDefault="00AE51F4" w:rsidP="00AE51F4">
      <w:pPr>
        <w:pStyle w:val="SingleTxt"/>
        <w:jc w:val="right"/>
        <w:rPr>
          <w:rFonts w:hint="eastAsia"/>
        </w:rPr>
      </w:pPr>
      <w:r w:rsidRPr="00BA369E">
        <w:rPr>
          <w:rFonts w:hAnsi="SimSun" w:hint="eastAsia"/>
          <w:szCs w:val="21"/>
        </w:rPr>
        <w:t>[</w:t>
      </w:r>
      <w:r>
        <w:rPr>
          <w:rFonts w:hAnsi="SimSun" w:hint="eastAsia"/>
          <w:szCs w:val="21"/>
        </w:rPr>
        <w:t>收到日期：</w:t>
      </w:r>
      <w:r w:rsidRPr="00BA369E">
        <w:rPr>
          <w:rFonts w:hAnsi="SimSun" w:hint="eastAsia"/>
          <w:szCs w:val="21"/>
        </w:rPr>
        <w:t>2013年7月1日]</w:t>
      </w:r>
    </w:p>
    <w:p w:rsidR="00ED51BA" w:rsidRPr="00BA369E" w:rsidRDefault="00BD566C" w:rsidP="00ED51BA">
      <w:pPr>
        <w:pStyle w:val="HCh6"/>
        <w:jc w:val="right"/>
        <w:rPr>
          <w:rFonts w:ascii="SimSun" w:hAnsi="SimSun" w:hint="eastAsia"/>
          <w:sz w:val="21"/>
          <w:szCs w:val="21"/>
        </w:rPr>
      </w:pPr>
      <w:r>
        <w:br w:type="page"/>
      </w:r>
    </w:p>
    <w:p w:rsidR="00BD566C" w:rsidRDefault="00BD566C" w:rsidP="00BD566C">
      <w:pPr>
        <w:pStyle w:val="HCh6"/>
      </w:pPr>
      <w:r>
        <w:rPr>
          <w:rFonts w:hint="eastAsia"/>
        </w:rPr>
        <w:t>目录</w:t>
      </w:r>
    </w:p>
    <w:tbl>
      <w:tblPr>
        <w:tblW w:w="9902" w:type="dxa"/>
        <w:tblLayout w:type="fixed"/>
        <w:tblCellMar>
          <w:left w:w="0" w:type="dxa"/>
          <w:right w:w="0" w:type="dxa"/>
        </w:tblCellMar>
        <w:tblLook w:val="0000"/>
      </w:tblPr>
      <w:tblGrid>
        <w:gridCol w:w="1069"/>
        <w:gridCol w:w="7378"/>
        <w:gridCol w:w="922"/>
        <w:gridCol w:w="10"/>
        <w:gridCol w:w="504"/>
        <w:gridCol w:w="19"/>
      </w:tblGrid>
      <w:tr w:rsidR="00BD566C" w:rsidRPr="00E53517" w:rsidTr="00D10634">
        <w:tblPrEx>
          <w:tblCellMar>
            <w:top w:w="0" w:type="dxa"/>
            <w:bottom w:w="0" w:type="dxa"/>
          </w:tblCellMar>
        </w:tblPrEx>
        <w:trPr>
          <w:gridAfter w:val="1"/>
          <w:wAfter w:w="19" w:type="dxa"/>
          <w:trHeight w:val="348"/>
        </w:trPr>
        <w:tc>
          <w:tcPr>
            <w:tcW w:w="1069" w:type="dxa"/>
          </w:tcPr>
          <w:p w:rsidR="00BD566C" w:rsidRPr="00E53517" w:rsidRDefault="00BD566C" w:rsidP="00BD566C">
            <w:pPr>
              <w:pStyle w:val="GB23126"/>
            </w:pPr>
          </w:p>
        </w:tc>
        <w:tc>
          <w:tcPr>
            <w:tcW w:w="7378" w:type="dxa"/>
          </w:tcPr>
          <w:p w:rsidR="00BD566C" w:rsidRPr="00E53517" w:rsidRDefault="00BD566C">
            <w:pPr>
              <w:spacing w:after="120" w:line="240" w:lineRule="auto"/>
              <w:rPr>
                <w:rFonts w:eastAsia="KaiTi_GB2312"/>
                <w:color w:val="0000FF"/>
                <w:sz w:val="15"/>
                <w:szCs w:val="15"/>
              </w:rPr>
            </w:pPr>
          </w:p>
        </w:tc>
        <w:tc>
          <w:tcPr>
            <w:tcW w:w="932" w:type="dxa"/>
            <w:gridSpan w:val="2"/>
          </w:tcPr>
          <w:p w:rsidR="00BD566C" w:rsidRPr="00E53517" w:rsidRDefault="00BD566C" w:rsidP="00BD566C">
            <w:pPr>
              <w:pStyle w:val="GB23126"/>
            </w:pPr>
          </w:p>
        </w:tc>
        <w:tc>
          <w:tcPr>
            <w:tcW w:w="504" w:type="dxa"/>
          </w:tcPr>
          <w:p w:rsidR="00BD566C" w:rsidRPr="00E53517" w:rsidRDefault="00BD566C" w:rsidP="00C447FE">
            <w:pPr>
              <w:pStyle w:val="GB23126"/>
              <w:ind w:right="57"/>
            </w:pPr>
            <w:r w:rsidRPr="00E53517">
              <w:rPr>
                <w:rFonts w:hint="eastAsia"/>
              </w:rPr>
              <w:t>页次</w:t>
            </w:r>
          </w:p>
        </w:tc>
      </w:tr>
      <w:tr w:rsidR="00252453" w:rsidTr="00252453">
        <w:tblPrEx>
          <w:tblCellMar>
            <w:top w:w="0" w:type="dxa"/>
            <w:bottom w:w="0" w:type="dxa"/>
          </w:tblCellMar>
        </w:tblPrEx>
        <w:trPr>
          <w:cantSplit/>
        </w:trPr>
        <w:tc>
          <w:tcPr>
            <w:tcW w:w="9369" w:type="dxa"/>
            <w:gridSpan w:val="3"/>
          </w:tcPr>
          <w:p w:rsidR="00252453" w:rsidRDefault="00252453" w:rsidP="00D40C0B">
            <w:pPr>
              <w:tabs>
                <w:tab w:val="right" w:pos="1080"/>
                <w:tab w:val="left" w:pos="1296"/>
                <w:tab w:val="right" w:leader="dot" w:pos="9371"/>
              </w:tabs>
              <w:spacing w:after="140"/>
              <w:ind w:left="1080"/>
            </w:pPr>
            <w:r>
              <w:rPr>
                <w:rFonts w:hint="eastAsia"/>
              </w:rPr>
              <w:t>导言</w:t>
            </w:r>
            <w:r w:rsidR="00D40C0B">
              <w:tab/>
            </w:r>
            <w:r>
              <w:tab/>
            </w:r>
          </w:p>
        </w:tc>
        <w:tc>
          <w:tcPr>
            <w:tcW w:w="533" w:type="dxa"/>
            <w:gridSpan w:val="3"/>
            <w:vAlign w:val="bottom"/>
          </w:tcPr>
          <w:p w:rsidR="00252453" w:rsidRDefault="00C447FE" w:rsidP="00C447FE">
            <w:pPr>
              <w:spacing w:after="120"/>
              <w:ind w:right="57"/>
              <w:jc w:val="right"/>
              <w:rPr>
                <w:rFonts w:hint="eastAsia"/>
              </w:rPr>
            </w:pPr>
            <w:r>
              <w:rPr>
                <w:rFonts w:hint="eastAsia"/>
              </w:rPr>
              <w:t>5</w:t>
            </w:r>
          </w:p>
        </w:tc>
      </w:tr>
      <w:tr w:rsidR="00252453" w:rsidTr="00252453">
        <w:tblPrEx>
          <w:tblCellMar>
            <w:top w:w="0" w:type="dxa"/>
            <w:bottom w:w="0" w:type="dxa"/>
          </w:tblCellMar>
        </w:tblPrEx>
        <w:trPr>
          <w:cantSplit/>
        </w:trPr>
        <w:tc>
          <w:tcPr>
            <w:tcW w:w="9369" w:type="dxa"/>
            <w:gridSpan w:val="3"/>
          </w:tcPr>
          <w:p w:rsidR="00252453" w:rsidRPr="000B218A" w:rsidRDefault="00252453" w:rsidP="00D40C0B">
            <w:pPr>
              <w:tabs>
                <w:tab w:val="right" w:pos="1080"/>
                <w:tab w:val="left" w:pos="1296"/>
                <w:tab w:val="left" w:pos="1728"/>
                <w:tab w:val="left" w:pos="2160"/>
                <w:tab w:val="left" w:pos="2592"/>
                <w:tab w:val="right" w:leader="dot" w:pos="9371"/>
              </w:tabs>
              <w:spacing w:after="140"/>
              <w:ind w:left="1080"/>
              <w:rPr>
                <w:rFonts w:hint="eastAsia"/>
              </w:rPr>
            </w:pPr>
            <w:r>
              <w:rPr>
                <w:rFonts w:hint="eastAsia"/>
              </w:rPr>
              <w:t>格陵兰和法罗群岛</w:t>
            </w:r>
            <w:r w:rsidR="00D40C0B">
              <w:tab/>
            </w:r>
            <w:r>
              <w:tab/>
            </w:r>
          </w:p>
        </w:tc>
        <w:tc>
          <w:tcPr>
            <w:tcW w:w="533" w:type="dxa"/>
            <w:gridSpan w:val="3"/>
            <w:vAlign w:val="bottom"/>
          </w:tcPr>
          <w:p w:rsidR="00252453" w:rsidRDefault="00C447FE" w:rsidP="00C447FE">
            <w:pPr>
              <w:spacing w:after="120"/>
              <w:ind w:right="57"/>
              <w:jc w:val="right"/>
              <w:rPr>
                <w:rFonts w:hint="eastAsia"/>
              </w:rPr>
            </w:pPr>
            <w:r>
              <w:rPr>
                <w:rFonts w:hint="eastAsia"/>
              </w:rPr>
              <w:t>5</w:t>
            </w:r>
          </w:p>
        </w:tc>
      </w:tr>
      <w:tr w:rsidR="00252453" w:rsidTr="00252453">
        <w:tblPrEx>
          <w:tblCellMar>
            <w:top w:w="0" w:type="dxa"/>
            <w:bottom w:w="0" w:type="dxa"/>
          </w:tblCellMar>
        </w:tblPrEx>
        <w:trPr>
          <w:cantSplit/>
        </w:trPr>
        <w:tc>
          <w:tcPr>
            <w:tcW w:w="9369" w:type="dxa"/>
            <w:gridSpan w:val="3"/>
          </w:tcPr>
          <w:p w:rsidR="00252453" w:rsidRPr="000B218A" w:rsidRDefault="00252453" w:rsidP="00D40C0B">
            <w:pPr>
              <w:tabs>
                <w:tab w:val="right" w:pos="1080"/>
                <w:tab w:val="left" w:pos="1296"/>
                <w:tab w:val="left" w:pos="1728"/>
                <w:tab w:val="left" w:pos="2160"/>
                <w:tab w:val="left" w:pos="2592"/>
                <w:tab w:val="left" w:pos="3024"/>
                <w:tab w:val="right" w:leader="dot" w:pos="9371"/>
              </w:tabs>
              <w:spacing w:after="140"/>
              <w:ind w:left="1080"/>
              <w:rPr>
                <w:rFonts w:hint="eastAsia"/>
              </w:rPr>
            </w:pPr>
            <w:r>
              <w:rPr>
                <w:rFonts w:hint="eastAsia"/>
              </w:rPr>
              <w:t>第1章：工作平等框架</w:t>
            </w:r>
            <w:r w:rsidR="00D40C0B">
              <w:tab/>
            </w:r>
            <w:r>
              <w:tab/>
            </w:r>
          </w:p>
        </w:tc>
        <w:tc>
          <w:tcPr>
            <w:tcW w:w="533" w:type="dxa"/>
            <w:gridSpan w:val="3"/>
            <w:vAlign w:val="bottom"/>
          </w:tcPr>
          <w:p w:rsidR="00252453" w:rsidRDefault="00C447FE" w:rsidP="00C447FE">
            <w:pPr>
              <w:spacing w:after="120"/>
              <w:ind w:right="57"/>
              <w:jc w:val="right"/>
              <w:rPr>
                <w:rFonts w:hint="eastAsia"/>
              </w:rPr>
            </w:pPr>
            <w:r>
              <w:rPr>
                <w:rFonts w:hint="eastAsia"/>
              </w:rPr>
              <w:t>5</w:t>
            </w:r>
          </w:p>
        </w:tc>
      </w:tr>
      <w:tr w:rsidR="00252453" w:rsidTr="00252453">
        <w:tblPrEx>
          <w:tblCellMar>
            <w:top w:w="0" w:type="dxa"/>
            <w:bottom w:w="0" w:type="dxa"/>
          </w:tblCellMar>
        </w:tblPrEx>
        <w:trPr>
          <w:cantSplit/>
        </w:trPr>
        <w:tc>
          <w:tcPr>
            <w:tcW w:w="9369" w:type="dxa"/>
            <w:gridSpan w:val="3"/>
          </w:tcPr>
          <w:p w:rsidR="00252453" w:rsidRPr="000B218A" w:rsidRDefault="00252453" w:rsidP="00D40C0B">
            <w:pPr>
              <w:tabs>
                <w:tab w:val="right" w:pos="1080"/>
                <w:tab w:val="left" w:pos="1296"/>
                <w:tab w:val="left" w:pos="1728"/>
                <w:tab w:val="left" w:pos="2160"/>
                <w:tab w:val="right" w:leader="dot" w:pos="9371"/>
              </w:tabs>
              <w:spacing w:after="140"/>
              <w:ind w:left="1080"/>
              <w:rPr>
                <w:rFonts w:hint="eastAsia"/>
              </w:rPr>
            </w:pPr>
            <w:r>
              <w:rPr>
                <w:rFonts w:hint="eastAsia"/>
              </w:rPr>
              <w:t>第1条：基础</w:t>
            </w:r>
            <w:r w:rsidR="00D40C0B">
              <w:tab/>
            </w:r>
            <w:r>
              <w:tab/>
            </w:r>
          </w:p>
        </w:tc>
        <w:tc>
          <w:tcPr>
            <w:tcW w:w="533" w:type="dxa"/>
            <w:gridSpan w:val="3"/>
            <w:vAlign w:val="bottom"/>
          </w:tcPr>
          <w:p w:rsidR="00252453" w:rsidRDefault="00C447FE" w:rsidP="00C447FE">
            <w:pPr>
              <w:spacing w:after="120"/>
              <w:ind w:right="57"/>
              <w:jc w:val="right"/>
              <w:rPr>
                <w:rFonts w:hint="eastAsia"/>
              </w:rPr>
            </w:pPr>
            <w:r>
              <w:rPr>
                <w:rFonts w:hint="eastAsia"/>
              </w:rPr>
              <w:t>5</w:t>
            </w:r>
          </w:p>
        </w:tc>
      </w:tr>
      <w:tr w:rsidR="00252453" w:rsidTr="00252453">
        <w:tblPrEx>
          <w:tblCellMar>
            <w:top w:w="0" w:type="dxa"/>
            <w:bottom w:w="0" w:type="dxa"/>
          </w:tblCellMar>
        </w:tblPrEx>
        <w:trPr>
          <w:cantSplit/>
        </w:trPr>
        <w:tc>
          <w:tcPr>
            <w:tcW w:w="9369" w:type="dxa"/>
            <w:gridSpan w:val="3"/>
          </w:tcPr>
          <w:p w:rsidR="00252453" w:rsidRPr="000B218A" w:rsidRDefault="00252453" w:rsidP="00D40C0B">
            <w:pPr>
              <w:tabs>
                <w:tab w:val="right" w:pos="1080"/>
                <w:tab w:val="left" w:pos="1296"/>
                <w:tab w:val="left" w:pos="1728"/>
                <w:tab w:val="left" w:pos="2160"/>
                <w:tab w:val="left" w:pos="2592"/>
                <w:tab w:val="right" w:leader="dot" w:pos="9371"/>
              </w:tabs>
              <w:spacing w:after="140"/>
              <w:ind w:left="1080"/>
              <w:rPr>
                <w:rFonts w:hint="eastAsia"/>
              </w:rPr>
            </w:pPr>
            <w:r>
              <w:rPr>
                <w:rFonts w:hint="eastAsia"/>
              </w:rPr>
              <w:t>第2条：宪法和立法</w:t>
            </w:r>
            <w:r w:rsidR="00D40C0B">
              <w:tab/>
            </w:r>
            <w:r>
              <w:tab/>
            </w:r>
          </w:p>
        </w:tc>
        <w:tc>
          <w:tcPr>
            <w:tcW w:w="533" w:type="dxa"/>
            <w:gridSpan w:val="3"/>
            <w:vAlign w:val="bottom"/>
          </w:tcPr>
          <w:p w:rsidR="00252453" w:rsidRDefault="00C447FE" w:rsidP="00C447FE">
            <w:pPr>
              <w:spacing w:after="120"/>
              <w:ind w:right="57"/>
              <w:jc w:val="right"/>
              <w:rPr>
                <w:rFonts w:hint="eastAsia"/>
              </w:rPr>
            </w:pPr>
            <w:r>
              <w:rPr>
                <w:rFonts w:hint="eastAsia"/>
              </w:rPr>
              <w:t>5</w:t>
            </w:r>
          </w:p>
        </w:tc>
      </w:tr>
      <w:tr w:rsidR="00252453" w:rsidTr="00252453">
        <w:tblPrEx>
          <w:tblCellMar>
            <w:top w:w="0" w:type="dxa"/>
            <w:bottom w:w="0" w:type="dxa"/>
          </w:tblCellMar>
        </w:tblPrEx>
        <w:trPr>
          <w:cantSplit/>
        </w:trPr>
        <w:tc>
          <w:tcPr>
            <w:tcW w:w="9369" w:type="dxa"/>
            <w:gridSpan w:val="3"/>
          </w:tcPr>
          <w:p w:rsidR="00252453" w:rsidRPr="000B218A" w:rsidRDefault="00252453" w:rsidP="00D40C0B">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第3条：基本人权和基本自由</w:t>
            </w:r>
            <w:r w:rsidR="00D40C0B">
              <w:tab/>
            </w:r>
            <w:r>
              <w:tab/>
            </w:r>
          </w:p>
        </w:tc>
        <w:tc>
          <w:tcPr>
            <w:tcW w:w="533" w:type="dxa"/>
            <w:gridSpan w:val="3"/>
            <w:vAlign w:val="bottom"/>
          </w:tcPr>
          <w:p w:rsidR="00252453" w:rsidRDefault="00C447FE" w:rsidP="00C447FE">
            <w:pPr>
              <w:spacing w:after="120"/>
              <w:ind w:right="57"/>
              <w:jc w:val="right"/>
              <w:rPr>
                <w:rFonts w:hint="eastAsia"/>
              </w:rPr>
            </w:pPr>
            <w:r>
              <w:rPr>
                <w:rFonts w:hint="eastAsia"/>
              </w:rPr>
              <w:t>6</w:t>
            </w:r>
          </w:p>
        </w:tc>
      </w:tr>
      <w:tr w:rsidR="00252453" w:rsidTr="00252453">
        <w:tblPrEx>
          <w:tblCellMar>
            <w:top w:w="0" w:type="dxa"/>
            <w:bottom w:w="0" w:type="dxa"/>
          </w:tblCellMar>
        </w:tblPrEx>
        <w:trPr>
          <w:cantSplit/>
        </w:trPr>
        <w:tc>
          <w:tcPr>
            <w:tcW w:w="9369" w:type="dxa"/>
            <w:gridSpan w:val="3"/>
          </w:tcPr>
          <w:p w:rsidR="00252453" w:rsidRPr="00D40C0B" w:rsidRDefault="00252453" w:rsidP="00D40C0B">
            <w:pPr>
              <w:tabs>
                <w:tab w:val="right" w:pos="1080"/>
                <w:tab w:val="left" w:pos="1296"/>
                <w:tab w:val="left" w:pos="1728"/>
                <w:tab w:val="left" w:pos="2160"/>
                <w:tab w:val="left" w:pos="2592"/>
                <w:tab w:val="right" w:leader="dot" w:pos="9371"/>
              </w:tabs>
              <w:spacing w:after="140"/>
              <w:ind w:left="1080"/>
              <w:rPr>
                <w:rFonts w:hint="eastAsia"/>
              </w:rPr>
            </w:pPr>
            <w:r>
              <w:rPr>
                <w:rFonts w:hint="eastAsia"/>
              </w:rPr>
              <w:t>公共部门的男女平等</w:t>
            </w:r>
            <w:r w:rsidR="00D40C0B">
              <w:tab/>
            </w:r>
          </w:p>
        </w:tc>
        <w:tc>
          <w:tcPr>
            <w:tcW w:w="533" w:type="dxa"/>
            <w:gridSpan w:val="3"/>
            <w:vAlign w:val="bottom"/>
          </w:tcPr>
          <w:p w:rsidR="00252453" w:rsidRDefault="00C447FE" w:rsidP="00C447FE">
            <w:pPr>
              <w:spacing w:after="120"/>
              <w:ind w:right="57"/>
              <w:jc w:val="right"/>
              <w:rPr>
                <w:rFonts w:hint="eastAsia"/>
              </w:rPr>
            </w:pPr>
            <w:r>
              <w:rPr>
                <w:rFonts w:hint="eastAsia"/>
              </w:rPr>
              <w:t>7</w:t>
            </w:r>
          </w:p>
        </w:tc>
      </w:tr>
      <w:tr w:rsidR="00252453" w:rsidTr="00252453">
        <w:tblPrEx>
          <w:tblCellMar>
            <w:top w:w="0" w:type="dxa"/>
            <w:bottom w:w="0" w:type="dxa"/>
          </w:tblCellMar>
        </w:tblPrEx>
        <w:trPr>
          <w:cantSplit/>
        </w:trPr>
        <w:tc>
          <w:tcPr>
            <w:tcW w:w="9369" w:type="dxa"/>
            <w:gridSpan w:val="3"/>
          </w:tcPr>
          <w:p w:rsidR="00252453" w:rsidRPr="00D40C0B" w:rsidRDefault="00252453" w:rsidP="00D40C0B">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第4条：平等机构和特别措施</w:t>
            </w:r>
            <w:r w:rsidR="00D40C0B">
              <w:tab/>
            </w:r>
          </w:p>
        </w:tc>
        <w:tc>
          <w:tcPr>
            <w:tcW w:w="533" w:type="dxa"/>
            <w:gridSpan w:val="3"/>
            <w:vAlign w:val="bottom"/>
          </w:tcPr>
          <w:p w:rsidR="00252453" w:rsidRDefault="00C447FE" w:rsidP="00C447FE">
            <w:pPr>
              <w:spacing w:after="120"/>
              <w:ind w:right="57"/>
              <w:jc w:val="right"/>
              <w:rPr>
                <w:rFonts w:hint="eastAsia"/>
              </w:rPr>
            </w:pPr>
            <w:r>
              <w:rPr>
                <w:rFonts w:hint="eastAsia"/>
              </w:rPr>
              <w:t>7</w:t>
            </w:r>
          </w:p>
        </w:tc>
      </w:tr>
      <w:tr w:rsidR="00252453" w:rsidTr="00252453">
        <w:tblPrEx>
          <w:tblCellMar>
            <w:top w:w="0" w:type="dxa"/>
            <w:bottom w:w="0" w:type="dxa"/>
          </w:tblCellMar>
        </w:tblPrEx>
        <w:trPr>
          <w:cantSplit/>
        </w:trPr>
        <w:tc>
          <w:tcPr>
            <w:tcW w:w="9369" w:type="dxa"/>
            <w:gridSpan w:val="3"/>
          </w:tcPr>
          <w:p w:rsidR="00252453" w:rsidRPr="00D40C0B" w:rsidRDefault="00252453" w:rsidP="00D40C0B">
            <w:pPr>
              <w:tabs>
                <w:tab w:val="right" w:pos="1080"/>
                <w:tab w:val="left" w:pos="1296"/>
                <w:tab w:val="left" w:pos="1728"/>
                <w:tab w:val="left" w:pos="2160"/>
                <w:tab w:val="left" w:pos="2592"/>
                <w:tab w:val="right" w:leader="dot" w:pos="9371"/>
              </w:tabs>
              <w:spacing w:after="140"/>
              <w:ind w:left="1080"/>
              <w:rPr>
                <w:rFonts w:hint="eastAsia"/>
              </w:rPr>
            </w:pPr>
            <w:r>
              <w:rPr>
                <w:rFonts w:hint="eastAsia"/>
              </w:rPr>
              <w:t>男女平等事务大臣</w:t>
            </w:r>
            <w:r w:rsidR="00D40C0B">
              <w:tab/>
            </w:r>
          </w:p>
        </w:tc>
        <w:tc>
          <w:tcPr>
            <w:tcW w:w="533" w:type="dxa"/>
            <w:gridSpan w:val="3"/>
            <w:vAlign w:val="bottom"/>
          </w:tcPr>
          <w:p w:rsidR="00252453" w:rsidRDefault="00C447FE" w:rsidP="00C447FE">
            <w:pPr>
              <w:spacing w:after="120"/>
              <w:ind w:right="57"/>
              <w:jc w:val="right"/>
              <w:rPr>
                <w:rFonts w:hint="eastAsia"/>
              </w:rPr>
            </w:pPr>
            <w:r>
              <w:rPr>
                <w:rFonts w:hint="eastAsia"/>
              </w:rPr>
              <w:t>7</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right" w:leader="dot" w:pos="9371"/>
              </w:tabs>
              <w:spacing w:after="140"/>
              <w:ind w:left="1080"/>
              <w:rPr>
                <w:rFonts w:hint="eastAsia"/>
              </w:rPr>
            </w:pPr>
            <w:r>
              <w:rPr>
                <w:rFonts w:hint="eastAsia"/>
              </w:rPr>
              <w:t>男女平等事务部</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8</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right" w:leader="dot" w:pos="9371"/>
              </w:tabs>
              <w:spacing w:after="140"/>
              <w:ind w:left="1080"/>
              <w:rPr>
                <w:rFonts w:hint="eastAsia"/>
              </w:rPr>
            </w:pPr>
            <w:r>
              <w:rPr>
                <w:rFonts w:hint="eastAsia"/>
              </w:rPr>
              <w:t>平等待遇委员会</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8</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right" w:leader="dot" w:pos="9371"/>
              </w:tabs>
              <w:spacing w:after="140"/>
              <w:ind w:left="1080"/>
              <w:rPr>
                <w:rFonts w:hint="eastAsia"/>
              </w:rPr>
            </w:pPr>
            <w:r>
              <w:rPr>
                <w:rFonts w:hint="eastAsia"/>
              </w:rPr>
              <w:t>丹麦人权研究所</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8</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丹麦妇女和性别问题信息中心</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9</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right" w:leader="dot" w:pos="9371"/>
              </w:tabs>
              <w:spacing w:after="140"/>
              <w:ind w:left="1080"/>
              <w:rPr>
                <w:rFonts w:hint="eastAsia"/>
              </w:rPr>
            </w:pPr>
            <w:r>
              <w:rPr>
                <w:rFonts w:hint="eastAsia"/>
              </w:rPr>
              <w:t>非政府组织</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9</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40"/>
              <w:ind w:left="1080"/>
              <w:rPr>
                <w:rFonts w:hint="eastAsia"/>
              </w:rPr>
            </w:pPr>
            <w:r>
              <w:rPr>
                <w:rFonts w:hint="eastAsia"/>
              </w:rPr>
              <w:t>第5条：优先事项。性别角色的陈规定型观念和偏见</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9</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080"/>
              <w:rPr>
                <w:rFonts w:hint="eastAsia"/>
              </w:rPr>
            </w:pPr>
            <w:r>
              <w:rPr>
                <w:rFonts w:hint="eastAsia"/>
              </w:rPr>
              <w:t>第6条：特殊问题。卖淫，人口贩卖和行为守则</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10</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right" w:leader="dot" w:pos="9371"/>
              </w:tabs>
              <w:spacing w:after="140"/>
              <w:ind w:left="1080"/>
              <w:rPr>
                <w:rFonts w:hint="eastAsia"/>
              </w:rPr>
            </w:pPr>
            <w:r>
              <w:rPr>
                <w:rFonts w:hint="eastAsia"/>
              </w:rPr>
              <w:t>卖淫</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10</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hint="eastAsia"/>
              </w:rPr>
            </w:pPr>
            <w:r>
              <w:rPr>
                <w:rFonts w:hint="eastAsia"/>
              </w:rPr>
              <w:t>2012-2015</w:t>
            </w:r>
            <w:r w:rsidR="00D10634">
              <w:rPr>
                <w:rFonts w:hint="eastAsia"/>
              </w:rPr>
              <w:t>年“</w:t>
            </w:r>
            <w:r>
              <w:rPr>
                <w:rFonts w:hint="eastAsia"/>
              </w:rPr>
              <w:t>不再卖淫</w:t>
            </w:r>
            <w:r w:rsidR="00D10634">
              <w:rPr>
                <w:rFonts w:hint="eastAsia"/>
              </w:rPr>
              <w:t>”</w:t>
            </w:r>
            <w:r>
              <w:rPr>
                <w:rFonts w:hint="eastAsia"/>
              </w:rPr>
              <w:t>项目</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10</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right" w:leader="dot" w:pos="9371"/>
              </w:tabs>
              <w:spacing w:after="140"/>
              <w:ind w:left="1080"/>
              <w:rPr>
                <w:rFonts w:hint="eastAsia"/>
              </w:rPr>
            </w:pPr>
            <w:r>
              <w:rPr>
                <w:rFonts w:hint="eastAsia"/>
              </w:rPr>
              <w:t>心理辅导</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11</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hint="eastAsia"/>
              </w:rPr>
            </w:pPr>
            <w:r>
              <w:rPr>
                <w:rFonts w:hint="eastAsia"/>
              </w:rPr>
              <w:t>尚未按性别分类的卖淫活动数据</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11</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right" w:leader="dot" w:pos="9371"/>
              </w:tabs>
              <w:spacing w:after="140"/>
              <w:ind w:left="1080"/>
              <w:rPr>
                <w:rFonts w:hint="eastAsia"/>
              </w:rPr>
            </w:pPr>
            <w:r>
              <w:rPr>
                <w:rFonts w:hint="eastAsia"/>
              </w:rPr>
              <w:t>行为守则</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11</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left" w:pos="1728"/>
                <w:tab w:val="right" w:leader="dot" w:pos="9371"/>
              </w:tabs>
              <w:spacing w:after="140"/>
              <w:ind w:left="1080"/>
              <w:rPr>
                <w:rFonts w:hint="eastAsia"/>
              </w:rPr>
            </w:pPr>
            <w:r>
              <w:rPr>
                <w:rFonts w:hint="eastAsia"/>
              </w:rPr>
              <w:t>贩卖人口</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11</w:t>
            </w:r>
          </w:p>
        </w:tc>
      </w:tr>
      <w:tr w:rsidR="00252453" w:rsidTr="00252453">
        <w:tblPrEx>
          <w:tblCellMar>
            <w:top w:w="0" w:type="dxa"/>
            <w:bottom w:w="0" w:type="dxa"/>
          </w:tblCellMar>
        </w:tblPrEx>
        <w:trPr>
          <w:cantSplit/>
        </w:trPr>
        <w:tc>
          <w:tcPr>
            <w:tcW w:w="9369" w:type="dxa"/>
            <w:gridSpan w:val="3"/>
          </w:tcPr>
          <w:p w:rsidR="00252453" w:rsidRPr="00D10634" w:rsidRDefault="00252453" w:rsidP="00D10634">
            <w:pPr>
              <w:tabs>
                <w:tab w:val="right" w:pos="1080"/>
                <w:tab w:val="left" w:pos="1296"/>
                <w:tab w:val="right" w:leader="dot" w:pos="9371"/>
              </w:tabs>
              <w:spacing w:after="140"/>
              <w:ind w:left="1080"/>
              <w:rPr>
                <w:rFonts w:hint="eastAsia"/>
              </w:rPr>
            </w:pPr>
            <w:r>
              <w:rPr>
                <w:rFonts w:hint="eastAsia"/>
              </w:rPr>
              <w:t>立法</w:t>
            </w:r>
            <w:r w:rsidR="00D10634">
              <w:tab/>
            </w:r>
          </w:p>
        </w:tc>
        <w:tc>
          <w:tcPr>
            <w:tcW w:w="533" w:type="dxa"/>
            <w:gridSpan w:val="3"/>
            <w:vAlign w:val="bottom"/>
          </w:tcPr>
          <w:p w:rsidR="00252453" w:rsidRDefault="00C447FE" w:rsidP="00C447FE">
            <w:pPr>
              <w:spacing w:after="120"/>
              <w:ind w:right="57"/>
              <w:jc w:val="right"/>
              <w:rPr>
                <w:rFonts w:hint="eastAsia"/>
              </w:rPr>
            </w:pPr>
            <w:r>
              <w:rPr>
                <w:rFonts w:hint="eastAsia"/>
              </w:rPr>
              <w:t>12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第2章：公共生活</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14</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right" w:leader="dot" w:pos="9371"/>
              </w:tabs>
              <w:spacing w:after="140"/>
              <w:ind w:left="1080"/>
              <w:rPr>
                <w:rFonts w:hint="eastAsia"/>
              </w:rPr>
            </w:pPr>
            <w:r>
              <w:rPr>
                <w:rFonts w:hint="eastAsia"/>
              </w:rPr>
              <w:t>第7条：政治权利与参与</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14</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政坛妇女</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14</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080"/>
              <w:rPr>
                <w:rFonts w:hint="eastAsia"/>
              </w:rPr>
            </w:pPr>
            <w:r>
              <w:rPr>
                <w:rFonts w:hint="eastAsia"/>
              </w:rPr>
              <w:t>女性在国家和地方政府的委员会和理事会中的代表人数</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14</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hint="eastAsia"/>
              </w:rPr>
            </w:pPr>
            <w:r>
              <w:rPr>
                <w:rFonts w:hint="eastAsia"/>
              </w:rPr>
              <w:t>担任管理职务和出任董事会的女性</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14</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080"/>
              <w:rPr>
                <w:rFonts w:hint="eastAsia"/>
              </w:rPr>
            </w:pPr>
            <w:r>
              <w:rPr>
                <w:rFonts w:hint="eastAsia"/>
              </w:rPr>
              <w:t>关于女性出任企业董事会职务和担任管理职责的新立法</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15</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武装部队中的女性</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15</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第8条：代表政府。女性大使</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15</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第9条：公民/国籍</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16</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right" w:leader="dot" w:pos="9371"/>
              </w:tabs>
              <w:spacing w:after="140"/>
              <w:ind w:left="1080"/>
              <w:rPr>
                <w:rFonts w:hint="eastAsia"/>
              </w:rPr>
            </w:pPr>
            <w:r>
              <w:rPr>
                <w:rFonts w:hint="eastAsia"/>
              </w:rPr>
              <w:t>第3章：教育</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16</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080"/>
              <w:rPr>
                <w:rFonts w:hint="eastAsia"/>
              </w:rPr>
            </w:pPr>
            <w:r>
              <w:rPr>
                <w:rFonts w:hint="eastAsia"/>
              </w:rPr>
              <w:t>第10条：教育体系和男女平等问题</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16</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right" w:leader="dot" w:pos="9371"/>
              </w:tabs>
              <w:spacing w:after="140"/>
              <w:ind w:left="1080"/>
              <w:rPr>
                <w:rFonts w:hint="eastAsia"/>
              </w:rPr>
            </w:pPr>
            <w:r>
              <w:rPr>
                <w:rFonts w:hint="eastAsia"/>
              </w:rPr>
              <w:t>教育体系和男女平等问题</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16</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日托服务</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16</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小学教育和初中教育</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17</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080"/>
              <w:rPr>
                <w:rFonts w:hint="eastAsia"/>
              </w:rPr>
            </w:pPr>
            <w:r>
              <w:rPr>
                <w:rFonts w:hint="eastAsia"/>
              </w:rPr>
              <w:t>受到性别成规定型观念影响的教育选择</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17</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right" w:leader="dot" w:pos="9371"/>
              </w:tabs>
              <w:spacing w:after="140"/>
              <w:ind w:left="1080"/>
              <w:rPr>
                <w:rFonts w:hint="eastAsia"/>
              </w:rPr>
            </w:pPr>
            <w:r>
              <w:rPr>
                <w:rFonts w:hint="eastAsia"/>
              </w:rPr>
              <w:t>普通高中教育</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18</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right" w:leader="dot" w:pos="9371"/>
              </w:tabs>
              <w:spacing w:after="140"/>
              <w:ind w:left="1080"/>
              <w:rPr>
                <w:rFonts w:hint="eastAsia"/>
              </w:rPr>
            </w:pPr>
            <w:r>
              <w:rPr>
                <w:rFonts w:hint="eastAsia"/>
              </w:rPr>
              <w:t>职业教育和培训</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18</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高等教育</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18</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right" w:leader="dot" w:pos="9371"/>
              </w:tabs>
              <w:spacing w:after="140"/>
              <w:ind w:left="1080"/>
              <w:rPr>
                <w:rFonts w:hint="eastAsia"/>
              </w:rPr>
            </w:pPr>
            <w:r>
              <w:rPr>
                <w:rFonts w:hint="eastAsia"/>
              </w:rPr>
              <w:t>完成高等教育</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19</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right" w:leader="dot" w:pos="9371"/>
              </w:tabs>
              <w:spacing w:after="140"/>
              <w:ind w:left="1080"/>
              <w:rPr>
                <w:rFonts w:hint="eastAsia"/>
              </w:rPr>
            </w:pPr>
            <w:r>
              <w:rPr>
                <w:rFonts w:hint="eastAsia"/>
              </w:rPr>
              <w:t>在学术界的女性</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20</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研究经费</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20</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第11条：劳动力市场的状况</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21</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right" w:leader="dot" w:pos="9371"/>
              </w:tabs>
              <w:spacing w:after="140"/>
              <w:ind w:left="1080"/>
              <w:rPr>
                <w:rFonts w:hint="eastAsia"/>
              </w:rPr>
            </w:pPr>
            <w:r>
              <w:rPr>
                <w:rFonts w:hint="eastAsia"/>
              </w:rPr>
              <w:t>丹麦劳动队伍中的女性</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21</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禁止歧视</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hint="eastAsia"/>
              </w:rPr>
            </w:pPr>
            <w:r>
              <w:rPr>
                <w:rFonts w:hint="eastAsia"/>
              </w:rPr>
              <w:t>性别分隔的劳动力市场和薪酬差距</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23</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right" w:leader="dot" w:pos="9371"/>
              </w:tabs>
              <w:spacing w:after="140"/>
              <w:ind w:left="1080"/>
              <w:rPr>
                <w:rFonts w:hint="eastAsia"/>
              </w:rPr>
            </w:pPr>
            <w:r>
              <w:rPr>
                <w:rFonts w:hint="eastAsia"/>
              </w:rPr>
              <w:t>产假、陪产假和育儿假</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24</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hint="eastAsia"/>
              </w:rPr>
            </w:pPr>
            <w:r>
              <w:rPr>
                <w:rFonts w:hint="eastAsia"/>
              </w:rPr>
              <w:t>兼职工作/减少的时间/工作时间</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25</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《移徙工人公约》</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25</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女性企业家</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26</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right" w:leader="dot" w:pos="9371"/>
              </w:tabs>
              <w:spacing w:after="140"/>
              <w:ind w:left="1080"/>
              <w:rPr>
                <w:rFonts w:hint="eastAsia"/>
              </w:rPr>
            </w:pPr>
            <w:r>
              <w:rPr>
                <w:rFonts w:hint="eastAsia"/>
              </w:rPr>
              <w:t>第12条：健康</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27</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080"/>
              <w:rPr>
                <w:rFonts w:hint="eastAsia"/>
              </w:rPr>
            </w:pPr>
            <w:r>
              <w:rPr>
                <w:rFonts w:hint="eastAsia"/>
              </w:rPr>
              <w:t>治疗子宫颈癌的人类乳头瘤病毒疫苗</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27</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right" w:leader="dot" w:pos="9371"/>
              </w:tabs>
              <w:spacing w:after="140"/>
              <w:ind w:left="1080"/>
              <w:rPr>
                <w:rFonts w:hint="eastAsia"/>
              </w:rPr>
            </w:pPr>
            <w:r>
              <w:rPr>
                <w:rFonts w:hint="eastAsia"/>
              </w:rPr>
              <w:t>生育率</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27</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产妇护理</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28</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right" w:leader="dot" w:pos="9371"/>
              </w:tabs>
              <w:spacing w:after="140"/>
              <w:ind w:left="1080"/>
              <w:rPr>
                <w:rFonts w:hint="eastAsia"/>
              </w:rPr>
            </w:pPr>
            <w:r>
              <w:rPr>
                <w:rFonts w:hint="eastAsia"/>
              </w:rPr>
              <w:t>堕胎权</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28</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预防手册</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28</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2012年的预期寿命</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29</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right" w:leader="dot" w:pos="9371"/>
              </w:tabs>
              <w:spacing w:after="140"/>
              <w:ind w:left="1080"/>
              <w:rPr>
                <w:rFonts w:hint="eastAsia"/>
              </w:rPr>
            </w:pPr>
            <w:r>
              <w:rPr>
                <w:rFonts w:hint="eastAsia"/>
              </w:rPr>
              <w:t>吸烟</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29</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外国女性的保健和疾病预防</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29</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艾滋病毒/艾滋病</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29</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right" w:leader="dot" w:pos="9371"/>
              </w:tabs>
              <w:spacing w:after="140"/>
              <w:ind w:left="1080"/>
              <w:rPr>
                <w:rFonts w:hint="eastAsia"/>
              </w:rPr>
            </w:pPr>
            <w:r>
              <w:rPr>
                <w:rFonts w:hint="eastAsia"/>
              </w:rPr>
              <w:t>暴力侵害妇女</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30</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警察过滤针对儿童的色情制品</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080"/>
              <w:rPr>
                <w:rFonts w:hint="eastAsia"/>
              </w:rPr>
            </w:pPr>
            <w:r>
              <w:rPr>
                <w:rFonts w:hint="eastAsia"/>
              </w:rPr>
              <w:t>第13条：财政和社会生活中其他领域的男女平等</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享有家庭福利的权利</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家庭津贴</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right" w:leader="dot" w:pos="9371"/>
              </w:tabs>
              <w:spacing w:after="140"/>
              <w:ind w:left="1080"/>
              <w:rPr>
                <w:rFonts w:hint="eastAsia"/>
              </w:rPr>
            </w:pPr>
            <w:r>
              <w:rPr>
                <w:rFonts w:hint="eastAsia"/>
              </w:rPr>
              <w:t>儿童津贴</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第14条：农村妇女</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32</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hint="eastAsia"/>
              </w:rPr>
            </w:pPr>
            <w:r>
              <w:rPr>
                <w:rFonts w:hint="eastAsia"/>
              </w:rPr>
              <w:t>第4章：法定资格与婚姻和家庭</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33</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right" w:leader="dot" w:pos="9371"/>
              </w:tabs>
              <w:spacing w:after="140"/>
              <w:ind w:left="1080"/>
              <w:rPr>
                <w:rFonts w:hint="eastAsia"/>
              </w:rPr>
            </w:pPr>
            <w:r>
              <w:rPr>
                <w:rFonts w:hint="eastAsia"/>
              </w:rPr>
              <w:t>第15条：法定资格</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33</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right" w:leader="dot" w:pos="9371"/>
              </w:tabs>
              <w:spacing w:after="140"/>
              <w:ind w:left="1080"/>
              <w:rPr>
                <w:rFonts w:hint="eastAsia"/>
              </w:rPr>
            </w:pPr>
            <w:r>
              <w:rPr>
                <w:rFonts w:hint="eastAsia"/>
              </w:rPr>
              <w:t>第16条：婚姻和家庭关系</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33</w:t>
            </w:r>
          </w:p>
        </w:tc>
      </w:tr>
      <w:tr w:rsidR="00252453" w:rsidTr="00252453">
        <w:tblPrEx>
          <w:tblCellMar>
            <w:top w:w="0" w:type="dxa"/>
            <w:bottom w:w="0" w:type="dxa"/>
          </w:tblCellMar>
        </w:tblPrEx>
        <w:trPr>
          <w:cantSplit/>
        </w:trPr>
        <w:tc>
          <w:tcPr>
            <w:tcW w:w="9369" w:type="dxa"/>
            <w:gridSpan w:val="3"/>
          </w:tcPr>
          <w:p w:rsidR="00252453" w:rsidRPr="00891CDF" w:rsidRDefault="00252453" w:rsidP="00891CDF">
            <w:pPr>
              <w:tabs>
                <w:tab w:val="right" w:pos="1080"/>
                <w:tab w:val="left" w:pos="1296"/>
                <w:tab w:val="left" w:pos="1728"/>
                <w:tab w:val="left" w:pos="2160"/>
                <w:tab w:val="left" w:pos="2592"/>
                <w:tab w:val="left" w:pos="3024"/>
                <w:tab w:val="left" w:pos="3456"/>
                <w:tab w:val="left" w:pos="3888"/>
                <w:tab w:val="right" w:leader="dot" w:pos="9371"/>
              </w:tabs>
              <w:spacing w:after="140"/>
              <w:ind w:left="1080"/>
              <w:rPr>
                <w:rFonts w:hint="eastAsia"/>
              </w:rPr>
            </w:pPr>
            <w:r>
              <w:rPr>
                <w:rFonts w:hint="eastAsia"/>
              </w:rPr>
              <w:t>普遍存在的年轻移民的社会控制</w:t>
            </w:r>
            <w:r w:rsidR="00891CDF">
              <w:tab/>
            </w:r>
          </w:p>
        </w:tc>
        <w:tc>
          <w:tcPr>
            <w:tcW w:w="533" w:type="dxa"/>
            <w:gridSpan w:val="3"/>
            <w:vAlign w:val="bottom"/>
          </w:tcPr>
          <w:p w:rsidR="00252453" w:rsidRDefault="00C447FE" w:rsidP="00C447FE">
            <w:pPr>
              <w:spacing w:after="120"/>
              <w:ind w:right="57"/>
              <w:jc w:val="right"/>
              <w:rPr>
                <w:rFonts w:hint="eastAsia"/>
              </w:rPr>
            </w:pPr>
            <w:r>
              <w:rPr>
                <w:rFonts w:hint="eastAsia"/>
              </w:rPr>
              <w:t>33</w:t>
            </w:r>
          </w:p>
        </w:tc>
      </w:tr>
      <w:tr w:rsidR="00252453" w:rsidTr="00252453">
        <w:tblPrEx>
          <w:tblCellMar>
            <w:top w:w="0" w:type="dxa"/>
            <w:bottom w:w="0" w:type="dxa"/>
          </w:tblCellMar>
        </w:tblPrEx>
        <w:trPr>
          <w:cantSplit/>
        </w:trPr>
        <w:tc>
          <w:tcPr>
            <w:tcW w:w="9369" w:type="dxa"/>
            <w:gridSpan w:val="3"/>
          </w:tcPr>
          <w:p w:rsidR="00252453" w:rsidRDefault="00252453" w:rsidP="00252453">
            <w:pPr>
              <w:tabs>
                <w:tab w:val="right" w:pos="1080"/>
                <w:tab w:val="right" w:leader="dot" w:pos="8381"/>
              </w:tabs>
              <w:spacing w:after="140"/>
              <w:ind w:left="1080"/>
              <w:rPr>
                <w:rFonts w:hint="eastAsia"/>
              </w:rPr>
            </w:pPr>
            <w:r>
              <w:rPr>
                <w:rFonts w:hint="eastAsia"/>
              </w:rPr>
              <w:t>附件</w:t>
            </w:r>
            <w:r w:rsidRPr="00C447FE">
              <w:rPr>
                <w:rFonts w:ascii="Times New Roman"/>
                <w:vertAlign w:val="superscript"/>
              </w:rPr>
              <w:t>**</w:t>
            </w:r>
          </w:p>
        </w:tc>
        <w:tc>
          <w:tcPr>
            <w:tcW w:w="533" w:type="dxa"/>
            <w:gridSpan w:val="3"/>
            <w:vAlign w:val="bottom"/>
          </w:tcPr>
          <w:p w:rsidR="00252453" w:rsidRDefault="00252453" w:rsidP="00C447FE">
            <w:pPr>
              <w:spacing w:after="120"/>
              <w:ind w:right="57"/>
              <w:jc w:val="right"/>
              <w:rPr>
                <w:rFonts w:hint="eastAsia"/>
              </w:rPr>
            </w:pPr>
          </w:p>
        </w:tc>
      </w:tr>
    </w:tbl>
    <w:p w:rsidR="0051023B" w:rsidRPr="00260ED1" w:rsidRDefault="0051023B" w:rsidP="0051023B">
      <w:pPr>
        <w:framePr w:w="9792" w:h="432" w:hSpace="180" w:wrap="around" w:hAnchor="page" w:x="1210" w:yAlign="bottom"/>
        <w:spacing w:line="100" w:lineRule="exact"/>
        <w:rPr>
          <w:sz w:val="10"/>
        </w:rPr>
      </w:pPr>
    </w:p>
    <w:p w:rsidR="0051023B" w:rsidRPr="00260ED1" w:rsidRDefault="0051023B" w:rsidP="0051023B">
      <w:pPr>
        <w:framePr w:w="9792" w:h="432" w:hSpace="180" w:wrap="around" w:hAnchor="page" w:x="1210" w:yAlign="bottom"/>
        <w:spacing w:line="60" w:lineRule="exact"/>
        <w:rPr>
          <w:sz w:val="6"/>
        </w:rPr>
      </w:pPr>
      <w:r w:rsidRPr="00260ED1">
        <w:rPr>
          <w:noProof/>
          <w:sz w:val="6"/>
        </w:rPr>
        <w:pict>
          <v:line id="_x0000_s1068" style="position:absolute;left:0;text-align:left;z-index:41;mso-position-horizontal-relative:page" from="108pt,-1pt" to="180pt,-1pt" strokeweight=".25pt">
            <w10:wrap anchorx="page"/>
          </v:line>
        </w:pict>
      </w:r>
    </w:p>
    <w:p w:rsidR="0051023B" w:rsidRPr="00260ED1" w:rsidRDefault="0051023B" w:rsidP="0051023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260ED1">
        <w:rPr>
          <w:rFonts w:ascii="Times New Roman"/>
          <w:sz w:val="18"/>
          <w:vertAlign w:val="superscript"/>
        </w:rPr>
        <w:t>**</w:t>
      </w:r>
      <w:r>
        <w:rPr>
          <w:rFonts w:hint="eastAsia"/>
          <w:sz w:val="18"/>
        </w:rPr>
        <w:tab/>
      </w:r>
      <w:r w:rsidRPr="00260ED1">
        <w:rPr>
          <w:rFonts w:hint="eastAsia"/>
          <w:sz w:val="18"/>
        </w:rPr>
        <w:t>本文件各份附件存放于秘书处，备供查询。</w:t>
      </w:r>
    </w:p>
    <w:p w:rsidR="00D53FF1" w:rsidRDefault="00BA369E"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导言</w:t>
      </w:r>
    </w:p>
    <w:p w:rsidR="00BA369E" w:rsidRPr="00BA369E" w:rsidRDefault="00BA369E" w:rsidP="00BA369E">
      <w:pPr>
        <w:pStyle w:val="SingleTxt"/>
        <w:spacing w:after="0" w:line="120" w:lineRule="exact"/>
        <w:rPr>
          <w:rFonts w:hint="eastAsia"/>
          <w:sz w:val="10"/>
        </w:rPr>
      </w:pPr>
    </w:p>
    <w:p w:rsidR="00D53FF1" w:rsidRDefault="00BA369E" w:rsidP="00D53FF1">
      <w:pPr>
        <w:pStyle w:val="SingleTxt"/>
        <w:rPr>
          <w:rFonts w:hint="eastAsia"/>
        </w:rPr>
      </w:pPr>
      <w:r>
        <w:rPr>
          <w:rFonts w:hint="eastAsia"/>
        </w:rPr>
        <w:tab/>
      </w:r>
      <w:r w:rsidR="00D53FF1">
        <w:rPr>
          <w:rFonts w:hint="eastAsia"/>
        </w:rPr>
        <w:t>1979年12月18日，联合国大会通过了《消除对妇女一切形式歧视公约》。该公约于1983年5月21日在丹麦生效。履行《公约》各条款所规定的义务是各国政府的责任，但是若没有从事两性平等工作的许多机构、组织、团体和个人的参与，这种责任无从谈起。</w:t>
      </w:r>
    </w:p>
    <w:p w:rsidR="00D53FF1" w:rsidRDefault="00BA369E" w:rsidP="00D53FF1">
      <w:pPr>
        <w:pStyle w:val="SingleTxt"/>
        <w:rPr>
          <w:rFonts w:hint="eastAsia"/>
        </w:rPr>
      </w:pPr>
      <w:r>
        <w:rPr>
          <w:rFonts w:hint="eastAsia"/>
        </w:rPr>
        <w:tab/>
      </w:r>
      <w:r w:rsidR="00D53FF1">
        <w:rPr>
          <w:rFonts w:hint="eastAsia"/>
        </w:rPr>
        <w:t>报告各章与《公约》的不同部分相对应。按照惯例，邀请丹麦非政府组织对该报告发表评论意见。由于非政府组织特别要求将其报告附在主要报告之后一起提交委员会，因此将评论意见附在本报告结尾部分。</w:t>
      </w:r>
    </w:p>
    <w:p w:rsidR="00D53FF1" w:rsidRPr="00BA369E"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sidRPr="00BA369E">
        <w:rPr>
          <w:rFonts w:hint="eastAsia"/>
        </w:rPr>
        <w:t>格陵兰和法罗群岛</w:t>
      </w:r>
    </w:p>
    <w:p w:rsidR="00260ED1" w:rsidRPr="00260ED1" w:rsidRDefault="00260ED1" w:rsidP="00260ED1">
      <w:pPr>
        <w:pStyle w:val="SingleTxt"/>
        <w:spacing w:after="0" w:line="120" w:lineRule="exact"/>
        <w:rPr>
          <w:rFonts w:hint="eastAsia"/>
          <w:sz w:val="10"/>
        </w:rPr>
      </w:pPr>
    </w:p>
    <w:p w:rsidR="00D53FF1" w:rsidRDefault="00BA369E" w:rsidP="00D53FF1">
      <w:pPr>
        <w:pStyle w:val="SingleTxt"/>
        <w:rPr>
          <w:rFonts w:hint="eastAsia"/>
        </w:rPr>
      </w:pPr>
      <w:r>
        <w:rPr>
          <w:rFonts w:hint="eastAsia"/>
        </w:rPr>
        <w:tab/>
      </w:r>
      <w:r w:rsidR="00D53FF1">
        <w:rPr>
          <w:rFonts w:hint="eastAsia"/>
        </w:rPr>
        <w:t>作为丹麦王国一部分的格陵兰和法罗群岛属于自治领土。</w:t>
      </w:r>
    </w:p>
    <w:p w:rsidR="00D53FF1" w:rsidRDefault="00BA369E" w:rsidP="00D53FF1">
      <w:pPr>
        <w:pStyle w:val="SingleTxt"/>
        <w:rPr>
          <w:rFonts w:hint="eastAsia"/>
        </w:rPr>
      </w:pPr>
      <w:r>
        <w:rPr>
          <w:rFonts w:hint="eastAsia"/>
        </w:rPr>
        <w:tab/>
      </w:r>
      <w:r w:rsidR="00D53FF1">
        <w:rPr>
          <w:rFonts w:hint="eastAsia"/>
        </w:rPr>
        <w:t>因此，本报告有关格陵兰和法罗群岛承担的责任部分由格陵兰和法罗群岛当局编写，并分别附在附录A1和附录B1中。</w:t>
      </w:r>
    </w:p>
    <w:p w:rsidR="00D53FF1" w:rsidRDefault="00BA369E" w:rsidP="00D53FF1">
      <w:pPr>
        <w:pStyle w:val="SingleTxt"/>
        <w:rPr>
          <w:rFonts w:hint="eastAsia"/>
        </w:rPr>
      </w:pPr>
      <w:r>
        <w:rPr>
          <w:rFonts w:hint="eastAsia"/>
        </w:rPr>
        <w:tab/>
      </w:r>
      <w:r w:rsidR="00D53FF1">
        <w:rPr>
          <w:rFonts w:hint="eastAsia"/>
        </w:rPr>
        <w:t>关于格陵兰的自治安排的附件A</w:t>
      </w:r>
      <w:r>
        <w:rPr>
          <w:rFonts w:hint="eastAsia"/>
        </w:rPr>
        <w:t>(</w:t>
      </w:r>
      <w:r w:rsidR="00D53FF1">
        <w:rPr>
          <w:rFonts w:hint="eastAsia"/>
        </w:rPr>
        <w:t>A2</w:t>
      </w:r>
      <w:r>
        <w:rPr>
          <w:rFonts w:hint="eastAsia"/>
        </w:rPr>
        <w:t>)</w:t>
      </w:r>
      <w:r w:rsidR="00D53FF1">
        <w:rPr>
          <w:rFonts w:hint="eastAsia"/>
        </w:rPr>
        <w:t xml:space="preserve">由格陵兰和丹麦当局编写。 </w:t>
      </w:r>
    </w:p>
    <w:p w:rsidR="00260ED1" w:rsidRPr="00260ED1" w:rsidRDefault="00260ED1" w:rsidP="00260E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53FF1" w:rsidRDefault="00260ED1" w:rsidP="00260E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第1章：工作平等框架</w:t>
      </w:r>
    </w:p>
    <w:p w:rsidR="00260ED1" w:rsidRPr="00260ED1" w:rsidRDefault="00260ED1" w:rsidP="00260E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60ED1" w:rsidRPr="00260ED1" w:rsidRDefault="00260ED1" w:rsidP="00260E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53FF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第1条：基础</w:t>
      </w:r>
    </w:p>
    <w:p w:rsidR="00260ED1" w:rsidRPr="00260ED1" w:rsidRDefault="00260ED1" w:rsidP="00260ED1">
      <w:pPr>
        <w:pStyle w:val="SingleTxt"/>
        <w:spacing w:after="0" w:line="120" w:lineRule="exact"/>
        <w:rPr>
          <w:rFonts w:hint="eastAsia"/>
          <w:sz w:val="10"/>
        </w:rPr>
      </w:pPr>
    </w:p>
    <w:p w:rsidR="00D53FF1" w:rsidRDefault="00BA369E" w:rsidP="00D53FF1">
      <w:pPr>
        <w:pStyle w:val="SingleTxt"/>
        <w:rPr>
          <w:rFonts w:hint="eastAsia"/>
        </w:rPr>
      </w:pPr>
      <w:r>
        <w:rPr>
          <w:rFonts w:hint="eastAsia"/>
        </w:rPr>
        <w:tab/>
      </w:r>
      <w:r w:rsidR="00D53FF1">
        <w:rPr>
          <w:rFonts w:hint="eastAsia"/>
        </w:rPr>
        <w:t>男女平等是丹麦民主的关键内容，也是丹麦政治的基本原则。它基于对政治、经济、社会、文化和民事等各个社会领域的人权和基本自由的尊重。</w:t>
      </w:r>
    </w:p>
    <w:p w:rsidR="00D53FF1" w:rsidRDefault="00BA369E" w:rsidP="00D53FF1">
      <w:pPr>
        <w:pStyle w:val="SingleTxt"/>
        <w:rPr>
          <w:rFonts w:hint="eastAsia"/>
        </w:rPr>
      </w:pPr>
      <w:r>
        <w:rPr>
          <w:rFonts w:hint="eastAsia"/>
        </w:rPr>
        <w:tab/>
      </w:r>
      <w:r w:rsidR="00D53FF1">
        <w:rPr>
          <w:rFonts w:hint="eastAsia"/>
        </w:rPr>
        <w:t>丹麦致力于从法律和事实上保障男女平等。男女在社会各个领域享有相同的权利、义务和机会。这一事实明确体现在丹麦的《两性平等法》中，该法案第1条规定，“本法的目的是促进以男女地位平等为基础的男女平等，包括在所有社会活动中的平等融合、平等影响以及平等机会”。该法案还旨在打击直接和间接的性别歧视以及性骚扰。</w:t>
      </w:r>
    </w:p>
    <w:p w:rsidR="00D53FF1" w:rsidRDefault="00BA369E" w:rsidP="00D53FF1">
      <w:pPr>
        <w:pStyle w:val="SingleTxt"/>
        <w:rPr>
          <w:rFonts w:hint="eastAsia"/>
        </w:rPr>
      </w:pPr>
      <w:r>
        <w:rPr>
          <w:rFonts w:hint="eastAsia"/>
        </w:rPr>
        <w:tab/>
      </w:r>
      <w:r w:rsidR="00D53FF1">
        <w:rPr>
          <w:rFonts w:hint="eastAsia"/>
        </w:rPr>
        <w:t>国家对男女平等工作的重视体现在丹麦对批准《消除对妇女一切形式歧视公约》和其他联合国文件如《北京行动纲要》所作的国际承诺上。</w:t>
      </w:r>
    </w:p>
    <w:p w:rsidR="00D53FF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第2条：宪法和立法</w:t>
      </w:r>
    </w:p>
    <w:p w:rsidR="00260ED1" w:rsidRPr="00260ED1" w:rsidRDefault="00260ED1" w:rsidP="00260ED1">
      <w:pPr>
        <w:pStyle w:val="SingleTxt"/>
        <w:spacing w:after="0" w:line="120" w:lineRule="exact"/>
        <w:rPr>
          <w:rFonts w:hint="eastAsia"/>
          <w:sz w:val="10"/>
        </w:rPr>
      </w:pPr>
    </w:p>
    <w:p w:rsidR="00D53FF1" w:rsidRDefault="00BA369E" w:rsidP="00D53FF1">
      <w:pPr>
        <w:pStyle w:val="SingleTxt"/>
        <w:rPr>
          <w:rFonts w:hint="eastAsia"/>
        </w:rPr>
      </w:pPr>
      <w:r>
        <w:rPr>
          <w:rFonts w:hint="eastAsia"/>
        </w:rPr>
        <w:tab/>
      </w:r>
      <w:r w:rsidR="00D53FF1">
        <w:rPr>
          <w:rFonts w:hint="eastAsia"/>
        </w:rPr>
        <w:t>丹麦在以往已通过若干以赋予妇女权能为目标的法律，例如：在1857年，年龄超过25岁的未婚妇女已享有法定多数和继承的平等权利。1908年，妇女在地方选举中拥有投票权，1915年，可在普选中投票。1880年，已婚妇女已能完全控制她们自己的工资。丹麦妇女的性权利和生殖权利不受任何限制。避孕在1880年成为合法行为。1966年，避孕药开始发放。堕胎在1973年成为合法。丹麦的法律禁止性别歧视，也有法律促进男女平等和平等机会。1976年，丹麦制定了同工同酬的法律。第一部平等就业法在1978年通过，2000年制定了劳动力市场之外的性别平等法。这项法律仍在实施，适用于政府部门以及私有企业。</w:t>
      </w:r>
    </w:p>
    <w:p w:rsidR="00D53FF1" w:rsidRDefault="008E74BC" w:rsidP="00D53FF1">
      <w:pPr>
        <w:pStyle w:val="SingleTxt"/>
        <w:rPr>
          <w:rFonts w:hint="eastAsia"/>
        </w:rPr>
      </w:pPr>
      <w:r>
        <w:rPr>
          <w:rFonts w:hint="eastAsia"/>
        </w:rPr>
        <w:tab/>
      </w:r>
      <w:r w:rsidR="00D53FF1">
        <w:rPr>
          <w:rFonts w:hint="eastAsia"/>
        </w:rPr>
        <w:t>因此，我们可以指出，今天，我国人人都已达到形式上的平等</w:t>
      </w:r>
      <w:r>
        <w:rPr>
          <w:rFonts w:hint="eastAsia"/>
        </w:rPr>
        <w:t>——</w:t>
      </w:r>
      <w:r w:rsidR="00D53FF1">
        <w:rPr>
          <w:rFonts w:hint="eastAsia"/>
        </w:rPr>
        <w:t>除了兵员之外，目前只有男子服役。不过，从1973年开始，妇女已可从军。</w:t>
      </w:r>
    </w:p>
    <w:p w:rsidR="00D53FF1" w:rsidRDefault="00BA369E" w:rsidP="00D53FF1">
      <w:pPr>
        <w:pStyle w:val="SingleTxt"/>
        <w:rPr>
          <w:rFonts w:hint="eastAsia"/>
        </w:rPr>
      </w:pPr>
      <w:r>
        <w:rPr>
          <w:rFonts w:hint="eastAsia"/>
        </w:rPr>
        <w:tab/>
      </w:r>
      <w:r w:rsidR="00D53FF1">
        <w:rPr>
          <w:rFonts w:hint="eastAsia"/>
        </w:rPr>
        <w:t>为了确保未来达到形式上的全面平等，对所有新通过的立法都必须进行是否涉及男女平等问题的检查，以免发生基于性别的直接或间接歧视行为。</w:t>
      </w:r>
    </w:p>
    <w:p w:rsidR="00D53FF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第3条：基本人权和基本自由</w:t>
      </w:r>
    </w:p>
    <w:p w:rsidR="00260ED1" w:rsidRPr="00260ED1" w:rsidRDefault="00260ED1" w:rsidP="00260ED1">
      <w:pPr>
        <w:pStyle w:val="SingleTxt"/>
        <w:spacing w:after="0" w:line="120" w:lineRule="exact"/>
        <w:rPr>
          <w:rFonts w:hint="eastAsia"/>
          <w:sz w:val="10"/>
        </w:rPr>
      </w:pPr>
    </w:p>
    <w:p w:rsidR="00D53FF1" w:rsidRDefault="00BA369E" w:rsidP="00D53FF1">
      <w:pPr>
        <w:pStyle w:val="SingleTxt"/>
        <w:rPr>
          <w:rFonts w:hint="eastAsia"/>
        </w:rPr>
      </w:pPr>
      <w:r>
        <w:rPr>
          <w:rFonts w:hint="eastAsia"/>
        </w:rPr>
        <w:tab/>
      </w:r>
      <w:r w:rsidR="00D53FF1">
        <w:rPr>
          <w:rFonts w:hint="eastAsia"/>
        </w:rPr>
        <w:t xml:space="preserve">男女全体公民都必须拥有追求人生目标的平等机会，性别以及其他因素都不应成为这项追求的障碍。通过各种法案，妇女参与社会生活及自主决定其生活的权利以及性权利和生殖权利都得到了保障。不过，尽管作出了许多努力，但妇女仍然面临各种生活中的挑战，包括家庭暴力、遭到贩卖、未能实现同工同酬和在管理决策中代表性不足。此外，由于男女两性的传统角色以及陈旧观念，女童、男童、女子和男子仍然往往根据性别作出教育、职业和家庭中的选择，这可能限制了他们发挥他们的才能。 </w:t>
      </w:r>
    </w:p>
    <w:p w:rsidR="00D53FF1" w:rsidRDefault="00BA369E" w:rsidP="00D53FF1">
      <w:pPr>
        <w:pStyle w:val="SingleTxt"/>
        <w:rPr>
          <w:rFonts w:hint="eastAsia"/>
        </w:rPr>
      </w:pPr>
      <w:r>
        <w:rPr>
          <w:rFonts w:hint="eastAsia"/>
        </w:rPr>
        <w:tab/>
      </w:r>
      <w:r w:rsidR="00D53FF1">
        <w:rPr>
          <w:rFonts w:hint="eastAsia"/>
        </w:rPr>
        <w:t xml:space="preserve">基于这个理由，政府致力于推展男女平等，以便促进男女事实上的平等，并启动了各类活动，因此，除其他外，达成了下列各项成果： </w:t>
      </w:r>
    </w:p>
    <w:p w:rsidR="00D53FF1" w:rsidRDefault="00BA369E" w:rsidP="00D53FF1">
      <w:pPr>
        <w:pStyle w:val="SingleTxt"/>
        <w:rPr>
          <w:rFonts w:hint="eastAsia"/>
        </w:rPr>
      </w:pPr>
      <w:r>
        <w:rPr>
          <w:rFonts w:hint="eastAsia"/>
        </w:rPr>
        <w:tab/>
      </w:r>
      <w:r w:rsidR="00D53FF1">
        <w:rPr>
          <w:rFonts w:hint="eastAsia"/>
        </w:rPr>
        <w:t>过去10年间，家庭暴力的女性受害人数大幅下降，并且社会对家庭暴力的看法也有了改变</w:t>
      </w:r>
      <w:r>
        <w:rPr>
          <w:rFonts w:hint="eastAsia"/>
        </w:rPr>
        <w:t>——</w:t>
      </w:r>
      <w:r w:rsidR="00D53FF1">
        <w:rPr>
          <w:rFonts w:hint="eastAsia"/>
        </w:rPr>
        <w:t>不再认为这是私事，而认为应受到公众关注</w:t>
      </w:r>
      <w:r>
        <w:rPr>
          <w:rFonts w:hint="eastAsia"/>
        </w:rPr>
        <w:t>(</w:t>
      </w:r>
      <w:r w:rsidR="00D53FF1">
        <w:rPr>
          <w:rFonts w:hint="eastAsia"/>
        </w:rPr>
        <w:t>见第12条</w:t>
      </w:r>
      <w:r>
        <w:rPr>
          <w:rFonts w:hint="eastAsia"/>
        </w:rPr>
        <w:t>)</w:t>
      </w:r>
      <w:r w:rsidR="00D53FF1">
        <w:rPr>
          <w:rFonts w:hint="eastAsia"/>
        </w:rPr>
        <w:t>。此外，还成功设立了支持及识别人口贩运受害者的机制机构。</w:t>
      </w:r>
    </w:p>
    <w:p w:rsidR="00D53FF1" w:rsidRDefault="00BA369E" w:rsidP="00D53FF1">
      <w:pPr>
        <w:pStyle w:val="SingleTxt"/>
        <w:rPr>
          <w:rFonts w:hint="eastAsia"/>
        </w:rPr>
      </w:pPr>
      <w:r>
        <w:rPr>
          <w:rFonts w:hint="eastAsia"/>
        </w:rPr>
        <w:tab/>
      </w:r>
      <w:r w:rsidR="00D53FF1">
        <w:rPr>
          <w:rFonts w:hint="eastAsia"/>
        </w:rPr>
        <w:t>在生活中，对基本自由也必须要能作出平等选择。社会控制或男女的传统角色以及对男女所能担当工作的看法都不应对男女构成限制。基于这个理由，政府已启动各类不以性别为主要考虑的教育选择活动，并推动进行关于性别问题的陈旧观念的宣传和辩论</w:t>
      </w:r>
      <w:r>
        <w:rPr>
          <w:rFonts w:hint="eastAsia"/>
        </w:rPr>
        <w:t>(</w:t>
      </w:r>
      <w:r w:rsidR="00D53FF1">
        <w:rPr>
          <w:rFonts w:hint="eastAsia"/>
        </w:rPr>
        <w:t>见第5条</w:t>
      </w:r>
      <w:r>
        <w:rPr>
          <w:rFonts w:hint="eastAsia"/>
        </w:rPr>
        <w:t>)</w:t>
      </w:r>
      <w:r w:rsidR="00D53FF1">
        <w:rPr>
          <w:rFonts w:hint="eastAsia"/>
        </w:rPr>
        <w:t>。</w:t>
      </w:r>
    </w:p>
    <w:p w:rsidR="00D53FF1" w:rsidRDefault="00BA369E" w:rsidP="00D53FF1">
      <w:pPr>
        <w:pStyle w:val="SingleTxt"/>
        <w:rPr>
          <w:rFonts w:hint="eastAsia"/>
        </w:rPr>
      </w:pPr>
      <w:r>
        <w:rPr>
          <w:rFonts w:hint="eastAsia"/>
        </w:rPr>
        <w:tab/>
      </w:r>
      <w:r w:rsidR="00D53FF1">
        <w:rPr>
          <w:rFonts w:hint="eastAsia"/>
        </w:rPr>
        <w:t>政府正在进行第3次所谓的“人权运动”</w:t>
      </w:r>
      <w:r>
        <w:rPr>
          <w:rFonts w:hint="eastAsia"/>
        </w:rPr>
        <w:t>——</w:t>
      </w:r>
      <w:r w:rsidR="00D53FF1">
        <w:rPr>
          <w:rFonts w:hint="eastAsia"/>
        </w:rPr>
        <w:t xml:space="preserve">针对目标是少数群体的男女，因为男子接受男女平等的观念是改善女子性别平等的重要先决条件。其目的是要告知她们在工作、家庭、经济及保健方面拥有的权利和选择以及男女能利用这些信息应对他们生活中遭遇的性别平等难题，包括她们的家庭对她们的角色及价值观的期待。对第2次“人权运动”作出的评价显示，这次运动对参与的妇女提供了有用的信息。 </w:t>
      </w:r>
    </w:p>
    <w:p w:rsidR="00D53FF1" w:rsidRDefault="00BA369E" w:rsidP="00D53FF1">
      <w:pPr>
        <w:pStyle w:val="SingleTxt"/>
        <w:rPr>
          <w:rFonts w:hint="eastAsia"/>
        </w:rPr>
      </w:pPr>
      <w:r>
        <w:rPr>
          <w:rFonts w:hint="eastAsia"/>
        </w:rPr>
        <w:tab/>
      </w:r>
      <w:r w:rsidR="00D53FF1">
        <w:rPr>
          <w:rFonts w:hint="eastAsia"/>
        </w:rPr>
        <w:t>在家庭中，男女按照性别角色的分工有了很大改变。各项时间利用研究证实，1964年，每日家务中妇女比男子多用4小时，到2009年，这项差距为45分钟。这使妇女能够更加自由地全时参与劳动力市场。</w:t>
      </w:r>
    </w:p>
    <w:p w:rsidR="00D53FF1" w:rsidRPr="006D4A4D" w:rsidRDefault="00BA369E" w:rsidP="00D53FF1">
      <w:pPr>
        <w:pStyle w:val="SingleTxt"/>
        <w:rPr>
          <w:rFonts w:hint="eastAsia"/>
        </w:rPr>
      </w:pPr>
      <w:r>
        <w:rPr>
          <w:rFonts w:hint="eastAsia"/>
        </w:rPr>
        <w:tab/>
      </w:r>
      <w:r w:rsidR="006D4A4D" w:rsidRPr="006D4A4D">
        <w:rPr>
          <w:rFonts w:hint="eastAsia"/>
        </w:rPr>
        <w:t>丹麦通过采取欧洲理事会的结论，包括丹麦担任欧盟主席国时作出的理事会结论，全面参与欧盟对《北京行动纲领》采取的后续行动；2012年，对关键领域K(妇女与环境)和2002年对关键领域D(暴力侵害妇女)作出的理事会结论。后者导致了7项指标，这些指标目前已经形成丹麦三项全国性暴力侵害妇女的调查(每4年一次)的调查内容。</w:t>
      </w:r>
    </w:p>
    <w:p w:rsidR="00D53FF1" w:rsidRDefault="00BA369E" w:rsidP="00D53FF1">
      <w:pPr>
        <w:pStyle w:val="SingleTxt"/>
        <w:rPr>
          <w:rFonts w:hint="eastAsia"/>
        </w:rPr>
      </w:pPr>
      <w:r>
        <w:rPr>
          <w:rFonts w:hint="eastAsia"/>
        </w:rPr>
        <w:tab/>
      </w:r>
      <w:r w:rsidR="00D53FF1">
        <w:rPr>
          <w:rFonts w:hint="eastAsia"/>
        </w:rPr>
        <w:t>政府深信，不将男子包括其中，就不可能实现男女平等</w:t>
      </w:r>
      <w:r w:rsidR="008E74BC">
        <w:rPr>
          <w:rFonts w:hint="eastAsia"/>
        </w:rPr>
        <w:t>——</w:t>
      </w:r>
      <w:r w:rsidR="00D53FF1">
        <w:rPr>
          <w:rFonts w:hint="eastAsia"/>
        </w:rPr>
        <w:t xml:space="preserve">男子作为赋予妇女权能的伙伴以及作为消除男子进行性别歧视的重要行为体。基于这个理由，已经设立了男性讨论小组和男性网络，以便研究男子能以何种方式参与其中。 </w:t>
      </w:r>
    </w:p>
    <w:p w:rsidR="00D53FF1" w:rsidRPr="00260ED1" w:rsidRDefault="00D53FF1" w:rsidP="00D53FF1">
      <w:pPr>
        <w:pStyle w:val="SingleTxt"/>
        <w:rPr>
          <w:rFonts w:ascii="SimHei" w:eastAsia="SimHei" w:hint="eastAsia"/>
        </w:rPr>
      </w:pPr>
      <w:r w:rsidRPr="00260ED1">
        <w:rPr>
          <w:rFonts w:ascii="SimHei" w:eastAsia="SimHei" w:hint="eastAsia"/>
        </w:rPr>
        <w:t>公共部门的男女平等</w:t>
      </w:r>
    </w:p>
    <w:p w:rsidR="00D53FF1" w:rsidRDefault="00BA369E" w:rsidP="00D53FF1">
      <w:pPr>
        <w:pStyle w:val="SingleTxt"/>
        <w:rPr>
          <w:rFonts w:hint="eastAsia"/>
        </w:rPr>
      </w:pPr>
      <w:r>
        <w:rPr>
          <w:rFonts w:hint="eastAsia"/>
        </w:rPr>
        <w:tab/>
      </w:r>
      <w:r w:rsidR="00D53FF1">
        <w:rPr>
          <w:rFonts w:hint="eastAsia"/>
        </w:rPr>
        <w:t>从2000年开始，《两性平等法》第4条规定：“政府部门应在各自职权范围内努力促进男女平等，并将男女平等纳入所有规划和管理工作”。根据国家和地方政府有义务每年向男女平等事务大臣提交两次的男女平等报告，看来政府部门已经取得了成果。从2009年至2011年，国家机构</w:t>
      </w:r>
      <w:r>
        <w:rPr>
          <w:rFonts w:hint="eastAsia"/>
        </w:rPr>
        <w:t>(</w:t>
      </w:r>
      <w:r w:rsidR="00D53FF1">
        <w:rPr>
          <w:rFonts w:hint="eastAsia"/>
        </w:rPr>
        <w:t>超过50名雇员</w:t>
      </w:r>
      <w:r>
        <w:rPr>
          <w:rFonts w:hint="eastAsia"/>
        </w:rPr>
        <w:t>)</w:t>
      </w:r>
      <w:r w:rsidR="00D53FF1">
        <w:rPr>
          <w:rFonts w:hint="eastAsia"/>
        </w:rPr>
        <w:t>女性主管人数增加了11%</w:t>
      </w:r>
      <w:r>
        <w:rPr>
          <w:rFonts w:hint="eastAsia"/>
        </w:rPr>
        <w:t>(</w:t>
      </w:r>
      <w:r w:rsidR="00D53FF1">
        <w:rPr>
          <w:rFonts w:hint="eastAsia"/>
        </w:rPr>
        <w:t>14%至25%</w:t>
      </w:r>
      <w:r>
        <w:rPr>
          <w:rFonts w:hint="eastAsia"/>
        </w:rPr>
        <w:t>)</w:t>
      </w:r>
      <w:r w:rsidR="00D53FF1">
        <w:rPr>
          <w:rFonts w:hint="eastAsia"/>
        </w:rPr>
        <w:t>、各地区机构增加了5%</w:t>
      </w:r>
      <w:r>
        <w:rPr>
          <w:rFonts w:hint="eastAsia"/>
        </w:rPr>
        <w:t>(</w:t>
      </w:r>
      <w:r w:rsidR="00D53FF1">
        <w:rPr>
          <w:rFonts w:hint="eastAsia"/>
        </w:rPr>
        <w:t>19%至24%</w:t>
      </w:r>
      <w:r>
        <w:rPr>
          <w:rFonts w:hint="eastAsia"/>
        </w:rPr>
        <w:t>)</w:t>
      </w:r>
      <w:r w:rsidR="00D53FF1">
        <w:rPr>
          <w:rFonts w:hint="eastAsia"/>
        </w:rPr>
        <w:t>和市镇机构增加了2%</w:t>
      </w:r>
      <w:r>
        <w:rPr>
          <w:rFonts w:hint="eastAsia"/>
        </w:rPr>
        <w:t>(</w:t>
      </w:r>
      <w:r w:rsidR="00D53FF1">
        <w:rPr>
          <w:rFonts w:hint="eastAsia"/>
        </w:rPr>
        <w:t>23%至25%</w:t>
      </w:r>
      <w:r>
        <w:rPr>
          <w:rFonts w:hint="eastAsia"/>
        </w:rPr>
        <w:t>)</w:t>
      </w:r>
      <w:r w:rsidR="00D53FF1">
        <w:rPr>
          <w:rFonts w:hint="eastAsia"/>
        </w:rPr>
        <w:t xml:space="preserve">。 </w:t>
      </w:r>
    </w:p>
    <w:p w:rsidR="00D53FF1" w:rsidRDefault="00BA369E" w:rsidP="00D53FF1">
      <w:pPr>
        <w:pStyle w:val="SingleTxt"/>
        <w:rPr>
          <w:rFonts w:hint="eastAsia"/>
        </w:rPr>
      </w:pPr>
      <w:r>
        <w:rPr>
          <w:rFonts w:hint="eastAsia"/>
        </w:rPr>
        <w:tab/>
      </w:r>
      <w:r w:rsidR="00D53FF1">
        <w:rPr>
          <w:rFonts w:hint="eastAsia"/>
        </w:rPr>
        <w:t xml:space="preserve">当论及与公民有关的服务/举措中的两性平等主流化问题时，所有部委都在其本身职权范围内制定了性别平等政策，这导致达成2007-2011年两性平等主流化的部委间行动计划。然而，国家部门而尤其是地方政府将两性平等主流化纳入到与公民有关的服务都遭到各种挑战，因此，政府在2013年初启动了两性平等主流化的公共部门举措。这项战略包含三种办法。 </w:t>
      </w:r>
    </w:p>
    <w:p w:rsidR="00D53FF1" w:rsidRDefault="00BA369E" w:rsidP="00D53FF1">
      <w:pPr>
        <w:pStyle w:val="SingleTxt"/>
        <w:rPr>
          <w:rFonts w:hint="eastAsia"/>
        </w:rPr>
      </w:pPr>
      <w:r>
        <w:rPr>
          <w:rFonts w:hint="eastAsia"/>
        </w:rPr>
        <w:tab/>
      </w:r>
      <w:r w:rsidR="00D53FF1">
        <w:rPr>
          <w:rFonts w:hint="eastAsia"/>
        </w:rPr>
        <w:t>改善男女平等的评估：对国家和市镇的法案及其他与公民有关的举措进行更加有系统的性别平等评估，和公共企业/机构达到更好的两性均衡组成。改善指南和知识的传播：新建经过改良的网站</w:t>
      </w:r>
      <w:r>
        <w:rPr>
          <w:rFonts w:hint="eastAsia"/>
        </w:rPr>
        <w:t>(</w:t>
      </w:r>
      <w:r w:rsidR="00D53FF1">
        <w:rPr>
          <w:rFonts w:hint="eastAsia"/>
        </w:rPr>
        <w:t>提供良好做法和性别平等主流化的工具</w:t>
      </w:r>
      <w:r>
        <w:rPr>
          <w:rFonts w:hint="eastAsia"/>
        </w:rPr>
        <w:t>)</w:t>
      </w:r>
      <w:r w:rsidR="00D53FF1">
        <w:rPr>
          <w:rFonts w:hint="eastAsia"/>
        </w:rPr>
        <w:t xml:space="preserve">、提供关于性别平等评估的专业指南、建立跨部委的新网络和进行北欧关于最佳做法的调查。改善监督：改善和简化编制性别平等报告的概念、使报告便于政府部门用作监督和改进性别平等措施的工具以及监督政府将更多妇女纳入管理部门的努力。 </w:t>
      </w:r>
    </w:p>
    <w:p w:rsidR="00D53FF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第4条：平等机构和特别措施</w:t>
      </w:r>
    </w:p>
    <w:p w:rsidR="00260ED1" w:rsidRPr="00260ED1" w:rsidRDefault="00260ED1" w:rsidP="00260ED1">
      <w:pPr>
        <w:pStyle w:val="SingleTxt"/>
        <w:spacing w:after="0" w:line="120" w:lineRule="exact"/>
        <w:rPr>
          <w:rFonts w:hint="eastAsia"/>
          <w:sz w:val="10"/>
        </w:rPr>
      </w:pPr>
    </w:p>
    <w:p w:rsidR="00D53FF1" w:rsidRPr="00260ED1" w:rsidRDefault="00D53FF1" w:rsidP="00D53FF1">
      <w:pPr>
        <w:pStyle w:val="SingleTxt"/>
        <w:rPr>
          <w:rFonts w:ascii="SimHei" w:eastAsia="SimHei" w:hint="eastAsia"/>
        </w:rPr>
      </w:pPr>
      <w:r w:rsidRPr="00260ED1">
        <w:rPr>
          <w:rFonts w:ascii="SimHei" w:eastAsia="SimHei" w:hint="eastAsia"/>
        </w:rPr>
        <w:t>男女平等事务大臣</w:t>
      </w:r>
    </w:p>
    <w:p w:rsidR="00D53FF1" w:rsidRDefault="00BA369E" w:rsidP="00D53FF1">
      <w:pPr>
        <w:pStyle w:val="SingleTxt"/>
        <w:rPr>
          <w:rFonts w:hint="eastAsia"/>
        </w:rPr>
      </w:pPr>
      <w:r>
        <w:rPr>
          <w:rFonts w:hint="eastAsia"/>
        </w:rPr>
        <w:tab/>
      </w:r>
      <w:r w:rsidR="00D53FF1">
        <w:rPr>
          <w:rFonts w:hint="eastAsia"/>
        </w:rPr>
        <w:t>男女平等事务大臣协调政府有关男女平等事务的工作。各大臣按特定举措和一般举措负责处理各自职权范围内的男女平等事务。</w:t>
      </w:r>
    </w:p>
    <w:p w:rsidR="00D53FF1" w:rsidRDefault="00BA369E" w:rsidP="00D53FF1">
      <w:pPr>
        <w:pStyle w:val="SingleTxt"/>
        <w:rPr>
          <w:rFonts w:hint="eastAsia"/>
        </w:rPr>
      </w:pPr>
      <w:r>
        <w:rPr>
          <w:rFonts w:hint="eastAsia"/>
        </w:rPr>
        <w:tab/>
      </w:r>
      <w:r w:rsidR="00D53FF1">
        <w:rPr>
          <w:rFonts w:hint="eastAsia"/>
        </w:rPr>
        <w:t xml:space="preserve">男女平等事务大臣的任务包括：制定政府的男女平等政策；重点关注特别行动领域；协调政府的男女平等工作和执行将性别观点纳入主流的战略；执行与欧盟、北欧国家、联合国和欧洲理事会有关的国家任务；执行与北欧国家、欧盟和联合国有关的国际任务；为丹麦议会起草男女平等问题的年度报告及前景和行动计划；从国家机构和地方机构收集男女平等问题的报告；向相关委员会阐述男女平等问题的观点；执行《两性平等法》和监督理事会、董事会和委员会内的性别组成情况；并对目前跨部委团体等机构提供秘书事务协助。 </w:t>
      </w:r>
    </w:p>
    <w:p w:rsidR="00D53FF1" w:rsidRPr="00260ED1" w:rsidRDefault="00D53FF1" w:rsidP="00D53FF1">
      <w:pPr>
        <w:pStyle w:val="SingleTxt"/>
        <w:rPr>
          <w:rFonts w:ascii="SimHei" w:eastAsia="SimHei" w:hint="eastAsia"/>
        </w:rPr>
      </w:pPr>
      <w:r w:rsidRPr="00260ED1">
        <w:rPr>
          <w:rFonts w:ascii="SimHei" w:eastAsia="SimHei" w:hint="eastAsia"/>
        </w:rPr>
        <w:t>男女平等事务部</w:t>
      </w:r>
    </w:p>
    <w:p w:rsidR="00D53FF1" w:rsidRDefault="00BA369E" w:rsidP="00D53FF1">
      <w:pPr>
        <w:pStyle w:val="SingleTxt"/>
        <w:rPr>
          <w:rFonts w:hint="eastAsia"/>
        </w:rPr>
      </w:pPr>
      <w:r>
        <w:rPr>
          <w:rFonts w:hint="eastAsia"/>
        </w:rPr>
        <w:tab/>
      </w:r>
      <w:r w:rsidR="00D53FF1">
        <w:rPr>
          <w:rFonts w:hint="eastAsia"/>
        </w:rPr>
        <w:t>男女平等事务部执行男女平等事务大臣的秘书处工作，就上述不同任务提供服务。该部有16名工作人员。在《财政和拨款法》中，为男女平等事务部划拨了活动经费。2012年，拨款总额为1 400万丹麦克朗。此外，男女平等事务部负责管理为2011-2014年打击妇女贩卖行为制定的行动计划提供的拨款</w:t>
      </w:r>
      <w:r>
        <w:rPr>
          <w:rFonts w:hint="eastAsia"/>
        </w:rPr>
        <w:t>(</w:t>
      </w:r>
      <w:r w:rsidR="00D53FF1">
        <w:rPr>
          <w:rFonts w:hint="eastAsia"/>
        </w:rPr>
        <w:t>8 560万丹麦克朗</w:t>
      </w:r>
      <w:r>
        <w:rPr>
          <w:rFonts w:hint="eastAsia"/>
        </w:rPr>
        <w:t>)</w:t>
      </w:r>
      <w:r w:rsidR="00D53FF1">
        <w:rPr>
          <w:rFonts w:hint="eastAsia"/>
        </w:rPr>
        <w:t>、为2009-2012年打击亲密伴侣关系中的暴力事件的行动计划提供的拨款</w:t>
      </w:r>
      <w:r>
        <w:rPr>
          <w:rFonts w:hint="eastAsia"/>
        </w:rPr>
        <w:t>(</w:t>
      </w:r>
      <w:r w:rsidR="00D53FF1">
        <w:rPr>
          <w:rFonts w:hint="eastAsia"/>
        </w:rPr>
        <w:t>3 500万丹麦克朗</w:t>
      </w:r>
      <w:r>
        <w:rPr>
          <w:rFonts w:hint="eastAsia"/>
        </w:rPr>
        <w:t>)</w:t>
      </w:r>
      <w:r w:rsidR="00D53FF1">
        <w:rPr>
          <w:rFonts w:hint="eastAsia"/>
        </w:rPr>
        <w:t>以及为2009-2013年推动非丹麦裔女性和男性的平等提供的拨款</w:t>
      </w:r>
      <w:r>
        <w:rPr>
          <w:rFonts w:hint="eastAsia"/>
        </w:rPr>
        <w:t>(</w:t>
      </w:r>
      <w:r w:rsidR="00D53FF1">
        <w:rPr>
          <w:rFonts w:hint="eastAsia"/>
        </w:rPr>
        <w:t>800万丹麦克朗</w:t>
      </w:r>
      <w:r>
        <w:rPr>
          <w:rFonts w:hint="eastAsia"/>
        </w:rPr>
        <w:t>)</w:t>
      </w:r>
      <w:r w:rsidR="00D53FF1">
        <w:rPr>
          <w:rFonts w:hint="eastAsia"/>
        </w:rPr>
        <w:t>。最近，还为2010-2013年拨款20 000万丹麦克朗，以支持地方政府推动男女平等的项目。</w:t>
      </w:r>
    </w:p>
    <w:p w:rsidR="00D53FF1" w:rsidRPr="00260ED1" w:rsidRDefault="00D53FF1" w:rsidP="00D53FF1">
      <w:pPr>
        <w:pStyle w:val="SingleTxt"/>
        <w:rPr>
          <w:rFonts w:ascii="SimHei" w:eastAsia="SimHei" w:hint="eastAsia"/>
        </w:rPr>
      </w:pPr>
      <w:r w:rsidRPr="00260ED1">
        <w:rPr>
          <w:rFonts w:ascii="SimHei" w:eastAsia="SimHei" w:hint="eastAsia"/>
        </w:rPr>
        <w:t>平等待遇委员会</w:t>
      </w:r>
    </w:p>
    <w:p w:rsidR="00D53FF1" w:rsidRDefault="00BA369E" w:rsidP="00D53FF1">
      <w:pPr>
        <w:pStyle w:val="SingleTxt"/>
        <w:rPr>
          <w:rFonts w:hint="eastAsia"/>
        </w:rPr>
      </w:pPr>
      <w:r>
        <w:rPr>
          <w:rFonts w:hint="eastAsia"/>
        </w:rPr>
        <w:tab/>
      </w:r>
      <w:r w:rsidR="00D53FF1">
        <w:rPr>
          <w:rFonts w:hint="eastAsia"/>
        </w:rPr>
        <w:t>平等待遇委员会处理基于性别、种族、肤色、宗教或信仰、政治观点、性取向、年龄、残疾或国籍、社会地位或族裔而遭到的歧视的申诉。委员会的管辖权建立在2008年5月27日关于平等待遇委员会的第387号法案之上。该委员会根据这项立法作出裁决。任何公民均可向平等待遇委员会提出申诉。委员会的裁决对双方均有约束力，并为最终裁决。在某些情况下，委员会可裁定应对申诉人给予赔偿</w:t>
      </w:r>
      <w:r>
        <w:rPr>
          <w:rFonts w:hint="eastAsia"/>
        </w:rPr>
        <w:t>(</w:t>
      </w:r>
      <w:r w:rsidR="00D53FF1">
        <w:rPr>
          <w:rFonts w:hint="eastAsia"/>
        </w:rPr>
        <w:t>例如，遭到不当解雇</w:t>
      </w:r>
      <w:r>
        <w:rPr>
          <w:rFonts w:hint="eastAsia"/>
        </w:rPr>
        <w:t>)</w:t>
      </w:r>
      <w:r w:rsidR="00D53FF1">
        <w:rPr>
          <w:rFonts w:hint="eastAsia"/>
        </w:rPr>
        <w:t>。平等待遇委员会根据申诉人、辩护人</w:t>
      </w:r>
      <w:r>
        <w:rPr>
          <w:rFonts w:hint="eastAsia"/>
        </w:rPr>
        <w:t>(</w:t>
      </w:r>
      <w:r w:rsidR="00D53FF1">
        <w:rPr>
          <w:rFonts w:hint="eastAsia"/>
        </w:rPr>
        <w:t>遭到指控的个人/事件</w:t>
      </w:r>
      <w:r>
        <w:rPr>
          <w:rFonts w:hint="eastAsia"/>
        </w:rPr>
        <w:t>)</w:t>
      </w:r>
      <w:r w:rsidR="00D53FF1">
        <w:rPr>
          <w:rFonts w:hint="eastAsia"/>
        </w:rPr>
        <w:t>和秘书处提供的书面资料作出裁决。委员会以匿名方式作出裁决。</w:t>
      </w:r>
    </w:p>
    <w:p w:rsidR="00D53FF1" w:rsidRDefault="00BA369E" w:rsidP="00D53FF1">
      <w:pPr>
        <w:pStyle w:val="SingleTxt"/>
        <w:rPr>
          <w:rFonts w:hint="eastAsia"/>
        </w:rPr>
      </w:pPr>
      <w:r>
        <w:rPr>
          <w:rFonts w:hint="eastAsia"/>
        </w:rPr>
        <w:tab/>
      </w:r>
      <w:r w:rsidR="00D53FF1">
        <w:rPr>
          <w:rFonts w:hint="eastAsia"/>
        </w:rPr>
        <w:t>委员会由形成主席团的三名法官及拥有法律学位的九名委员组成。委员会成员均由就业大臣任命。所有成员对劳动力市场的法规及歧视都有专家知识。</w:t>
      </w:r>
    </w:p>
    <w:p w:rsidR="00D53FF1" w:rsidRPr="00260ED1" w:rsidRDefault="00D53FF1" w:rsidP="00D53FF1">
      <w:pPr>
        <w:pStyle w:val="SingleTxt"/>
        <w:rPr>
          <w:rFonts w:ascii="SimHei" w:eastAsia="SimHei" w:hint="eastAsia"/>
        </w:rPr>
      </w:pPr>
      <w:r w:rsidRPr="00260ED1">
        <w:rPr>
          <w:rFonts w:ascii="SimHei" w:eastAsia="SimHei" w:hint="eastAsia"/>
        </w:rPr>
        <w:t>丹麦人权研究所</w:t>
      </w:r>
    </w:p>
    <w:p w:rsidR="00D53FF1" w:rsidRDefault="00BA369E" w:rsidP="00D53FF1">
      <w:pPr>
        <w:pStyle w:val="SingleTxt"/>
        <w:rPr>
          <w:rFonts w:hint="eastAsia"/>
        </w:rPr>
      </w:pPr>
      <w:r>
        <w:rPr>
          <w:rFonts w:hint="eastAsia"/>
        </w:rPr>
        <w:tab/>
      </w:r>
      <w:r w:rsidR="00D53FF1">
        <w:rPr>
          <w:rFonts w:hint="eastAsia"/>
        </w:rPr>
        <w:t>丹麦人权研究所</w:t>
      </w:r>
      <w:r>
        <w:rPr>
          <w:rFonts w:hint="eastAsia"/>
        </w:rPr>
        <w:t>(</w:t>
      </w:r>
      <w:r w:rsidR="00D53FF1">
        <w:rPr>
          <w:rFonts w:hint="eastAsia"/>
        </w:rPr>
        <w:t>人权研究所</w:t>
      </w:r>
      <w:r>
        <w:rPr>
          <w:rFonts w:hint="eastAsia"/>
        </w:rPr>
        <w:t>)</w:t>
      </w:r>
      <w:r w:rsidR="00D53FF1">
        <w:rPr>
          <w:rFonts w:hint="eastAsia"/>
        </w:rPr>
        <w:t>最近被丹麦议会任命为关于性别问题的平等机构。这意味着，人权研究所从此刻开始负有促进、评价、监督和支持平等对待男女并不得进行性别歧视的任务。任何人认为他基于性别遭到歧视，均可联系人权研究所寻求指导和协助。</w:t>
      </w:r>
    </w:p>
    <w:p w:rsidR="00D53FF1" w:rsidRDefault="00BA369E" w:rsidP="00D53FF1">
      <w:pPr>
        <w:pStyle w:val="SingleTxt"/>
        <w:rPr>
          <w:rFonts w:hint="eastAsia"/>
        </w:rPr>
      </w:pPr>
      <w:r>
        <w:rPr>
          <w:rFonts w:hint="eastAsia"/>
        </w:rPr>
        <w:tab/>
      </w:r>
      <w:r w:rsidR="00D53FF1" w:rsidRPr="008E74BC">
        <w:rPr>
          <w:rFonts w:hint="eastAsia"/>
          <w:spacing w:val="4"/>
        </w:rPr>
        <w:t>人权研究所基于一项新的基本法将平等对待性别问题的工作纳入其职责</w:t>
      </w:r>
      <w:r w:rsidR="008E74BC">
        <w:rPr>
          <w:rFonts w:hint="eastAsia"/>
        </w:rPr>
        <w:t>——</w:t>
      </w:r>
      <w:r w:rsidR="00D53FF1">
        <w:rPr>
          <w:rFonts w:hint="eastAsia"/>
        </w:rPr>
        <w:t>《设立丹麦国际研究和人权中心法》的修正案。这项法案规定：“丹麦人权研究所旨在促进、评价和监督平等对待男女的问题并不得发生基于性别的歧视，包括向歧视受害者提供使其申诉得到解决的援助并适当顾及受害者、相关人员、各个组织和其他法律实体的权利、对歧视展开独立分析和就歧视问题提交报告和作出建议”。</w:t>
      </w:r>
    </w:p>
    <w:p w:rsidR="00D53FF1" w:rsidRPr="00260ED1" w:rsidRDefault="00D53FF1" w:rsidP="00D53FF1">
      <w:pPr>
        <w:pStyle w:val="SingleTxt"/>
        <w:rPr>
          <w:rFonts w:ascii="SimHei" w:eastAsia="SimHei" w:hint="eastAsia"/>
        </w:rPr>
      </w:pPr>
      <w:r w:rsidRPr="00260ED1">
        <w:rPr>
          <w:rFonts w:ascii="SimHei" w:eastAsia="SimHei" w:hint="eastAsia"/>
        </w:rPr>
        <w:t>丹麦妇女和性别问题信息中心</w:t>
      </w:r>
    </w:p>
    <w:p w:rsidR="00D53FF1" w:rsidRDefault="00BA369E" w:rsidP="00D53FF1">
      <w:pPr>
        <w:pStyle w:val="SingleTxt"/>
        <w:rPr>
          <w:rFonts w:hint="eastAsia"/>
        </w:rPr>
      </w:pPr>
      <w:r>
        <w:rPr>
          <w:rFonts w:hint="eastAsia"/>
        </w:rPr>
        <w:tab/>
      </w:r>
      <w:r w:rsidR="00D53FF1">
        <w:rPr>
          <w:rFonts w:hint="eastAsia"/>
        </w:rPr>
        <w:t>丹麦妇女和性别问题信息中心是全国信息、文献和文化中心，它把有关性别研究的成果传达给一般大众。该中心传播有关性别差异的重要意义的知识，并努力使人们了解妇女的知识、经验和专长。该中心活动的枢纽是一个研究型的图书馆。此外，丹麦妇女和性别问题信息中心建立了一个储存有1 100多名女性专家简历的专家数据库。这个数据库是物色丹麦各个社会学科领域高素质专家的工具。</w:t>
      </w:r>
    </w:p>
    <w:p w:rsidR="00D53FF1" w:rsidRPr="00260ED1" w:rsidRDefault="00D53FF1" w:rsidP="00D53FF1">
      <w:pPr>
        <w:pStyle w:val="SingleTxt"/>
        <w:rPr>
          <w:rFonts w:ascii="SimHei" w:eastAsia="SimHei" w:hint="eastAsia"/>
        </w:rPr>
      </w:pPr>
      <w:r w:rsidRPr="00260ED1">
        <w:rPr>
          <w:rFonts w:ascii="SimHei" w:eastAsia="SimHei" w:hint="eastAsia"/>
        </w:rPr>
        <w:t>非政府组织</w:t>
      </w:r>
    </w:p>
    <w:p w:rsidR="00D53FF1" w:rsidRDefault="00BA369E" w:rsidP="00D53FF1">
      <w:pPr>
        <w:pStyle w:val="SingleTxt"/>
        <w:rPr>
          <w:rFonts w:hint="eastAsia"/>
        </w:rPr>
      </w:pPr>
      <w:r>
        <w:rPr>
          <w:rFonts w:hint="eastAsia"/>
        </w:rPr>
        <w:tab/>
      </w:r>
      <w:r w:rsidR="00D53FF1">
        <w:rPr>
          <w:rFonts w:hint="eastAsia"/>
        </w:rPr>
        <w:t xml:space="preserve">长期以来，丹麦非政府组织一直积极参与促进男女平等的工作，特别是丹麦妇女协会和丹麦妇女委员会。后者是一个有46个妇女协会和组织组成的综合性组织，全部成员超过100万人；她们致力于确保妇女在社会中的权利和影响力。 </w:t>
      </w:r>
    </w:p>
    <w:p w:rsidR="00D53FF1" w:rsidRDefault="00BA369E" w:rsidP="00D53FF1">
      <w:pPr>
        <w:pStyle w:val="SingleTxt"/>
        <w:rPr>
          <w:rFonts w:hint="eastAsia"/>
        </w:rPr>
      </w:pPr>
      <w:r>
        <w:rPr>
          <w:rFonts w:hint="eastAsia"/>
        </w:rPr>
        <w:tab/>
      </w:r>
      <w:r w:rsidR="00D53FF1">
        <w:rPr>
          <w:rFonts w:hint="eastAsia"/>
        </w:rPr>
        <w:t xml:space="preserve">在促进男女平等的过程中，上述非政府组织的主要职责是对公共举措和政策进行监督，同时积极参与公众辩论。这些努力还包括传播有关《消除对妇女一切形式歧视公约》的知识。 </w:t>
      </w:r>
    </w:p>
    <w:p w:rsidR="00D53FF1" w:rsidRDefault="00BA369E" w:rsidP="00D53FF1">
      <w:pPr>
        <w:pStyle w:val="SingleTxt"/>
        <w:rPr>
          <w:rFonts w:hint="eastAsia"/>
        </w:rPr>
      </w:pPr>
      <w:r>
        <w:rPr>
          <w:rFonts w:hint="eastAsia"/>
        </w:rPr>
        <w:tab/>
      </w:r>
      <w:r w:rsidR="00D53FF1">
        <w:rPr>
          <w:rFonts w:hint="eastAsia"/>
        </w:rPr>
        <w:t>政府提出新的法案或行动计划等新举措时，通常与非政府组织和专家进行磋商。政府将非政府组织纳入工作并与其合作，这普遍受到高度赞赏并认为非常重要。</w:t>
      </w:r>
    </w:p>
    <w:p w:rsidR="00D53FF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第5条：优先事项。性别角色的陈规定型观念和偏见</w:t>
      </w:r>
    </w:p>
    <w:p w:rsidR="00260ED1" w:rsidRPr="00260ED1" w:rsidRDefault="00260ED1" w:rsidP="00260ED1">
      <w:pPr>
        <w:pStyle w:val="SingleTxt"/>
        <w:spacing w:after="0" w:line="120" w:lineRule="exact"/>
        <w:rPr>
          <w:rFonts w:hint="eastAsia"/>
          <w:sz w:val="10"/>
        </w:rPr>
      </w:pPr>
    </w:p>
    <w:p w:rsidR="00D53FF1" w:rsidRDefault="00BA369E" w:rsidP="00D53FF1">
      <w:pPr>
        <w:pStyle w:val="SingleTxt"/>
        <w:rPr>
          <w:rFonts w:hint="eastAsia"/>
        </w:rPr>
      </w:pPr>
      <w:r>
        <w:rPr>
          <w:rFonts w:hint="eastAsia"/>
        </w:rPr>
        <w:tab/>
      </w:r>
      <w:r w:rsidR="00D53FF1">
        <w:rPr>
          <w:rFonts w:hint="eastAsia"/>
        </w:rPr>
        <w:t>政府已将一些问题作为优先事项处理，包括家庭暴力、人口贩运、社会控制、妇女参与管理工作、男性和男女平等、移徙男女、年轻人和男女平等、男女隔离的劳动力市场和工资差距</w:t>
      </w:r>
      <w:r>
        <w:rPr>
          <w:rFonts w:hint="eastAsia"/>
        </w:rPr>
        <w:t>(</w:t>
      </w:r>
      <w:r w:rsidR="00D53FF1">
        <w:rPr>
          <w:rFonts w:hint="eastAsia"/>
        </w:rPr>
        <w:t>关于年度行动计划、优先事项和具体活动，可查阅：</w:t>
      </w:r>
      <w:r w:rsidR="00D53FF1" w:rsidRPr="00260ED1">
        <w:rPr>
          <w:rFonts w:ascii="Times New Roman"/>
        </w:rPr>
        <w:t>http://miliki.dk/english</w:t>
      </w:r>
      <w:r w:rsidRPr="00260ED1">
        <w:rPr>
          <w:rFonts w:ascii="Times New Roman"/>
        </w:rPr>
        <w:t>)</w:t>
      </w:r>
      <w:r w:rsidR="00D53FF1">
        <w:rPr>
          <w:rFonts w:hint="eastAsia"/>
        </w:rPr>
        <w:t>。</w:t>
      </w:r>
    </w:p>
    <w:p w:rsidR="00D53FF1" w:rsidRDefault="00BA369E" w:rsidP="00D53FF1">
      <w:pPr>
        <w:pStyle w:val="SingleTxt"/>
        <w:rPr>
          <w:rFonts w:hint="eastAsia"/>
        </w:rPr>
      </w:pPr>
      <w:r>
        <w:rPr>
          <w:rFonts w:hint="eastAsia"/>
        </w:rPr>
        <w:tab/>
      </w:r>
      <w:r w:rsidR="00D53FF1">
        <w:rPr>
          <w:rFonts w:hint="eastAsia"/>
        </w:rPr>
        <w:t xml:space="preserve">近年来，对青年男女所作的基于性别的教育选择加强了关注。这些选择部分体现了仍然相当传统的性别期待和男女角色的心态。政府了解应打破这种心态使个人能够根据能力而非性别作出选择，以便妇女能充分参与社会的所有层面。 </w:t>
      </w:r>
    </w:p>
    <w:p w:rsidR="00D53FF1" w:rsidRDefault="00260ED1" w:rsidP="00D53FF1">
      <w:pPr>
        <w:pStyle w:val="SingleTxt"/>
        <w:rPr>
          <w:rFonts w:hint="eastAsia"/>
        </w:rPr>
      </w:pPr>
      <w:r>
        <w:rPr>
          <w:rFonts w:hint="eastAsia"/>
        </w:rPr>
        <w:tab/>
      </w:r>
      <w:r w:rsidR="00D53FF1">
        <w:rPr>
          <w:rFonts w:hint="eastAsia"/>
        </w:rPr>
        <w:t>已经展开了各种举措</w:t>
      </w:r>
      <w:r w:rsidR="00BA369E">
        <w:rPr>
          <w:rFonts w:hint="eastAsia"/>
        </w:rPr>
        <w:t>——</w:t>
      </w:r>
      <w:r w:rsidR="00D53FF1">
        <w:rPr>
          <w:rFonts w:hint="eastAsia"/>
        </w:rPr>
        <w:t xml:space="preserve">以下列出一些项目实例。 </w:t>
      </w:r>
    </w:p>
    <w:p w:rsidR="00D53FF1" w:rsidRDefault="00BA369E" w:rsidP="00D53FF1">
      <w:pPr>
        <w:pStyle w:val="SingleTxt"/>
        <w:rPr>
          <w:rFonts w:hint="eastAsia"/>
        </w:rPr>
      </w:pPr>
      <w:r>
        <w:rPr>
          <w:rFonts w:hint="eastAsia"/>
        </w:rPr>
        <w:tab/>
      </w:r>
      <w:r w:rsidR="00D53FF1">
        <w:rPr>
          <w:rFonts w:hint="eastAsia"/>
        </w:rPr>
        <w:t>2011</w:t>
      </w:r>
      <w:r w:rsidR="00891CDF">
        <w:rPr>
          <w:rFonts w:hint="eastAsia"/>
        </w:rPr>
        <w:t>年，落实了“更多女孩学习自然科学和技术”</w:t>
      </w:r>
      <w:r w:rsidR="00D53FF1">
        <w:rPr>
          <w:rFonts w:hint="eastAsia"/>
        </w:rPr>
        <w:t xml:space="preserve">的试办项目。对这个试办项目进行的外部评价作出结论认为，这个项目成功地接触到了女孩，有78%的女孩回答指出，这个项目积极改变了她们在技术领域或自然科学求职的看法。 </w:t>
      </w:r>
    </w:p>
    <w:p w:rsidR="00D53FF1" w:rsidRDefault="00BA369E" w:rsidP="00D53FF1">
      <w:pPr>
        <w:pStyle w:val="SingleTxt"/>
        <w:rPr>
          <w:rFonts w:hint="eastAsia"/>
        </w:rPr>
      </w:pPr>
      <w:r>
        <w:rPr>
          <w:rFonts w:hint="eastAsia"/>
        </w:rPr>
        <w:tab/>
      </w:r>
      <w:r w:rsidR="00D53FF1">
        <w:rPr>
          <w:rFonts w:hint="eastAsia"/>
        </w:rPr>
        <w:t xml:space="preserve">2012年，在教育系统启动了推动男女平等的10个不同项目。这些项目有助于防止在教育方面作出男女高度隔离的选择和提供如何使男孩继续留在教育系统的知识。 </w:t>
      </w:r>
    </w:p>
    <w:p w:rsidR="00D53FF1" w:rsidRDefault="00BA369E" w:rsidP="00D53FF1">
      <w:pPr>
        <w:pStyle w:val="SingleTxt"/>
        <w:rPr>
          <w:rFonts w:hint="eastAsia"/>
        </w:rPr>
      </w:pPr>
      <w:r>
        <w:rPr>
          <w:rFonts w:hint="eastAsia"/>
        </w:rPr>
        <w:tab/>
      </w:r>
      <w:r w:rsidR="00D53FF1">
        <w:rPr>
          <w:rFonts w:hint="eastAsia"/>
        </w:rPr>
        <w:t>作为2012年欧洲联盟理事会丹麦主席国工作的一部分，对男女隔离的教育选择问题和越来越多的男孩辍学给予了特别关注。这个问题在理事会提出，并通过了理事会结论。此外，来自不同欧洲国家的专家于2012年5月16日聚集在哥本哈根，参加欧洲联盟理事会丹麦主席国组织和主办的研讨会。在欧盟理事会提出了一份总结各项建议的文件，该文件可查阅：</w:t>
      </w:r>
      <w:r w:rsidR="00D53FF1" w:rsidRPr="00BA369E">
        <w:rPr>
          <w:rFonts w:ascii="Times New Roman"/>
        </w:rPr>
        <w:t>http://miliki.dk/ligestilling/nyheder/</w:t>
      </w:r>
      <w:r>
        <w:rPr>
          <w:rFonts w:ascii="Times New Roman" w:hint="eastAsia"/>
        </w:rPr>
        <w:br/>
      </w:r>
      <w:r w:rsidR="00D53FF1" w:rsidRPr="00BA369E">
        <w:rPr>
          <w:rFonts w:ascii="Times New Roman"/>
        </w:rPr>
        <w:t>nyhed-om-ligestilling/artikel/anbefalinger-om-det-koensopdelte-uddannelsesvalg/</w:t>
      </w:r>
      <w:r w:rsidR="00D53FF1">
        <w:rPr>
          <w:rFonts w:hint="eastAsia"/>
        </w:rPr>
        <w:t>。</w:t>
      </w:r>
    </w:p>
    <w:p w:rsidR="00D53FF1" w:rsidRDefault="00BA369E" w:rsidP="00D53FF1">
      <w:pPr>
        <w:pStyle w:val="SingleTxt"/>
        <w:rPr>
          <w:rFonts w:hint="eastAsia"/>
        </w:rPr>
      </w:pPr>
      <w:r>
        <w:rPr>
          <w:rFonts w:hint="eastAsia"/>
        </w:rPr>
        <w:tab/>
      </w:r>
      <w:r w:rsidR="00D53FF1">
        <w:rPr>
          <w:rFonts w:hint="eastAsia"/>
        </w:rPr>
        <w:t>2011</w:t>
      </w:r>
      <w:r w:rsidR="008E74BC">
        <w:rPr>
          <w:rFonts w:hint="eastAsia"/>
        </w:rPr>
        <w:t>年，启动了“</w:t>
      </w:r>
      <w:r w:rsidR="00D53FF1" w:rsidRPr="00891CDF">
        <w:rPr>
          <w:rFonts w:ascii="Times New Roman"/>
        </w:rPr>
        <w:t>the future is yours.dk</w:t>
      </w:r>
      <w:r w:rsidR="008E74BC">
        <w:rPr>
          <w:rFonts w:hint="eastAsia"/>
        </w:rPr>
        <w:t>”</w:t>
      </w:r>
      <w:r w:rsidR="00D53FF1">
        <w:rPr>
          <w:rFonts w:hint="eastAsia"/>
        </w:rPr>
        <w:t>网站，以此作为打破男女隔离教育选择的部分活动。这个网站的对象是即将作出其第一次未来教育和职业选择的小学学生。它使用了男女楷模，展现了作出非传统教育选择及对这项选择感到满意的男女青年。该网站内容可查阅：</w:t>
      </w:r>
      <w:r w:rsidR="00D53FF1" w:rsidRPr="00891CDF">
        <w:rPr>
          <w:rFonts w:ascii="Times New Roman"/>
        </w:rPr>
        <w:t>www.fremtidenerdin.dk</w:t>
      </w:r>
      <w:r w:rsidR="00D53FF1">
        <w:rPr>
          <w:rFonts w:hint="eastAsia"/>
        </w:rPr>
        <w:t>。</w:t>
      </w:r>
    </w:p>
    <w:p w:rsidR="00D53FF1" w:rsidRDefault="00BA369E" w:rsidP="00D53FF1">
      <w:pPr>
        <w:pStyle w:val="SingleTxt"/>
        <w:rPr>
          <w:rFonts w:hint="eastAsia"/>
        </w:rPr>
      </w:pPr>
      <w:r>
        <w:rPr>
          <w:rFonts w:hint="eastAsia"/>
        </w:rPr>
        <w:tab/>
      </w:r>
      <w:r w:rsidR="00D53FF1">
        <w:rPr>
          <w:rFonts w:hint="eastAsia"/>
        </w:rPr>
        <w:t>2011</w:t>
      </w:r>
      <w:r w:rsidR="008E74BC">
        <w:rPr>
          <w:rFonts w:hint="eastAsia"/>
        </w:rPr>
        <w:t>年，启动了“</w:t>
      </w:r>
      <w:r w:rsidR="00D53FF1" w:rsidRPr="00891CDF">
        <w:rPr>
          <w:rFonts w:ascii="Times New Roman" w:hint="eastAsia"/>
        </w:rPr>
        <w:t>change</w:t>
      </w:r>
      <w:r w:rsidR="00D53FF1">
        <w:rPr>
          <w:rFonts w:hint="eastAsia"/>
        </w:rPr>
        <w:t xml:space="preserve"> </w:t>
      </w:r>
      <w:r w:rsidR="00D53FF1" w:rsidRPr="00891CDF">
        <w:rPr>
          <w:rFonts w:ascii="Times New Roman" w:hint="eastAsia"/>
        </w:rPr>
        <w:t>job</w:t>
      </w:r>
      <w:r w:rsidR="00D53FF1">
        <w:rPr>
          <w:rFonts w:hint="eastAsia"/>
        </w:rPr>
        <w:t>.</w:t>
      </w:r>
      <w:r w:rsidR="00D53FF1" w:rsidRPr="00891CDF">
        <w:rPr>
          <w:rFonts w:ascii="Times New Roman" w:hint="eastAsia"/>
        </w:rPr>
        <w:t>dk</w:t>
      </w:r>
      <w:r w:rsidR="008E74BC">
        <w:rPr>
          <w:rFonts w:hint="eastAsia"/>
        </w:rPr>
        <w:t>”</w:t>
      </w:r>
      <w:r w:rsidR="00D53FF1">
        <w:rPr>
          <w:rFonts w:hint="eastAsia"/>
        </w:rPr>
        <w:t>网站，以此作为打破男女隔离的劳动力市场的部分活动。这个网站的内容包括从业人员和决策人员能如何打破男女隔离的劳动力市场的建议和工具，包括如何回聘和征聘失业男子进入女性传统主导的领域。该网站内容可查阅：</w:t>
      </w:r>
      <w:r w:rsidR="00D53FF1" w:rsidRPr="00891CDF">
        <w:rPr>
          <w:rFonts w:ascii="Times New Roman"/>
        </w:rPr>
        <w:t>www.skiftjob.dk</w:t>
      </w:r>
      <w:r w:rsidR="00D53FF1">
        <w:rPr>
          <w:rFonts w:hint="eastAsia"/>
        </w:rPr>
        <w:t xml:space="preserve">。 </w:t>
      </w:r>
    </w:p>
    <w:p w:rsidR="00D53FF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第6条：特殊问题。卖淫，人口贩卖和行为守则</w:t>
      </w:r>
    </w:p>
    <w:p w:rsidR="00260ED1" w:rsidRPr="00260ED1" w:rsidRDefault="00260ED1" w:rsidP="00260ED1">
      <w:pPr>
        <w:pStyle w:val="SingleTxt"/>
        <w:spacing w:after="0" w:line="120" w:lineRule="exact"/>
        <w:rPr>
          <w:rFonts w:hint="eastAsia"/>
          <w:sz w:val="10"/>
        </w:rPr>
      </w:pPr>
    </w:p>
    <w:p w:rsidR="00D53FF1" w:rsidRPr="00260ED1" w:rsidRDefault="00D53FF1" w:rsidP="00D53FF1">
      <w:pPr>
        <w:pStyle w:val="SingleTxt"/>
        <w:rPr>
          <w:rFonts w:ascii="SimHei" w:eastAsia="SimHei" w:hint="eastAsia"/>
        </w:rPr>
      </w:pPr>
      <w:r w:rsidRPr="00260ED1">
        <w:rPr>
          <w:rFonts w:ascii="SimHei" w:eastAsia="SimHei" w:hint="eastAsia"/>
        </w:rPr>
        <w:t>卖淫</w:t>
      </w:r>
    </w:p>
    <w:p w:rsidR="00D53FF1" w:rsidRDefault="00BA369E" w:rsidP="00D53FF1">
      <w:pPr>
        <w:pStyle w:val="SingleTxt"/>
        <w:rPr>
          <w:rFonts w:hint="eastAsia"/>
        </w:rPr>
      </w:pPr>
      <w:r>
        <w:rPr>
          <w:rFonts w:hint="eastAsia"/>
        </w:rPr>
        <w:tab/>
      </w:r>
      <w:r w:rsidR="00D53FF1">
        <w:rPr>
          <w:rFonts w:hint="eastAsia"/>
        </w:rPr>
        <w:t>对卖淫问题的一般性说明，请参阅丹麦提交的第七次定期报告。</w:t>
      </w:r>
    </w:p>
    <w:p w:rsidR="00D53FF1" w:rsidRDefault="00BA369E" w:rsidP="00D53FF1">
      <w:pPr>
        <w:pStyle w:val="SingleTxt"/>
        <w:rPr>
          <w:rFonts w:hint="eastAsia"/>
        </w:rPr>
      </w:pPr>
      <w:r>
        <w:rPr>
          <w:rFonts w:hint="eastAsia"/>
        </w:rPr>
        <w:tab/>
      </w:r>
      <w:r w:rsidR="00D53FF1">
        <w:rPr>
          <w:rFonts w:hint="eastAsia"/>
        </w:rPr>
        <w:t>第七次定期报告指出，2005年设立了打击卖淫活动中心，以此作为政府推动整体解决卖淫问题的‘新生活’行动计划的一部分。2011年，打击卖淫活动中心的工作被列入监管丹麦社会工作活动的《社会服务法》指南。打击卖淫的工作仍然包括在以下五类干预活动之中：</w:t>
      </w:r>
      <w:r w:rsidR="008E74BC">
        <w:rPr>
          <w:rFonts w:hAnsi="SimSun" w:hint="eastAsia"/>
        </w:rPr>
        <w:t>㈠</w:t>
      </w:r>
      <w:r w:rsidR="008E74BC">
        <w:rPr>
          <w:rFonts w:hAnsi="SimSun"/>
        </w:rPr>
        <w:t xml:space="preserve"> </w:t>
      </w:r>
      <w:r w:rsidR="00D53FF1">
        <w:rPr>
          <w:rFonts w:hint="eastAsia"/>
        </w:rPr>
        <w:t>对参与卖淫活动的人给予社会支持和保健照顾；</w:t>
      </w:r>
      <w:r w:rsidR="008E74BC">
        <w:rPr>
          <w:rFonts w:hAnsi="SimSun" w:hint="eastAsia"/>
        </w:rPr>
        <w:t>㈡</w:t>
      </w:r>
      <w:r w:rsidR="008E74BC">
        <w:rPr>
          <w:rFonts w:hAnsi="SimSun"/>
        </w:rPr>
        <w:t xml:space="preserve"> </w:t>
      </w:r>
      <w:r w:rsidR="00D53FF1">
        <w:rPr>
          <w:rFonts w:hint="eastAsia"/>
        </w:rPr>
        <w:t>知识汇编；</w:t>
      </w:r>
      <w:r w:rsidR="008E74BC">
        <w:rPr>
          <w:rFonts w:hAnsi="SimSun" w:hint="eastAsia"/>
        </w:rPr>
        <w:t>㈢</w:t>
      </w:r>
      <w:r w:rsidR="008E74BC">
        <w:rPr>
          <w:rFonts w:hAnsi="SimSun"/>
        </w:rPr>
        <w:t xml:space="preserve"> </w:t>
      </w:r>
      <w:r w:rsidR="00D53FF1">
        <w:rPr>
          <w:rFonts w:hint="eastAsia"/>
        </w:rPr>
        <w:t>制定社会工作方法；</w:t>
      </w:r>
      <w:r w:rsidR="008E74BC">
        <w:rPr>
          <w:rFonts w:hAnsi="SimSun" w:hint="eastAsia"/>
        </w:rPr>
        <w:t>㈣</w:t>
      </w:r>
      <w:r w:rsidR="008E74BC">
        <w:rPr>
          <w:rFonts w:hAnsi="SimSun"/>
        </w:rPr>
        <w:t xml:space="preserve"> </w:t>
      </w:r>
      <w:r w:rsidR="00D53FF1">
        <w:rPr>
          <w:rFonts w:hint="eastAsia"/>
        </w:rPr>
        <w:t>对地方政府提供咨询和指导；和</w:t>
      </w:r>
      <w:r w:rsidR="008E74BC">
        <w:rPr>
          <w:rFonts w:hAnsi="SimSun" w:hint="eastAsia"/>
        </w:rPr>
        <w:t>㈤</w:t>
      </w:r>
      <w:r w:rsidR="008E74BC">
        <w:rPr>
          <w:rFonts w:hAnsi="SimSun"/>
        </w:rPr>
        <w:t xml:space="preserve"> </w:t>
      </w:r>
      <w:r w:rsidR="00D53FF1">
        <w:rPr>
          <w:rFonts w:hint="eastAsia"/>
        </w:rPr>
        <w:tab/>
        <w:t xml:space="preserve">对弱势年青人提供服务的专业人员提供在职培训。 </w:t>
      </w:r>
    </w:p>
    <w:p w:rsidR="00D53FF1" w:rsidRPr="00260ED1" w:rsidRDefault="00D53FF1" w:rsidP="00D53FF1">
      <w:pPr>
        <w:pStyle w:val="SingleTxt"/>
        <w:rPr>
          <w:rFonts w:ascii="SimHei" w:eastAsia="SimHei" w:hint="eastAsia"/>
        </w:rPr>
      </w:pPr>
      <w:r w:rsidRPr="00260ED1">
        <w:rPr>
          <w:rFonts w:ascii="SimHei" w:eastAsia="SimHei" w:hint="eastAsia"/>
        </w:rPr>
        <w:t>2012-2015</w:t>
      </w:r>
      <w:r w:rsidR="00260ED1">
        <w:rPr>
          <w:rFonts w:ascii="SimHei" w:eastAsia="SimHei" w:hint="eastAsia"/>
        </w:rPr>
        <w:t>年“</w:t>
      </w:r>
      <w:r w:rsidRPr="00260ED1">
        <w:rPr>
          <w:rFonts w:ascii="SimHei" w:eastAsia="SimHei" w:hint="eastAsia"/>
        </w:rPr>
        <w:t>不再卖淫</w:t>
      </w:r>
      <w:r w:rsidR="00260ED1">
        <w:rPr>
          <w:rFonts w:ascii="SimHei" w:eastAsia="SimHei" w:hint="eastAsia"/>
        </w:rPr>
        <w:t>”</w:t>
      </w:r>
      <w:r w:rsidRPr="00260ED1">
        <w:rPr>
          <w:rFonts w:ascii="SimHei" w:eastAsia="SimHei" w:hint="eastAsia"/>
        </w:rPr>
        <w:t>项目</w:t>
      </w:r>
    </w:p>
    <w:p w:rsidR="00D53FF1" w:rsidRDefault="00BA369E" w:rsidP="00D53FF1">
      <w:pPr>
        <w:pStyle w:val="SingleTxt"/>
        <w:rPr>
          <w:rFonts w:hint="eastAsia"/>
        </w:rPr>
      </w:pPr>
      <w:r>
        <w:tab/>
      </w:r>
      <w:r>
        <w:rPr>
          <w:rFonts w:hint="eastAsia"/>
        </w:rPr>
        <w:t>“</w:t>
      </w:r>
      <w:r w:rsidR="00D53FF1">
        <w:rPr>
          <w:rFonts w:hint="eastAsia"/>
        </w:rPr>
        <w:t>不再卖淫</w:t>
      </w:r>
      <w:r>
        <w:rPr>
          <w:rFonts w:hint="eastAsia"/>
        </w:rPr>
        <w:t>”</w:t>
      </w:r>
      <w:r w:rsidR="00D53FF1">
        <w:rPr>
          <w:rFonts w:hint="eastAsia"/>
        </w:rPr>
        <w:t xml:space="preserve">是一个为期四年的项目，预期这个项目将在丹麦四个最大的城市实施。这个项目是首次制定一项全面战略，对不再卖淫的人提供支持。它已现有知识为基础，并对这个项目作出的努力进行有系统的监督。 </w:t>
      </w:r>
    </w:p>
    <w:p w:rsidR="00D53FF1" w:rsidRDefault="00BA369E" w:rsidP="00D53FF1">
      <w:pPr>
        <w:pStyle w:val="SingleTxt"/>
        <w:rPr>
          <w:rFonts w:hint="eastAsia"/>
        </w:rPr>
      </w:pPr>
      <w:r>
        <w:rPr>
          <w:rFonts w:hint="eastAsia"/>
        </w:rPr>
        <w:tab/>
      </w:r>
      <w:r w:rsidR="00D53FF1">
        <w:rPr>
          <w:rFonts w:hint="eastAsia"/>
        </w:rPr>
        <w:t>在地方层面，这个项目的目标是</w:t>
      </w:r>
      <w:r>
        <w:rPr>
          <w:rFonts w:hint="eastAsia"/>
        </w:rPr>
        <w:t>㈠</w:t>
      </w:r>
      <w:r w:rsidR="00D53FF1">
        <w:rPr>
          <w:rFonts w:hint="eastAsia"/>
        </w:rPr>
        <w:t>对希望不再卖淫的人帮助提供没有卖淫活动的设施和</w:t>
      </w:r>
      <w:r>
        <w:rPr>
          <w:rFonts w:hint="eastAsia"/>
        </w:rPr>
        <w:t>㈡</w:t>
      </w:r>
      <w:r w:rsidR="00D53FF1">
        <w:rPr>
          <w:rFonts w:hint="eastAsia"/>
        </w:rPr>
        <w:t>帮助改善特别弱势卖淫者目前的生活状况。目标团体必须参加“关键时刻介入活动”项目。该项目是根据个人情况作出调整、整体和以多学科方式支持卖淫者的努力。这项支持分为针对待遇以及社会和就业活动的各个阶段，包括得到适宜的住房、个人社会支持、待遇以及财务稳定和对债务的咨询服务等。</w:t>
      </w:r>
    </w:p>
    <w:p w:rsidR="00D53FF1" w:rsidRDefault="00BA369E" w:rsidP="00D53FF1">
      <w:pPr>
        <w:pStyle w:val="SingleTxt"/>
        <w:rPr>
          <w:rFonts w:hint="eastAsia"/>
        </w:rPr>
      </w:pPr>
      <w:r>
        <w:rPr>
          <w:rFonts w:hint="eastAsia"/>
        </w:rPr>
        <w:tab/>
      </w:r>
      <w:r w:rsidR="00D53FF1">
        <w:rPr>
          <w:rFonts w:hint="eastAsia"/>
        </w:rPr>
        <w:t xml:space="preserve">每名使用者都配有一名案件管理员，在整个过程中，对这名项目使用者提供支持。 </w:t>
      </w:r>
    </w:p>
    <w:p w:rsidR="00D53FF1" w:rsidRDefault="00BA369E" w:rsidP="00D53FF1">
      <w:pPr>
        <w:pStyle w:val="SingleTxt"/>
        <w:rPr>
          <w:rFonts w:hint="eastAsia"/>
        </w:rPr>
      </w:pPr>
      <w:r>
        <w:rPr>
          <w:rFonts w:hint="eastAsia"/>
        </w:rPr>
        <w:tab/>
      </w:r>
      <w:r w:rsidR="00D53FF1">
        <w:rPr>
          <w:rFonts w:hint="eastAsia"/>
        </w:rPr>
        <w:t>已为这个项目拨款4 600万丹麦克朗。</w:t>
      </w:r>
    </w:p>
    <w:p w:rsidR="00D53FF1" w:rsidRPr="00260ED1" w:rsidRDefault="00D53FF1" w:rsidP="00D53FF1">
      <w:pPr>
        <w:pStyle w:val="SingleTxt"/>
        <w:rPr>
          <w:rFonts w:ascii="SimHei" w:eastAsia="SimHei" w:hint="eastAsia"/>
        </w:rPr>
      </w:pPr>
      <w:r w:rsidRPr="00260ED1">
        <w:rPr>
          <w:rFonts w:ascii="SimHei" w:eastAsia="SimHei" w:hint="eastAsia"/>
        </w:rPr>
        <w:t>心理辅导</w:t>
      </w:r>
    </w:p>
    <w:p w:rsidR="00D53FF1" w:rsidRDefault="00BA369E" w:rsidP="00D53FF1">
      <w:pPr>
        <w:pStyle w:val="SingleTxt"/>
        <w:rPr>
          <w:rFonts w:hint="eastAsia"/>
        </w:rPr>
      </w:pPr>
      <w:r>
        <w:rPr>
          <w:rFonts w:hint="eastAsia"/>
        </w:rPr>
        <w:tab/>
      </w:r>
      <w:r w:rsidR="00D53FF1">
        <w:rPr>
          <w:rFonts w:hint="eastAsia"/>
        </w:rPr>
        <w:t>根据2007年消除对妇女歧视委员会提出的设立支持方案和社会恢复方案的要求，将26名妇女送交心理师给予辅导。2012年，有37名妇女送交心理师，每人得到总共11小时的辅导</w:t>
      </w:r>
      <w:r>
        <w:rPr>
          <w:rFonts w:hint="eastAsia"/>
        </w:rPr>
        <w:t>(</w:t>
      </w:r>
      <w:r w:rsidR="00D53FF1">
        <w:rPr>
          <w:rFonts w:hint="eastAsia"/>
        </w:rPr>
        <w:t>进一步细节，请参阅丹麦提交的第七次定期报告</w:t>
      </w:r>
      <w:r>
        <w:rPr>
          <w:rFonts w:hint="eastAsia"/>
        </w:rPr>
        <w:t>)</w:t>
      </w:r>
      <w:r w:rsidR="00D53FF1">
        <w:rPr>
          <w:rFonts w:hint="eastAsia"/>
        </w:rPr>
        <w:t>。</w:t>
      </w:r>
    </w:p>
    <w:p w:rsidR="00D53FF1" w:rsidRPr="00260ED1" w:rsidRDefault="00D53FF1" w:rsidP="00D53FF1">
      <w:pPr>
        <w:pStyle w:val="SingleTxt"/>
        <w:rPr>
          <w:rFonts w:ascii="SimHei" w:eastAsia="SimHei" w:hint="eastAsia"/>
        </w:rPr>
      </w:pPr>
      <w:r w:rsidRPr="00260ED1">
        <w:rPr>
          <w:rFonts w:ascii="SimHei" w:eastAsia="SimHei" w:hint="eastAsia"/>
        </w:rPr>
        <w:t>尚未按性别分类的卖淫活动数据</w:t>
      </w:r>
    </w:p>
    <w:p w:rsidR="00D53FF1" w:rsidRDefault="00BA369E" w:rsidP="00D53FF1">
      <w:pPr>
        <w:pStyle w:val="SingleTxt"/>
        <w:rPr>
          <w:rFonts w:hint="eastAsia"/>
        </w:rPr>
      </w:pPr>
      <w:r>
        <w:rPr>
          <w:rFonts w:hint="eastAsia"/>
        </w:rPr>
        <w:tab/>
      </w:r>
      <w:r w:rsidR="00D53FF1">
        <w:rPr>
          <w:rFonts w:hint="eastAsia"/>
        </w:rPr>
        <w:t xml:space="preserve">有关丹麦不同卖淫形式的详细说明，请参阅丹麦提交的第七次定期报告。 </w:t>
      </w:r>
    </w:p>
    <w:p w:rsidR="00D53FF1" w:rsidRDefault="00BA369E" w:rsidP="00D53FF1">
      <w:pPr>
        <w:pStyle w:val="SingleTxt"/>
        <w:rPr>
          <w:rFonts w:hint="eastAsia"/>
        </w:rPr>
      </w:pPr>
      <w:r>
        <w:rPr>
          <w:rFonts w:hint="eastAsia"/>
        </w:rPr>
        <w:tab/>
      </w:r>
      <w:r w:rsidR="00D53FF1">
        <w:rPr>
          <w:rFonts w:hint="eastAsia"/>
        </w:rPr>
        <w:t>2011年，全国福利研究中心对丹麦卖淫活动进行了一次调查。该调查特别估计了参与卖淫活动的人数。</w:t>
      </w:r>
    </w:p>
    <w:p w:rsidR="00D53FF1" w:rsidRDefault="00BA369E" w:rsidP="00BA369E">
      <w:pPr>
        <w:pStyle w:val="SingleTxt"/>
        <w:ind w:left="2126" w:hanging="431"/>
        <w:rPr>
          <w:rFonts w:hint="eastAsia"/>
        </w:rPr>
      </w:pPr>
      <w:r>
        <w:rPr>
          <w:rFonts w:hint="eastAsia"/>
        </w:rPr>
        <w:sym w:font="Symbol" w:char="F0B7"/>
      </w:r>
      <w:r>
        <w:tab/>
      </w:r>
      <w:r w:rsidR="00D53FF1">
        <w:rPr>
          <w:rFonts w:hint="eastAsia"/>
        </w:rPr>
        <w:t>1</w:t>
      </w:r>
      <w:r w:rsidR="00A36325">
        <w:t xml:space="preserve"> </w:t>
      </w:r>
      <w:r w:rsidR="00D53FF1">
        <w:rPr>
          <w:rFonts w:hint="eastAsia"/>
        </w:rPr>
        <w:t>633人参与按摩店卖淫活动</w:t>
      </w:r>
    </w:p>
    <w:p w:rsidR="00D53FF1" w:rsidRDefault="00BA369E" w:rsidP="00BA369E">
      <w:pPr>
        <w:pStyle w:val="SingleTxt"/>
        <w:ind w:left="2126" w:hanging="431"/>
        <w:rPr>
          <w:rFonts w:hint="eastAsia"/>
        </w:rPr>
      </w:pPr>
      <w:r>
        <w:rPr>
          <w:rFonts w:hint="eastAsia"/>
        </w:rPr>
        <w:sym w:font="Symbol" w:char="F0B7"/>
      </w:r>
      <w:r>
        <w:tab/>
      </w:r>
      <w:r w:rsidR="00D53FF1">
        <w:rPr>
          <w:rFonts w:hint="eastAsia"/>
        </w:rPr>
        <w:t>有外国背景的595人参与街头卖淫</w:t>
      </w:r>
    </w:p>
    <w:p w:rsidR="00D53FF1" w:rsidRDefault="00BA369E" w:rsidP="00BA369E">
      <w:pPr>
        <w:pStyle w:val="SingleTxt"/>
        <w:ind w:left="2126" w:hanging="431"/>
        <w:rPr>
          <w:rFonts w:hint="eastAsia"/>
        </w:rPr>
      </w:pPr>
      <w:r>
        <w:rPr>
          <w:rFonts w:hint="eastAsia"/>
        </w:rPr>
        <w:sym w:font="Symbol" w:char="F0B7"/>
      </w:r>
      <w:r>
        <w:tab/>
      </w:r>
      <w:r w:rsidR="00D53FF1">
        <w:rPr>
          <w:rFonts w:hint="eastAsia"/>
        </w:rPr>
        <w:t>903名妇女参与陪同卖淫</w:t>
      </w:r>
    </w:p>
    <w:p w:rsidR="00D53FF1" w:rsidRDefault="00BA369E" w:rsidP="00D53FF1">
      <w:pPr>
        <w:pStyle w:val="SingleTxt"/>
        <w:rPr>
          <w:rFonts w:hint="eastAsia"/>
        </w:rPr>
      </w:pPr>
      <w:r>
        <w:rPr>
          <w:rFonts w:hint="eastAsia"/>
        </w:rPr>
        <w:tab/>
      </w:r>
      <w:r w:rsidR="00D53FF1">
        <w:rPr>
          <w:rFonts w:hint="eastAsia"/>
        </w:rPr>
        <w:t xml:space="preserve">对每一分类的卖淫人数不可能做出合理估计。由于自上次调查以来对统计方法作出了改变，这些数字无法与前数年的估计数字进行比较。 </w:t>
      </w:r>
    </w:p>
    <w:p w:rsidR="00D53FF1" w:rsidRPr="00260ED1" w:rsidRDefault="00D53FF1" w:rsidP="00D53FF1">
      <w:pPr>
        <w:pStyle w:val="SingleTxt"/>
        <w:rPr>
          <w:rFonts w:ascii="SimHei" w:eastAsia="SimHei" w:hint="eastAsia"/>
        </w:rPr>
      </w:pPr>
      <w:r w:rsidRPr="00260ED1">
        <w:rPr>
          <w:rFonts w:ascii="SimHei" w:eastAsia="SimHei" w:hint="eastAsia"/>
        </w:rPr>
        <w:t>行为守则</w:t>
      </w:r>
    </w:p>
    <w:p w:rsidR="00D53FF1" w:rsidRDefault="00BA369E" w:rsidP="00D53FF1">
      <w:pPr>
        <w:pStyle w:val="SingleTxt"/>
        <w:rPr>
          <w:rFonts w:hint="eastAsia"/>
        </w:rPr>
      </w:pPr>
      <w:r>
        <w:rPr>
          <w:rFonts w:hint="eastAsia"/>
        </w:rPr>
        <w:tab/>
      </w:r>
      <w:r w:rsidR="00D53FF1">
        <w:rPr>
          <w:rFonts w:hint="eastAsia"/>
        </w:rPr>
        <w:t>2004年初，丹麦国防部实施了一项行为守则。该守则旨在指导参加国际行动的工作人员学会遵守并尊重其所在国家的特殊戒律和习俗。无论这些工作人员是在工作还是休假，该守则同样适用。行为守则申明，不提倡/不允许与卖淫者发生性关系</w:t>
      </w:r>
      <w:r>
        <w:rPr>
          <w:rFonts w:hint="eastAsia"/>
        </w:rPr>
        <w:t>(</w:t>
      </w:r>
      <w:r w:rsidR="00D53FF1">
        <w:rPr>
          <w:rFonts w:hint="eastAsia"/>
        </w:rPr>
        <w:t>取决于所在国家的立法</w:t>
      </w:r>
      <w:r>
        <w:rPr>
          <w:rFonts w:hint="eastAsia"/>
        </w:rPr>
        <w:t>)</w:t>
      </w:r>
      <w:r w:rsidR="00D53FF1">
        <w:rPr>
          <w:rFonts w:hint="eastAsia"/>
        </w:rPr>
        <w:t>，此外，还向工作人员表明，与卖淫者发生性关系只会助长或持续对卖淫者时常十分不利的条件。无论所在国家的立法允许还是禁止与卖淫者发生性关系，这一事实不可否认。另外，禁止在与当地人合作的领域进行私人交易</w:t>
      </w:r>
      <w:r w:rsidR="008E74BC">
        <w:rPr>
          <w:rFonts w:hint="eastAsia"/>
        </w:rPr>
        <w:t>——</w:t>
      </w:r>
      <w:r w:rsidR="00D53FF1">
        <w:rPr>
          <w:rFonts w:hint="eastAsia"/>
        </w:rPr>
        <w:t>包括发生性关系。一般说来，违反这一规定的工作人员将被遣送回国。</w:t>
      </w:r>
    </w:p>
    <w:p w:rsidR="00D53FF1" w:rsidRPr="00260ED1" w:rsidRDefault="00D53FF1" w:rsidP="00D53FF1">
      <w:pPr>
        <w:pStyle w:val="SingleTxt"/>
        <w:rPr>
          <w:rFonts w:ascii="SimHei" w:eastAsia="SimHei" w:hint="eastAsia"/>
        </w:rPr>
      </w:pPr>
      <w:r w:rsidRPr="00260ED1">
        <w:rPr>
          <w:rFonts w:ascii="SimHei" w:eastAsia="SimHei" w:hint="eastAsia"/>
        </w:rPr>
        <w:t>贩卖人口</w:t>
      </w:r>
    </w:p>
    <w:p w:rsidR="00D53FF1" w:rsidRDefault="00BA369E" w:rsidP="00D53FF1">
      <w:pPr>
        <w:pStyle w:val="SingleTxt"/>
        <w:rPr>
          <w:rFonts w:hint="eastAsia"/>
        </w:rPr>
      </w:pPr>
      <w:r>
        <w:rPr>
          <w:rFonts w:hint="eastAsia"/>
        </w:rPr>
        <w:tab/>
      </w:r>
      <w:r w:rsidR="00D53FF1">
        <w:rPr>
          <w:rFonts w:hint="eastAsia"/>
        </w:rPr>
        <w:t xml:space="preserve">丹麦政府将贩卖妇女和女童作为高度优先事项处理。政府对贩卖人口采取综合办法，全面防止在丹麦和国际上的贩卖活动、验明遭到贩卖的受害者和对其提供保护以及起诉和惩处贩运者。 </w:t>
      </w:r>
    </w:p>
    <w:p w:rsidR="00D53FF1" w:rsidRDefault="00BA369E" w:rsidP="00D53FF1">
      <w:pPr>
        <w:pStyle w:val="SingleTxt"/>
        <w:rPr>
          <w:rFonts w:hint="eastAsia"/>
        </w:rPr>
      </w:pPr>
      <w:r>
        <w:rPr>
          <w:rFonts w:hint="eastAsia"/>
        </w:rPr>
        <w:tab/>
      </w:r>
      <w:r w:rsidR="00D53FF1">
        <w:rPr>
          <w:rFonts w:hint="eastAsia"/>
        </w:rPr>
        <w:t>2010年，对第二次国家行动计划</w:t>
      </w:r>
      <w:r>
        <w:rPr>
          <w:rFonts w:hint="eastAsia"/>
        </w:rPr>
        <w:t>(</w:t>
      </w:r>
      <w:r w:rsidR="00D53FF1">
        <w:rPr>
          <w:rFonts w:hint="eastAsia"/>
        </w:rPr>
        <w:t>2007-2010年</w:t>
      </w:r>
      <w:r>
        <w:rPr>
          <w:rFonts w:hint="eastAsia"/>
        </w:rPr>
        <w:t>)</w:t>
      </w:r>
      <w:r w:rsidR="00D53FF1">
        <w:rPr>
          <w:rFonts w:hint="eastAsia"/>
        </w:rPr>
        <w:t>进行了外部评价。评价结论指出，自2007年以来，丹麦对贩卖人口的整体反应取得了相当进展，至今已经制定了有效的体制系统并已进行了大量活动。整体而言，这项评价认为，包括社会组织和警察在内的许多行为体对行动计划的实施作出了共同、协调和专注的投入，不同行为体今天已经明了各自的角色和责任以及各种人口贩卖的指标。人口贩卖中心会同部委间工作组和区域指导小组促进了参与其中的各个组织的有效协调、知识传播和赋予权能。</w:t>
      </w:r>
    </w:p>
    <w:p w:rsidR="00D53FF1" w:rsidRDefault="00BA369E" w:rsidP="00D53FF1">
      <w:pPr>
        <w:pStyle w:val="SingleTxt"/>
        <w:rPr>
          <w:rFonts w:hint="eastAsia"/>
        </w:rPr>
      </w:pPr>
      <w:r>
        <w:rPr>
          <w:rFonts w:hint="eastAsia"/>
        </w:rPr>
        <w:tab/>
      </w:r>
      <w:r w:rsidR="00D53FF1">
        <w:rPr>
          <w:rFonts w:hint="eastAsia"/>
        </w:rPr>
        <w:t>基于这项评价，2011年6月启动了第三次打击贩卖人口的全国行动计划</w:t>
      </w:r>
      <w:r>
        <w:rPr>
          <w:rFonts w:hint="eastAsia"/>
        </w:rPr>
        <w:t>(</w:t>
      </w:r>
      <w:r w:rsidR="00D53FF1">
        <w:rPr>
          <w:rFonts w:hint="eastAsia"/>
        </w:rPr>
        <w:t>2011-2014年</w:t>
      </w:r>
      <w:r>
        <w:rPr>
          <w:rFonts w:hint="eastAsia"/>
        </w:rPr>
        <w:t>)</w:t>
      </w:r>
      <w:r w:rsidR="00D53FF1">
        <w:rPr>
          <w:rFonts w:hint="eastAsia"/>
        </w:rPr>
        <w:t>。这项行动计划力求查明受害者的工作得到进一步发展，特别是查明卖淫的外籍妇女。</w:t>
      </w:r>
    </w:p>
    <w:p w:rsidR="00D53FF1" w:rsidRDefault="00BA369E" w:rsidP="00D53FF1">
      <w:pPr>
        <w:pStyle w:val="SingleTxt"/>
        <w:rPr>
          <w:rFonts w:hint="eastAsia"/>
        </w:rPr>
      </w:pPr>
      <w:r>
        <w:rPr>
          <w:rFonts w:hint="eastAsia"/>
        </w:rPr>
        <w:tab/>
      </w:r>
      <w:r w:rsidR="00D53FF1">
        <w:rPr>
          <w:rFonts w:hint="eastAsia"/>
        </w:rPr>
        <w:t xml:space="preserve">作为外联工作的一部分，在丹麦三个不同地区已经设立了健康门诊的临时诊疗地点。至今采取的另一项重要步骤是在2012年6月对起诉准则作出了规定，即当违规者是贩卖人口的受害者时，可撤销对此名违规者的起诉，例如伪造入境文件等。 </w:t>
      </w:r>
    </w:p>
    <w:p w:rsidR="00D53FF1" w:rsidRDefault="00BA369E" w:rsidP="00D53FF1">
      <w:pPr>
        <w:pStyle w:val="SingleTxt"/>
        <w:rPr>
          <w:rFonts w:hint="eastAsia"/>
        </w:rPr>
      </w:pPr>
      <w:r>
        <w:rPr>
          <w:rFonts w:hint="eastAsia"/>
        </w:rPr>
        <w:tab/>
      </w:r>
      <w:r w:rsidR="00D53FF1">
        <w:rPr>
          <w:rFonts w:hint="eastAsia"/>
        </w:rPr>
        <w:t>2009年，一项调查显示，全国82%的人口知道妇女被贩卖到丹麦，并有66%的人口在怀疑发生贩卖人口时愿意通知警察。2011年，对年轻嫖客</w:t>
      </w:r>
      <w:r>
        <w:rPr>
          <w:rFonts w:hint="eastAsia"/>
        </w:rPr>
        <w:t>(</w:t>
      </w:r>
      <w:r w:rsidR="00D53FF1">
        <w:rPr>
          <w:rFonts w:hint="eastAsia"/>
        </w:rPr>
        <w:t>18-25岁</w:t>
      </w:r>
      <w:r>
        <w:rPr>
          <w:rFonts w:hint="eastAsia"/>
        </w:rPr>
        <w:t>)</w:t>
      </w:r>
      <w:r w:rsidR="00D53FF1">
        <w:rPr>
          <w:rFonts w:hint="eastAsia"/>
        </w:rPr>
        <w:t>和潜在嫖客进行了宣导。这项称为“</w:t>
      </w:r>
      <w:r w:rsidR="00D53FF1" w:rsidRPr="00891CDF">
        <w:rPr>
          <w:rFonts w:ascii="Times New Roman"/>
        </w:rPr>
        <w:t>Ud med bagmændene</w:t>
      </w:r>
      <w:r w:rsidR="00D53FF1">
        <w:rPr>
          <w:rFonts w:hint="eastAsia"/>
        </w:rPr>
        <w:t>”</w:t>
      </w:r>
      <w:r>
        <w:rPr>
          <w:rFonts w:hint="eastAsia"/>
        </w:rPr>
        <w:t>(</w:t>
      </w:r>
      <w:r w:rsidR="00D53FF1">
        <w:rPr>
          <w:rFonts w:hint="eastAsia"/>
        </w:rPr>
        <w:t>再见！人口贩子</w:t>
      </w:r>
      <w:r>
        <w:rPr>
          <w:rFonts w:hint="eastAsia"/>
        </w:rPr>
        <w:t>)</w:t>
      </w:r>
      <w:r w:rsidR="00D53FF1">
        <w:rPr>
          <w:rFonts w:hint="eastAsia"/>
        </w:rPr>
        <w:t xml:space="preserve">的活动是通过社交媒体、互联网和新闻报道进行的。 </w:t>
      </w:r>
    </w:p>
    <w:p w:rsidR="00D53FF1" w:rsidRDefault="00BA369E" w:rsidP="00D53FF1">
      <w:pPr>
        <w:pStyle w:val="SingleTxt"/>
        <w:rPr>
          <w:rFonts w:hint="eastAsia"/>
        </w:rPr>
      </w:pPr>
      <w:r>
        <w:rPr>
          <w:rFonts w:hint="eastAsia"/>
        </w:rPr>
        <w:tab/>
      </w:r>
      <w:r w:rsidR="00D53FF1">
        <w:rPr>
          <w:rFonts w:hint="eastAsia"/>
        </w:rPr>
        <w:t xml:space="preserve">政府目前正在设法了解丹麦对卖淫活动的需求，其中特别关注贩卖人口问题。这项了解工作将在2013年春完成，根据其成果将推动进行新的活动，以减少这种需求。 </w:t>
      </w:r>
    </w:p>
    <w:p w:rsidR="00D53FF1" w:rsidRDefault="00BA369E" w:rsidP="00D53FF1">
      <w:pPr>
        <w:pStyle w:val="SingleTxt"/>
        <w:rPr>
          <w:rFonts w:hint="eastAsia"/>
        </w:rPr>
      </w:pPr>
      <w:r>
        <w:rPr>
          <w:rFonts w:hint="eastAsia"/>
        </w:rPr>
        <w:tab/>
      </w:r>
      <w:r w:rsidR="00D53FF1">
        <w:rPr>
          <w:rFonts w:hint="eastAsia"/>
        </w:rPr>
        <w:t>2012年3月，丹麦刑法具体有关贩卖人口罪行的最高刑责</w:t>
      </w:r>
      <w:r>
        <w:rPr>
          <w:rFonts w:hint="eastAsia"/>
        </w:rPr>
        <w:t>(</w:t>
      </w:r>
      <w:r w:rsidR="00D53FF1">
        <w:rPr>
          <w:rFonts w:hint="eastAsia"/>
        </w:rPr>
        <w:t>第262条a款</w:t>
      </w:r>
      <w:r>
        <w:rPr>
          <w:rFonts w:hint="eastAsia"/>
        </w:rPr>
        <w:t>)</w:t>
      </w:r>
      <w:r w:rsidR="00D53FF1">
        <w:rPr>
          <w:rFonts w:hint="eastAsia"/>
        </w:rPr>
        <w:t xml:space="preserve">从8年监禁增加到10年监禁，贩卖人口的定义也扩大到把为轻罪贩卖人口包括在内。 </w:t>
      </w:r>
    </w:p>
    <w:p w:rsidR="00D53FF1" w:rsidRPr="00260ED1" w:rsidRDefault="00D53FF1" w:rsidP="00D53FF1">
      <w:pPr>
        <w:pStyle w:val="SingleTxt"/>
        <w:rPr>
          <w:rFonts w:ascii="SimHei" w:eastAsia="SimHei" w:hint="eastAsia"/>
        </w:rPr>
      </w:pPr>
      <w:r w:rsidRPr="00260ED1">
        <w:rPr>
          <w:rFonts w:ascii="SimHei" w:eastAsia="SimHei" w:hint="eastAsia"/>
        </w:rPr>
        <w:t>立法</w:t>
      </w:r>
    </w:p>
    <w:p w:rsidR="00D53FF1" w:rsidRPr="00260ED1" w:rsidRDefault="00D53FF1" w:rsidP="00D53FF1">
      <w:pPr>
        <w:pStyle w:val="SingleTxt"/>
        <w:rPr>
          <w:rFonts w:ascii="KaiTi_GB2312" w:eastAsia="KaiTi_GB2312" w:hint="eastAsia"/>
        </w:rPr>
      </w:pPr>
      <w:r w:rsidRPr="00260ED1">
        <w:rPr>
          <w:rFonts w:ascii="KaiTi_GB2312" w:eastAsia="KaiTi_GB2312" w:hint="eastAsia"/>
        </w:rPr>
        <w:t>反省期</w:t>
      </w:r>
    </w:p>
    <w:p w:rsidR="00D53FF1" w:rsidRDefault="00BA369E" w:rsidP="00D53FF1">
      <w:pPr>
        <w:pStyle w:val="SingleTxt"/>
        <w:rPr>
          <w:rFonts w:hint="eastAsia"/>
        </w:rPr>
      </w:pPr>
      <w:r>
        <w:rPr>
          <w:rFonts w:hint="eastAsia"/>
        </w:rPr>
        <w:tab/>
      </w:r>
      <w:r w:rsidR="00D53FF1">
        <w:rPr>
          <w:rFonts w:hint="eastAsia"/>
        </w:rPr>
        <w:t xml:space="preserve">丹麦就《消除对妇女一切形式歧视公约》的执行情况提交的第七次定期报告指出，丹麦的《外国人法》第33(14)条似乎给予不准在丹麦居留而必须离境的贩卖受害者30天的复原和反省期。如果基于认可的特殊理由或如果此名外国人愿意接受返回本国的安排并与此计划合作，反省期可延长到总共100天。 </w:t>
      </w:r>
    </w:p>
    <w:p w:rsidR="00D53FF1" w:rsidRDefault="00BA369E" w:rsidP="00D53FF1">
      <w:pPr>
        <w:pStyle w:val="SingleTxt"/>
        <w:rPr>
          <w:rFonts w:hint="eastAsia"/>
        </w:rPr>
      </w:pPr>
      <w:r>
        <w:rPr>
          <w:rFonts w:hint="eastAsia"/>
        </w:rPr>
        <w:tab/>
      </w:r>
      <w:r w:rsidR="00D53FF1">
        <w:rPr>
          <w:rFonts w:hint="eastAsia"/>
        </w:rPr>
        <w:t xml:space="preserve">作为政府与统一党就2013年财政法案达成的协议的一部分，已经同意将100天的反省期延长到120天。延长反省期的目的是要改善受害者回返本国所作的规划。2013年1月30日，一项专门用于落实这项协议的法案提交给了丹麦议会。 </w:t>
      </w:r>
    </w:p>
    <w:p w:rsidR="00D53FF1" w:rsidRPr="00260ED1" w:rsidRDefault="00260ED1" w:rsidP="00D53FF1">
      <w:pPr>
        <w:pStyle w:val="SingleTxt"/>
        <w:rPr>
          <w:rFonts w:ascii="KaiTi_GB2312" w:eastAsia="KaiTi_GB2312" w:hint="eastAsia"/>
        </w:rPr>
      </w:pPr>
      <w:r>
        <w:rPr>
          <w:rFonts w:ascii="KaiTi_GB2312" w:eastAsia="KaiTi_GB2312"/>
        </w:rPr>
        <w:br w:type="page"/>
      </w:r>
      <w:r w:rsidR="00D53FF1" w:rsidRPr="00260ED1">
        <w:rPr>
          <w:rFonts w:ascii="KaiTi_GB2312" w:eastAsia="KaiTi_GB2312" w:hint="eastAsia"/>
        </w:rPr>
        <w:t>有关驱逐的特别规则</w:t>
      </w:r>
    </w:p>
    <w:p w:rsidR="00D53FF1" w:rsidRDefault="00BA369E" w:rsidP="00D53FF1">
      <w:pPr>
        <w:pStyle w:val="SingleTxt"/>
        <w:rPr>
          <w:rFonts w:hint="eastAsia"/>
        </w:rPr>
      </w:pPr>
      <w:r>
        <w:rPr>
          <w:rFonts w:hint="eastAsia"/>
        </w:rPr>
        <w:tab/>
      </w:r>
      <w:r w:rsidR="00D53FF1">
        <w:rPr>
          <w:rFonts w:hint="eastAsia"/>
        </w:rPr>
        <w:t xml:space="preserve">一般来说，在丹麦非法逗留将会遭到驱逐和在一段特定时期禁止入境。通常在丹麦查获的贩卖受害者都能非法居留。针对这种情况，丹麦《外国人法》第26条a款似乎规定，应对正常情况下会导致驱逐的情况给予特别注意，查明此人是否是贩卖受害者以及此种情况是否不让驱逐。 </w:t>
      </w:r>
    </w:p>
    <w:p w:rsidR="00D53FF1" w:rsidRPr="00260ED1" w:rsidRDefault="00D53FF1" w:rsidP="00D53FF1">
      <w:pPr>
        <w:pStyle w:val="SingleTxt"/>
        <w:rPr>
          <w:rFonts w:ascii="KaiTi_GB2312" w:eastAsia="KaiTi_GB2312" w:hint="eastAsia"/>
        </w:rPr>
      </w:pPr>
      <w:r w:rsidRPr="00260ED1">
        <w:rPr>
          <w:rFonts w:ascii="KaiTi_GB2312" w:eastAsia="KaiTi_GB2312" w:hint="eastAsia"/>
        </w:rPr>
        <w:t>居住证</w:t>
      </w:r>
    </w:p>
    <w:p w:rsidR="00D53FF1" w:rsidRDefault="00BA369E" w:rsidP="00D53FF1">
      <w:pPr>
        <w:pStyle w:val="SingleTxt"/>
        <w:rPr>
          <w:rFonts w:hint="eastAsia"/>
        </w:rPr>
      </w:pPr>
      <w:r>
        <w:rPr>
          <w:rFonts w:hint="eastAsia"/>
        </w:rPr>
        <w:tab/>
      </w:r>
      <w:r w:rsidR="00D53FF1">
        <w:rPr>
          <w:rFonts w:hint="eastAsia"/>
        </w:rPr>
        <w:t>丹麦提交的第七次定期报告指出，依照丹麦《外国人法》，外国人仅由于遭到贩卖的理由无法获得居住证。因此，遭到贩卖的外国人因在其本国可能遭到起诉，丹麦能对其给予庇护，但需符合如下条件：如果此名外国人符合《难民地位公约》</w:t>
      </w:r>
      <w:r>
        <w:rPr>
          <w:rFonts w:hint="eastAsia"/>
        </w:rPr>
        <w:t>(</w:t>
      </w:r>
      <w:r w:rsidR="00D53FF1">
        <w:rPr>
          <w:rFonts w:hint="eastAsia"/>
        </w:rPr>
        <w:t>1951年7月28日</w:t>
      </w:r>
      <w:r>
        <w:rPr>
          <w:rFonts w:hint="eastAsia"/>
        </w:rPr>
        <w:t>)</w:t>
      </w:r>
      <w:r w:rsidR="00D53FF1">
        <w:rPr>
          <w:rFonts w:hint="eastAsia"/>
        </w:rPr>
        <w:t>的规定</w:t>
      </w:r>
      <w:r w:rsidR="008E74BC">
        <w:rPr>
          <w:rFonts w:hint="eastAsia"/>
        </w:rPr>
        <w:t>——</w:t>
      </w:r>
      <w:r w:rsidR="00D53FF1">
        <w:rPr>
          <w:rFonts w:hint="eastAsia"/>
        </w:rPr>
        <w:t>比照丹麦《外国人法》第7(1)条</w:t>
      </w:r>
      <w:r>
        <w:rPr>
          <w:rFonts w:hint="eastAsia"/>
        </w:rPr>
        <w:t>(</w:t>
      </w:r>
      <w:r w:rsidR="00D53FF1">
        <w:rPr>
          <w:rFonts w:hint="eastAsia"/>
        </w:rPr>
        <w:t>公约地位</w:t>
      </w:r>
      <w:r>
        <w:rPr>
          <w:rFonts w:hint="eastAsia"/>
        </w:rPr>
        <w:t>)</w:t>
      </w:r>
      <w:r w:rsidR="00D53FF1">
        <w:rPr>
          <w:rFonts w:hint="eastAsia"/>
        </w:rPr>
        <w:t>，或如果此名外国人回返本国后有可能被判死刑或遭到酷刑或不人道或有辱人格的待遇或处罚</w:t>
      </w:r>
      <w:r w:rsidR="008E74BC">
        <w:rPr>
          <w:rFonts w:hint="eastAsia"/>
        </w:rPr>
        <w:t>——</w:t>
      </w:r>
      <w:r w:rsidR="00D53FF1">
        <w:rPr>
          <w:rFonts w:hint="eastAsia"/>
        </w:rPr>
        <w:t>比照丹麦《外国人法》第7(2)条</w:t>
      </w:r>
      <w:r>
        <w:rPr>
          <w:rFonts w:hint="eastAsia"/>
        </w:rPr>
        <w:t>(</w:t>
      </w:r>
      <w:r w:rsidR="00D53FF1">
        <w:rPr>
          <w:rFonts w:hint="eastAsia"/>
        </w:rPr>
        <w:t>受到保护的地位</w:t>
      </w:r>
      <w:r>
        <w:rPr>
          <w:rFonts w:hint="eastAsia"/>
        </w:rPr>
        <w:t>)</w:t>
      </w:r>
      <w:r w:rsidR="00D53FF1">
        <w:rPr>
          <w:rFonts w:hint="eastAsia"/>
        </w:rPr>
        <w:t xml:space="preserve">。 </w:t>
      </w:r>
    </w:p>
    <w:p w:rsidR="00D53FF1" w:rsidRDefault="00BA369E" w:rsidP="00D53FF1">
      <w:pPr>
        <w:pStyle w:val="SingleTxt"/>
        <w:rPr>
          <w:rFonts w:hint="eastAsia"/>
        </w:rPr>
      </w:pPr>
      <w:r>
        <w:rPr>
          <w:rFonts w:hint="eastAsia"/>
        </w:rPr>
        <w:tab/>
      </w:r>
      <w:r w:rsidR="00D53FF1">
        <w:rPr>
          <w:rFonts w:hint="eastAsia"/>
        </w:rPr>
        <w:t>基于人道理由，能给予居住证</w:t>
      </w:r>
      <w:r w:rsidR="00891CDF">
        <w:rPr>
          <w:rFonts w:hint="eastAsia"/>
        </w:rPr>
        <w:t>——</w:t>
      </w:r>
      <w:r w:rsidR="00D53FF1">
        <w:rPr>
          <w:rFonts w:hint="eastAsia"/>
        </w:rPr>
        <w:t>如果重大的人道主义考虑认为应给予居住证，例如，该人患有严重的身心疾病。如果特殊的理由认为适宜，也可给予居住证。除此之外，如果由于刑事调查或诉讼的理由，被贩卖的外国人必须留在丹麦，也可给予此人临时居住证。2013年1月30日提交的上述法案草案也引用了《外国人法》内关于这方面的独立条款，以便说明这些规则。</w:t>
      </w:r>
    </w:p>
    <w:p w:rsidR="00D53FF1" w:rsidRDefault="00BA369E" w:rsidP="00D53FF1">
      <w:pPr>
        <w:pStyle w:val="SingleTxt"/>
        <w:rPr>
          <w:rFonts w:hint="eastAsia"/>
        </w:rPr>
      </w:pPr>
      <w:r>
        <w:rPr>
          <w:rFonts w:hint="eastAsia"/>
        </w:rPr>
        <w:tab/>
      </w:r>
      <w:r w:rsidR="00D53FF1">
        <w:rPr>
          <w:rFonts w:hint="eastAsia"/>
        </w:rPr>
        <w:t xml:space="preserve">关于委员会的结论意见33，男女平等事务部指出，基于性别虐待或暴力提出的庇护申请将比照上文按丹麦《外国人法》第7条进行审批，如同其他庇护申请一样。不论外国人是否受到依照这条规定需要给予保护的这种性别虐待或暴力，这是庇护审批的组成部分。个别案件是否需要提供保护取决于案件的具体情况，而庇护审批则根据这种背景个别和具体作出。 </w:t>
      </w:r>
    </w:p>
    <w:p w:rsidR="00D53FF1" w:rsidRPr="00260ED1" w:rsidRDefault="00D53FF1" w:rsidP="00D53FF1">
      <w:pPr>
        <w:pStyle w:val="SingleTxt"/>
        <w:rPr>
          <w:rFonts w:ascii="KaiTi_GB2312" w:eastAsia="KaiTi_GB2312" w:hint="eastAsia"/>
        </w:rPr>
      </w:pPr>
      <w:r w:rsidRPr="00260ED1">
        <w:rPr>
          <w:rFonts w:ascii="KaiTi_GB2312" w:eastAsia="KaiTi_GB2312" w:hint="eastAsia"/>
        </w:rPr>
        <w:t>协助自愿返回</w:t>
      </w:r>
    </w:p>
    <w:p w:rsidR="00D53FF1" w:rsidRDefault="00BA369E" w:rsidP="00D53FF1">
      <w:pPr>
        <w:pStyle w:val="SingleTxt"/>
        <w:rPr>
          <w:rFonts w:hint="eastAsia"/>
        </w:rPr>
      </w:pPr>
      <w:r>
        <w:rPr>
          <w:rFonts w:hint="eastAsia"/>
        </w:rPr>
        <w:tab/>
      </w:r>
      <w:r w:rsidR="00D53FF1">
        <w:rPr>
          <w:rFonts w:hint="eastAsia"/>
        </w:rPr>
        <w:t xml:space="preserve">对于不符合申请居住证的条件或不提出申请而必须离开丹麦的贩卖受害者提供做好准备的回返。提供回返的目的在于向他们在回返本国后能有新的开始。它与上述延长的反省期有关并包括在丹麦停留期间的活动和在本国的活动。 </w:t>
      </w:r>
    </w:p>
    <w:p w:rsidR="00D53FF1" w:rsidRDefault="00BA369E" w:rsidP="00D53FF1">
      <w:pPr>
        <w:pStyle w:val="SingleTxt"/>
        <w:rPr>
          <w:rFonts w:hint="eastAsia"/>
        </w:rPr>
      </w:pPr>
      <w:r>
        <w:rPr>
          <w:rFonts w:hint="eastAsia"/>
        </w:rPr>
        <w:tab/>
      </w:r>
      <w:r w:rsidR="00D53FF1">
        <w:rPr>
          <w:rFonts w:hint="eastAsia"/>
        </w:rPr>
        <w:t>丹麦政府部门自2008年以来已与国际移徙组织</w:t>
      </w:r>
      <w:r>
        <w:rPr>
          <w:rFonts w:hint="eastAsia"/>
        </w:rPr>
        <w:t>(</w:t>
      </w:r>
      <w:r w:rsidR="00D53FF1">
        <w:rPr>
          <w:rFonts w:hint="eastAsia"/>
        </w:rPr>
        <w:t>移徙组织</w:t>
      </w:r>
      <w:r>
        <w:rPr>
          <w:rFonts w:hint="eastAsia"/>
        </w:rPr>
        <w:t>)</w:t>
      </w:r>
      <w:r w:rsidR="00D53FF1">
        <w:rPr>
          <w:rFonts w:hint="eastAsia"/>
        </w:rPr>
        <w:t>共同协助弱势移徙者自愿回返。关于与移徙组织达成的协议的进一步资料，请参阅丹麦提交的第七次定期报告。作为这个项目的一部分活动，移徙组织按可能情况监督贩卖受害者的重返社会进程。为了分析回返方案的强项和弱点，丹麦司法部在2012年秋公布了评价这项方案的结果。这项评价的结果之一是给予贩卖受害者的重返社会期间自2013年开始从3个月延长到6个月。儿童的重返社会期间仍然相同</w:t>
      </w:r>
      <w:r>
        <w:rPr>
          <w:rFonts w:hint="eastAsia"/>
        </w:rPr>
        <w:t>(</w:t>
      </w:r>
      <w:r w:rsidR="00D53FF1">
        <w:rPr>
          <w:rFonts w:hint="eastAsia"/>
        </w:rPr>
        <w:t>至多6个月</w:t>
      </w:r>
      <w:r>
        <w:rPr>
          <w:rFonts w:hint="eastAsia"/>
        </w:rPr>
        <w:t>)</w:t>
      </w:r>
      <w:r w:rsidR="00D53FF1">
        <w:rPr>
          <w:rFonts w:hint="eastAsia"/>
        </w:rPr>
        <w:t xml:space="preserve">。 </w:t>
      </w:r>
    </w:p>
    <w:p w:rsidR="00D53FF1" w:rsidRDefault="00260ED1" w:rsidP="00260E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r>
      <w:r w:rsidR="00D53FF1">
        <w:rPr>
          <w:rFonts w:hint="eastAsia"/>
        </w:rPr>
        <w:t>第2章：公共生活</w:t>
      </w:r>
    </w:p>
    <w:p w:rsidR="00260ED1" w:rsidRPr="00260ED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60ED1" w:rsidRPr="00260ED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53FF1" w:rsidRDefault="00260ED1" w:rsidP="00260E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第7条：政治权利与参与</w:t>
      </w:r>
    </w:p>
    <w:p w:rsidR="00260ED1" w:rsidRPr="00260ED1" w:rsidRDefault="00260ED1" w:rsidP="00260ED1">
      <w:pPr>
        <w:pStyle w:val="SingleTxt"/>
        <w:spacing w:after="0" w:line="120" w:lineRule="exact"/>
        <w:rPr>
          <w:rFonts w:hint="eastAsia"/>
          <w:sz w:val="10"/>
        </w:rPr>
      </w:pPr>
    </w:p>
    <w:p w:rsidR="00D53FF1" w:rsidRPr="00260ED1" w:rsidRDefault="00D53FF1" w:rsidP="00D53FF1">
      <w:pPr>
        <w:pStyle w:val="SingleTxt"/>
        <w:rPr>
          <w:rFonts w:ascii="SimHei" w:eastAsia="SimHei" w:hint="eastAsia"/>
        </w:rPr>
      </w:pPr>
      <w:r w:rsidRPr="00260ED1">
        <w:rPr>
          <w:rFonts w:ascii="SimHei" w:eastAsia="SimHei" w:hint="eastAsia"/>
        </w:rPr>
        <w:t>政坛妇女</w:t>
      </w:r>
    </w:p>
    <w:p w:rsidR="00D53FF1" w:rsidRDefault="00BA369E" w:rsidP="00D53FF1">
      <w:pPr>
        <w:pStyle w:val="SingleTxt"/>
        <w:rPr>
          <w:rFonts w:hint="eastAsia"/>
        </w:rPr>
      </w:pPr>
      <w:r>
        <w:rPr>
          <w:rFonts w:hint="eastAsia"/>
        </w:rPr>
        <w:tab/>
      </w:r>
      <w:r w:rsidR="00D53FF1">
        <w:rPr>
          <w:rFonts w:hint="eastAsia"/>
        </w:rPr>
        <w:t>在丹麦，男女享有相同的政治权利</w:t>
      </w:r>
      <w:r>
        <w:rPr>
          <w:rFonts w:hint="eastAsia"/>
        </w:rPr>
        <w:t>(</w:t>
      </w:r>
      <w:r w:rsidR="00D53FF1">
        <w:rPr>
          <w:rFonts w:hint="eastAsia"/>
        </w:rPr>
        <w:t>关于丹麦的选举体系的进一步细节，请参阅第七次定期报告</w:t>
      </w:r>
      <w:r>
        <w:rPr>
          <w:rFonts w:hint="eastAsia"/>
        </w:rPr>
        <w:t>)</w:t>
      </w:r>
      <w:r w:rsidR="00D53FF1">
        <w:rPr>
          <w:rFonts w:hint="eastAsia"/>
        </w:rPr>
        <w:t>。2011年普选之后，女性在议会约占39%的席位</w:t>
      </w:r>
      <w:r>
        <w:rPr>
          <w:rFonts w:hint="eastAsia"/>
        </w:rPr>
        <w:t>(</w:t>
      </w:r>
      <w:r w:rsidR="00D53FF1">
        <w:rPr>
          <w:rFonts w:hint="eastAsia"/>
        </w:rPr>
        <w:t>175席中占68席</w:t>
      </w:r>
      <w:r>
        <w:rPr>
          <w:rFonts w:hint="eastAsia"/>
        </w:rPr>
        <w:t>)</w:t>
      </w:r>
      <w:r w:rsidR="00D53FF1">
        <w:rPr>
          <w:rFonts w:hint="eastAsia"/>
        </w:rPr>
        <w:t>。所有三个执政党党主席都是女性，在政府所有23位大臣中，有11位大臣是女性</w:t>
      </w:r>
      <w:r>
        <w:rPr>
          <w:rFonts w:hint="eastAsia"/>
        </w:rPr>
        <w:t>(</w:t>
      </w:r>
      <w:r w:rsidR="00D53FF1">
        <w:rPr>
          <w:rFonts w:hint="eastAsia"/>
        </w:rPr>
        <w:t>48%</w:t>
      </w:r>
      <w:r>
        <w:rPr>
          <w:rFonts w:hint="eastAsia"/>
        </w:rPr>
        <w:t>)</w:t>
      </w:r>
      <w:r w:rsidR="00D53FF1">
        <w:rPr>
          <w:rFonts w:hint="eastAsia"/>
        </w:rPr>
        <w:t>。在2009年地方政府选举中，市议会女性所占的比例约占32%</w:t>
      </w:r>
      <w:r>
        <w:rPr>
          <w:rFonts w:hint="eastAsia"/>
        </w:rPr>
        <w:t>(</w:t>
      </w:r>
      <w:r w:rsidR="00D53FF1">
        <w:rPr>
          <w:rFonts w:hint="eastAsia"/>
        </w:rPr>
        <w:t>80年代中期以来的比例一直是27%</w:t>
      </w:r>
      <w:r>
        <w:rPr>
          <w:rFonts w:hint="eastAsia"/>
        </w:rPr>
        <w:t>)</w:t>
      </w:r>
      <w:r w:rsidR="00D53FF1">
        <w:rPr>
          <w:rFonts w:hint="eastAsia"/>
        </w:rPr>
        <w:t>；98位市长中，女性市长从8名提高到12名。在区议会中，2009年选举之后，女性所占比例是35%。在2009年欧洲议会选举中，选出的13名丹麦议员中，46%是女性</w:t>
      </w:r>
      <w:r>
        <w:rPr>
          <w:rFonts w:hint="eastAsia"/>
        </w:rPr>
        <w:t>(</w:t>
      </w:r>
      <w:r w:rsidR="00D53FF1">
        <w:rPr>
          <w:rFonts w:hint="eastAsia"/>
        </w:rPr>
        <w:t>2004年为37.5%</w:t>
      </w:r>
      <w:r>
        <w:rPr>
          <w:rFonts w:hint="eastAsia"/>
        </w:rPr>
        <w:t>)</w:t>
      </w:r>
      <w:r w:rsidR="00D53FF1">
        <w:rPr>
          <w:rFonts w:hint="eastAsia"/>
        </w:rPr>
        <w:t xml:space="preserve">。 </w:t>
      </w:r>
    </w:p>
    <w:p w:rsidR="00D53FF1" w:rsidRPr="00260ED1" w:rsidRDefault="00D53FF1" w:rsidP="00D53FF1">
      <w:pPr>
        <w:pStyle w:val="SingleTxt"/>
        <w:rPr>
          <w:rFonts w:ascii="SimHei" w:eastAsia="SimHei" w:hint="eastAsia"/>
        </w:rPr>
      </w:pPr>
      <w:r w:rsidRPr="00260ED1">
        <w:rPr>
          <w:rFonts w:ascii="SimHei" w:eastAsia="SimHei" w:hint="eastAsia"/>
        </w:rPr>
        <w:t>女性在国家和地方政府的委员会和理事会中的代表人数</w:t>
      </w:r>
    </w:p>
    <w:p w:rsidR="00D53FF1" w:rsidRDefault="00BA369E" w:rsidP="00D53FF1">
      <w:pPr>
        <w:pStyle w:val="SingleTxt"/>
        <w:rPr>
          <w:rFonts w:hint="eastAsia"/>
        </w:rPr>
      </w:pPr>
      <w:r>
        <w:rPr>
          <w:rFonts w:hint="eastAsia"/>
        </w:rPr>
        <w:tab/>
      </w:r>
      <w:r w:rsidR="00D53FF1">
        <w:rPr>
          <w:rFonts w:hint="eastAsia"/>
        </w:rPr>
        <w:t>如第七次定期报告所述，《男女平等法》第8条和第9条规定，由大臣设立的公共委员会、委员会及类似机构应由数量相同的男性和女性成员组成。女性在国家部门新成立的委员会中的比例为2009年44%、2010年39%和2011年42%。</w:t>
      </w:r>
    </w:p>
    <w:p w:rsidR="00D53FF1" w:rsidRDefault="00BA369E" w:rsidP="00D53FF1">
      <w:pPr>
        <w:pStyle w:val="SingleTxt"/>
        <w:rPr>
          <w:rFonts w:hint="eastAsia"/>
        </w:rPr>
      </w:pPr>
      <w:r>
        <w:rPr>
          <w:rFonts w:hint="eastAsia"/>
        </w:rPr>
        <w:tab/>
      </w:r>
      <w:r w:rsidR="00D53FF1">
        <w:rPr>
          <w:rFonts w:hint="eastAsia"/>
        </w:rPr>
        <w:t>亦如第七次定期报告所述，依照《男女平等法》第10条a款的规定，市政府和区政府需要向理事会、董事会、委员会等机构建议相同数量的女性和男性成员。下表载列自2007年以来各委员会、理事会等机构的女性人数比例</w:t>
      </w:r>
      <w:r>
        <w:rPr>
          <w:rFonts w:hint="eastAsia"/>
        </w:rPr>
        <w:t>(</w:t>
      </w:r>
      <w:r w:rsidR="00D53FF1">
        <w:rPr>
          <w:rFonts w:hint="eastAsia"/>
        </w:rPr>
        <w:t>百分率</w:t>
      </w:r>
      <w:r>
        <w:rPr>
          <w:rFonts w:hint="eastAsia"/>
        </w:rPr>
        <w:t>)</w:t>
      </w:r>
      <w:r w:rsidR="00D53FF1">
        <w:rPr>
          <w:rFonts w:hint="eastAsia"/>
        </w:rPr>
        <w:t>。</w:t>
      </w:r>
    </w:p>
    <w:tbl>
      <w:tblPr>
        <w:tblW w:w="0" w:type="auto"/>
        <w:tblInd w:w="1260" w:type="dxa"/>
        <w:tblLayout w:type="fixed"/>
        <w:tblCellMar>
          <w:left w:w="0" w:type="dxa"/>
          <w:right w:w="0" w:type="dxa"/>
        </w:tblCellMar>
        <w:tblLook w:val="0000"/>
      </w:tblPr>
      <w:tblGrid>
        <w:gridCol w:w="2440"/>
        <w:gridCol w:w="2440"/>
        <w:gridCol w:w="1220"/>
        <w:gridCol w:w="1220"/>
      </w:tblGrid>
      <w:tr w:rsidR="00BA369E" w:rsidRPr="00BA369E" w:rsidTr="00BA369E">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2440" w:type="dxa"/>
            <w:tcBorders>
              <w:top w:val="single" w:sz="4" w:space="0" w:color="auto"/>
              <w:bottom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BA369E">
              <w:rPr>
                <w:rFonts w:ascii="KaiTi_GB2312" w:eastAsia="KaiTi_GB2312" w:hint="eastAsia"/>
                <w:sz w:val="15"/>
              </w:rPr>
              <w:t>2007年</w:t>
            </w:r>
          </w:p>
        </w:tc>
        <w:tc>
          <w:tcPr>
            <w:tcW w:w="1220" w:type="dxa"/>
            <w:tcBorders>
              <w:top w:val="single" w:sz="4" w:space="0" w:color="auto"/>
              <w:bottom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BA369E">
              <w:rPr>
                <w:rFonts w:ascii="KaiTi_GB2312" w:eastAsia="KaiTi_GB2312" w:hint="eastAsia"/>
                <w:sz w:val="15"/>
              </w:rPr>
              <w:t>2009年</w:t>
            </w:r>
          </w:p>
        </w:tc>
        <w:tc>
          <w:tcPr>
            <w:tcW w:w="1220" w:type="dxa"/>
            <w:tcBorders>
              <w:top w:val="single" w:sz="4" w:space="0" w:color="auto"/>
              <w:bottom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BA369E">
              <w:rPr>
                <w:rFonts w:ascii="KaiTi_GB2312" w:eastAsia="KaiTi_GB2312" w:hint="eastAsia"/>
                <w:sz w:val="15"/>
              </w:rPr>
              <w:t>2011年</w:t>
            </w:r>
          </w:p>
        </w:tc>
      </w:tr>
      <w:tr w:rsidR="00BA369E" w:rsidRPr="00BA369E" w:rsidTr="00BA369E">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after="60" w:line="280" w:lineRule="exact"/>
              <w:ind w:right="57"/>
              <w:rPr>
                <w:rFonts w:hint="eastAsia"/>
                <w:sz w:val="17"/>
              </w:rPr>
            </w:pPr>
          </w:p>
        </w:tc>
        <w:tc>
          <w:tcPr>
            <w:tcW w:w="2440" w:type="dxa"/>
            <w:tcBorders>
              <w:top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after="60" w:line="280" w:lineRule="exact"/>
              <w:ind w:right="57"/>
              <w:jc w:val="right"/>
              <w:rPr>
                <w:rFonts w:hint="eastAsia"/>
                <w:sz w:val="17"/>
              </w:rPr>
            </w:pPr>
          </w:p>
        </w:tc>
        <w:tc>
          <w:tcPr>
            <w:tcW w:w="1220" w:type="dxa"/>
            <w:tcBorders>
              <w:top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after="60" w:line="280" w:lineRule="exact"/>
              <w:ind w:right="57"/>
              <w:jc w:val="right"/>
              <w:rPr>
                <w:rFonts w:hint="eastAsia"/>
                <w:sz w:val="17"/>
              </w:rPr>
            </w:pPr>
          </w:p>
        </w:tc>
        <w:tc>
          <w:tcPr>
            <w:tcW w:w="1220" w:type="dxa"/>
            <w:tcBorders>
              <w:top w:val="single" w:sz="12" w:space="0" w:color="auto"/>
            </w:tcBorders>
            <w:shd w:val="clear" w:color="auto" w:fill="auto"/>
            <w:vAlign w:val="bottom"/>
          </w:tcPr>
          <w:p w:rsidR="00BA369E" w:rsidRPr="00BA369E" w:rsidRDefault="00BA369E" w:rsidP="00BA369E">
            <w:pPr>
              <w:tabs>
                <w:tab w:val="left" w:pos="360"/>
                <w:tab w:val="left" w:pos="720"/>
                <w:tab w:val="left" w:pos="1080"/>
                <w:tab w:val="left" w:pos="1440"/>
              </w:tabs>
              <w:suppressAutoHyphens/>
              <w:spacing w:after="60" w:line="280" w:lineRule="exact"/>
              <w:ind w:right="57"/>
              <w:jc w:val="right"/>
              <w:rPr>
                <w:rFonts w:hint="eastAsia"/>
                <w:sz w:val="17"/>
              </w:rPr>
            </w:pPr>
          </w:p>
        </w:tc>
      </w:tr>
      <w:tr w:rsidR="00BA369E" w:rsidRPr="00BA369E" w:rsidTr="00BA369E">
        <w:tblPrEx>
          <w:tblCellMar>
            <w:top w:w="0" w:type="dxa"/>
            <w:bottom w:w="0" w:type="dxa"/>
          </w:tblCellMar>
        </w:tblPrEx>
        <w:tc>
          <w:tcPr>
            <w:tcW w:w="2440" w:type="dxa"/>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rPr>
                <w:rFonts w:hint="eastAsia"/>
                <w:sz w:val="17"/>
              </w:rPr>
            </w:pPr>
            <w:r w:rsidRPr="00BA369E">
              <w:rPr>
                <w:rFonts w:hint="eastAsia"/>
                <w:sz w:val="17"/>
              </w:rPr>
              <w:t>市政府</w:t>
            </w:r>
          </w:p>
        </w:tc>
        <w:tc>
          <w:tcPr>
            <w:tcW w:w="2440" w:type="dxa"/>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jc w:val="right"/>
              <w:rPr>
                <w:rFonts w:hint="eastAsia"/>
                <w:sz w:val="17"/>
              </w:rPr>
            </w:pPr>
            <w:r w:rsidRPr="00BA369E">
              <w:rPr>
                <w:rFonts w:hint="eastAsia"/>
                <w:sz w:val="17"/>
              </w:rPr>
              <w:t xml:space="preserve">34% </w:t>
            </w:r>
          </w:p>
        </w:tc>
        <w:tc>
          <w:tcPr>
            <w:tcW w:w="1220" w:type="dxa"/>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jc w:val="right"/>
              <w:rPr>
                <w:rFonts w:hint="eastAsia"/>
                <w:sz w:val="17"/>
              </w:rPr>
            </w:pPr>
            <w:r w:rsidRPr="00BA369E">
              <w:rPr>
                <w:rFonts w:hint="eastAsia"/>
                <w:sz w:val="17"/>
              </w:rPr>
              <w:t>30%</w:t>
            </w:r>
          </w:p>
        </w:tc>
        <w:tc>
          <w:tcPr>
            <w:tcW w:w="1220" w:type="dxa"/>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jc w:val="right"/>
              <w:rPr>
                <w:rFonts w:hint="eastAsia"/>
                <w:sz w:val="17"/>
              </w:rPr>
            </w:pPr>
            <w:r w:rsidRPr="00BA369E">
              <w:rPr>
                <w:rFonts w:hint="eastAsia"/>
                <w:sz w:val="17"/>
              </w:rPr>
              <w:t>34%</w:t>
            </w:r>
          </w:p>
        </w:tc>
      </w:tr>
      <w:tr w:rsidR="00BA369E" w:rsidRPr="00BA369E" w:rsidTr="00BA369E">
        <w:tblPrEx>
          <w:tblCellMar>
            <w:top w:w="0" w:type="dxa"/>
            <w:bottom w:w="0" w:type="dxa"/>
          </w:tblCellMar>
        </w:tblPrEx>
        <w:tc>
          <w:tcPr>
            <w:tcW w:w="2440" w:type="dxa"/>
            <w:tcBorders>
              <w:bottom w:val="single" w:sz="12" w:space="0" w:color="auto"/>
            </w:tcBorders>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rPr>
                <w:rFonts w:hint="eastAsia"/>
                <w:sz w:val="17"/>
              </w:rPr>
            </w:pPr>
            <w:r w:rsidRPr="00BA369E">
              <w:rPr>
                <w:rFonts w:hint="eastAsia"/>
                <w:sz w:val="17"/>
              </w:rPr>
              <w:t>区政府</w:t>
            </w:r>
          </w:p>
        </w:tc>
        <w:tc>
          <w:tcPr>
            <w:tcW w:w="2440" w:type="dxa"/>
            <w:tcBorders>
              <w:bottom w:val="single" w:sz="12" w:space="0" w:color="auto"/>
            </w:tcBorders>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jc w:val="right"/>
              <w:rPr>
                <w:rFonts w:hint="eastAsia"/>
                <w:sz w:val="17"/>
              </w:rPr>
            </w:pPr>
            <w:r w:rsidRPr="00BA369E">
              <w:rPr>
                <w:rFonts w:hint="eastAsia"/>
                <w:sz w:val="17"/>
              </w:rPr>
              <w:t>28%</w:t>
            </w:r>
          </w:p>
        </w:tc>
        <w:tc>
          <w:tcPr>
            <w:tcW w:w="1220" w:type="dxa"/>
            <w:tcBorders>
              <w:bottom w:val="single" w:sz="12" w:space="0" w:color="auto"/>
            </w:tcBorders>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jc w:val="right"/>
              <w:rPr>
                <w:rFonts w:hint="eastAsia"/>
                <w:sz w:val="17"/>
              </w:rPr>
            </w:pPr>
            <w:r w:rsidRPr="00BA369E">
              <w:rPr>
                <w:rFonts w:hint="eastAsia"/>
                <w:sz w:val="17"/>
              </w:rPr>
              <w:t>44%</w:t>
            </w:r>
          </w:p>
        </w:tc>
        <w:tc>
          <w:tcPr>
            <w:tcW w:w="1220" w:type="dxa"/>
            <w:tcBorders>
              <w:bottom w:val="single" w:sz="12" w:space="0" w:color="auto"/>
            </w:tcBorders>
            <w:shd w:val="clear" w:color="auto" w:fill="auto"/>
            <w:vAlign w:val="bottom"/>
          </w:tcPr>
          <w:p w:rsidR="00BA369E" w:rsidRPr="00BA369E" w:rsidRDefault="00BA369E" w:rsidP="00BA369E">
            <w:pPr>
              <w:tabs>
                <w:tab w:val="left" w:pos="334"/>
                <w:tab w:val="left" w:pos="669"/>
                <w:tab w:val="left" w:pos="1003"/>
                <w:tab w:val="left" w:pos="1338"/>
              </w:tabs>
              <w:suppressAutoHyphens/>
              <w:spacing w:after="60" w:line="280" w:lineRule="exact"/>
              <w:ind w:right="57"/>
              <w:jc w:val="right"/>
              <w:rPr>
                <w:rFonts w:hint="eastAsia"/>
                <w:sz w:val="17"/>
              </w:rPr>
            </w:pPr>
            <w:r w:rsidRPr="00BA369E">
              <w:rPr>
                <w:rFonts w:hint="eastAsia"/>
                <w:sz w:val="17"/>
              </w:rPr>
              <w:t>45%</w:t>
            </w:r>
          </w:p>
        </w:tc>
      </w:tr>
    </w:tbl>
    <w:p w:rsidR="00BA369E" w:rsidRPr="00BA369E" w:rsidRDefault="00BA369E" w:rsidP="00BA369E">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D53FF1" w:rsidRDefault="00D53FF1" w:rsidP="00BA369E">
      <w:pPr>
        <w:pStyle w:val="FootnoteText"/>
        <w:tabs>
          <w:tab w:val="clear" w:pos="418"/>
          <w:tab w:val="right" w:pos="1476"/>
          <w:tab w:val="left" w:pos="1548"/>
          <w:tab w:val="right" w:pos="1836"/>
          <w:tab w:val="left" w:pos="1908"/>
        </w:tabs>
        <w:ind w:left="1548" w:right="1267" w:hanging="288"/>
        <w:rPr>
          <w:rFonts w:hint="eastAsia"/>
        </w:rPr>
      </w:pPr>
      <w:r w:rsidRPr="00BA369E">
        <w:rPr>
          <w:rFonts w:ascii="KaiTi_GB2312" w:eastAsia="KaiTi_GB2312" w:hint="eastAsia"/>
        </w:rPr>
        <w:t>资料来源</w:t>
      </w:r>
      <w:r>
        <w:rPr>
          <w:rFonts w:hint="eastAsia"/>
        </w:rPr>
        <w:t>：市政府和区政府每半年提交一次的男女平等报告</w:t>
      </w:r>
    </w:p>
    <w:p w:rsidR="00D53FF1" w:rsidRPr="00E37EFB" w:rsidRDefault="00D53FF1" w:rsidP="00D53FF1">
      <w:pPr>
        <w:pStyle w:val="SingleTxt"/>
        <w:rPr>
          <w:rFonts w:ascii="SimHei" w:eastAsia="SimHei" w:hint="eastAsia"/>
        </w:rPr>
      </w:pPr>
      <w:r w:rsidRPr="00E37EFB">
        <w:rPr>
          <w:rFonts w:ascii="SimHei" w:eastAsia="SimHei" w:hint="eastAsia"/>
        </w:rPr>
        <w:t>担任管理职务和出任董事会的女性</w:t>
      </w:r>
    </w:p>
    <w:p w:rsidR="00D53FF1" w:rsidRDefault="00BA369E" w:rsidP="00D53FF1">
      <w:pPr>
        <w:pStyle w:val="SingleTxt"/>
        <w:rPr>
          <w:rFonts w:hint="eastAsia"/>
        </w:rPr>
      </w:pPr>
      <w:r>
        <w:rPr>
          <w:rFonts w:hint="eastAsia"/>
        </w:rPr>
        <w:tab/>
      </w:r>
      <w:r w:rsidR="00D53FF1">
        <w:rPr>
          <w:rFonts w:hint="eastAsia"/>
        </w:rPr>
        <w:t xml:space="preserve">政府致力于使更多女性担任管理职务，因为妇女担任企业主管职务和出任公共部门及私营部门企业董事会职务的人数仍然不足。女性担任私营企业执行主管的比例仅为6.5%，而女性出任大型上市公司董事会的比例略低于12%。过去10年，改进女性担任管理职务和出任企业董事会的努力都基于若干自愿举措。 </w:t>
      </w:r>
    </w:p>
    <w:p w:rsidR="00D53FF1" w:rsidRDefault="00BA369E" w:rsidP="00D53FF1">
      <w:pPr>
        <w:pStyle w:val="SingleTxt"/>
        <w:rPr>
          <w:rFonts w:hint="eastAsia"/>
        </w:rPr>
      </w:pPr>
      <w:r>
        <w:rPr>
          <w:rFonts w:hint="eastAsia"/>
        </w:rPr>
        <w:tab/>
      </w:r>
      <w:r w:rsidR="00D53FF1" w:rsidRPr="00E37EFB">
        <w:rPr>
          <w:rFonts w:hint="eastAsia"/>
        </w:rPr>
        <w:t>男女平等事务大臣在丹麦产业联合会的合作下，组成了三个促使更多女性担任管理职务的特使团</w:t>
      </w:r>
      <w:r w:rsidRPr="00E37EFB">
        <w:rPr>
          <w:rFonts w:hint="eastAsia"/>
        </w:rPr>
        <w:t>(</w:t>
      </w:r>
      <w:r w:rsidR="00D53FF1" w:rsidRPr="00E37EFB">
        <w:rPr>
          <w:rFonts w:hint="eastAsia"/>
        </w:rPr>
        <w:t>2007-2011年</w:t>
      </w:r>
      <w:r w:rsidRPr="00E37EFB">
        <w:rPr>
          <w:rFonts w:hint="eastAsia"/>
        </w:rPr>
        <w:t>)</w:t>
      </w:r>
      <w:r w:rsidR="00D53FF1">
        <w:rPr>
          <w:rFonts w:hint="eastAsia"/>
        </w:rPr>
        <w:t xml:space="preserve">。这三个特使团由知名的大型丹麦企业的高级管理人员组成。2008-2013年1月使更多妇女担任管理职务的授权书：评价2010年和2011年授权书的结果显示，有些企业非常认真地制定使更多妇女担任管理职务的政策和设定目标。2010-2013年1月运行链应对计划在于使更多妇女出任丹麦最大型的上市企业的董事会职务。55家企业已经签署了这项计划。2011年12月的数字显示，在这些企业中，有34%的企业的董事会已有更多女性成员。丹麦企业治理委员会已就企业治理的董事会多样化问题以及就性别平等问题提出了建议。 </w:t>
      </w:r>
    </w:p>
    <w:p w:rsidR="00D53FF1" w:rsidRPr="00E37EFB" w:rsidRDefault="00D53FF1" w:rsidP="00D53FF1">
      <w:pPr>
        <w:pStyle w:val="SingleTxt"/>
        <w:rPr>
          <w:rFonts w:ascii="SimHei" w:eastAsia="SimHei" w:hint="eastAsia"/>
        </w:rPr>
      </w:pPr>
      <w:r w:rsidRPr="00E37EFB">
        <w:rPr>
          <w:rFonts w:ascii="SimHei" w:eastAsia="SimHei" w:hint="eastAsia"/>
        </w:rPr>
        <w:t>关于女性出任企业董事会职务和担任管理职责的新立法</w:t>
      </w:r>
    </w:p>
    <w:p w:rsidR="00D53FF1" w:rsidRDefault="00BA369E" w:rsidP="00D53FF1">
      <w:pPr>
        <w:pStyle w:val="SingleTxt"/>
        <w:rPr>
          <w:rFonts w:hint="eastAsia"/>
        </w:rPr>
      </w:pPr>
      <w:r>
        <w:rPr>
          <w:rFonts w:hint="eastAsia"/>
        </w:rPr>
        <w:tab/>
      </w:r>
      <w:r w:rsidR="00D53FF1">
        <w:rPr>
          <w:rFonts w:hint="eastAsia"/>
        </w:rPr>
        <w:t>自愿的作法已经以积极的方向影响了丹麦的发展，但这仍有改善的空间，由此之故，政府关于使更多妇女出任董事会职务和担任管理职责的法案于2012年12月14日在议会得到通过。这个模式由四个要素组成，以私营企业和公营企业为目标：</w:t>
      </w:r>
      <w:r>
        <w:rPr>
          <w:rFonts w:hint="eastAsia"/>
        </w:rPr>
        <w:t>㈠</w:t>
      </w:r>
      <w:r w:rsidR="008E74BC">
        <w:t xml:space="preserve"> </w:t>
      </w:r>
      <w:r w:rsidR="00D53FF1">
        <w:rPr>
          <w:rFonts w:hint="eastAsia"/>
        </w:rPr>
        <w:t>要求大约1 100家最大型企业设定其最高管理部门</w:t>
      </w:r>
      <w:r>
        <w:rPr>
          <w:rFonts w:hint="eastAsia"/>
        </w:rPr>
        <w:t>(</w:t>
      </w:r>
      <w:r w:rsidR="00D53FF1">
        <w:rPr>
          <w:rFonts w:hint="eastAsia"/>
        </w:rPr>
        <w:t>董事会等部门</w:t>
      </w:r>
      <w:r>
        <w:rPr>
          <w:rFonts w:hint="eastAsia"/>
        </w:rPr>
        <w:t>)</w:t>
      </w:r>
      <w:r w:rsidR="00D53FF1">
        <w:rPr>
          <w:rFonts w:hint="eastAsia"/>
        </w:rPr>
        <w:t>代表人数不足的性别的目标数值。</w:t>
      </w:r>
      <w:r>
        <w:rPr>
          <w:rFonts w:hint="eastAsia"/>
        </w:rPr>
        <w:t>㈡</w:t>
      </w:r>
      <w:r w:rsidR="008E74BC">
        <w:t xml:space="preserve"> </w:t>
      </w:r>
      <w:r w:rsidR="00D53FF1">
        <w:rPr>
          <w:rFonts w:hint="eastAsia"/>
        </w:rPr>
        <w:t>1 100家最大型企业必须制定增加其企业一般管理级别代表人数不足性别的比例的政策。</w:t>
      </w:r>
      <w:r>
        <w:rPr>
          <w:rFonts w:hAnsi="SimSun" w:hint="eastAsia"/>
        </w:rPr>
        <w:t>㈢</w:t>
      </w:r>
      <w:r w:rsidR="008E74BC">
        <w:rPr>
          <w:rFonts w:hAnsi="SimSun"/>
        </w:rPr>
        <w:t xml:space="preserve"> </w:t>
      </w:r>
      <w:r w:rsidR="00D53FF1">
        <w:rPr>
          <w:rFonts w:hint="eastAsia"/>
        </w:rPr>
        <w:t>企业必须在年度报告中报告设定的目标的落实状况，包括说明企业为何不能实现设定的目标的原因。此外，企业必需在年度报告中解释这项政策如何实施以及已经达到何种成果。如果企业不按此提交报告，就可能被罚款。</w:t>
      </w:r>
      <w:r>
        <w:rPr>
          <w:rFonts w:hAnsi="SimSun" w:hint="eastAsia"/>
        </w:rPr>
        <w:t>㈣</w:t>
      </w:r>
      <w:r w:rsidR="00D53FF1">
        <w:rPr>
          <w:rFonts w:hint="eastAsia"/>
        </w:rPr>
        <w:t>国营企业，不论大小，都必须设定增加女性管理人员职位的目标并制定落实的政策。地方和地区政府应编制如何在地区或地方增加女性管理人员职位的共同准则。</w:t>
      </w:r>
    </w:p>
    <w:p w:rsidR="00D53FF1" w:rsidRPr="00E37EFB" w:rsidRDefault="00D53FF1" w:rsidP="00D53FF1">
      <w:pPr>
        <w:pStyle w:val="SingleTxt"/>
        <w:rPr>
          <w:rFonts w:ascii="SimHei" w:eastAsia="SimHei" w:hint="eastAsia"/>
        </w:rPr>
      </w:pPr>
      <w:r w:rsidRPr="00E37EFB">
        <w:rPr>
          <w:rFonts w:ascii="SimHei" w:eastAsia="SimHei" w:hint="eastAsia"/>
        </w:rPr>
        <w:t>武装部队中的女性</w:t>
      </w:r>
    </w:p>
    <w:p w:rsidR="00D53FF1" w:rsidRDefault="00BA369E" w:rsidP="00D53FF1">
      <w:pPr>
        <w:pStyle w:val="SingleTxt"/>
        <w:rPr>
          <w:rFonts w:hint="eastAsia"/>
        </w:rPr>
      </w:pPr>
      <w:r>
        <w:rPr>
          <w:rFonts w:hint="eastAsia"/>
        </w:rPr>
        <w:tab/>
      </w:r>
      <w:r w:rsidR="00D53FF1">
        <w:rPr>
          <w:rFonts w:hint="eastAsia"/>
        </w:rPr>
        <w:t>自2006年以来，年满18岁的年轻女性都受邀与同龄男性一起参加武装部队日的活动</w:t>
      </w:r>
      <w:r>
        <w:rPr>
          <w:rFonts w:hint="eastAsia"/>
        </w:rPr>
        <w:t>(</w:t>
      </w:r>
      <w:r w:rsidR="00D53FF1">
        <w:rPr>
          <w:rFonts w:hint="eastAsia"/>
        </w:rPr>
        <w:t>进一步情况，请参阅第七次定期报告</w:t>
      </w:r>
      <w:r>
        <w:rPr>
          <w:rFonts w:hint="eastAsia"/>
        </w:rPr>
        <w:t>)</w:t>
      </w:r>
      <w:r w:rsidR="00D53FF1">
        <w:rPr>
          <w:rFonts w:hint="eastAsia"/>
        </w:rPr>
        <w:t>。事实证明，这项举措是增加女性服兵役数量的成功途径。2007年，在6 119名新征募士兵中，有419名女性，与2006年相比，增加了一倍。同样，我们看到2012年新征募士兵中女性士兵也大量增加，在总共4 901名士兵中，有879名女性。2011年4月国防部关于多样性政策的出版物强调了加强招募和保留女性参加武装部队的作法，其中设定了一些让女性留在武装部队的举措，包括对管理阶层工作的认识、制定行动计划和分析不同职业发展途径的可能性。预期这些举措将能招募和留住更多女性到武装部队。</w:t>
      </w:r>
    </w:p>
    <w:p w:rsidR="00D53FF1" w:rsidRDefault="00E37EFB" w:rsidP="00E37E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第8条：代表政府。女性大使</w:t>
      </w:r>
    </w:p>
    <w:p w:rsidR="00E37EFB" w:rsidRPr="00E37EFB" w:rsidRDefault="00E37EFB" w:rsidP="00E37EFB">
      <w:pPr>
        <w:pStyle w:val="SingleTxt"/>
        <w:spacing w:after="0" w:line="120" w:lineRule="exact"/>
        <w:rPr>
          <w:rFonts w:hint="eastAsia"/>
          <w:sz w:val="10"/>
        </w:rPr>
      </w:pPr>
    </w:p>
    <w:p w:rsidR="00D53FF1" w:rsidRDefault="008E74BC" w:rsidP="00D53FF1">
      <w:pPr>
        <w:pStyle w:val="SingleTxt"/>
        <w:rPr>
          <w:rFonts w:hint="eastAsia"/>
        </w:rPr>
      </w:pPr>
      <w:r>
        <w:tab/>
      </w:r>
      <w:r w:rsidR="00D53FF1">
        <w:rPr>
          <w:rFonts w:hint="eastAsia"/>
        </w:rPr>
        <w:t>在国际事务中，女性和男性一样享有代表丹麦政府的权利和机会。外交部有工作人员2 540名(包括所有工作人员类别，如兼职的学生助理等)，其中有855人在哥本哈根工作。除了本地雇员以外，外交部的雇员人数为1 281名。2013年1月，妇女占所有非本地雇员总数的49%。710名非本地雇佣的工作人员</w:t>
      </w:r>
      <w:r w:rsidR="00BA369E">
        <w:rPr>
          <w:rFonts w:hint="eastAsia"/>
        </w:rPr>
        <w:t>(</w:t>
      </w:r>
      <w:r w:rsidR="00D53FF1">
        <w:rPr>
          <w:rFonts w:hint="eastAsia"/>
        </w:rPr>
        <w:t>不包括管理层</w:t>
      </w:r>
      <w:r w:rsidR="00BA369E">
        <w:rPr>
          <w:rFonts w:hint="eastAsia"/>
        </w:rPr>
        <w:t>)</w:t>
      </w:r>
      <w:r w:rsidR="00D53FF1">
        <w:rPr>
          <w:rFonts w:hint="eastAsia"/>
        </w:rPr>
        <w:t xml:space="preserve">有本科学位，其中42%是女性。 </w:t>
      </w:r>
    </w:p>
    <w:p w:rsidR="00D53FF1" w:rsidRDefault="00BA369E" w:rsidP="00D53FF1">
      <w:pPr>
        <w:pStyle w:val="SingleTxt"/>
        <w:rPr>
          <w:rFonts w:hint="eastAsia"/>
        </w:rPr>
      </w:pPr>
      <w:r>
        <w:rPr>
          <w:rFonts w:hint="eastAsia"/>
        </w:rPr>
        <w:tab/>
      </w:r>
      <w:r w:rsidR="00D53FF1">
        <w:rPr>
          <w:rFonts w:hint="eastAsia"/>
        </w:rPr>
        <w:t>被任命为高层人员的女性数量稳步上升。在管理级别</w:t>
      </w:r>
      <w:r>
        <w:rPr>
          <w:rFonts w:hint="eastAsia"/>
        </w:rPr>
        <w:t>(</w:t>
      </w:r>
      <w:r w:rsidR="00D53FF1">
        <w:rPr>
          <w:rFonts w:hint="eastAsia"/>
        </w:rPr>
        <w:t>部门主管或大使</w:t>
      </w:r>
      <w:r>
        <w:rPr>
          <w:rFonts w:hint="eastAsia"/>
        </w:rPr>
        <w:t>)</w:t>
      </w:r>
      <w:r w:rsidR="00D53FF1">
        <w:rPr>
          <w:rFonts w:hint="eastAsia"/>
        </w:rPr>
        <w:t>，女性所占的人数从2007年的19%增加到2013年的24%。不过，只有18%的申请者是女性。</w:t>
      </w:r>
    </w:p>
    <w:p w:rsidR="00D53FF1" w:rsidRDefault="00E37EFB" w:rsidP="00E37E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第9条：公民/国籍</w:t>
      </w:r>
    </w:p>
    <w:p w:rsidR="00E37EFB" w:rsidRPr="00E37EFB" w:rsidRDefault="00E37EFB" w:rsidP="00E37EFB">
      <w:pPr>
        <w:pStyle w:val="SingleTxt"/>
        <w:spacing w:after="0" w:line="120" w:lineRule="exact"/>
        <w:rPr>
          <w:rFonts w:hint="eastAsia"/>
          <w:sz w:val="10"/>
        </w:rPr>
      </w:pPr>
    </w:p>
    <w:p w:rsidR="00D53FF1" w:rsidRDefault="00E37EFB" w:rsidP="00D53FF1">
      <w:pPr>
        <w:pStyle w:val="SingleTxt"/>
        <w:rPr>
          <w:rFonts w:hint="eastAsia"/>
        </w:rPr>
      </w:pPr>
      <w:r>
        <w:rPr>
          <w:rFonts w:hint="eastAsia"/>
        </w:rPr>
        <w:tab/>
      </w:r>
      <w:r w:rsidR="00D53FF1">
        <w:rPr>
          <w:rFonts w:hint="eastAsia"/>
        </w:rPr>
        <w:t>如前几次报告所述，《丹麦国籍法》完全符合《公约》第9条的规定。因此，《丹麦国籍法》没有关于婚后或配偶改变国籍时自动失去国籍的规定。此外，有关男女失去丹麦国籍的规定并无分别。</w:t>
      </w:r>
    </w:p>
    <w:p w:rsidR="00D53FF1" w:rsidRDefault="00E37EFB" w:rsidP="00D53FF1">
      <w:pPr>
        <w:pStyle w:val="SingleTxt"/>
        <w:rPr>
          <w:rFonts w:hint="eastAsia"/>
        </w:rPr>
      </w:pPr>
      <w:r>
        <w:rPr>
          <w:rFonts w:hint="eastAsia"/>
        </w:rPr>
        <w:tab/>
      </w:r>
      <w:r w:rsidR="00D53FF1">
        <w:rPr>
          <w:rFonts w:hint="eastAsia"/>
        </w:rPr>
        <w:t>关于第2款，儿童的生父或生母是丹麦籍就可取得丹麦国籍。如果出生时父母未婚并且如果只有生父是丹麦籍，则只有出生在丹麦的儿童才能取得丹麦国籍。</w:t>
      </w:r>
    </w:p>
    <w:p w:rsidR="00E37EFB" w:rsidRPr="00E37EFB" w:rsidRDefault="00E37EFB" w:rsidP="00E37EF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53FF1" w:rsidRDefault="00E37EFB" w:rsidP="00E37EF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第3章：教育</w:t>
      </w:r>
    </w:p>
    <w:p w:rsidR="00E37EFB" w:rsidRPr="00E37EFB" w:rsidRDefault="00E37EFB" w:rsidP="00E37E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37EFB" w:rsidRPr="00E37EFB" w:rsidRDefault="00E37EFB" w:rsidP="00E37E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53FF1" w:rsidRDefault="00E37EFB" w:rsidP="00E37E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D53FF1">
        <w:rPr>
          <w:rFonts w:hint="eastAsia"/>
        </w:rPr>
        <w:t>第10条：教育体系和男女平等问题</w:t>
      </w:r>
    </w:p>
    <w:p w:rsidR="00E37EFB" w:rsidRPr="00E37EFB" w:rsidRDefault="00E37EFB" w:rsidP="00E37EFB">
      <w:pPr>
        <w:pStyle w:val="SingleTxt"/>
        <w:spacing w:after="0" w:line="120" w:lineRule="exact"/>
        <w:rPr>
          <w:rFonts w:hint="eastAsia"/>
          <w:sz w:val="10"/>
        </w:rPr>
      </w:pPr>
    </w:p>
    <w:p w:rsidR="00D53FF1" w:rsidRPr="00E37EFB" w:rsidRDefault="00D53FF1" w:rsidP="00D53FF1">
      <w:pPr>
        <w:pStyle w:val="SingleTxt"/>
        <w:rPr>
          <w:rFonts w:ascii="SimHei" w:eastAsia="SimHei" w:hint="eastAsia"/>
        </w:rPr>
      </w:pPr>
      <w:r w:rsidRPr="00E37EFB">
        <w:rPr>
          <w:rFonts w:ascii="SimHei" w:eastAsia="SimHei" w:hint="eastAsia"/>
        </w:rPr>
        <w:t>教育体系和男女平等问题</w:t>
      </w:r>
    </w:p>
    <w:p w:rsidR="00BD566C" w:rsidRDefault="00BA369E" w:rsidP="00D53FF1">
      <w:pPr>
        <w:pStyle w:val="SingleTxt"/>
        <w:rPr>
          <w:rFonts w:hint="eastAsia"/>
        </w:rPr>
      </w:pPr>
      <w:r>
        <w:rPr>
          <w:rFonts w:hint="eastAsia"/>
        </w:rPr>
        <w:tab/>
      </w:r>
      <w:r w:rsidR="00D53FF1">
        <w:rPr>
          <w:rFonts w:hint="eastAsia"/>
        </w:rPr>
        <w:t>在教育部门，整体先决条件是平等，而不论性别和族裔为何。所有公民都有受到教育的机会。女性在丹麦教育体系的表现比男性优越</w:t>
      </w:r>
      <w:r>
        <w:rPr>
          <w:rFonts w:hint="eastAsia"/>
        </w:rPr>
        <w:t>(</w:t>
      </w:r>
      <w:r w:rsidR="00D53FF1">
        <w:rPr>
          <w:rFonts w:hint="eastAsia"/>
        </w:rPr>
        <w:t>图1</w:t>
      </w:r>
      <w:r>
        <w:rPr>
          <w:rFonts w:hint="eastAsia"/>
        </w:rPr>
        <w:t>)</w:t>
      </w:r>
      <w:r w:rsidR="00D53FF1">
        <w:rPr>
          <w:rFonts w:hint="eastAsia"/>
        </w:rPr>
        <w:t>。预期2011年有88%从丹麦小学毕业的女性通过职业资格评定。而预计男性为81%。不论族裔背景为何，女性在职业资格评定方面都优于男性。</w:t>
      </w:r>
    </w:p>
    <w:p w:rsidR="00D53FF1" w:rsidRPr="00BA369E" w:rsidRDefault="00D53FF1" w:rsidP="00DC4C76">
      <w:pPr>
        <w:pStyle w:val="SingleTxt"/>
        <w:spacing w:line="360" w:lineRule="auto"/>
        <w:rPr>
          <w:rFonts w:ascii="SimHei" w:eastAsia="SimHei" w:hint="eastAsia"/>
        </w:rPr>
      </w:pPr>
      <w:r>
        <w:rPr>
          <w:rFonts w:hint="eastAsia"/>
        </w:rPr>
        <w:t>图1</w:t>
      </w:r>
      <w:r w:rsidR="00BA369E">
        <w:rPr>
          <w:rFonts w:hint="eastAsia"/>
        </w:rPr>
        <w:br/>
      </w:r>
      <w:r w:rsidRPr="00BA369E">
        <w:rPr>
          <w:rFonts w:ascii="SimHei" w:eastAsia="SimHei" w:hint="eastAsia"/>
        </w:rPr>
        <w:t>按性别分列的2011年九年级学生教育资格评定的预期结果</w:t>
      </w:r>
    </w:p>
    <w:p w:rsidR="00DC4C76" w:rsidRPr="00DC4C76" w:rsidRDefault="00AA551C" w:rsidP="00DC4C76">
      <w:pPr>
        <w:pStyle w:val="FootnoteText"/>
        <w:tabs>
          <w:tab w:val="clear" w:pos="418"/>
          <w:tab w:val="right" w:pos="1476"/>
          <w:tab w:val="left" w:pos="1548"/>
          <w:tab w:val="right" w:pos="1836"/>
          <w:tab w:val="left" w:pos="1908"/>
        </w:tabs>
        <w:spacing w:after="0" w:line="360" w:lineRule="auto"/>
        <w:ind w:left="1264" w:right="1264" w:firstLine="0"/>
        <w:rPr>
          <w:sz w:val="10"/>
        </w:rPr>
      </w:pPr>
      <w:r>
        <w:object w:dxaOrig="7464" w:dyaOrig="2692">
          <v:shape id="_x0000_i1025" type="#_x0000_t75" style="width:373.5pt;height:134.25pt" o:ole="" filled="t">
            <v:imagedata r:id="rId15" o:title="" cropbottom="4762f" cropleft="-2250f" cropright="362f"/>
          </v:shape>
          <o:OLEObject Type="Embed" ProgID="MSGraph.Chart.8" ShapeID="_x0000_i1025" DrawAspect="Content" ObjectID="_1550665103" r:id="rId16">
            <o:FieldCodes>\s</o:FieldCodes>
          </o:OLEObject>
        </w:object>
      </w:r>
    </w:p>
    <w:p w:rsidR="00DE2AA2" w:rsidRPr="00BA369E" w:rsidRDefault="00DE2AA2" w:rsidP="00E37EFB">
      <w:pPr>
        <w:pStyle w:val="FootnoteText"/>
        <w:tabs>
          <w:tab w:val="clear" w:pos="418"/>
          <w:tab w:val="right" w:pos="1476"/>
          <w:tab w:val="left" w:pos="1548"/>
          <w:tab w:val="right" w:pos="1836"/>
          <w:tab w:val="left" w:pos="1908"/>
        </w:tabs>
        <w:spacing w:after="0" w:line="240" w:lineRule="auto"/>
        <w:ind w:left="1264" w:right="1264" w:firstLine="0"/>
        <w:rPr>
          <w:rFonts w:hint="eastAsia"/>
        </w:rPr>
      </w:pPr>
      <w:r w:rsidRPr="00C10BAF">
        <w:rPr>
          <w:rFonts w:ascii="KaiTi_GB2312" w:eastAsia="KaiTi_GB2312" w:hint="eastAsia"/>
        </w:rPr>
        <w:t>资料来源</w:t>
      </w:r>
      <w:r w:rsidRPr="00BA369E">
        <w:rPr>
          <w:rFonts w:hint="eastAsia"/>
        </w:rPr>
        <w:t>：儿童事务和教育部</w:t>
      </w:r>
      <w:r w:rsidR="00BA369E" w:rsidRPr="00BA369E">
        <w:rPr>
          <w:rFonts w:hint="eastAsia"/>
        </w:rPr>
        <w:t>(</w:t>
      </w:r>
      <w:r w:rsidRPr="00891CDF">
        <w:rPr>
          <w:rFonts w:ascii="Times New Roman"/>
        </w:rPr>
        <w:t>Profilmodellen</w:t>
      </w:r>
      <w:r w:rsidRPr="00BA369E">
        <w:rPr>
          <w:rFonts w:hint="eastAsia"/>
        </w:rPr>
        <w:t>，2011年</w:t>
      </w:r>
      <w:r w:rsidR="00BA369E" w:rsidRPr="00BA369E">
        <w:rPr>
          <w:rFonts w:hint="eastAsia"/>
        </w:rPr>
        <w:t>)</w:t>
      </w:r>
    </w:p>
    <w:p w:rsidR="00E37EFB" w:rsidRPr="00E37EFB" w:rsidRDefault="00E37EFB" w:rsidP="00E37EFB">
      <w:pPr>
        <w:pStyle w:val="SingleTxt"/>
        <w:spacing w:after="0" w:line="120" w:lineRule="exact"/>
        <w:rPr>
          <w:rFonts w:hint="eastAsia"/>
          <w:sz w:val="10"/>
        </w:rPr>
      </w:pPr>
    </w:p>
    <w:p w:rsidR="00DE2AA2" w:rsidRPr="00E37EFB" w:rsidRDefault="00DE2AA2" w:rsidP="00DE2AA2">
      <w:pPr>
        <w:pStyle w:val="SingleTxt"/>
        <w:rPr>
          <w:rFonts w:ascii="SimHei" w:eastAsia="SimHei" w:hint="eastAsia"/>
        </w:rPr>
      </w:pPr>
      <w:r w:rsidRPr="00E37EFB">
        <w:rPr>
          <w:rFonts w:ascii="SimHei" w:eastAsia="SimHei" w:hint="eastAsia"/>
        </w:rPr>
        <w:t>日托服务</w:t>
      </w:r>
    </w:p>
    <w:p w:rsidR="00DE2AA2" w:rsidRDefault="00C10BAF" w:rsidP="00DE2AA2">
      <w:pPr>
        <w:pStyle w:val="SingleTxt"/>
        <w:rPr>
          <w:rFonts w:hint="eastAsia"/>
        </w:rPr>
      </w:pPr>
      <w:r>
        <w:rPr>
          <w:rFonts w:hint="eastAsia"/>
        </w:rPr>
        <w:tab/>
      </w:r>
      <w:r w:rsidR="00DE2AA2">
        <w:rPr>
          <w:rFonts w:hint="eastAsia"/>
        </w:rPr>
        <w:t>在丹麦，所有儿童都能平等获得日托服务，并有权在出生后26周到开始入学期间得到这项服务。市政府向父母补偿支付日托的费用。这个得到保证的全日托服务使父母能在生儿育女之时还能参与劳动力市场，从而使男女在劳动力市场都拥有就业机会。男女在日托系统内也分布均衡。83.1%年龄在0-5岁之间的男童和82.7%的女童接受日托服务。</w:t>
      </w:r>
      <w:r w:rsidR="008E74BC">
        <w:rPr>
          <w:rStyle w:val="FootnoteReference"/>
        </w:rPr>
        <w:footnoteReference w:id="1"/>
      </w:r>
      <w:r w:rsidR="008E74BC">
        <w:t xml:space="preserve"> </w:t>
      </w:r>
      <w:r w:rsidR="00DE2AA2">
        <w:rPr>
          <w:rFonts w:hint="eastAsia"/>
        </w:rPr>
        <w:t>性别分布以我们知道性别情况的96%入托儿童为基础。在0-9岁年龄组中，入托的非西方国家移民及后裔的儿童比入托的丹麦裔儿童少</w:t>
      </w:r>
      <w:r w:rsidR="00BA369E">
        <w:rPr>
          <w:rFonts w:hint="eastAsia"/>
        </w:rPr>
        <w:t>(</w:t>
      </w:r>
      <w:r w:rsidR="00DE2AA2">
        <w:rPr>
          <w:rFonts w:hint="eastAsia"/>
        </w:rPr>
        <w:t>少14%</w:t>
      </w:r>
      <w:r w:rsidR="00BA369E">
        <w:rPr>
          <w:rFonts w:hint="eastAsia"/>
        </w:rPr>
        <w:t>)</w:t>
      </w:r>
      <w:r w:rsidR="00DE2AA2">
        <w:rPr>
          <w:rFonts w:hint="eastAsia"/>
        </w:rPr>
        <w:t xml:space="preserve">。 </w:t>
      </w:r>
    </w:p>
    <w:p w:rsidR="00DE2AA2" w:rsidRDefault="00C10BAF" w:rsidP="00DE2AA2">
      <w:pPr>
        <w:pStyle w:val="SingleTxt"/>
        <w:rPr>
          <w:rFonts w:hint="eastAsia"/>
        </w:rPr>
      </w:pPr>
      <w:r>
        <w:rPr>
          <w:rFonts w:hint="eastAsia"/>
        </w:rPr>
        <w:tab/>
      </w:r>
      <w:r w:rsidR="00DE2AA2">
        <w:rPr>
          <w:rFonts w:hint="eastAsia"/>
        </w:rPr>
        <w:t>所有日托服务都备有教育课程，说明日托对儿童学习设定的地方目标。这项教育课程必须有助于使所有日托服务关注每名儿童的潜力和技能，而不以其性别为依据。</w:t>
      </w:r>
    </w:p>
    <w:p w:rsidR="00DE2AA2" w:rsidRPr="00DC4C76" w:rsidRDefault="00DE2AA2" w:rsidP="00DE2AA2">
      <w:pPr>
        <w:pStyle w:val="SingleTxt"/>
        <w:rPr>
          <w:rFonts w:ascii="SimHei" w:eastAsia="SimHei" w:hint="eastAsia"/>
        </w:rPr>
      </w:pPr>
      <w:r w:rsidRPr="00DC4C76">
        <w:rPr>
          <w:rFonts w:ascii="SimHei" w:eastAsia="SimHei" w:hint="eastAsia"/>
        </w:rPr>
        <w:t>小学教育和初中教育</w:t>
      </w:r>
    </w:p>
    <w:p w:rsidR="00DE2AA2" w:rsidRDefault="00C10BAF" w:rsidP="00DE2AA2">
      <w:pPr>
        <w:pStyle w:val="SingleTxt"/>
        <w:rPr>
          <w:rFonts w:hint="eastAsia"/>
        </w:rPr>
      </w:pPr>
      <w:r>
        <w:rPr>
          <w:rFonts w:hint="eastAsia"/>
        </w:rPr>
        <w:tab/>
      </w:r>
      <w:r w:rsidR="00DE2AA2">
        <w:rPr>
          <w:rFonts w:hint="eastAsia"/>
        </w:rPr>
        <w:t>男女学生在小学教育和初中教育也分布均衡。在2011/12学年，有51.3%的学童是男童，48.7%是女童。2012年夏，完成公立学校</w:t>
      </w:r>
      <w:r w:rsidR="00BA369E">
        <w:rPr>
          <w:rFonts w:hint="eastAsia"/>
        </w:rPr>
        <w:t>(</w:t>
      </w:r>
      <w:r w:rsidR="00DE2AA2" w:rsidRPr="00891CDF">
        <w:rPr>
          <w:rFonts w:ascii="Times New Roman"/>
        </w:rPr>
        <w:t>Folkeskole</w:t>
      </w:r>
      <w:r w:rsidR="00BA369E">
        <w:rPr>
          <w:rFonts w:hint="eastAsia"/>
        </w:rPr>
        <w:t>)</w:t>
      </w:r>
      <w:r w:rsidR="00DE2AA2">
        <w:rPr>
          <w:rFonts w:hint="eastAsia"/>
        </w:rPr>
        <w:t>课程参加毕业考的学童的平均成绩显示，女童成绩比男童好</w:t>
      </w:r>
      <w:r w:rsidR="00BA369E">
        <w:rPr>
          <w:rFonts w:hint="eastAsia"/>
        </w:rPr>
        <w:t>(</w:t>
      </w:r>
      <w:r w:rsidR="00DE2AA2">
        <w:rPr>
          <w:rFonts w:hint="eastAsia"/>
        </w:rPr>
        <w:t>有0.6分差距</w:t>
      </w:r>
      <w:r w:rsidR="00BA369E">
        <w:rPr>
          <w:rFonts w:hint="eastAsia"/>
        </w:rPr>
        <w:t>)</w:t>
      </w:r>
      <w:r w:rsidR="00DE2AA2">
        <w:rPr>
          <w:rFonts w:hint="eastAsia"/>
        </w:rPr>
        <w:t xml:space="preserve">。 </w:t>
      </w:r>
    </w:p>
    <w:p w:rsidR="00DE2AA2" w:rsidRDefault="00C10BAF" w:rsidP="00DE2AA2">
      <w:pPr>
        <w:pStyle w:val="SingleTxt"/>
        <w:rPr>
          <w:rFonts w:hint="eastAsia"/>
        </w:rPr>
      </w:pPr>
      <w:r>
        <w:rPr>
          <w:rFonts w:hint="eastAsia"/>
        </w:rPr>
        <w:tab/>
      </w:r>
      <w:r w:rsidR="00DE2AA2">
        <w:rPr>
          <w:rFonts w:hint="eastAsia"/>
        </w:rPr>
        <w:t xml:space="preserve">公立学校所欲达到的目标之一是减少和防止性别的成规定型观念。《公立学校法》的目标条款指出，学校教育和校内日常生活必须建立在知识自由、平等和民主的基础之上。学校必须使学生有能力根据这些价值观享有和履行社会的权利和义务。 </w:t>
      </w:r>
    </w:p>
    <w:p w:rsidR="00DE2AA2" w:rsidRDefault="00C10BAF" w:rsidP="00DE2AA2">
      <w:pPr>
        <w:pStyle w:val="SingleTxt"/>
        <w:rPr>
          <w:rFonts w:hint="eastAsia"/>
        </w:rPr>
      </w:pPr>
      <w:r>
        <w:rPr>
          <w:rFonts w:hint="eastAsia"/>
        </w:rPr>
        <w:tab/>
      </w:r>
      <w:r w:rsidR="00DE2AA2">
        <w:rPr>
          <w:rFonts w:hint="eastAsia"/>
        </w:rPr>
        <w:t xml:space="preserve">公立学校的教学内容，特别是社会研究、历史以及卫生、性和家庭知识，旨在让学生了解并探讨男女的角色、性别成规定型观念和平等。例如，29项必须教导的历史课程之一是女性参政，在这个课程中，应更加全面地说明男女平等问题。社会研究和历史所需达到的学习目标包括普遍平等原则，这成为讨论具体情况下的平等问题的起始点，包括男女平等问题。在卫生、性和家庭知识方面，必须达到的学习目标包括学习两性成规定型的观念对自身及团体的影响，并使学生能够了解和形成对身份特性、男女角色和性具有影响力的见解，包括文化规范、媒体和同行对其产生的影响力的见解。 </w:t>
      </w:r>
    </w:p>
    <w:p w:rsidR="00DE2AA2" w:rsidRPr="00DC4C76" w:rsidRDefault="00DE2AA2" w:rsidP="00DE2AA2">
      <w:pPr>
        <w:pStyle w:val="SingleTxt"/>
        <w:rPr>
          <w:rFonts w:ascii="SimHei" w:eastAsia="SimHei" w:hint="eastAsia"/>
        </w:rPr>
      </w:pPr>
      <w:r w:rsidRPr="00DC4C76">
        <w:rPr>
          <w:rFonts w:ascii="SimHei" w:eastAsia="SimHei" w:hint="eastAsia"/>
        </w:rPr>
        <w:t>受到性别成规定型观念影响的教育选择</w:t>
      </w:r>
    </w:p>
    <w:p w:rsidR="00DE2AA2" w:rsidRDefault="00C10BAF" w:rsidP="00DE2AA2">
      <w:pPr>
        <w:pStyle w:val="SingleTxt"/>
        <w:rPr>
          <w:rFonts w:hint="eastAsia"/>
        </w:rPr>
      </w:pPr>
      <w:r>
        <w:rPr>
          <w:rFonts w:hint="eastAsia"/>
        </w:rPr>
        <w:tab/>
      </w:r>
      <w:r w:rsidR="00DE2AA2">
        <w:rPr>
          <w:rFonts w:hint="eastAsia"/>
        </w:rPr>
        <w:t>在丹麦，男孩和女孩接受长期高等教育的比例一样高，而发展趋势是女孩比男孩的受教育程度更高。但是，如上所示，女孩和男孩的教育选择则受到性别的严重影响。因此，2011年，男女平等事务大臣建立了一个网站</w:t>
      </w:r>
      <w:r w:rsidR="00BA369E">
        <w:rPr>
          <w:rFonts w:hint="eastAsia"/>
        </w:rPr>
        <w:t>(</w:t>
      </w:r>
      <w:r w:rsidR="00DE2AA2" w:rsidRPr="00DC4C76">
        <w:rPr>
          <w:rFonts w:ascii="Times New Roman"/>
        </w:rPr>
        <w:t>fremtidenerdin.dk</w:t>
      </w:r>
      <w:r w:rsidR="00BA369E">
        <w:rPr>
          <w:rFonts w:hint="eastAsia"/>
        </w:rPr>
        <w:t>)</w:t>
      </w:r>
      <w:r w:rsidR="00DE2AA2">
        <w:rPr>
          <w:rFonts w:hint="eastAsia"/>
        </w:rPr>
        <w:t>，旨在引起人们对基于性别的教育选择的注意，让青年人在选择教育和工作的时候，更多地关注他们的能力而不是他们的性别。</w:t>
      </w:r>
    </w:p>
    <w:p w:rsidR="00DE2AA2" w:rsidRDefault="00C10BAF" w:rsidP="00DE2AA2">
      <w:pPr>
        <w:pStyle w:val="SingleTxt"/>
        <w:rPr>
          <w:rFonts w:hint="eastAsia"/>
        </w:rPr>
      </w:pPr>
      <w:r>
        <w:rPr>
          <w:rFonts w:hint="eastAsia"/>
        </w:rPr>
        <w:tab/>
      </w:r>
      <w:r w:rsidR="00DE2AA2">
        <w:rPr>
          <w:rFonts w:hint="eastAsia"/>
        </w:rPr>
        <w:t>文化价值观包括性别问题的看法对专业职业和教育指导的影响及重要性也是职业指导顾问教育课程的一部分。</w:t>
      </w:r>
    </w:p>
    <w:p w:rsidR="00DE2AA2" w:rsidRDefault="00C10BAF" w:rsidP="00DE2AA2">
      <w:pPr>
        <w:pStyle w:val="SingleTxt"/>
        <w:rPr>
          <w:rFonts w:hint="eastAsia"/>
        </w:rPr>
      </w:pPr>
      <w:r>
        <w:rPr>
          <w:rFonts w:hint="eastAsia"/>
        </w:rPr>
        <w:tab/>
      </w:r>
      <w:r w:rsidR="00DE2AA2">
        <w:rPr>
          <w:rFonts w:hint="eastAsia"/>
        </w:rPr>
        <w:t>政府在2012年和2013年对如何促使更多男童完成学业以及如何减少根据性别作出教育选择的10个不同项目提供了经费。2011</w:t>
      </w:r>
      <w:r w:rsidR="00DC4C76">
        <w:rPr>
          <w:rFonts w:hint="eastAsia"/>
        </w:rPr>
        <w:t>年，政府完成了“更多女孩学习自然科学和技术”</w:t>
      </w:r>
      <w:r w:rsidR="00DE2AA2">
        <w:rPr>
          <w:rFonts w:hint="eastAsia"/>
        </w:rPr>
        <w:t xml:space="preserve">试办项目，其中初中女童参加了培训展览会，她们同意在技术领域或自然科学的主要公司接受培训。对这个试办项目进行的外部评价作出结论认为，这个项目成功地接触到了女孩，有78%的女孩回应指出，这个项目积极改变了她们在技术领域或自然科学求职的看法。 </w:t>
      </w:r>
    </w:p>
    <w:p w:rsidR="00DE2AA2" w:rsidRPr="00DC4C76" w:rsidRDefault="00DE2AA2" w:rsidP="00DE2AA2">
      <w:pPr>
        <w:pStyle w:val="SingleTxt"/>
        <w:rPr>
          <w:rFonts w:ascii="SimHei" w:eastAsia="SimHei" w:hint="eastAsia"/>
        </w:rPr>
      </w:pPr>
      <w:r w:rsidRPr="00DC4C76">
        <w:rPr>
          <w:rFonts w:ascii="SimHei" w:eastAsia="SimHei" w:hint="eastAsia"/>
        </w:rPr>
        <w:t>普通高中教育</w:t>
      </w:r>
    </w:p>
    <w:p w:rsidR="00DE2AA2" w:rsidRDefault="00C10BAF" w:rsidP="00DC4C76">
      <w:pPr>
        <w:pStyle w:val="SingleTxt"/>
        <w:spacing w:line="340" w:lineRule="exact"/>
        <w:rPr>
          <w:rFonts w:hint="eastAsia"/>
        </w:rPr>
      </w:pPr>
      <w:r>
        <w:rPr>
          <w:rFonts w:hint="eastAsia"/>
        </w:rPr>
        <w:tab/>
      </w:r>
      <w:r w:rsidR="00DE2AA2">
        <w:rPr>
          <w:rFonts w:hint="eastAsia"/>
        </w:rPr>
        <w:t xml:space="preserve">丹麦普通高中教育由四项能使毕业生符合接受高等教育资格的不同方案组成。这些方案的男女毕业生总体比例在2011年为44比56。STX方案和HF方案的内容分别很大，毕业生分别约有41-59和38-62的男女比例，而HHX方案具有商业内容，其毕业生有53-47的男女比例，HTX方案具有技术内容，其毕业生有76-24的男女比例。 </w:t>
      </w:r>
    </w:p>
    <w:p w:rsidR="00DE2AA2" w:rsidRDefault="00C10BAF" w:rsidP="00DC4C76">
      <w:pPr>
        <w:pStyle w:val="SingleTxt"/>
        <w:spacing w:line="340" w:lineRule="exact"/>
        <w:rPr>
          <w:rFonts w:hint="eastAsia"/>
        </w:rPr>
      </w:pPr>
      <w:r>
        <w:rPr>
          <w:rFonts w:hint="eastAsia"/>
        </w:rPr>
        <w:tab/>
      </w:r>
      <w:r w:rsidR="00DE2AA2">
        <w:rPr>
          <w:rFonts w:hint="eastAsia"/>
        </w:rPr>
        <w:t>作为2004年STX方案结构改变的一部分，加设了必须学习的基本自然科学课程。这项称为科学基础教育</w:t>
      </w:r>
      <w:r w:rsidR="00BA369E">
        <w:rPr>
          <w:rFonts w:hint="eastAsia"/>
        </w:rPr>
        <w:t>(</w:t>
      </w:r>
      <w:r w:rsidR="00DE2AA2" w:rsidRPr="00DC4C76">
        <w:rPr>
          <w:rFonts w:ascii="Times New Roman"/>
        </w:rPr>
        <w:t>naturvidenskabeligt grundforløb</w:t>
      </w:r>
      <w:r w:rsidR="00BA369E">
        <w:rPr>
          <w:rFonts w:hint="eastAsia"/>
        </w:rPr>
        <w:t>)</w:t>
      </w:r>
      <w:r w:rsidR="00DE2AA2">
        <w:rPr>
          <w:rFonts w:hint="eastAsia"/>
        </w:rPr>
        <w:t>的课程一直有利于改变女童学习科学的情况，使更多女童从科学课程毕业。统计数字显示从数学和物理最高级别课程及化学基本课程毕业的学生人数增加了8%</w:t>
      </w:r>
      <w:r w:rsidR="00BA369E">
        <w:rPr>
          <w:rFonts w:hint="eastAsia"/>
        </w:rPr>
        <w:t>(</w:t>
      </w:r>
      <w:r w:rsidR="00DE2AA2">
        <w:rPr>
          <w:rFonts w:hint="eastAsia"/>
        </w:rPr>
        <w:t>2007-2011年</w:t>
      </w:r>
      <w:r w:rsidR="00BA369E">
        <w:rPr>
          <w:rFonts w:hint="eastAsia"/>
        </w:rPr>
        <w:t>)</w:t>
      </w:r>
      <w:r w:rsidR="00DE2AA2">
        <w:rPr>
          <w:rFonts w:hint="eastAsia"/>
        </w:rPr>
        <w:t>。学习科学的毕业生人数普遍增加并没有减少女性学习人数，这显示于男女的分布情况与以前相同。影响女性教育选择的主要力量来自她们的教师。因此，应进一步加强科学基础课程</w:t>
      </w:r>
      <w:r w:rsidR="00BA369E">
        <w:rPr>
          <w:rFonts w:hint="eastAsia"/>
        </w:rPr>
        <w:t>(</w:t>
      </w:r>
      <w:r w:rsidR="00DE2AA2" w:rsidRPr="00DC4C76">
        <w:rPr>
          <w:rFonts w:ascii="Times New Roman" w:hint="eastAsia"/>
        </w:rPr>
        <w:t>naturvidenskabeligt</w:t>
      </w:r>
      <w:r w:rsidR="00DE2AA2">
        <w:rPr>
          <w:rFonts w:hint="eastAsia"/>
        </w:rPr>
        <w:t xml:space="preserve"> </w:t>
      </w:r>
      <w:r w:rsidR="00DE2AA2" w:rsidRPr="00DC4C76">
        <w:rPr>
          <w:rFonts w:ascii="Times New Roman" w:hint="eastAsia"/>
        </w:rPr>
        <w:t>grundforløb</w:t>
      </w:r>
      <w:r w:rsidR="00BA369E">
        <w:rPr>
          <w:rFonts w:hint="eastAsia"/>
        </w:rPr>
        <w:t>)</w:t>
      </w:r>
      <w:r w:rsidR="00DE2AA2">
        <w:rPr>
          <w:rFonts w:hint="eastAsia"/>
        </w:rPr>
        <w:t>，为科学教育取得男女平均分布创造最佳环境。</w:t>
      </w:r>
    </w:p>
    <w:p w:rsidR="00DE2AA2" w:rsidRPr="00DC4C76" w:rsidRDefault="00DE2AA2" w:rsidP="00DE2AA2">
      <w:pPr>
        <w:pStyle w:val="SingleTxt"/>
        <w:rPr>
          <w:rFonts w:ascii="SimHei" w:eastAsia="SimHei" w:hint="eastAsia"/>
        </w:rPr>
      </w:pPr>
      <w:r w:rsidRPr="00DC4C76">
        <w:rPr>
          <w:rFonts w:ascii="SimHei" w:eastAsia="SimHei" w:hint="eastAsia"/>
        </w:rPr>
        <w:t>职业教育和培训</w:t>
      </w:r>
    </w:p>
    <w:p w:rsidR="00DE2AA2" w:rsidRDefault="00C10BAF" w:rsidP="00DC4C76">
      <w:pPr>
        <w:pStyle w:val="SingleTxt"/>
        <w:spacing w:line="340" w:lineRule="exact"/>
        <w:rPr>
          <w:rFonts w:hint="eastAsia"/>
        </w:rPr>
      </w:pPr>
      <w:r>
        <w:rPr>
          <w:rFonts w:hint="eastAsia"/>
        </w:rPr>
        <w:tab/>
      </w:r>
      <w:r w:rsidR="00DE2AA2">
        <w:rPr>
          <w:rFonts w:hint="eastAsia"/>
        </w:rPr>
        <w:t xml:space="preserve">在丹麦，男女都能同样获得职业教育和培训，它以个别学生为目标，不论性别，务使达到高学成率。所有学生都享有学生助学金、培训工资和旅费补偿并在学校住宿，这也不分性别，一体适用。这种教育改变了学校教育和企业就业情况。职业培训反映了劳动力市场，因此有些职业教育和培训吸引了一类性别，而比较不吸引另一类性别。不过，不会由于性别考虑而阻止他们选择具体课程。职业教育和培训的男女比例几乎相当。自2008年以来，所有职业教育和培训学校都起草了一项年度行动计划，以便增加男女的学成率。 </w:t>
      </w:r>
    </w:p>
    <w:p w:rsidR="00DE2AA2" w:rsidRPr="00DC4C76" w:rsidRDefault="00DE2AA2" w:rsidP="00DE2AA2">
      <w:pPr>
        <w:pStyle w:val="SingleTxt"/>
        <w:rPr>
          <w:rFonts w:ascii="SimHei" w:eastAsia="SimHei" w:hint="eastAsia"/>
        </w:rPr>
      </w:pPr>
      <w:r w:rsidRPr="00DC4C76">
        <w:rPr>
          <w:rFonts w:ascii="SimHei" w:eastAsia="SimHei" w:hint="eastAsia"/>
        </w:rPr>
        <w:t>高等教育</w:t>
      </w:r>
    </w:p>
    <w:p w:rsidR="00DE2AA2" w:rsidRDefault="00C10BAF" w:rsidP="00DC4C76">
      <w:pPr>
        <w:pStyle w:val="SingleTxt"/>
        <w:spacing w:line="340" w:lineRule="exact"/>
        <w:rPr>
          <w:rFonts w:hint="eastAsia"/>
        </w:rPr>
      </w:pPr>
      <w:r>
        <w:rPr>
          <w:rFonts w:hint="eastAsia"/>
        </w:rPr>
        <w:tab/>
      </w:r>
      <w:r w:rsidR="00DE2AA2">
        <w:rPr>
          <w:rFonts w:hint="eastAsia"/>
        </w:rPr>
        <w:t xml:space="preserve">在丹麦，能否得到高等教育取决于申请者的资格。申请者通过两项配额申请：配额1和配额2。在配额1中，根据高中学业的总平均分数决定是否录取。在配额2中，通过评估申请者个人的相关资格能力作出选择。性别不是是否符合资格的具体项目，也不允许教育机构依据性别选取申请者。 </w:t>
      </w:r>
    </w:p>
    <w:p w:rsidR="00DE2AA2" w:rsidRDefault="00DC4C76" w:rsidP="00DC4C76">
      <w:pPr>
        <w:pStyle w:val="SingleTxt"/>
        <w:spacing w:line="340" w:lineRule="exact"/>
        <w:rPr>
          <w:rFonts w:hint="eastAsia"/>
        </w:rPr>
      </w:pPr>
      <w:r>
        <w:rPr>
          <w:rFonts w:hint="eastAsia"/>
        </w:rPr>
        <w:tab/>
      </w:r>
      <w:r w:rsidR="00DE2AA2">
        <w:rPr>
          <w:rFonts w:hint="eastAsia"/>
        </w:rPr>
        <w:t>如表1所示，丹麦高等教育方案入学新生大部分是女性。</w:t>
      </w:r>
    </w:p>
    <w:p w:rsidR="00D53FF1" w:rsidRPr="00DC4C76" w:rsidRDefault="00DE2AA2" w:rsidP="00DE2AA2">
      <w:pPr>
        <w:pStyle w:val="SingleTxt"/>
        <w:rPr>
          <w:rFonts w:ascii="SimHei" w:eastAsia="SimHei" w:hint="eastAsia"/>
        </w:rPr>
      </w:pPr>
      <w:r>
        <w:br w:type="page"/>
      </w:r>
      <w:r>
        <w:rPr>
          <w:rFonts w:hint="eastAsia"/>
        </w:rPr>
        <w:t>表1</w:t>
      </w:r>
      <w:r w:rsidR="00C10BAF">
        <w:rPr>
          <w:rFonts w:hint="eastAsia"/>
        </w:rPr>
        <w:br/>
      </w:r>
      <w:r w:rsidRPr="00DC4C76">
        <w:rPr>
          <w:rFonts w:ascii="SimHei" w:eastAsia="SimHei" w:hint="eastAsia"/>
        </w:rPr>
        <w:t>2005-2011年按性别和族裔分列的高等教育入学新生</w:t>
      </w:r>
    </w:p>
    <w:tbl>
      <w:tblPr>
        <w:tblW w:w="0" w:type="auto"/>
        <w:tblInd w:w="1260" w:type="dxa"/>
        <w:tblLayout w:type="fixed"/>
        <w:tblCellMar>
          <w:left w:w="0" w:type="dxa"/>
          <w:right w:w="0" w:type="dxa"/>
        </w:tblCellMar>
        <w:tblLook w:val="0000"/>
      </w:tblPr>
      <w:tblGrid>
        <w:gridCol w:w="420"/>
        <w:gridCol w:w="1206"/>
        <w:gridCol w:w="813"/>
        <w:gridCol w:w="813"/>
        <w:gridCol w:w="813"/>
        <w:gridCol w:w="813"/>
        <w:gridCol w:w="813"/>
        <w:gridCol w:w="813"/>
        <w:gridCol w:w="813"/>
      </w:tblGrid>
      <w:tr w:rsidR="00DE2AA2" w:rsidRPr="00DE2AA2" w:rsidTr="00DE2AA2">
        <w:tblPrEx>
          <w:tblCellMar>
            <w:top w:w="0" w:type="dxa"/>
            <w:bottom w:w="0" w:type="dxa"/>
          </w:tblCellMar>
        </w:tblPrEx>
        <w:trPr>
          <w:tblHeader/>
        </w:trPr>
        <w:tc>
          <w:tcPr>
            <w:tcW w:w="420"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left"/>
              <w:rPr>
                <w:rFonts w:ascii="KaiTi_GB2312" w:eastAsia="KaiTi_GB2312"/>
                <w:sz w:val="15"/>
                <w:szCs w:val="24"/>
              </w:rPr>
            </w:pPr>
            <w:r w:rsidRPr="00DE2AA2">
              <w:rPr>
                <w:rFonts w:ascii="KaiTi_GB2312" w:eastAsia="KaiTi_GB2312" w:hint="eastAsia"/>
                <w:noProof/>
                <w:sz w:val="15"/>
                <w:szCs w:val="24"/>
                <w:lang w:val="en-US"/>
              </w:rPr>
              <w:t>性别</w:t>
            </w:r>
          </w:p>
        </w:tc>
        <w:tc>
          <w:tcPr>
            <w:tcW w:w="1206"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left"/>
              <w:rPr>
                <w:rFonts w:ascii="KaiTi_GB2312" w:eastAsia="KaiTi_GB2312"/>
                <w:sz w:val="15"/>
                <w:szCs w:val="24"/>
              </w:rPr>
            </w:pPr>
            <w:r w:rsidRPr="00DE2AA2">
              <w:rPr>
                <w:rFonts w:ascii="KaiTi_GB2312" w:eastAsia="KaiTi_GB2312" w:hint="eastAsia"/>
                <w:noProof/>
                <w:sz w:val="15"/>
                <w:szCs w:val="24"/>
                <w:lang w:val="en-US"/>
              </w:rPr>
              <w:t>族裔</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2005</w:t>
            </w:r>
            <w:r w:rsidRPr="00DE2AA2">
              <w:rPr>
                <w:rFonts w:ascii="KaiTi_GB2312" w:eastAsia="KaiTi_GB2312" w:hint="eastAsia"/>
                <w:noProof/>
                <w:sz w:val="15"/>
                <w:szCs w:val="24"/>
                <w:lang w:val="en-US"/>
              </w:rPr>
              <w:t>年</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2006</w:t>
            </w:r>
            <w:r w:rsidRPr="00DE2AA2">
              <w:rPr>
                <w:rFonts w:ascii="KaiTi_GB2312" w:eastAsia="KaiTi_GB2312" w:hint="eastAsia"/>
                <w:noProof/>
                <w:sz w:val="15"/>
                <w:szCs w:val="24"/>
                <w:lang w:val="en-US"/>
              </w:rPr>
              <w:t>年</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2007</w:t>
            </w:r>
            <w:r w:rsidRPr="00DE2AA2">
              <w:rPr>
                <w:rFonts w:ascii="KaiTi_GB2312" w:eastAsia="KaiTi_GB2312" w:hint="eastAsia"/>
                <w:noProof/>
                <w:sz w:val="15"/>
                <w:szCs w:val="24"/>
                <w:lang w:val="en-US"/>
              </w:rPr>
              <w:t>年</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2008</w:t>
            </w:r>
            <w:r w:rsidRPr="00DE2AA2">
              <w:rPr>
                <w:rFonts w:ascii="KaiTi_GB2312" w:eastAsia="KaiTi_GB2312" w:hint="eastAsia"/>
                <w:noProof/>
                <w:sz w:val="15"/>
                <w:szCs w:val="24"/>
                <w:lang w:val="en-US"/>
              </w:rPr>
              <w:t>年</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2009</w:t>
            </w:r>
            <w:r w:rsidRPr="00DE2AA2">
              <w:rPr>
                <w:rFonts w:ascii="KaiTi_GB2312" w:eastAsia="KaiTi_GB2312" w:hint="eastAsia"/>
                <w:noProof/>
                <w:sz w:val="15"/>
                <w:szCs w:val="24"/>
                <w:lang w:val="en-US"/>
              </w:rPr>
              <w:t>年</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2010</w:t>
            </w:r>
            <w:r w:rsidRPr="00DE2AA2">
              <w:rPr>
                <w:rFonts w:ascii="KaiTi_GB2312" w:eastAsia="KaiTi_GB2312" w:hint="eastAsia"/>
                <w:noProof/>
                <w:sz w:val="15"/>
                <w:szCs w:val="24"/>
                <w:lang w:val="en-US"/>
              </w:rPr>
              <w:t>年</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2011</w:t>
            </w:r>
            <w:r w:rsidRPr="00DE2AA2">
              <w:rPr>
                <w:rFonts w:ascii="KaiTi_GB2312" w:eastAsia="KaiTi_GB2312" w:hint="eastAsia"/>
                <w:noProof/>
                <w:sz w:val="15"/>
                <w:szCs w:val="24"/>
                <w:lang w:val="en-US"/>
              </w:rPr>
              <w:t>年</w:t>
            </w:r>
          </w:p>
        </w:tc>
      </w:tr>
      <w:tr w:rsidR="00DE2AA2" w:rsidRPr="00DE2AA2" w:rsidTr="00DE2AA2">
        <w:tblPrEx>
          <w:tblCellMar>
            <w:top w:w="0" w:type="dxa"/>
            <w:bottom w:w="0" w:type="dxa"/>
          </w:tblCellMar>
        </w:tblPrEx>
        <w:trPr>
          <w:trHeight w:hRule="exact" w:val="115"/>
          <w:tblHeader/>
        </w:trPr>
        <w:tc>
          <w:tcPr>
            <w:tcW w:w="420" w:type="dxa"/>
            <w:tcBorders>
              <w:top w:val="single" w:sz="12" w:space="0" w:color="auto"/>
            </w:tcBorders>
            <w:shd w:val="clear" w:color="auto" w:fill="auto"/>
            <w:vAlign w:val="bottom"/>
          </w:tcPr>
          <w:p w:rsidR="00DE2AA2" w:rsidRPr="00DE2AA2" w:rsidRDefault="00DE2AA2" w:rsidP="00DE2AA2">
            <w:pPr>
              <w:tabs>
                <w:tab w:val="left" w:pos="360"/>
                <w:tab w:val="left" w:pos="720"/>
                <w:tab w:val="left" w:pos="1080"/>
                <w:tab w:val="left" w:pos="1440"/>
              </w:tabs>
              <w:suppressAutoHyphens/>
              <w:spacing w:after="60" w:line="280" w:lineRule="exact"/>
              <w:ind w:right="57"/>
              <w:rPr>
                <w:rFonts w:hint="eastAsia"/>
                <w:sz w:val="17"/>
              </w:rPr>
            </w:pPr>
          </w:p>
        </w:tc>
        <w:tc>
          <w:tcPr>
            <w:tcW w:w="1206"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left"/>
              <w:rPr>
                <w:rFonts w:ascii="SimSun" w:hint="eastAsia"/>
                <w:noProof/>
                <w:sz w:val="17"/>
                <w:szCs w:val="24"/>
                <w:lang w:val="en-US"/>
              </w:rPr>
            </w:pPr>
          </w:p>
        </w:tc>
        <w:tc>
          <w:tcPr>
            <w:tcW w:w="81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1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1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1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1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1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1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r>
      <w:tr w:rsidR="00DE2AA2" w:rsidRPr="00DE2AA2" w:rsidTr="00DE2AA2">
        <w:tblPrEx>
          <w:tblCellMar>
            <w:top w:w="0" w:type="dxa"/>
            <w:bottom w:w="0" w:type="dxa"/>
          </w:tblCellMar>
        </w:tblPrEx>
        <w:tc>
          <w:tcPr>
            <w:tcW w:w="420" w:type="dxa"/>
            <w:shd w:val="clear" w:color="auto" w:fill="auto"/>
            <w:vAlign w:val="bottom"/>
          </w:tcPr>
          <w:p w:rsidR="00DE2AA2" w:rsidRPr="00DE2AA2" w:rsidRDefault="00DE2AA2" w:rsidP="00DE2AA2">
            <w:pPr>
              <w:tabs>
                <w:tab w:val="left" w:pos="334"/>
                <w:tab w:val="left" w:pos="669"/>
                <w:tab w:val="left" w:pos="1003"/>
                <w:tab w:val="left" w:pos="1338"/>
              </w:tabs>
              <w:suppressAutoHyphens/>
              <w:spacing w:after="60" w:line="280" w:lineRule="exact"/>
              <w:ind w:right="57"/>
              <w:rPr>
                <w:rFonts w:hint="eastAsia"/>
                <w:sz w:val="17"/>
              </w:rPr>
            </w:pPr>
            <w:r w:rsidRPr="00DE2AA2">
              <w:rPr>
                <w:rFonts w:hint="eastAsia"/>
                <w:sz w:val="17"/>
              </w:rPr>
              <w:t>男</w:t>
            </w:r>
          </w:p>
        </w:tc>
        <w:tc>
          <w:tcPr>
            <w:tcW w:w="1206" w:type="dxa"/>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left"/>
              <w:rPr>
                <w:sz w:val="17"/>
                <w:szCs w:val="24"/>
              </w:rPr>
            </w:pPr>
            <w:r w:rsidRPr="00DE2AA2">
              <w:rPr>
                <w:rFonts w:ascii="SimSun" w:hint="eastAsia"/>
                <w:noProof/>
                <w:sz w:val="17"/>
                <w:szCs w:val="24"/>
                <w:lang w:val="en-US"/>
              </w:rPr>
              <w:t>丹麦裔</w:t>
            </w:r>
          </w:p>
        </w:tc>
        <w:tc>
          <w:tcPr>
            <w:tcW w:w="813" w:type="dxa"/>
            <w:shd w:val="clear" w:color="auto" w:fill="auto"/>
            <w:vAlign w:val="bottom"/>
          </w:tcPr>
          <w:p w:rsidR="00DE2AA2" w:rsidRPr="00DE2AA2" w:rsidRDefault="00A36325"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Pr>
                <w:rFonts w:ascii="SimSun" w:hAnsi="SimSun"/>
                <w:sz w:val="17"/>
                <w:szCs w:val="24"/>
              </w:rPr>
              <w:t xml:space="preserve">22 </w:t>
            </w:r>
            <w:r w:rsidR="00DE2AA2" w:rsidRPr="00DE2AA2">
              <w:rPr>
                <w:rFonts w:ascii="SimSun" w:hAnsi="SimSun"/>
                <w:sz w:val="17"/>
                <w:szCs w:val="24"/>
              </w:rPr>
              <w:t>257</w:t>
            </w:r>
          </w:p>
        </w:tc>
        <w:tc>
          <w:tcPr>
            <w:tcW w:w="813" w:type="dxa"/>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21</w:t>
            </w:r>
            <w:r w:rsidR="00A36325">
              <w:rPr>
                <w:rFonts w:ascii="SimSun" w:hAnsi="SimSun"/>
                <w:sz w:val="17"/>
                <w:szCs w:val="24"/>
              </w:rPr>
              <w:t xml:space="preserve"> </w:t>
            </w:r>
            <w:r w:rsidRPr="00DE2AA2">
              <w:rPr>
                <w:rFonts w:ascii="SimSun" w:hAnsi="SimSun"/>
                <w:sz w:val="17"/>
                <w:szCs w:val="24"/>
              </w:rPr>
              <w:t>433</w:t>
            </w:r>
          </w:p>
        </w:tc>
        <w:tc>
          <w:tcPr>
            <w:tcW w:w="813" w:type="dxa"/>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22</w:t>
            </w:r>
            <w:r w:rsidR="00A36325">
              <w:rPr>
                <w:rFonts w:ascii="SimSun" w:hAnsi="SimSun"/>
                <w:sz w:val="17"/>
                <w:szCs w:val="24"/>
              </w:rPr>
              <w:t xml:space="preserve"> </w:t>
            </w:r>
            <w:r w:rsidRPr="00DE2AA2">
              <w:rPr>
                <w:rFonts w:ascii="SimSun" w:hAnsi="SimSun"/>
                <w:sz w:val="17"/>
                <w:szCs w:val="24"/>
              </w:rPr>
              <w:t>051</w:t>
            </w:r>
          </w:p>
        </w:tc>
        <w:tc>
          <w:tcPr>
            <w:tcW w:w="813" w:type="dxa"/>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21</w:t>
            </w:r>
            <w:r w:rsidR="00A36325">
              <w:rPr>
                <w:rFonts w:ascii="SimSun" w:hAnsi="SimSun"/>
                <w:sz w:val="17"/>
                <w:szCs w:val="24"/>
              </w:rPr>
              <w:t xml:space="preserve"> </w:t>
            </w:r>
            <w:r w:rsidRPr="00DE2AA2">
              <w:rPr>
                <w:rFonts w:ascii="SimSun" w:hAnsi="SimSun"/>
                <w:sz w:val="17"/>
                <w:szCs w:val="24"/>
              </w:rPr>
              <w:t>370</w:t>
            </w:r>
          </w:p>
        </w:tc>
        <w:tc>
          <w:tcPr>
            <w:tcW w:w="813" w:type="dxa"/>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24</w:t>
            </w:r>
            <w:r w:rsidR="00A36325">
              <w:rPr>
                <w:rFonts w:ascii="SimSun" w:hAnsi="SimSun"/>
                <w:sz w:val="17"/>
                <w:szCs w:val="24"/>
              </w:rPr>
              <w:t xml:space="preserve"> </w:t>
            </w:r>
            <w:r w:rsidRPr="00DE2AA2">
              <w:rPr>
                <w:rFonts w:ascii="SimSun" w:hAnsi="SimSun"/>
                <w:sz w:val="17"/>
                <w:szCs w:val="24"/>
              </w:rPr>
              <w:t>425</w:t>
            </w:r>
          </w:p>
        </w:tc>
        <w:tc>
          <w:tcPr>
            <w:tcW w:w="813" w:type="dxa"/>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28</w:t>
            </w:r>
            <w:r w:rsidR="00A36325">
              <w:rPr>
                <w:rFonts w:ascii="SimSun" w:hAnsi="SimSun"/>
                <w:sz w:val="17"/>
                <w:szCs w:val="24"/>
              </w:rPr>
              <w:t xml:space="preserve"> </w:t>
            </w:r>
            <w:r w:rsidRPr="00DE2AA2">
              <w:rPr>
                <w:rFonts w:ascii="SimSun" w:hAnsi="SimSun"/>
                <w:sz w:val="17"/>
                <w:szCs w:val="24"/>
              </w:rPr>
              <w:t>145</w:t>
            </w:r>
          </w:p>
        </w:tc>
        <w:tc>
          <w:tcPr>
            <w:tcW w:w="813" w:type="dxa"/>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29</w:t>
            </w:r>
            <w:r w:rsidR="00A36325">
              <w:rPr>
                <w:rFonts w:ascii="SimSun" w:hAnsi="SimSun"/>
                <w:sz w:val="17"/>
                <w:szCs w:val="24"/>
              </w:rPr>
              <w:t xml:space="preserve"> </w:t>
            </w:r>
            <w:r w:rsidRPr="00DE2AA2">
              <w:rPr>
                <w:rFonts w:ascii="SimSun" w:hAnsi="SimSun"/>
                <w:sz w:val="17"/>
                <w:szCs w:val="24"/>
              </w:rPr>
              <w:t>636</w:t>
            </w:r>
          </w:p>
        </w:tc>
      </w:tr>
      <w:tr w:rsidR="00DE2AA2" w:rsidRPr="00DE2AA2" w:rsidTr="00DE2AA2">
        <w:tblPrEx>
          <w:tblCellMar>
            <w:top w:w="0" w:type="dxa"/>
            <w:bottom w:w="0" w:type="dxa"/>
          </w:tblCellMar>
        </w:tblPrEx>
        <w:tc>
          <w:tcPr>
            <w:tcW w:w="420" w:type="dxa"/>
            <w:tcBorders>
              <w:bottom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after="60" w:line="280" w:lineRule="exact"/>
              <w:ind w:right="57"/>
              <w:rPr>
                <w:rFonts w:hint="eastAsia"/>
                <w:sz w:val="17"/>
              </w:rPr>
            </w:pPr>
          </w:p>
        </w:tc>
        <w:tc>
          <w:tcPr>
            <w:tcW w:w="1206"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left"/>
              <w:rPr>
                <w:sz w:val="17"/>
                <w:szCs w:val="24"/>
                <w:lang w:val="fr-FR"/>
              </w:rPr>
            </w:pPr>
            <w:r w:rsidRPr="00DE2AA2">
              <w:rPr>
                <w:rFonts w:ascii="SimSun" w:hint="eastAsia"/>
                <w:noProof/>
                <w:sz w:val="17"/>
                <w:szCs w:val="24"/>
                <w:lang w:val="en-US"/>
              </w:rPr>
              <w:t>移民和后代</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3</w:t>
            </w:r>
            <w:r w:rsidR="00A36325">
              <w:rPr>
                <w:rFonts w:ascii="SimSun" w:hAnsi="SimSun"/>
                <w:sz w:val="17"/>
                <w:szCs w:val="24"/>
              </w:rPr>
              <w:t xml:space="preserve"> </w:t>
            </w:r>
            <w:r w:rsidRPr="00DE2AA2">
              <w:rPr>
                <w:rFonts w:ascii="SimSun" w:hAnsi="SimSun"/>
                <w:sz w:val="17"/>
                <w:szCs w:val="24"/>
              </w:rPr>
              <w:t>913</w:t>
            </w:r>
          </w:p>
        </w:tc>
        <w:tc>
          <w:tcPr>
            <w:tcW w:w="813" w:type="dxa"/>
            <w:tcBorders>
              <w:bottom w:val="single" w:sz="4" w:space="0" w:color="auto"/>
            </w:tcBorders>
            <w:shd w:val="clear" w:color="auto" w:fill="auto"/>
            <w:vAlign w:val="bottom"/>
          </w:tcPr>
          <w:p w:rsidR="00DE2AA2" w:rsidRPr="00DE2AA2" w:rsidRDefault="00A36325"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Pr>
                <w:rFonts w:ascii="SimSun" w:hAnsi="SimSun"/>
                <w:sz w:val="17"/>
                <w:szCs w:val="24"/>
              </w:rPr>
              <w:t xml:space="preserve">3 </w:t>
            </w:r>
            <w:r w:rsidR="00DE2AA2" w:rsidRPr="00DE2AA2">
              <w:rPr>
                <w:rFonts w:ascii="SimSun" w:hAnsi="SimSun"/>
                <w:sz w:val="17"/>
                <w:szCs w:val="24"/>
              </w:rPr>
              <w:t>713</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4</w:t>
            </w:r>
            <w:r w:rsidR="00A36325">
              <w:rPr>
                <w:rFonts w:ascii="SimSun" w:hAnsi="SimSun"/>
                <w:sz w:val="17"/>
                <w:szCs w:val="24"/>
              </w:rPr>
              <w:t xml:space="preserve"> </w:t>
            </w:r>
            <w:r w:rsidRPr="00DE2AA2">
              <w:rPr>
                <w:rFonts w:ascii="SimSun" w:hAnsi="SimSun"/>
                <w:sz w:val="17"/>
                <w:szCs w:val="24"/>
              </w:rPr>
              <w:t>328</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4</w:t>
            </w:r>
            <w:r w:rsidR="00A36325">
              <w:rPr>
                <w:rFonts w:ascii="SimSun" w:hAnsi="SimSun"/>
                <w:sz w:val="17"/>
                <w:szCs w:val="24"/>
              </w:rPr>
              <w:t xml:space="preserve"> </w:t>
            </w:r>
            <w:r w:rsidRPr="00DE2AA2">
              <w:rPr>
                <w:rFonts w:ascii="SimSun" w:hAnsi="SimSun"/>
                <w:sz w:val="17"/>
                <w:szCs w:val="24"/>
              </w:rPr>
              <w:t>970</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w:t>
            </w:r>
            <w:r w:rsidR="00A36325">
              <w:rPr>
                <w:rFonts w:ascii="SimSun" w:hAnsi="SimSun"/>
                <w:sz w:val="17"/>
                <w:szCs w:val="24"/>
              </w:rPr>
              <w:t xml:space="preserve"> </w:t>
            </w:r>
            <w:r w:rsidRPr="00DE2AA2">
              <w:rPr>
                <w:rFonts w:ascii="SimSun" w:hAnsi="SimSun"/>
                <w:sz w:val="17"/>
                <w:szCs w:val="24"/>
              </w:rPr>
              <w:t>881</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6</w:t>
            </w:r>
            <w:r w:rsidR="00A36325">
              <w:rPr>
                <w:rFonts w:ascii="SimSun" w:hAnsi="SimSun"/>
                <w:sz w:val="17"/>
                <w:szCs w:val="24"/>
              </w:rPr>
              <w:t xml:space="preserve"> </w:t>
            </w:r>
            <w:r w:rsidRPr="00DE2AA2">
              <w:rPr>
                <w:rFonts w:ascii="SimSun" w:hAnsi="SimSun"/>
                <w:sz w:val="17"/>
                <w:szCs w:val="24"/>
              </w:rPr>
              <w:t>585</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6</w:t>
            </w:r>
            <w:r w:rsidR="00A36325">
              <w:rPr>
                <w:rFonts w:ascii="SimSun" w:hAnsi="SimSun"/>
                <w:sz w:val="17"/>
                <w:szCs w:val="24"/>
              </w:rPr>
              <w:t xml:space="preserve"> </w:t>
            </w:r>
            <w:r w:rsidRPr="00DE2AA2">
              <w:rPr>
                <w:rFonts w:ascii="SimSun" w:hAnsi="SimSun"/>
                <w:sz w:val="17"/>
                <w:szCs w:val="24"/>
              </w:rPr>
              <w:t>551</w:t>
            </w:r>
          </w:p>
        </w:tc>
      </w:tr>
      <w:tr w:rsidR="00DE2AA2" w:rsidRPr="00DE2AA2" w:rsidTr="00DE2AA2">
        <w:tblPrEx>
          <w:tblCellMar>
            <w:top w:w="0" w:type="dxa"/>
            <w:bottom w:w="0" w:type="dxa"/>
          </w:tblCellMar>
        </w:tblPrEx>
        <w:tc>
          <w:tcPr>
            <w:tcW w:w="420" w:type="dxa"/>
            <w:tcBorders>
              <w:top w:val="single" w:sz="4" w:space="0" w:color="auto"/>
              <w:bottom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before="80" w:after="80" w:line="280" w:lineRule="exact"/>
              <w:ind w:right="57"/>
              <w:rPr>
                <w:rFonts w:ascii="SimHei" w:eastAsia="SimHei" w:hint="eastAsia"/>
                <w:b/>
                <w:sz w:val="17"/>
              </w:rPr>
            </w:pPr>
          </w:p>
        </w:tc>
        <w:tc>
          <w:tcPr>
            <w:tcW w:w="1206"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left"/>
              <w:rPr>
                <w:rFonts w:ascii="SimHei" w:eastAsia="SimHei" w:hAnsi="SimSun"/>
                <w:b/>
                <w:sz w:val="17"/>
                <w:szCs w:val="24"/>
              </w:rPr>
            </w:pPr>
            <w:r>
              <w:rPr>
                <w:rFonts w:ascii="SimHei" w:eastAsia="SimHei" w:hAnsi="SimSun"/>
                <w:b/>
                <w:noProof/>
                <w:sz w:val="17"/>
                <w:szCs w:val="24"/>
                <w:lang w:val="en-US" w:eastAsia="zh-CN"/>
              </w:rPr>
              <w:tab/>
            </w:r>
            <w:r w:rsidRPr="00DE2AA2">
              <w:rPr>
                <w:rFonts w:ascii="SimHei" w:eastAsia="SimHei" w:hAnsi="SimSun" w:hint="eastAsia"/>
                <w:b/>
                <w:noProof/>
                <w:sz w:val="17"/>
                <w:szCs w:val="24"/>
                <w:lang w:val="en-US"/>
              </w:rPr>
              <w:t>共计</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26</w:t>
            </w:r>
            <w:r w:rsidR="00A36325">
              <w:rPr>
                <w:rFonts w:ascii="SimHei" w:eastAsia="SimHei" w:hAnsi="SimSun"/>
                <w:b/>
                <w:sz w:val="17"/>
                <w:szCs w:val="24"/>
              </w:rPr>
              <w:t xml:space="preserve"> </w:t>
            </w:r>
            <w:r w:rsidRPr="00DE2AA2">
              <w:rPr>
                <w:rFonts w:ascii="SimHei" w:eastAsia="SimHei" w:hAnsi="SimSun"/>
                <w:b/>
                <w:sz w:val="17"/>
                <w:szCs w:val="24"/>
              </w:rPr>
              <w:t>685</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25</w:t>
            </w:r>
            <w:r w:rsidR="00A36325">
              <w:rPr>
                <w:rFonts w:ascii="SimHei" w:eastAsia="SimHei" w:hAnsi="SimSun"/>
                <w:b/>
                <w:sz w:val="17"/>
                <w:szCs w:val="24"/>
              </w:rPr>
              <w:t xml:space="preserve"> </w:t>
            </w:r>
            <w:r w:rsidRPr="00DE2AA2">
              <w:rPr>
                <w:rFonts w:ascii="SimHei" w:eastAsia="SimHei" w:hAnsi="SimSun"/>
                <w:b/>
                <w:sz w:val="17"/>
                <w:szCs w:val="24"/>
              </w:rPr>
              <w:t>619</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26</w:t>
            </w:r>
            <w:r w:rsidR="00A36325">
              <w:rPr>
                <w:rFonts w:ascii="SimHei" w:eastAsia="SimHei" w:hAnsi="SimSun"/>
                <w:b/>
                <w:sz w:val="17"/>
                <w:szCs w:val="24"/>
              </w:rPr>
              <w:t xml:space="preserve"> </w:t>
            </w:r>
            <w:r w:rsidRPr="00DE2AA2">
              <w:rPr>
                <w:rFonts w:ascii="SimHei" w:eastAsia="SimHei" w:hAnsi="SimSun"/>
                <w:b/>
                <w:sz w:val="17"/>
                <w:szCs w:val="24"/>
              </w:rPr>
              <w:t>850</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26</w:t>
            </w:r>
            <w:r w:rsidR="00A36325">
              <w:rPr>
                <w:rFonts w:ascii="SimHei" w:eastAsia="SimHei" w:hAnsi="SimSun"/>
                <w:b/>
                <w:sz w:val="17"/>
                <w:szCs w:val="24"/>
              </w:rPr>
              <w:t xml:space="preserve"> </w:t>
            </w:r>
            <w:r w:rsidRPr="00DE2AA2">
              <w:rPr>
                <w:rFonts w:ascii="SimHei" w:eastAsia="SimHei" w:hAnsi="SimSun"/>
                <w:b/>
                <w:sz w:val="17"/>
                <w:szCs w:val="24"/>
              </w:rPr>
              <w:t>907</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30</w:t>
            </w:r>
            <w:r w:rsidR="00A36325">
              <w:rPr>
                <w:rFonts w:ascii="SimHei" w:eastAsia="SimHei" w:hAnsi="SimSun"/>
                <w:b/>
                <w:sz w:val="17"/>
                <w:szCs w:val="24"/>
              </w:rPr>
              <w:t xml:space="preserve"> </w:t>
            </w:r>
            <w:r w:rsidRPr="00DE2AA2">
              <w:rPr>
                <w:rFonts w:ascii="SimHei" w:eastAsia="SimHei" w:hAnsi="SimSun"/>
                <w:b/>
                <w:sz w:val="17"/>
                <w:szCs w:val="24"/>
              </w:rPr>
              <w:t>990</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35</w:t>
            </w:r>
            <w:r w:rsidR="00A36325">
              <w:rPr>
                <w:rFonts w:ascii="SimHei" w:eastAsia="SimHei" w:hAnsi="SimSun"/>
                <w:b/>
                <w:sz w:val="17"/>
                <w:szCs w:val="24"/>
              </w:rPr>
              <w:t xml:space="preserve"> </w:t>
            </w:r>
            <w:r w:rsidRPr="00DE2AA2">
              <w:rPr>
                <w:rFonts w:ascii="SimHei" w:eastAsia="SimHei" w:hAnsi="SimSun"/>
                <w:b/>
                <w:sz w:val="17"/>
                <w:szCs w:val="24"/>
              </w:rPr>
              <w:t>671</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37</w:t>
            </w:r>
            <w:r w:rsidR="00A36325">
              <w:rPr>
                <w:rFonts w:ascii="SimHei" w:eastAsia="SimHei" w:hAnsi="SimSun"/>
                <w:b/>
                <w:sz w:val="17"/>
                <w:szCs w:val="24"/>
              </w:rPr>
              <w:t xml:space="preserve"> </w:t>
            </w:r>
            <w:r w:rsidRPr="00DE2AA2">
              <w:rPr>
                <w:rFonts w:ascii="SimHei" w:eastAsia="SimHei" w:hAnsi="SimSun"/>
                <w:b/>
                <w:sz w:val="17"/>
                <w:szCs w:val="24"/>
              </w:rPr>
              <w:t>883</w:t>
            </w:r>
          </w:p>
        </w:tc>
      </w:tr>
      <w:tr w:rsidR="00DE2AA2" w:rsidRPr="00DE2AA2" w:rsidTr="00DE2AA2">
        <w:tblPrEx>
          <w:tblCellMar>
            <w:top w:w="0" w:type="dxa"/>
            <w:bottom w:w="0" w:type="dxa"/>
          </w:tblCellMar>
        </w:tblPrEx>
        <w:tc>
          <w:tcPr>
            <w:tcW w:w="420" w:type="dxa"/>
            <w:tcBorders>
              <w:top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after="60" w:line="280" w:lineRule="exact"/>
              <w:ind w:right="57"/>
              <w:rPr>
                <w:rFonts w:hint="eastAsia"/>
                <w:sz w:val="17"/>
              </w:rPr>
            </w:pPr>
            <w:r w:rsidRPr="00DE2AA2">
              <w:rPr>
                <w:rFonts w:hint="eastAsia"/>
                <w:noProof/>
                <w:sz w:val="17"/>
                <w:szCs w:val="24"/>
              </w:rPr>
              <w:t>女</w:t>
            </w:r>
          </w:p>
        </w:tc>
        <w:tc>
          <w:tcPr>
            <w:tcW w:w="1206"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left"/>
              <w:rPr>
                <w:rFonts w:ascii="SimSun" w:hAnsi="SimSun"/>
                <w:sz w:val="17"/>
                <w:szCs w:val="24"/>
              </w:rPr>
            </w:pPr>
            <w:r w:rsidRPr="00DE2AA2">
              <w:rPr>
                <w:rFonts w:ascii="SimSun" w:hAnsi="SimSun" w:hint="eastAsia"/>
                <w:sz w:val="17"/>
                <w:szCs w:val="24"/>
              </w:rPr>
              <w:t>丹麦裔</w:t>
            </w:r>
          </w:p>
        </w:tc>
        <w:tc>
          <w:tcPr>
            <w:tcW w:w="813"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28</w:t>
            </w:r>
            <w:r w:rsidR="00A36325">
              <w:rPr>
                <w:rFonts w:ascii="SimSun" w:hAnsi="SimSun"/>
                <w:sz w:val="17"/>
                <w:szCs w:val="24"/>
              </w:rPr>
              <w:t xml:space="preserve"> </w:t>
            </w:r>
            <w:r w:rsidRPr="00DE2AA2">
              <w:rPr>
                <w:rFonts w:ascii="SimSun" w:hAnsi="SimSun"/>
                <w:sz w:val="17"/>
                <w:szCs w:val="24"/>
              </w:rPr>
              <w:t>550</w:t>
            </w:r>
          </w:p>
        </w:tc>
        <w:tc>
          <w:tcPr>
            <w:tcW w:w="813"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29</w:t>
            </w:r>
            <w:r w:rsidR="00A36325">
              <w:rPr>
                <w:rFonts w:ascii="SimSun" w:hAnsi="SimSun"/>
                <w:sz w:val="17"/>
                <w:szCs w:val="24"/>
              </w:rPr>
              <w:t xml:space="preserve"> </w:t>
            </w:r>
            <w:r w:rsidRPr="00DE2AA2">
              <w:rPr>
                <w:rFonts w:ascii="SimSun" w:hAnsi="SimSun"/>
                <w:sz w:val="17"/>
                <w:szCs w:val="24"/>
              </w:rPr>
              <w:t>082</w:t>
            </w:r>
          </w:p>
        </w:tc>
        <w:tc>
          <w:tcPr>
            <w:tcW w:w="813"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29</w:t>
            </w:r>
            <w:r w:rsidR="00A36325">
              <w:rPr>
                <w:rFonts w:ascii="SimSun" w:hAnsi="SimSun"/>
                <w:sz w:val="17"/>
                <w:szCs w:val="24"/>
              </w:rPr>
              <w:t xml:space="preserve"> </w:t>
            </w:r>
            <w:r w:rsidRPr="00DE2AA2">
              <w:rPr>
                <w:rFonts w:ascii="SimSun" w:hAnsi="SimSun"/>
                <w:sz w:val="17"/>
                <w:szCs w:val="24"/>
              </w:rPr>
              <w:t>806</w:t>
            </w:r>
          </w:p>
        </w:tc>
        <w:tc>
          <w:tcPr>
            <w:tcW w:w="813"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27</w:t>
            </w:r>
            <w:r w:rsidR="00A36325">
              <w:rPr>
                <w:rFonts w:ascii="SimSun" w:hAnsi="SimSun"/>
                <w:sz w:val="17"/>
                <w:szCs w:val="24"/>
              </w:rPr>
              <w:t xml:space="preserve"> </w:t>
            </w:r>
            <w:r w:rsidRPr="00DE2AA2">
              <w:rPr>
                <w:rFonts w:ascii="SimSun" w:hAnsi="SimSun"/>
                <w:sz w:val="17"/>
                <w:szCs w:val="24"/>
              </w:rPr>
              <w:t>971</w:t>
            </w:r>
          </w:p>
        </w:tc>
        <w:tc>
          <w:tcPr>
            <w:tcW w:w="813"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31</w:t>
            </w:r>
            <w:r w:rsidR="00A36325">
              <w:rPr>
                <w:rFonts w:ascii="SimSun" w:hAnsi="SimSun"/>
                <w:sz w:val="17"/>
                <w:szCs w:val="24"/>
              </w:rPr>
              <w:t xml:space="preserve"> </w:t>
            </w:r>
            <w:r w:rsidRPr="00DE2AA2">
              <w:rPr>
                <w:rFonts w:ascii="SimSun" w:hAnsi="SimSun"/>
                <w:sz w:val="17"/>
                <w:szCs w:val="24"/>
              </w:rPr>
              <w:t>606</w:t>
            </w:r>
          </w:p>
        </w:tc>
        <w:tc>
          <w:tcPr>
            <w:tcW w:w="813"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34</w:t>
            </w:r>
            <w:r w:rsidR="00A36325">
              <w:rPr>
                <w:rFonts w:ascii="SimSun" w:hAnsi="SimSun"/>
                <w:sz w:val="17"/>
                <w:szCs w:val="24"/>
              </w:rPr>
              <w:t xml:space="preserve"> </w:t>
            </w:r>
            <w:r w:rsidRPr="00DE2AA2">
              <w:rPr>
                <w:rFonts w:ascii="SimSun" w:hAnsi="SimSun"/>
                <w:sz w:val="17"/>
                <w:szCs w:val="24"/>
              </w:rPr>
              <w:t>928</w:t>
            </w:r>
          </w:p>
        </w:tc>
        <w:tc>
          <w:tcPr>
            <w:tcW w:w="813" w:type="dxa"/>
            <w:tcBorders>
              <w:top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36</w:t>
            </w:r>
            <w:r w:rsidR="00A36325">
              <w:rPr>
                <w:rFonts w:ascii="SimSun" w:hAnsi="SimSun"/>
                <w:sz w:val="17"/>
                <w:szCs w:val="24"/>
              </w:rPr>
              <w:t xml:space="preserve"> </w:t>
            </w:r>
            <w:r w:rsidRPr="00DE2AA2">
              <w:rPr>
                <w:rFonts w:ascii="SimSun" w:hAnsi="SimSun"/>
                <w:sz w:val="17"/>
                <w:szCs w:val="24"/>
              </w:rPr>
              <w:t>447</w:t>
            </w:r>
          </w:p>
        </w:tc>
      </w:tr>
      <w:tr w:rsidR="00DE2AA2" w:rsidRPr="00DE2AA2" w:rsidTr="00DE2AA2">
        <w:tblPrEx>
          <w:tblCellMar>
            <w:top w:w="0" w:type="dxa"/>
            <w:bottom w:w="0" w:type="dxa"/>
          </w:tblCellMar>
        </w:tblPrEx>
        <w:tc>
          <w:tcPr>
            <w:tcW w:w="420" w:type="dxa"/>
            <w:tcBorders>
              <w:bottom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after="60" w:line="280" w:lineRule="exact"/>
              <w:ind w:right="57"/>
              <w:rPr>
                <w:rFonts w:hint="eastAsia"/>
                <w:noProof/>
                <w:sz w:val="17"/>
                <w:szCs w:val="24"/>
              </w:rPr>
            </w:pPr>
          </w:p>
        </w:tc>
        <w:tc>
          <w:tcPr>
            <w:tcW w:w="1206"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left"/>
              <w:rPr>
                <w:rFonts w:ascii="SimSun" w:hAnsi="SimSun"/>
                <w:sz w:val="17"/>
                <w:szCs w:val="24"/>
              </w:rPr>
            </w:pPr>
            <w:r w:rsidRPr="00DE2AA2">
              <w:rPr>
                <w:rFonts w:ascii="SimSun" w:hAnsi="SimSun" w:hint="eastAsia"/>
                <w:sz w:val="17"/>
                <w:szCs w:val="24"/>
              </w:rPr>
              <w:t>移民和后代</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4</w:t>
            </w:r>
            <w:r w:rsidR="00A36325">
              <w:rPr>
                <w:rFonts w:ascii="SimSun" w:hAnsi="SimSun"/>
                <w:sz w:val="17"/>
                <w:szCs w:val="24"/>
              </w:rPr>
              <w:t xml:space="preserve"> </w:t>
            </w:r>
            <w:r w:rsidRPr="00DE2AA2">
              <w:rPr>
                <w:rFonts w:ascii="SimSun" w:hAnsi="SimSun"/>
                <w:sz w:val="17"/>
                <w:szCs w:val="24"/>
              </w:rPr>
              <w:t>629</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4</w:t>
            </w:r>
            <w:r w:rsidR="00A36325">
              <w:rPr>
                <w:rFonts w:ascii="SimSun" w:hAnsi="SimSun"/>
                <w:sz w:val="17"/>
                <w:szCs w:val="24"/>
              </w:rPr>
              <w:t xml:space="preserve"> </w:t>
            </w:r>
            <w:r w:rsidRPr="00DE2AA2">
              <w:rPr>
                <w:rFonts w:ascii="SimSun" w:hAnsi="SimSun"/>
                <w:sz w:val="17"/>
                <w:szCs w:val="24"/>
              </w:rPr>
              <w:t>695</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w:t>
            </w:r>
            <w:r w:rsidR="00A36325">
              <w:rPr>
                <w:rFonts w:ascii="SimSun" w:hAnsi="SimSun"/>
                <w:sz w:val="17"/>
                <w:szCs w:val="24"/>
              </w:rPr>
              <w:t xml:space="preserve"> </w:t>
            </w:r>
            <w:r w:rsidRPr="00DE2AA2">
              <w:rPr>
                <w:rFonts w:ascii="SimSun" w:hAnsi="SimSun"/>
                <w:sz w:val="17"/>
                <w:szCs w:val="24"/>
              </w:rPr>
              <w:t>451</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w:t>
            </w:r>
            <w:r w:rsidR="00A36325">
              <w:rPr>
                <w:rFonts w:ascii="SimSun" w:hAnsi="SimSun"/>
                <w:sz w:val="17"/>
                <w:szCs w:val="24"/>
              </w:rPr>
              <w:t xml:space="preserve"> </w:t>
            </w:r>
            <w:r w:rsidRPr="00DE2AA2">
              <w:rPr>
                <w:rFonts w:ascii="SimSun" w:hAnsi="SimSun"/>
                <w:sz w:val="17"/>
                <w:szCs w:val="24"/>
              </w:rPr>
              <w:t>899</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7</w:t>
            </w:r>
            <w:r w:rsidR="00A36325">
              <w:rPr>
                <w:rFonts w:ascii="SimSun" w:hAnsi="SimSun"/>
                <w:sz w:val="17"/>
                <w:szCs w:val="24"/>
              </w:rPr>
              <w:t xml:space="preserve"> </w:t>
            </w:r>
            <w:r w:rsidRPr="00DE2AA2">
              <w:rPr>
                <w:rFonts w:ascii="SimSun" w:hAnsi="SimSun"/>
                <w:sz w:val="17"/>
                <w:szCs w:val="24"/>
              </w:rPr>
              <w:t>166</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7</w:t>
            </w:r>
            <w:r w:rsidR="00A36325">
              <w:rPr>
                <w:rFonts w:ascii="SimSun" w:hAnsi="SimSun"/>
                <w:sz w:val="17"/>
                <w:szCs w:val="24"/>
              </w:rPr>
              <w:t xml:space="preserve"> </w:t>
            </w:r>
            <w:r w:rsidRPr="00DE2AA2">
              <w:rPr>
                <w:rFonts w:ascii="SimSun" w:hAnsi="SimSun"/>
                <w:sz w:val="17"/>
                <w:szCs w:val="24"/>
              </w:rPr>
              <w:t>925</w:t>
            </w:r>
          </w:p>
        </w:tc>
        <w:tc>
          <w:tcPr>
            <w:tcW w:w="813" w:type="dxa"/>
            <w:tcBorders>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7</w:t>
            </w:r>
            <w:r w:rsidR="00A36325">
              <w:rPr>
                <w:rFonts w:ascii="SimSun" w:hAnsi="SimSun"/>
                <w:sz w:val="17"/>
                <w:szCs w:val="24"/>
              </w:rPr>
              <w:t xml:space="preserve"> </w:t>
            </w:r>
            <w:r w:rsidRPr="00DE2AA2">
              <w:rPr>
                <w:rFonts w:ascii="SimSun" w:hAnsi="SimSun"/>
                <w:sz w:val="17"/>
                <w:szCs w:val="24"/>
              </w:rPr>
              <w:t>698</w:t>
            </w:r>
          </w:p>
        </w:tc>
      </w:tr>
      <w:tr w:rsidR="00DE2AA2" w:rsidRPr="00DE2AA2" w:rsidTr="00DE2AA2">
        <w:tblPrEx>
          <w:tblCellMar>
            <w:top w:w="0" w:type="dxa"/>
            <w:bottom w:w="0" w:type="dxa"/>
          </w:tblCellMar>
        </w:tblPrEx>
        <w:tc>
          <w:tcPr>
            <w:tcW w:w="420" w:type="dxa"/>
            <w:tcBorders>
              <w:top w:val="single" w:sz="4" w:space="0" w:color="auto"/>
              <w:bottom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before="80" w:after="80" w:line="280" w:lineRule="exact"/>
              <w:ind w:right="57"/>
              <w:rPr>
                <w:rFonts w:ascii="SimHei" w:eastAsia="SimHei" w:hint="eastAsia"/>
                <w:b/>
                <w:noProof/>
                <w:sz w:val="17"/>
                <w:szCs w:val="24"/>
              </w:rPr>
            </w:pPr>
          </w:p>
        </w:tc>
        <w:tc>
          <w:tcPr>
            <w:tcW w:w="1206"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left"/>
              <w:rPr>
                <w:rFonts w:ascii="SimHei" w:eastAsia="SimHei" w:hAnsi="SimSun"/>
                <w:b/>
                <w:sz w:val="17"/>
                <w:szCs w:val="24"/>
              </w:rPr>
            </w:pPr>
            <w:r>
              <w:rPr>
                <w:rFonts w:ascii="SimHei" w:eastAsia="SimHei" w:hAnsi="SimSun"/>
                <w:b/>
                <w:noProof/>
                <w:sz w:val="17"/>
                <w:szCs w:val="24"/>
                <w:lang w:val="en-US" w:eastAsia="zh-CN"/>
              </w:rPr>
              <w:tab/>
            </w:r>
            <w:r w:rsidRPr="00DE2AA2">
              <w:rPr>
                <w:rFonts w:ascii="SimHei" w:eastAsia="SimHei" w:hAnsi="SimSun" w:hint="eastAsia"/>
                <w:b/>
                <w:noProof/>
                <w:sz w:val="17"/>
                <w:szCs w:val="24"/>
                <w:lang w:val="en-US"/>
              </w:rPr>
              <w:t>共计</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33</w:t>
            </w:r>
            <w:r w:rsidR="00A36325">
              <w:rPr>
                <w:rFonts w:ascii="SimHei" w:eastAsia="SimHei" w:hAnsi="SimSun"/>
                <w:b/>
                <w:sz w:val="17"/>
                <w:szCs w:val="24"/>
              </w:rPr>
              <w:t xml:space="preserve"> </w:t>
            </w:r>
            <w:r w:rsidRPr="00DE2AA2">
              <w:rPr>
                <w:rFonts w:ascii="SimHei" w:eastAsia="SimHei" w:hAnsi="SimSun"/>
                <w:b/>
                <w:sz w:val="17"/>
                <w:szCs w:val="24"/>
              </w:rPr>
              <w:t>680</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34</w:t>
            </w:r>
            <w:r w:rsidR="00A36325">
              <w:rPr>
                <w:rFonts w:ascii="SimHei" w:eastAsia="SimHei" w:hAnsi="SimSun"/>
                <w:b/>
                <w:sz w:val="17"/>
                <w:szCs w:val="24"/>
              </w:rPr>
              <w:t xml:space="preserve"> </w:t>
            </w:r>
            <w:r w:rsidRPr="00DE2AA2">
              <w:rPr>
                <w:rFonts w:ascii="SimHei" w:eastAsia="SimHei" w:hAnsi="SimSun"/>
                <w:b/>
                <w:sz w:val="17"/>
                <w:szCs w:val="24"/>
              </w:rPr>
              <w:t>323</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35</w:t>
            </w:r>
            <w:r w:rsidR="00A36325">
              <w:rPr>
                <w:rFonts w:ascii="SimHei" w:eastAsia="SimHei" w:hAnsi="SimSun"/>
                <w:b/>
                <w:sz w:val="17"/>
                <w:szCs w:val="24"/>
              </w:rPr>
              <w:t xml:space="preserve"> </w:t>
            </w:r>
            <w:r w:rsidRPr="00DE2AA2">
              <w:rPr>
                <w:rFonts w:ascii="SimHei" w:eastAsia="SimHei" w:hAnsi="SimSun"/>
                <w:b/>
                <w:sz w:val="17"/>
                <w:szCs w:val="24"/>
              </w:rPr>
              <w:t>850</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34</w:t>
            </w:r>
            <w:r w:rsidR="00A36325">
              <w:rPr>
                <w:rFonts w:ascii="SimHei" w:eastAsia="SimHei" w:hAnsi="SimSun"/>
                <w:b/>
                <w:sz w:val="17"/>
                <w:szCs w:val="24"/>
              </w:rPr>
              <w:t xml:space="preserve"> </w:t>
            </w:r>
            <w:r w:rsidRPr="00DE2AA2">
              <w:rPr>
                <w:rFonts w:ascii="SimHei" w:eastAsia="SimHei" w:hAnsi="SimSun"/>
                <w:b/>
                <w:sz w:val="17"/>
                <w:szCs w:val="24"/>
              </w:rPr>
              <w:t>585</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39</w:t>
            </w:r>
            <w:r w:rsidR="00A36325">
              <w:rPr>
                <w:rFonts w:ascii="SimHei" w:eastAsia="SimHei" w:hAnsi="SimSun"/>
                <w:b/>
                <w:sz w:val="17"/>
                <w:szCs w:val="24"/>
              </w:rPr>
              <w:t xml:space="preserve"> </w:t>
            </w:r>
            <w:r w:rsidRPr="00DE2AA2">
              <w:rPr>
                <w:rFonts w:ascii="SimHei" w:eastAsia="SimHei" w:hAnsi="SimSun"/>
                <w:b/>
                <w:sz w:val="17"/>
                <w:szCs w:val="24"/>
              </w:rPr>
              <w:t>670</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43</w:t>
            </w:r>
            <w:r w:rsidR="00A36325">
              <w:rPr>
                <w:rFonts w:ascii="SimHei" w:eastAsia="SimHei" w:hAnsi="SimSun"/>
                <w:b/>
                <w:sz w:val="17"/>
                <w:szCs w:val="24"/>
              </w:rPr>
              <w:t xml:space="preserve"> </w:t>
            </w:r>
            <w:r w:rsidRPr="00DE2AA2">
              <w:rPr>
                <w:rFonts w:ascii="SimHei" w:eastAsia="SimHei" w:hAnsi="SimSun"/>
                <w:b/>
                <w:sz w:val="17"/>
                <w:szCs w:val="24"/>
              </w:rPr>
              <w:t>924</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45</w:t>
            </w:r>
            <w:r w:rsidR="00A36325">
              <w:rPr>
                <w:rFonts w:ascii="SimHei" w:eastAsia="SimHei" w:hAnsi="SimSun"/>
                <w:b/>
                <w:sz w:val="17"/>
                <w:szCs w:val="24"/>
              </w:rPr>
              <w:t xml:space="preserve"> </w:t>
            </w:r>
            <w:r w:rsidRPr="00DE2AA2">
              <w:rPr>
                <w:rFonts w:ascii="SimHei" w:eastAsia="SimHei" w:hAnsi="SimSun"/>
                <w:b/>
                <w:sz w:val="17"/>
                <w:szCs w:val="24"/>
              </w:rPr>
              <w:t>902</w:t>
            </w:r>
          </w:p>
        </w:tc>
      </w:tr>
      <w:tr w:rsidR="00DE2AA2" w:rsidRPr="00DE2AA2" w:rsidTr="00DE2AA2">
        <w:tblPrEx>
          <w:tblCellMar>
            <w:top w:w="0" w:type="dxa"/>
            <w:bottom w:w="0" w:type="dxa"/>
          </w:tblCellMar>
        </w:tblPrEx>
        <w:tc>
          <w:tcPr>
            <w:tcW w:w="420" w:type="dxa"/>
            <w:tcBorders>
              <w:top w:val="single" w:sz="4" w:space="0" w:color="auto"/>
              <w:bottom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after="60" w:line="280" w:lineRule="exact"/>
              <w:ind w:right="57"/>
              <w:rPr>
                <w:rFonts w:hint="eastAsia"/>
                <w:noProof/>
                <w:sz w:val="17"/>
                <w:szCs w:val="24"/>
              </w:rPr>
            </w:pPr>
          </w:p>
        </w:tc>
        <w:tc>
          <w:tcPr>
            <w:tcW w:w="1206"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left"/>
              <w:rPr>
                <w:rFonts w:ascii="SimSun" w:hAnsi="SimSun"/>
                <w:sz w:val="17"/>
                <w:szCs w:val="24"/>
              </w:rPr>
            </w:pPr>
            <w:r w:rsidRPr="00DE2AA2">
              <w:rPr>
                <w:rFonts w:ascii="SimSun" w:hAnsi="SimSun" w:hint="eastAsia"/>
                <w:sz w:val="17"/>
                <w:szCs w:val="24"/>
              </w:rPr>
              <w:t>女性比例</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55</w:t>
            </w:r>
            <w:r w:rsidR="008E74BC">
              <w:rPr>
                <w:rFonts w:ascii="SimSun" w:hAnsi="SimSun"/>
                <w:sz w:val="17"/>
                <w:szCs w:val="24"/>
              </w:rPr>
              <w:t>.</w:t>
            </w:r>
            <w:r w:rsidRPr="00DE2AA2">
              <w:rPr>
                <w:rFonts w:ascii="SimSun" w:hAnsi="SimSun"/>
                <w:sz w:val="17"/>
                <w:szCs w:val="24"/>
              </w:rPr>
              <w:t>8%</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57</w:t>
            </w:r>
            <w:r w:rsidR="008E74BC">
              <w:rPr>
                <w:rFonts w:ascii="SimSun" w:hAnsi="SimSun"/>
                <w:sz w:val="17"/>
                <w:szCs w:val="24"/>
              </w:rPr>
              <w:t>.</w:t>
            </w:r>
            <w:r w:rsidRPr="00DE2AA2">
              <w:rPr>
                <w:rFonts w:ascii="SimSun" w:hAnsi="SimSun"/>
                <w:sz w:val="17"/>
                <w:szCs w:val="24"/>
              </w:rPr>
              <w:t>3%</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57</w:t>
            </w:r>
            <w:r w:rsidR="008E74BC">
              <w:rPr>
                <w:rFonts w:ascii="SimSun" w:hAnsi="SimSun"/>
                <w:sz w:val="17"/>
                <w:szCs w:val="24"/>
              </w:rPr>
              <w:t>.</w:t>
            </w:r>
            <w:r w:rsidRPr="00DE2AA2">
              <w:rPr>
                <w:rFonts w:ascii="SimSun" w:hAnsi="SimSun"/>
                <w:sz w:val="17"/>
                <w:szCs w:val="24"/>
              </w:rPr>
              <w:t>2%</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56</w:t>
            </w:r>
            <w:r w:rsidR="008E74BC">
              <w:rPr>
                <w:rFonts w:ascii="SimSun" w:hAnsi="SimSun"/>
                <w:sz w:val="17"/>
                <w:szCs w:val="24"/>
              </w:rPr>
              <w:t>.</w:t>
            </w:r>
            <w:r w:rsidRPr="00DE2AA2">
              <w:rPr>
                <w:rFonts w:ascii="SimSun" w:hAnsi="SimSun"/>
                <w:sz w:val="17"/>
                <w:szCs w:val="24"/>
              </w:rPr>
              <w:t>2%</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56</w:t>
            </w:r>
            <w:r w:rsidR="008E74BC">
              <w:rPr>
                <w:rFonts w:ascii="SimSun" w:hAnsi="SimSun"/>
                <w:sz w:val="17"/>
                <w:szCs w:val="24"/>
              </w:rPr>
              <w:t>.</w:t>
            </w:r>
            <w:r w:rsidRPr="00DE2AA2">
              <w:rPr>
                <w:rFonts w:ascii="SimSun" w:hAnsi="SimSun"/>
                <w:sz w:val="17"/>
                <w:szCs w:val="24"/>
              </w:rPr>
              <w:t>1%</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55</w:t>
            </w:r>
            <w:r w:rsidR="008E74BC">
              <w:rPr>
                <w:rFonts w:ascii="SimSun" w:hAnsi="SimSun"/>
                <w:sz w:val="17"/>
                <w:szCs w:val="24"/>
              </w:rPr>
              <w:t>.</w:t>
            </w:r>
            <w:r w:rsidRPr="00DE2AA2">
              <w:rPr>
                <w:rFonts w:ascii="SimSun" w:hAnsi="SimSun"/>
                <w:sz w:val="17"/>
                <w:szCs w:val="24"/>
              </w:rPr>
              <w:t>2%</w:t>
            </w:r>
          </w:p>
        </w:tc>
        <w:tc>
          <w:tcPr>
            <w:tcW w:w="81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DE2AA2">
              <w:rPr>
                <w:rFonts w:ascii="SimSun" w:hAnsi="SimSun"/>
                <w:sz w:val="17"/>
                <w:szCs w:val="24"/>
              </w:rPr>
              <w:t>54</w:t>
            </w:r>
            <w:r w:rsidR="008E74BC">
              <w:rPr>
                <w:rFonts w:ascii="SimSun" w:hAnsi="SimSun"/>
                <w:sz w:val="17"/>
                <w:szCs w:val="24"/>
              </w:rPr>
              <w:t>.</w:t>
            </w:r>
            <w:r w:rsidRPr="00DE2AA2">
              <w:rPr>
                <w:rFonts w:ascii="SimSun" w:hAnsi="SimSun"/>
                <w:sz w:val="17"/>
                <w:szCs w:val="24"/>
              </w:rPr>
              <w:t>8%</w:t>
            </w:r>
          </w:p>
        </w:tc>
      </w:tr>
      <w:tr w:rsidR="00DE2AA2" w:rsidRPr="00DE2AA2" w:rsidTr="00DE2AA2">
        <w:tblPrEx>
          <w:tblCellMar>
            <w:top w:w="0" w:type="dxa"/>
            <w:bottom w:w="0" w:type="dxa"/>
          </w:tblCellMar>
        </w:tblPrEx>
        <w:tc>
          <w:tcPr>
            <w:tcW w:w="420"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24"/>
              </w:rPr>
            </w:pPr>
          </w:p>
        </w:tc>
        <w:tc>
          <w:tcPr>
            <w:tcW w:w="1206" w:type="dxa"/>
            <w:tcBorders>
              <w:top w:val="single" w:sz="4" w:space="0" w:color="auto"/>
              <w:bottom w:val="single" w:sz="12" w:space="0" w:color="auto"/>
            </w:tcBorders>
            <w:shd w:val="clear" w:color="auto" w:fill="auto"/>
            <w:vAlign w:val="bottom"/>
          </w:tcPr>
          <w:p w:rsidR="00DE2AA2" w:rsidRPr="00DE2AA2" w:rsidRDefault="00DC4C76" w:rsidP="00DE2AA2">
            <w:pPr>
              <w:pStyle w:val="SingleTxtG"/>
              <w:tabs>
                <w:tab w:val="left" w:pos="334"/>
                <w:tab w:val="left" w:pos="669"/>
                <w:tab w:val="left" w:pos="1003"/>
                <w:tab w:val="left" w:pos="1338"/>
              </w:tabs>
              <w:spacing w:before="80" w:after="80" w:line="280" w:lineRule="exact"/>
              <w:ind w:left="0" w:right="57"/>
              <w:jc w:val="left"/>
              <w:rPr>
                <w:rFonts w:ascii="SimHei" w:eastAsia="SimHei" w:hAnsi="SimSun"/>
                <w:b/>
                <w:sz w:val="17"/>
                <w:szCs w:val="24"/>
              </w:rPr>
            </w:pPr>
            <w:r>
              <w:rPr>
                <w:rFonts w:ascii="SimHei" w:eastAsia="SimHei" w:hAnsi="SimSun"/>
                <w:b/>
                <w:noProof/>
                <w:sz w:val="17"/>
                <w:szCs w:val="24"/>
                <w:lang w:val="en-US" w:eastAsia="zh-CN"/>
              </w:rPr>
              <w:tab/>
            </w:r>
            <w:r w:rsidRPr="00DE2AA2">
              <w:rPr>
                <w:rFonts w:ascii="SimHei" w:eastAsia="SimHei" w:hAnsi="SimSun" w:hint="eastAsia"/>
                <w:b/>
                <w:noProof/>
                <w:sz w:val="17"/>
                <w:szCs w:val="24"/>
                <w:lang w:val="en-US"/>
              </w:rPr>
              <w:t>总计</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60</w:t>
            </w:r>
            <w:r w:rsidR="00A36325">
              <w:rPr>
                <w:rFonts w:ascii="SimHei" w:eastAsia="SimHei" w:hAnsi="SimSun"/>
                <w:b/>
                <w:sz w:val="17"/>
                <w:szCs w:val="24"/>
              </w:rPr>
              <w:t xml:space="preserve"> </w:t>
            </w:r>
            <w:r w:rsidRPr="00DE2AA2">
              <w:rPr>
                <w:rFonts w:ascii="SimHei" w:eastAsia="SimHei" w:hAnsi="SimSun"/>
                <w:b/>
                <w:sz w:val="17"/>
                <w:szCs w:val="24"/>
              </w:rPr>
              <w:t>365</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59</w:t>
            </w:r>
            <w:r w:rsidR="00A36325">
              <w:rPr>
                <w:rFonts w:ascii="SimHei" w:eastAsia="SimHei" w:hAnsi="SimSun"/>
                <w:b/>
                <w:sz w:val="17"/>
                <w:szCs w:val="24"/>
              </w:rPr>
              <w:t xml:space="preserve"> </w:t>
            </w:r>
            <w:r w:rsidRPr="00DE2AA2">
              <w:rPr>
                <w:rFonts w:ascii="SimHei" w:eastAsia="SimHei" w:hAnsi="SimSun"/>
                <w:b/>
                <w:sz w:val="17"/>
                <w:szCs w:val="24"/>
              </w:rPr>
              <w:t>942</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62</w:t>
            </w:r>
            <w:r w:rsidR="00A36325">
              <w:rPr>
                <w:rFonts w:ascii="SimHei" w:eastAsia="SimHei" w:hAnsi="SimSun"/>
                <w:b/>
                <w:sz w:val="17"/>
                <w:szCs w:val="24"/>
              </w:rPr>
              <w:t xml:space="preserve"> </w:t>
            </w:r>
            <w:r w:rsidRPr="00DE2AA2">
              <w:rPr>
                <w:rFonts w:ascii="SimHei" w:eastAsia="SimHei" w:hAnsi="SimSun"/>
                <w:b/>
                <w:sz w:val="17"/>
                <w:szCs w:val="24"/>
              </w:rPr>
              <w:t>700</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61</w:t>
            </w:r>
            <w:r w:rsidR="00A36325">
              <w:rPr>
                <w:rFonts w:ascii="SimHei" w:eastAsia="SimHei" w:hAnsi="SimSun"/>
                <w:b/>
                <w:sz w:val="17"/>
                <w:szCs w:val="24"/>
              </w:rPr>
              <w:t xml:space="preserve"> </w:t>
            </w:r>
            <w:r w:rsidRPr="00DE2AA2">
              <w:rPr>
                <w:rFonts w:ascii="SimHei" w:eastAsia="SimHei" w:hAnsi="SimSun"/>
                <w:b/>
                <w:sz w:val="17"/>
                <w:szCs w:val="24"/>
              </w:rPr>
              <w:t>492</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70</w:t>
            </w:r>
            <w:r w:rsidR="00A36325">
              <w:rPr>
                <w:rFonts w:ascii="SimHei" w:eastAsia="SimHei" w:hAnsi="SimSun"/>
                <w:b/>
                <w:sz w:val="17"/>
                <w:szCs w:val="24"/>
              </w:rPr>
              <w:t xml:space="preserve"> </w:t>
            </w:r>
            <w:r w:rsidRPr="00DE2AA2">
              <w:rPr>
                <w:rFonts w:ascii="SimHei" w:eastAsia="SimHei" w:hAnsi="SimSun"/>
                <w:b/>
                <w:sz w:val="17"/>
                <w:szCs w:val="24"/>
              </w:rPr>
              <w:t>660</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79</w:t>
            </w:r>
            <w:r w:rsidR="00A36325">
              <w:rPr>
                <w:rFonts w:ascii="SimHei" w:eastAsia="SimHei" w:hAnsi="SimSun"/>
                <w:b/>
                <w:sz w:val="17"/>
                <w:szCs w:val="24"/>
              </w:rPr>
              <w:t xml:space="preserve"> </w:t>
            </w:r>
            <w:r w:rsidRPr="00DE2AA2">
              <w:rPr>
                <w:rFonts w:ascii="SimHei" w:eastAsia="SimHei" w:hAnsi="SimSun"/>
                <w:b/>
                <w:sz w:val="17"/>
                <w:szCs w:val="24"/>
              </w:rPr>
              <w:t>595</w:t>
            </w:r>
          </w:p>
        </w:tc>
        <w:tc>
          <w:tcPr>
            <w:tcW w:w="81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DE2AA2">
              <w:rPr>
                <w:rFonts w:ascii="SimHei" w:eastAsia="SimHei" w:hAnsi="SimSun"/>
                <w:b/>
                <w:sz w:val="17"/>
                <w:szCs w:val="24"/>
              </w:rPr>
              <w:t>83</w:t>
            </w:r>
            <w:r w:rsidR="00A36325">
              <w:rPr>
                <w:rFonts w:ascii="SimHei" w:eastAsia="SimHei" w:hAnsi="SimSun"/>
                <w:b/>
                <w:sz w:val="17"/>
                <w:szCs w:val="24"/>
              </w:rPr>
              <w:t xml:space="preserve"> </w:t>
            </w:r>
            <w:r w:rsidRPr="00DE2AA2">
              <w:rPr>
                <w:rFonts w:ascii="SimHei" w:eastAsia="SimHei" w:hAnsi="SimSun"/>
                <w:b/>
                <w:sz w:val="17"/>
                <w:szCs w:val="24"/>
              </w:rPr>
              <w:t>785</w:t>
            </w:r>
          </w:p>
        </w:tc>
      </w:tr>
    </w:tbl>
    <w:p w:rsidR="00DE2AA2" w:rsidRPr="00DE2AA2" w:rsidRDefault="00DE2AA2" w:rsidP="00DE2AA2">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DE2AA2" w:rsidRDefault="008E74BC" w:rsidP="008E74BC">
      <w:pPr>
        <w:pStyle w:val="FootnoteText"/>
        <w:tabs>
          <w:tab w:val="clear" w:pos="418"/>
          <w:tab w:val="right" w:pos="1476"/>
          <w:tab w:val="left" w:pos="1548"/>
          <w:tab w:val="right" w:pos="1836"/>
          <w:tab w:val="left" w:pos="1908"/>
        </w:tabs>
        <w:ind w:left="1548" w:right="1267" w:hanging="288"/>
        <w:rPr>
          <w:rFonts w:hint="eastAsia"/>
        </w:rPr>
      </w:pPr>
      <w:r>
        <w:rPr>
          <w:rFonts w:ascii="Times New Roman" w:eastAsia="KaiTi_GB2312"/>
        </w:rPr>
        <w:tab/>
      </w:r>
      <w:r w:rsidR="009303E0">
        <w:rPr>
          <w:rFonts w:ascii="Times New Roman" w:eastAsia="KaiTi_GB2312"/>
        </w:rPr>
        <w:tab/>
      </w:r>
      <w:r w:rsidR="00DE2AA2" w:rsidRPr="00DE2AA2">
        <w:rPr>
          <w:rFonts w:eastAsia="KaiTi_GB2312" w:hint="eastAsia"/>
        </w:rPr>
        <w:t>资料来源：</w:t>
      </w:r>
      <w:r w:rsidR="00DE2AA2">
        <w:rPr>
          <w:rFonts w:hint="eastAsia"/>
        </w:rPr>
        <w:t>科研、创新和高等教育部根据丹麦统计局提供的数据</w:t>
      </w:r>
      <w:r w:rsidR="00A36325">
        <w:rPr>
          <w:rFonts w:hint="eastAsia"/>
        </w:rPr>
        <w:t>。</w:t>
      </w:r>
    </w:p>
    <w:p w:rsidR="00DE2AA2" w:rsidRPr="00DE2AA2" w:rsidRDefault="008E74BC" w:rsidP="008E74BC">
      <w:pPr>
        <w:pStyle w:val="FootnoteText"/>
        <w:tabs>
          <w:tab w:val="clear" w:pos="418"/>
          <w:tab w:val="right" w:pos="1476"/>
          <w:tab w:val="left" w:pos="1548"/>
          <w:tab w:val="right" w:pos="1836"/>
          <w:tab w:val="left" w:pos="1908"/>
        </w:tabs>
        <w:ind w:left="1548" w:right="1267" w:hanging="288"/>
        <w:rPr>
          <w:rFonts w:hAnsi="SimSun" w:hint="eastAsia"/>
        </w:rPr>
      </w:pPr>
      <w:r>
        <w:rPr>
          <w:rFonts w:ascii="Times New Roman" w:eastAsia="KaiTi_GB2312"/>
        </w:rPr>
        <w:tab/>
      </w:r>
      <w:r w:rsidR="009303E0">
        <w:rPr>
          <w:rFonts w:ascii="Times New Roman" w:eastAsia="KaiTi_GB2312"/>
        </w:rPr>
        <w:tab/>
      </w:r>
      <w:r w:rsidR="00DE2AA2" w:rsidRPr="00DE2AA2">
        <w:rPr>
          <w:rFonts w:eastAsia="KaiTi_GB2312" w:hAnsi="SimSun" w:hint="eastAsia"/>
        </w:rPr>
        <w:t>注</w:t>
      </w:r>
      <w:r w:rsidR="00DE2AA2" w:rsidRPr="00DE2AA2">
        <w:rPr>
          <w:rFonts w:hAnsi="SimSun" w:hint="eastAsia"/>
        </w:rPr>
        <w:t>：有少量学生的族裔不详。他们均被列入总计内。</w:t>
      </w:r>
    </w:p>
    <w:p w:rsidR="00DC4C76" w:rsidRPr="00DC4C76" w:rsidRDefault="00DC4C76" w:rsidP="00DC4C76">
      <w:pPr>
        <w:pStyle w:val="SingleTxt"/>
        <w:spacing w:after="0" w:line="120" w:lineRule="exact"/>
        <w:rPr>
          <w:rFonts w:hint="eastAsia"/>
          <w:sz w:val="10"/>
        </w:rPr>
      </w:pPr>
    </w:p>
    <w:p w:rsidR="00DE2AA2" w:rsidRDefault="00DE2AA2" w:rsidP="00DC4C76">
      <w:pPr>
        <w:pStyle w:val="SingleTxt"/>
        <w:spacing w:line="340" w:lineRule="exact"/>
        <w:rPr>
          <w:rFonts w:hint="eastAsia"/>
        </w:rPr>
      </w:pPr>
      <w:r>
        <w:rPr>
          <w:rFonts w:hint="eastAsia"/>
        </w:rPr>
        <w:tab/>
        <w:t>有些高等教育方案有性别不均衡的状况。女性大都学习福利教育方案，例如学习护理和幼儿园教师。男性大都学习理工课程。目前没有为使人数不足的性别申请学习具体课程的国家战略或举措。不过，教育机构可以选择发布对此有针对性的新闻。</w:t>
      </w:r>
    </w:p>
    <w:p w:rsidR="00DE2AA2" w:rsidRPr="00DC4C76" w:rsidRDefault="00DE2AA2" w:rsidP="00DC4C76">
      <w:pPr>
        <w:pStyle w:val="SingleTxt"/>
        <w:spacing w:line="340" w:lineRule="exact"/>
        <w:rPr>
          <w:rFonts w:ascii="SimHei" w:eastAsia="SimHei" w:hint="eastAsia"/>
        </w:rPr>
      </w:pPr>
      <w:r w:rsidRPr="00DC4C76">
        <w:rPr>
          <w:rFonts w:ascii="SimHei" w:eastAsia="SimHei" w:hint="eastAsia"/>
        </w:rPr>
        <w:t>完成高等教育</w:t>
      </w:r>
    </w:p>
    <w:p w:rsidR="00DE2AA2" w:rsidRDefault="00DE2AA2" w:rsidP="00DC4C76">
      <w:pPr>
        <w:pStyle w:val="SingleTxt"/>
        <w:spacing w:line="340" w:lineRule="exact"/>
        <w:rPr>
          <w:rFonts w:hint="eastAsia"/>
        </w:rPr>
      </w:pPr>
      <w:r>
        <w:rPr>
          <w:rFonts w:hint="eastAsia"/>
        </w:rPr>
        <w:tab/>
        <w:t xml:space="preserve">从高等教育方案辍学的男性比女性多。促使更多学生完成高等教育学业的机构举措对男女一体适用。非丹麦裔女性完成高等教育课程的人数比例与其他丹麦女性相同。非丹麦裔男性入学高等教育的人数比丹麦裔的人数低，同时非丹麦裔男性完成高等教育的人数也比丹麦裔的人数低。 </w:t>
      </w:r>
    </w:p>
    <w:p w:rsidR="00DE2AA2" w:rsidRPr="00C10BAF" w:rsidRDefault="00DE2AA2" w:rsidP="00DE2AA2">
      <w:pPr>
        <w:pStyle w:val="SingleTxt"/>
        <w:rPr>
          <w:rFonts w:ascii="SimHei" w:eastAsia="SimHei" w:hint="eastAsia"/>
        </w:rPr>
      </w:pPr>
      <w:r>
        <w:rPr>
          <w:rFonts w:hint="eastAsia"/>
        </w:rPr>
        <w:t>表2</w:t>
      </w:r>
      <w:r>
        <w:rPr>
          <w:rFonts w:hint="eastAsia"/>
        </w:rPr>
        <w:br/>
      </w:r>
      <w:r w:rsidR="00DC4C76">
        <w:rPr>
          <w:rFonts w:ascii="SimHei" w:eastAsia="SimHei" w:hint="eastAsia"/>
        </w:rPr>
        <w:t>20</w:t>
      </w:r>
      <w:r w:rsidRPr="00C10BAF">
        <w:rPr>
          <w:rFonts w:ascii="SimHei" w:eastAsia="SimHei" w:hint="eastAsia"/>
        </w:rPr>
        <w:t>05-2011年按性别和族裔分列的高等教育辍学率</w:t>
      </w:r>
    </w:p>
    <w:tbl>
      <w:tblPr>
        <w:tblW w:w="0" w:type="auto"/>
        <w:tblInd w:w="1260" w:type="dxa"/>
        <w:tblLayout w:type="fixed"/>
        <w:tblCellMar>
          <w:left w:w="0" w:type="dxa"/>
          <w:right w:w="0" w:type="dxa"/>
        </w:tblCellMar>
        <w:tblLook w:val="0000"/>
      </w:tblPr>
      <w:tblGrid>
        <w:gridCol w:w="420"/>
        <w:gridCol w:w="862"/>
        <w:gridCol w:w="862"/>
        <w:gridCol w:w="862"/>
        <w:gridCol w:w="862"/>
        <w:gridCol w:w="862"/>
        <w:gridCol w:w="862"/>
        <w:gridCol w:w="862"/>
        <w:gridCol w:w="863"/>
      </w:tblGrid>
      <w:tr w:rsidR="00DE2AA2" w:rsidRPr="00DE2AA2" w:rsidTr="00DE2AA2">
        <w:tblPrEx>
          <w:tblCellMar>
            <w:top w:w="0" w:type="dxa"/>
            <w:bottom w:w="0" w:type="dxa"/>
          </w:tblCellMar>
        </w:tblPrEx>
        <w:trPr>
          <w:tblHeader/>
        </w:trPr>
        <w:tc>
          <w:tcPr>
            <w:tcW w:w="420" w:type="dxa"/>
            <w:tcBorders>
              <w:top w:val="single" w:sz="4" w:space="0" w:color="auto"/>
              <w:bottom w:val="single" w:sz="12"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before="60" w:after="60" w:line="200" w:lineRule="exact"/>
              <w:ind w:right="57"/>
              <w:rPr>
                <w:rFonts w:ascii="KaiTi_GB2312" w:eastAsia="KaiTi_GB2312" w:hint="eastAsia"/>
                <w:noProof/>
                <w:sz w:val="15"/>
                <w:szCs w:val="24"/>
              </w:rPr>
            </w:pPr>
            <w:r w:rsidRPr="00DE2AA2">
              <w:rPr>
                <w:rFonts w:ascii="KaiTi_GB2312" w:eastAsia="KaiTi_GB2312" w:hint="eastAsia"/>
                <w:noProof/>
                <w:sz w:val="15"/>
                <w:szCs w:val="24"/>
              </w:rPr>
              <w:t>性别</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60" w:after="60" w:line="200" w:lineRule="exact"/>
              <w:ind w:left="0" w:right="57"/>
              <w:jc w:val="left"/>
              <w:rPr>
                <w:rFonts w:ascii="KaiTi_GB2312" w:eastAsia="KaiTi_GB2312"/>
                <w:sz w:val="15"/>
                <w:szCs w:val="24"/>
                <w:lang w:eastAsia="zh-CN"/>
              </w:rPr>
            </w:pPr>
            <w:r w:rsidRPr="00DE2AA2">
              <w:rPr>
                <w:rFonts w:ascii="KaiTi_GB2312" w:eastAsia="KaiTi_GB2312" w:hint="eastAsia"/>
                <w:noProof/>
                <w:sz w:val="15"/>
                <w:szCs w:val="24"/>
                <w:lang w:val="en-US"/>
              </w:rPr>
              <w:t>族裔</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2005</w:t>
            </w:r>
            <w:r w:rsidRPr="00DE2AA2">
              <w:rPr>
                <w:rFonts w:ascii="KaiTi_GB2312" w:eastAsia="KaiTi_GB2312" w:hint="eastAsia"/>
                <w:noProof/>
                <w:sz w:val="15"/>
                <w:szCs w:val="24"/>
                <w:lang w:val="en-US"/>
              </w:rPr>
              <w:t>年</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2006</w:t>
            </w:r>
            <w:r w:rsidRPr="00DE2AA2">
              <w:rPr>
                <w:rFonts w:ascii="KaiTi_GB2312" w:eastAsia="KaiTi_GB2312" w:hint="eastAsia"/>
                <w:noProof/>
                <w:sz w:val="15"/>
                <w:szCs w:val="24"/>
                <w:lang w:val="en-US"/>
              </w:rPr>
              <w:t>年</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2007</w:t>
            </w:r>
            <w:r w:rsidRPr="00DE2AA2">
              <w:rPr>
                <w:rFonts w:ascii="KaiTi_GB2312" w:eastAsia="KaiTi_GB2312" w:hint="eastAsia"/>
                <w:noProof/>
                <w:sz w:val="15"/>
                <w:szCs w:val="24"/>
                <w:lang w:val="en-US"/>
              </w:rPr>
              <w:t>年</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2008</w:t>
            </w:r>
            <w:r w:rsidRPr="00DE2AA2">
              <w:rPr>
                <w:rFonts w:ascii="KaiTi_GB2312" w:eastAsia="KaiTi_GB2312" w:hint="eastAsia"/>
                <w:noProof/>
                <w:sz w:val="15"/>
                <w:szCs w:val="24"/>
                <w:lang w:val="en-US"/>
              </w:rPr>
              <w:t>年</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2009</w:t>
            </w:r>
            <w:r w:rsidRPr="00DE2AA2">
              <w:rPr>
                <w:rFonts w:ascii="KaiTi_GB2312" w:eastAsia="KaiTi_GB2312" w:hint="eastAsia"/>
                <w:noProof/>
                <w:sz w:val="15"/>
                <w:szCs w:val="24"/>
                <w:lang w:val="en-US"/>
              </w:rPr>
              <w:t>年</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spacing w:before="60" w:after="60" w:line="200" w:lineRule="exact"/>
              <w:ind w:left="0" w:right="57"/>
              <w:jc w:val="right"/>
              <w:rPr>
                <w:rFonts w:ascii="KaiTi_GB2312" w:eastAsia="KaiTi_GB2312"/>
                <w:sz w:val="15"/>
                <w:szCs w:val="24"/>
              </w:rPr>
            </w:pPr>
            <w:r w:rsidRPr="00DE2AA2">
              <w:rPr>
                <w:rFonts w:ascii="KaiTi_GB2312" w:eastAsia="KaiTi_GB2312"/>
                <w:noProof/>
                <w:sz w:val="15"/>
                <w:szCs w:val="24"/>
              </w:rPr>
              <w:t>2010</w:t>
            </w:r>
            <w:r w:rsidRPr="00DE2AA2">
              <w:rPr>
                <w:rFonts w:ascii="KaiTi_GB2312" w:eastAsia="KaiTi_GB2312" w:hint="eastAsia"/>
                <w:noProof/>
                <w:sz w:val="15"/>
                <w:szCs w:val="24"/>
                <w:lang w:val="en-US"/>
              </w:rPr>
              <w:t>年</w:t>
            </w:r>
          </w:p>
        </w:tc>
        <w:tc>
          <w:tcPr>
            <w:tcW w:w="86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60" w:after="60" w:line="200" w:lineRule="exact"/>
              <w:ind w:left="0" w:right="57"/>
              <w:jc w:val="right"/>
              <w:rPr>
                <w:rFonts w:ascii="KaiTi_GB2312" w:eastAsia="KaiTi_GB2312"/>
                <w:sz w:val="15"/>
                <w:szCs w:val="24"/>
                <w:lang w:eastAsia="zh-CN"/>
              </w:rPr>
            </w:pPr>
            <w:r w:rsidRPr="00DE2AA2">
              <w:rPr>
                <w:rFonts w:ascii="KaiTi_GB2312" w:eastAsia="KaiTi_GB2312"/>
                <w:noProof/>
                <w:sz w:val="15"/>
                <w:szCs w:val="24"/>
              </w:rPr>
              <w:t>2011</w:t>
            </w:r>
            <w:r w:rsidRPr="00DE2AA2">
              <w:rPr>
                <w:rFonts w:ascii="KaiTi_GB2312" w:eastAsia="KaiTi_GB2312" w:hint="eastAsia"/>
                <w:noProof/>
                <w:sz w:val="15"/>
                <w:szCs w:val="24"/>
                <w:lang w:val="en-US"/>
              </w:rPr>
              <w:t>年</w:t>
            </w:r>
          </w:p>
        </w:tc>
      </w:tr>
      <w:tr w:rsidR="00DE2AA2" w:rsidRPr="00DE2AA2" w:rsidTr="00DE2AA2">
        <w:tblPrEx>
          <w:tblCellMar>
            <w:top w:w="0" w:type="dxa"/>
            <w:bottom w:w="0" w:type="dxa"/>
          </w:tblCellMar>
        </w:tblPrEx>
        <w:trPr>
          <w:trHeight w:hRule="exact" w:val="115"/>
          <w:tblHeader/>
        </w:trPr>
        <w:tc>
          <w:tcPr>
            <w:tcW w:w="420" w:type="dxa"/>
            <w:tcBorders>
              <w:top w:val="single" w:sz="12"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after="60" w:line="280" w:lineRule="exact"/>
              <w:ind w:right="57"/>
              <w:rPr>
                <w:rFonts w:hint="eastAsia"/>
                <w:noProof/>
                <w:sz w:val="17"/>
                <w:szCs w:val="24"/>
              </w:rPr>
            </w:pPr>
          </w:p>
        </w:tc>
        <w:tc>
          <w:tcPr>
            <w:tcW w:w="862"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left"/>
              <w:rPr>
                <w:rFonts w:ascii="SimSun" w:hint="eastAsia"/>
                <w:noProof/>
                <w:sz w:val="17"/>
                <w:szCs w:val="24"/>
                <w:lang w:val="en-US"/>
              </w:rPr>
            </w:pPr>
          </w:p>
        </w:tc>
        <w:tc>
          <w:tcPr>
            <w:tcW w:w="862"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62"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62"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62"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62"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62"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c>
          <w:tcPr>
            <w:tcW w:w="863" w:type="dxa"/>
            <w:tcBorders>
              <w:top w:val="single" w:sz="12" w:space="0" w:color="auto"/>
            </w:tcBorders>
            <w:shd w:val="clear" w:color="auto" w:fill="auto"/>
            <w:vAlign w:val="bottom"/>
          </w:tcPr>
          <w:p w:rsidR="00DE2AA2" w:rsidRPr="00DE2AA2" w:rsidRDefault="00DE2AA2" w:rsidP="00DE2AA2">
            <w:pPr>
              <w:pStyle w:val="SingleTxtG"/>
              <w:spacing w:after="60" w:line="280" w:lineRule="exact"/>
              <w:ind w:left="0" w:right="57"/>
              <w:jc w:val="right"/>
              <w:rPr>
                <w:sz w:val="17"/>
                <w:szCs w:val="24"/>
              </w:rPr>
            </w:pPr>
          </w:p>
        </w:tc>
      </w:tr>
      <w:tr w:rsidR="00DE2AA2" w:rsidRPr="00DE2AA2" w:rsidTr="00DE2AA2">
        <w:tblPrEx>
          <w:tblCellMar>
            <w:top w:w="0" w:type="dxa"/>
            <w:bottom w:w="0" w:type="dxa"/>
          </w:tblCellMar>
        </w:tblPrEx>
        <w:tc>
          <w:tcPr>
            <w:tcW w:w="420" w:type="dxa"/>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rPr>
                <w:rFonts w:hAnsi="SimSun" w:hint="eastAsia"/>
                <w:noProof/>
                <w:sz w:val="17"/>
                <w:szCs w:val="17"/>
              </w:rPr>
            </w:pPr>
            <w:r w:rsidRPr="00DE2AA2">
              <w:rPr>
                <w:rFonts w:hAnsi="SimSun" w:hint="eastAsia"/>
                <w:noProof/>
                <w:sz w:val="17"/>
                <w:szCs w:val="17"/>
              </w:rPr>
              <w:t>男</w:t>
            </w:r>
          </w:p>
        </w:tc>
        <w:tc>
          <w:tcPr>
            <w:tcW w:w="862" w:type="dxa"/>
            <w:shd w:val="clear" w:color="auto" w:fill="auto"/>
            <w:vAlign w:val="bottom"/>
          </w:tcPr>
          <w:p w:rsidR="00DE2AA2" w:rsidRPr="00DE2AA2" w:rsidRDefault="00DE2AA2" w:rsidP="00891CDF">
            <w:pPr>
              <w:pStyle w:val="SingleTxtG"/>
              <w:tabs>
                <w:tab w:val="left" w:pos="334"/>
                <w:tab w:val="left" w:pos="669"/>
                <w:tab w:val="left" w:pos="1003"/>
                <w:tab w:val="left" w:pos="1338"/>
              </w:tabs>
              <w:spacing w:after="60" w:line="280" w:lineRule="exact"/>
              <w:ind w:left="0" w:right="57"/>
              <w:jc w:val="left"/>
              <w:rPr>
                <w:rFonts w:ascii="SimSun" w:hAnsi="SimSun"/>
                <w:sz w:val="17"/>
                <w:szCs w:val="17"/>
              </w:rPr>
            </w:pPr>
            <w:r w:rsidRPr="00DE2AA2">
              <w:rPr>
                <w:rFonts w:ascii="SimSun" w:hAnsi="SimSun" w:hint="eastAsia"/>
                <w:noProof/>
                <w:sz w:val="17"/>
                <w:szCs w:val="17"/>
                <w:lang w:val="en-US"/>
              </w:rPr>
              <w:t>丹麦裔</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20.0%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19.0%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14.0%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20.0%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20.0%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21.0%</w:t>
            </w:r>
          </w:p>
        </w:tc>
        <w:tc>
          <w:tcPr>
            <w:tcW w:w="863"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21.0%</w:t>
            </w:r>
          </w:p>
        </w:tc>
      </w:tr>
      <w:tr w:rsidR="00DE2AA2" w:rsidRPr="00DE2AA2" w:rsidTr="00DE2AA2">
        <w:tblPrEx>
          <w:tblCellMar>
            <w:top w:w="0" w:type="dxa"/>
            <w:bottom w:w="0" w:type="dxa"/>
          </w:tblCellMar>
        </w:tblPrEx>
        <w:tc>
          <w:tcPr>
            <w:tcW w:w="420" w:type="dxa"/>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rPr>
                <w:rFonts w:hAnsi="SimSun" w:hint="eastAsia"/>
                <w:noProof/>
                <w:sz w:val="17"/>
                <w:szCs w:val="17"/>
              </w:rPr>
            </w:pPr>
          </w:p>
        </w:tc>
        <w:tc>
          <w:tcPr>
            <w:tcW w:w="862" w:type="dxa"/>
            <w:shd w:val="clear" w:color="auto" w:fill="auto"/>
            <w:vAlign w:val="bottom"/>
          </w:tcPr>
          <w:p w:rsidR="00DE2AA2" w:rsidRPr="00DE2AA2" w:rsidRDefault="00DE2AA2" w:rsidP="00891CDF">
            <w:pPr>
              <w:pStyle w:val="SingleTxtG"/>
              <w:tabs>
                <w:tab w:val="left" w:pos="334"/>
                <w:tab w:val="left" w:pos="669"/>
                <w:tab w:val="left" w:pos="1003"/>
                <w:tab w:val="left" w:pos="1338"/>
              </w:tabs>
              <w:spacing w:after="60" w:line="280" w:lineRule="exact"/>
              <w:ind w:left="0" w:right="57"/>
              <w:jc w:val="left"/>
              <w:rPr>
                <w:rFonts w:ascii="SimSun" w:hAnsi="SimSun"/>
                <w:sz w:val="17"/>
                <w:szCs w:val="17"/>
                <w:lang w:val="fr-FR"/>
              </w:rPr>
            </w:pPr>
            <w:r w:rsidRPr="00DE2AA2">
              <w:rPr>
                <w:rFonts w:ascii="SimSun" w:hAnsi="SimSun" w:hint="eastAsia"/>
                <w:noProof/>
                <w:sz w:val="17"/>
                <w:szCs w:val="17"/>
                <w:lang w:val="en-US"/>
              </w:rPr>
              <w:t>移民后代</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23.0%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23.0%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17.0%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26.0%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27.0%</w:t>
            </w:r>
          </w:p>
        </w:tc>
        <w:tc>
          <w:tcPr>
            <w:tcW w:w="862"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27.0%</w:t>
            </w:r>
          </w:p>
        </w:tc>
        <w:tc>
          <w:tcPr>
            <w:tcW w:w="863" w:type="dxa"/>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27.0%</w:t>
            </w:r>
          </w:p>
        </w:tc>
      </w:tr>
      <w:tr w:rsidR="00DE2AA2" w:rsidRPr="00DE2AA2" w:rsidTr="00DE2AA2">
        <w:tblPrEx>
          <w:tblCellMar>
            <w:top w:w="0" w:type="dxa"/>
            <w:bottom w:w="0" w:type="dxa"/>
          </w:tblCellMar>
        </w:tblPrEx>
        <w:tc>
          <w:tcPr>
            <w:tcW w:w="420" w:type="dxa"/>
            <w:tcBorders>
              <w:bottom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rPr>
                <w:rFonts w:hAnsi="SimSun" w:hint="eastAsia"/>
                <w:noProof/>
                <w:sz w:val="17"/>
                <w:szCs w:val="17"/>
              </w:rPr>
            </w:pPr>
          </w:p>
        </w:tc>
        <w:tc>
          <w:tcPr>
            <w:tcW w:w="862" w:type="dxa"/>
            <w:tcBorders>
              <w:bottom w:val="single" w:sz="4" w:space="0" w:color="auto"/>
            </w:tcBorders>
            <w:shd w:val="clear" w:color="auto" w:fill="auto"/>
            <w:vAlign w:val="bottom"/>
          </w:tcPr>
          <w:p w:rsidR="00DE2AA2" w:rsidRPr="00DE2AA2" w:rsidRDefault="00DE2AA2" w:rsidP="00891CDF">
            <w:pPr>
              <w:pStyle w:val="SingleTxtG"/>
              <w:tabs>
                <w:tab w:val="left" w:pos="334"/>
                <w:tab w:val="left" w:pos="669"/>
                <w:tab w:val="left" w:pos="1003"/>
                <w:tab w:val="left" w:pos="1338"/>
              </w:tabs>
              <w:spacing w:after="60" w:line="280" w:lineRule="exact"/>
              <w:ind w:left="0" w:right="57"/>
              <w:jc w:val="left"/>
              <w:rPr>
                <w:rFonts w:ascii="SimSun" w:hAnsi="SimSun"/>
                <w:sz w:val="17"/>
                <w:szCs w:val="17"/>
              </w:rPr>
            </w:pPr>
            <w:r w:rsidRPr="00DE2AA2">
              <w:rPr>
                <w:rFonts w:ascii="SimSun" w:hAnsi="SimSun" w:hint="eastAsia"/>
                <w:noProof/>
                <w:sz w:val="17"/>
                <w:szCs w:val="17"/>
                <w:lang w:val="en-US"/>
              </w:rPr>
              <w:t>移民</w:t>
            </w:r>
          </w:p>
        </w:tc>
        <w:tc>
          <w:tcPr>
            <w:tcW w:w="862" w:type="dxa"/>
            <w:tcBorders>
              <w:bottom w:val="single" w:sz="4" w:space="0" w:color="auto"/>
            </w:tcBorders>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34.0%</w:t>
            </w:r>
          </w:p>
        </w:tc>
        <w:tc>
          <w:tcPr>
            <w:tcW w:w="862" w:type="dxa"/>
            <w:tcBorders>
              <w:bottom w:val="single" w:sz="4" w:space="0" w:color="auto"/>
            </w:tcBorders>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33.0%</w:t>
            </w:r>
          </w:p>
        </w:tc>
        <w:tc>
          <w:tcPr>
            <w:tcW w:w="862" w:type="dxa"/>
            <w:tcBorders>
              <w:bottom w:val="single" w:sz="4" w:space="0" w:color="auto"/>
            </w:tcBorders>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29.0%</w:t>
            </w:r>
          </w:p>
        </w:tc>
        <w:tc>
          <w:tcPr>
            <w:tcW w:w="862" w:type="dxa"/>
            <w:tcBorders>
              <w:bottom w:val="single" w:sz="4" w:space="0" w:color="auto"/>
            </w:tcBorders>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35.0%</w:t>
            </w:r>
          </w:p>
        </w:tc>
        <w:tc>
          <w:tcPr>
            <w:tcW w:w="862" w:type="dxa"/>
            <w:tcBorders>
              <w:bottom w:val="single" w:sz="4" w:space="0" w:color="auto"/>
            </w:tcBorders>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34.0%</w:t>
            </w:r>
          </w:p>
        </w:tc>
        <w:tc>
          <w:tcPr>
            <w:tcW w:w="862" w:type="dxa"/>
            <w:tcBorders>
              <w:bottom w:val="single" w:sz="4" w:space="0" w:color="auto"/>
            </w:tcBorders>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32.0%</w:t>
            </w:r>
          </w:p>
        </w:tc>
        <w:tc>
          <w:tcPr>
            <w:tcW w:w="863" w:type="dxa"/>
            <w:tcBorders>
              <w:bottom w:val="single" w:sz="4" w:space="0" w:color="auto"/>
            </w:tcBorders>
            <w:shd w:val="clear" w:color="auto" w:fill="auto"/>
            <w:vAlign w:val="bottom"/>
          </w:tcPr>
          <w:p w:rsidR="00DE2AA2" w:rsidRPr="00DE2AA2" w:rsidRDefault="00DE2AA2" w:rsidP="00DC4C76">
            <w:pPr>
              <w:pStyle w:val="SingleTxtG"/>
              <w:tabs>
                <w:tab w:val="left" w:pos="334"/>
                <w:tab w:val="left" w:pos="669"/>
                <w:tab w:val="left" w:pos="1003"/>
                <w:tab w:val="left" w:pos="1338"/>
              </w:tabs>
              <w:spacing w:after="60" w:line="280" w:lineRule="exact"/>
              <w:ind w:left="0" w:right="57"/>
              <w:jc w:val="right"/>
              <w:rPr>
                <w:rFonts w:ascii="SimSun" w:hAnsi="SimSun"/>
                <w:sz w:val="17"/>
                <w:szCs w:val="17"/>
              </w:rPr>
            </w:pPr>
            <w:r w:rsidRPr="00DE2AA2">
              <w:rPr>
                <w:rFonts w:ascii="SimSun" w:hAnsi="SimSun"/>
                <w:sz w:val="17"/>
                <w:szCs w:val="17"/>
              </w:rPr>
              <w:t>32.0%</w:t>
            </w:r>
          </w:p>
        </w:tc>
      </w:tr>
      <w:tr w:rsidR="00DE2AA2" w:rsidRPr="00DE2AA2" w:rsidTr="00DE2AA2">
        <w:tblPrEx>
          <w:tblCellMar>
            <w:top w:w="0" w:type="dxa"/>
            <w:bottom w:w="0" w:type="dxa"/>
          </w:tblCellMar>
        </w:tblPrEx>
        <w:tc>
          <w:tcPr>
            <w:tcW w:w="420" w:type="dxa"/>
            <w:tcBorders>
              <w:top w:val="single" w:sz="4" w:space="0" w:color="auto"/>
              <w:bottom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before="80" w:after="80" w:line="280" w:lineRule="exact"/>
              <w:ind w:right="57"/>
              <w:rPr>
                <w:rFonts w:ascii="SimHei" w:eastAsia="SimHei" w:hAnsi="SimSun" w:hint="eastAsia"/>
                <w:b/>
                <w:noProof/>
                <w:sz w:val="17"/>
                <w:szCs w:val="17"/>
              </w:rPr>
            </w:pP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left"/>
              <w:rPr>
                <w:rFonts w:ascii="SimHei" w:eastAsia="SimHei" w:hAnsi="SimSun"/>
                <w:b/>
                <w:sz w:val="17"/>
                <w:szCs w:val="17"/>
              </w:rPr>
            </w:pPr>
            <w:r>
              <w:rPr>
                <w:rFonts w:ascii="SimHei" w:eastAsia="SimHei" w:hAnsi="SimSun"/>
                <w:b/>
                <w:noProof/>
                <w:sz w:val="17"/>
                <w:szCs w:val="17"/>
                <w:lang w:val="en-US" w:eastAsia="zh-CN"/>
              </w:rPr>
              <w:tab/>
            </w:r>
            <w:r w:rsidRPr="00DE2AA2">
              <w:rPr>
                <w:rFonts w:ascii="SimHei" w:eastAsia="SimHei" w:hAnsi="SimSun" w:hint="eastAsia"/>
                <w:b/>
                <w:noProof/>
                <w:sz w:val="17"/>
                <w:szCs w:val="17"/>
                <w:lang w:val="en-US"/>
              </w:rPr>
              <w:t>共计</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21.0%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20.0%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15.0%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22.0%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22.0%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22.0%</w:t>
            </w:r>
          </w:p>
        </w:tc>
        <w:tc>
          <w:tcPr>
            <w:tcW w:w="86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22.0%</w:t>
            </w:r>
          </w:p>
        </w:tc>
      </w:tr>
      <w:tr w:rsidR="00DE2AA2" w:rsidRPr="00DC4C76" w:rsidTr="00DE2AA2">
        <w:tblPrEx>
          <w:tblCellMar>
            <w:top w:w="0" w:type="dxa"/>
            <w:bottom w:w="0" w:type="dxa"/>
          </w:tblCellMar>
        </w:tblPrEx>
        <w:tc>
          <w:tcPr>
            <w:tcW w:w="420"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rPr>
                <w:rFonts w:hAnsi="SimSun" w:hint="eastAsia"/>
                <w:noProof/>
                <w:sz w:val="17"/>
                <w:szCs w:val="17"/>
              </w:rPr>
            </w:pPr>
            <w:r w:rsidRPr="00DE2AA2">
              <w:rPr>
                <w:rFonts w:hAnsi="SimSun" w:hint="eastAsia"/>
                <w:noProof/>
                <w:sz w:val="17"/>
                <w:szCs w:val="17"/>
              </w:rPr>
              <w:t>女</w:t>
            </w:r>
          </w:p>
        </w:tc>
        <w:tc>
          <w:tcPr>
            <w:tcW w:w="862" w:type="dxa"/>
            <w:tcBorders>
              <w:top w:val="single" w:sz="4" w:space="0" w:color="auto"/>
            </w:tcBorders>
            <w:shd w:val="clear" w:color="auto" w:fill="auto"/>
            <w:vAlign w:val="bottom"/>
          </w:tcPr>
          <w:p w:rsidR="00DE2AA2" w:rsidRPr="00DE2AA2" w:rsidRDefault="00DE2AA2" w:rsidP="00891CDF">
            <w:pPr>
              <w:tabs>
                <w:tab w:val="left" w:pos="334"/>
                <w:tab w:val="left" w:pos="669"/>
                <w:tab w:val="left" w:pos="1003"/>
                <w:tab w:val="left" w:pos="1338"/>
              </w:tabs>
              <w:suppressAutoHyphens/>
              <w:spacing w:after="60" w:line="280" w:lineRule="exact"/>
              <w:ind w:right="57"/>
              <w:jc w:val="left"/>
              <w:rPr>
                <w:rFonts w:hAnsi="SimSun"/>
                <w:noProof/>
                <w:sz w:val="17"/>
                <w:szCs w:val="17"/>
              </w:rPr>
            </w:pPr>
            <w:r w:rsidRPr="00DE2AA2">
              <w:rPr>
                <w:rFonts w:hAnsi="SimSun" w:hint="eastAsia"/>
                <w:noProof/>
                <w:sz w:val="17"/>
                <w:szCs w:val="17"/>
              </w:rPr>
              <w:t>丹麦裔</w:t>
            </w:r>
          </w:p>
        </w:tc>
        <w:tc>
          <w:tcPr>
            <w:tcW w:w="862"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17.0%</w:t>
            </w:r>
          </w:p>
        </w:tc>
        <w:tc>
          <w:tcPr>
            <w:tcW w:w="862"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17.0%</w:t>
            </w:r>
          </w:p>
        </w:tc>
        <w:tc>
          <w:tcPr>
            <w:tcW w:w="862"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17.0%</w:t>
            </w:r>
          </w:p>
        </w:tc>
        <w:tc>
          <w:tcPr>
            <w:tcW w:w="862"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20.0%</w:t>
            </w:r>
          </w:p>
        </w:tc>
        <w:tc>
          <w:tcPr>
            <w:tcW w:w="862"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19.0%</w:t>
            </w:r>
          </w:p>
        </w:tc>
        <w:tc>
          <w:tcPr>
            <w:tcW w:w="862"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19.0%</w:t>
            </w:r>
          </w:p>
        </w:tc>
        <w:tc>
          <w:tcPr>
            <w:tcW w:w="863" w:type="dxa"/>
            <w:tcBorders>
              <w:top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19.0%</w:t>
            </w:r>
          </w:p>
        </w:tc>
      </w:tr>
      <w:tr w:rsidR="00DE2AA2" w:rsidRPr="00DC4C76" w:rsidTr="00DE2AA2">
        <w:tblPrEx>
          <w:tblCellMar>
            <w:top w:w="0" w:type="dxa"/>
            <w:bottom w:w="0" w:type="dxa"/>
          </w:tblCellMar>
        </w:tblPrEx>
        <w:tc>
          <w:tcPr>
            <w:tcW w:w="420" w:type="dxa"/>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rPr>
                <w:rFonts w:hAnsi="SimSun" w:hint="eastAsia"/>
                <w:noProof/>
                <w:sz w:val="17"/>
                <w:szCs w:val="17"/>
              </w:rPr>
            </w:pPr>
          </w:p>
        </w:tc>
        <w:tc>
          <w:tcPr>
            <w:tcW w:w="862" w:type="dxa"/>
            <w:shd w:val="clear" w:color="auto" w:fill="auto"/>
            <w:vAlign w:val="bottom"/>
          </w:tcPr>
          <w:p w:rsidR="00DE2AA2" w:rsidRPr="00DE2AA2" w:rsidRDefault="00DE2AA2" w:rsidP="00891CDF">
            <w:pPr>
              <w:tabs>
                <w:tab w:val="left" w:pos="334"/>
                <w:tab w:val="left" w:pos="669"/>
                <w:tab w:val="left" w:pos="1003"/>
                <w:tab w:val="left" w:pos="1338"/>
              </w:tabs>
              <w:suppressAutoHyphens/>
              <w:spacing w:after="60" w:line="280" w:lineRule="exact"/>
              <w:ind w:right="57"/>
              <w:jc w:val="left"/>
              <w:rPr>
                <w:rFonts w:hAnsi="SimSun"/>
                <w:noProof/>
                <w:sz w:val="17"/>
                <w:szCs w:val="17"/>
              </w:rPr>
            </w:pPr>
            <w:r w:rsidRPr="00DE2AA2">
              <w:rPr>
                <w:rFonts w:hAnsi="SimSun" w:hint="eastAsia"/>
                <w:noProof/>
                <w:sz w:val="17"/>
                <w:szCs w:val="17"/>
              </w:rPr>
              <w:t>移民后代</w:t>
            </w:r>
          </w:p>
        </w:tc>
        <w:tc>
          <w:tcPr>
            <w:tcW w:w="862" w:type="dxa"/>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18.0%</w:t>
            </w:r>
          </w:p>
        </w:tc>
        <w:tc>
          <w:tcPr>
            <w:tcW w:w="862" w:type="dxa"/>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17.0%</w:t>
            </w:r>
          </w:p>
        </w:tc>
        <w:tc>
          <w:tcPr>
            <w:tcW w:w="862" w:type="dxa"/>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20.0%</w:t>
            </w:r>
          </w:p>
        </w:tc>
        <w:tc>
          <w:tcPr>
            <w:tcW w:w="862" w:type="dxa"/>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24.0%</w:t>
            </w:r>
          </w:p>
        </w:tc>
        <w:tc>
          <w:tcPr>
            <w:tcW w:w="862" w:type="dxa"/>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22.0%</w:t>
            </w:r>
          </w:p>
        </w:tc>
        <w:tc>
          <w:tcPr>
            <w:tcW w:w="862" w:type="dxa"/>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23.0%</w:t>
            </w:r>
          </w:p>
        </w:tc>
        <w:tc>
          <w:tcPr>
            <w:tcW w:w="863" w:type="dxa"/>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22.0%</w:t>
            </w:r>
          </w:p>
        </w:tc>
      </w:tr>
      <w:tr w:rsidR="00DE2AA2" w:rsidRPr="00DC4C76" w:rsidTr="00DE2AA2">
        <w:tblPrEx>
          <w:tblCellMar>
            <w:top w:w="0" w:type="dxa"/>
            <w:bottom w:w="0" w:type="dxa"/>
          </w:tblCellMar>
        </w:tblPrEx>
        <w:tc>
          <w:tcPr>
            <w:tcW w:w="420" w:type="dxa"/>
            <w:tcBorders>
              <w:bottom w:val="single" w:sz="4" w:space="0" w:color="auto"/>
            </w:tcBorders>
            <w:shd w:val="clear" w:color="auto" w:fill="auto"/>
            <w:vAlign w:val="bottom"/>
          </w:tcPr>
          <w:p w:rsidR="00DE2AA2" w:rsidRPr="00DE2AA2" w:rsidRDefault="00DE2AA2" w:rsidP="00DC4C76">
            <w:pPr>
              <w:tabs>
                <w:tab w:val="left" w:pos="334"/>
                <w:tab w:val="left" w:pos="669"/>
                <w:tab w:val="left" w:pos="1003"/>
                <w:tab w:val="left" w:pos="1338"/>
              </w:tabs>
              <w:suppressAutoHyphens/>
              <w:spacing w:after="60" w:line="280" w:lineRule="exact"/>
              <w:ind w:right="57"/>
              <w:rPr>
                <w:rFonts w:hAnsi="SimSun" w:hint="eastAsia"/>
                <w:noProof/>
                <w:sz w:val="17"/>
                <w:szCs w:val="17"/>
              </w:rPr>
            </w:pPr>
          </w:p>
        </w:tc>
        <w:tc>
          <w:tcPr>
            <w:tcW w:w="862" w:type="dxa"/>
            <w:tcBorders>
              <w:bottom w:val="single" w:sz="4" w:space="0" w:color="auto"/>
            </w:tcBorders>
            <w:shd w:val="clear" w:color="auto" w:fill="auto"/>
            <w:vAlign w:val="bottom"/>
          </w:tcPr>
          <w:p w:rsidR="00DE2AA2" w:rsidRPr="00DE2AA2" w:rsidRDefault="00DE2AA2" w:rsidP="00891CDF">
            <w:pPr>
              <w:tabs>
                <w:tab w:val="left" w:pos="334"/>
                <w:tab w:val="left" w:pos="669"/>
                <w:tab w:val="left" w:pos="1003"/>
                <w:tab w:val="left" w:pos="1338"/>
              </w:tabs>
              <w:suppressAutoHyphens/>
              <w:spacing w:after="60" w:line="280" w:lineRule="exact"/>
              <w:ind w:right="57"/>
              <w:jc w:val="left"/>
              <w:rPr>
                <w:rFonts w:hAnsi="SimSun"/>
                <w:noProof/>
                <w:sz w:val="17"/>
                <w:szCs w:val="17"/>
              </w:rPr>
            </w:pPr>
            <w:r w:rsidRPr="00DE2AA2">
              <w:rPr>
                <w:rFonts w:hAnsi="SimSun" w:hint="eastAsia"/>
                <w:noProof/>
                <w:sz w:val="17"/>
                <w:szCs w:val="17"/>
              </w:rPr>
              <w:t>移民</w:t>
            </w:r>
          </w:p>
        </w:tc>
        <w:tc>
          <w:tcPr>
            <w:tcW w:w="862" w:type="dxa"/>
            <w:tcBorders>
              <w:bottom w:val="single" w:sz="4" w:space="0" w:color="auto"/>
            </w:tcBorders>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27.0%</w:t>
            </w:r>
          </w:p>
        </w:tc>
        <w:tc>
          <w:tcPr>
            <w:tcW w:w="862" w:type="dxa"/>
            <w:tcBorders>
              <w:bottom w:val="single" w:sz="4" w:space="0" w:color="auto"/>
            </w:tcBorders>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26.0%</w:t>
            </w:r>
          </w:p>
        </w:tc>
        <w:tc>
          <w:tcPr>
            <w:tcW w:w="862" w:type="dxa"/>
            <w:tcBorders>
              <w:bottom w:val="single" w:sz="4" w:space="0" w:color="auto"/>
            </w:tcBorders>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26.0%</w:t>
            </w:r>
          </w:p>
        </w:tc>
        <w:tc>
          <w:tcPr>
            <w:tcW w:w="862" w:type="dxa"/>
            <w:tcBorders>
              <w:bottom w:val="single" w:sz="4" w:space="0" w:color="auto"/>
            </w:tcBorders>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29.0%</w:t>
            </w:r>
          </w:p>
        </w:tc>
        <w:tc>
          <w:tcPr>
            <w:tcW w:w="862" w:type="dxa"/>
            <w:tcBorders>
              <w:bottom w:val="single" w:sz="4" w:space="0" w:color="auto"/>
            </w:tcBorders>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28.0%</w:t>
            </w:r>
          </w:p>
        </w:tc>
        <w:tc>
          <w:tcPr>
            <w:tcW w:w="862" w:type="dxa"/>
            <w:tcBorders>
              <w:bottom w:val="single" w:sz="4" w:space="0" w:color="auto"/>
            </w:tcBorders>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27.0%</w:t>
            </w:r>
          </w:p>
        </w:tc>
        <w:tc>
          <w:tcPr>
            <w:tcW w:w="863" w:type="dxa"/>
            <w:tcBorders>
              <w:bottom w:val="single" w:sz="4" w:space="0" w:color="auto"/>
            </w:tcBorders>
            <w:shd w:val="clear" w:color="auto" w:fill="auto"/>
            <w:vAlign w:val="bottom"/>
          </w:tcPr>
          <w:p w:rsidR="00DE2AA2" w:rsidRPr="00DE2AA2" w:rsidRDefault="00DE2AA2" w:rsidP="008E74BC">
            <w:pPr>
              <w:tabs>
                <w:tab w:val="left" w:pos="334"/>
                <w:tab w:val="left" w:pos="669"/>
                <w:tab w:val="left" w:pos="1003"/>
                <w:tab w:val="left" w:pos="1338"/>
              </w:tabs>
              <w:suppressAutoHyphens/>
              <w:spacing w:after="60" w:line="280" w:lineRule="exact"/>
              <w:ind w:right="57"/>
              <w:jc w:val="right"/>
              <w:rPr>
                <w:rFonts w:hAnsi="SimSun"/>
                <w:noProof/>
                <w:sz w:val="17"/>
                <w:szCs w:val="17"/>
              </w:rPr>
            </w:pPr>
            <w:r w:rsidRPr="00DE2AA2">
              <w:rPr>
                <w:rFonts w:hAnsi="SimSun"/>
                <w:noProof/>
                <w:sz w:val="17"/>
                <w:szCs w:val="17"/>
              </w:rPr>
              <w:t>27.0%</w:t>
            </w:r>
          </w:p>
        </w:tc>
      </w:tr>
      <w:tr w:rsidR="00DE2AA2" w:rsidRPr="00DE2AA2" w:rsidTr="00DE2AA2">
        <w:tblPrEx>
          <w:tblCellMar>
            <w:top w:w="0" w:type="dxa"/>
            <w:bottom w:w="0" w:type="dxa"/>
          </w:tblCellMar>
        </w:tblPrEx>
        <w:tc>
          <w:tcPr>
            <w:tcW w:w="420" w:type="dxa"/>
            <w:tcBorders>
              <w:top w:val="single" w:sz="4" w:space="0" w:color="auto"/>
              <w:bottom w:val="single" w:sz="4" w:space="0" w:color="auto"/>
            </w:tcBorders>
            <w:shd w:val="clear" w:color="auto" w:fill="auto"/>
            <w:vAlign w:val="bottom"/>
          </w:tcPr>
          <w:p w:rsidR="00DE2AA2" w:rsidRPr="00DE2AA2" w:rsidRDefault="00DE2AA2" w:rsidP="00DE2AA2">
            <w:pPr>
              <w:tabs>
                <w:tab w:val="left" w:pos="334"/>
                <w:tab w:val="left" w:pos="669"/>
                <w:tab w:val="left" w:pos="1003"/>
                <w:tab w:val="left" w:pos="1338"/>
              </w:tabs>
              <w:suppressAutoHyphens/>
              <w:spacing w:before="80" w:after="60" w:line="280" w:lineRule="exact"/>
              <w:ind w:right="57"/>
              <w:rPr>
                <w:rFonts w:ascii="SimHei" w:eastAsia="SimHei" w:hAnsi="SimSun" w:hint="eastAsia"/>
                <w:b/>
                <w:noProof/>
                <w:sz w:val="17"/>
                <w:szCs w:val="17"/>
              </w:rPr>
            </w:pP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left"/>
              <w:rPr>
                <w:rFonts w:ascii="SimHei" w:eastAsia="SimHei" w:hAnsi="SimSun"/>
                <w:b/>
                <w:sz w:val="17"/>
                <w:szCs w:val="17"/>
              </w:rPr>
            </w:pPr>
            <w:r>
              <w:rPr>
                <w:rFonts w:ascii="SimHei" w:eastAsia="SimHei" w:hAnsi="SimSun"/>
                <w:b/>
                <w:noProof/>
                <w:sz w:val="17"/>
                <w:szCs w:val="17"/>
                <w:lang w:val="en-US" w:eastAsia="zh-CN"/>
              </w:rPr>
              <w:tab/>
            </w:r>
            <w:r w:rsidRPr="00DE2AA2">
              <w:rPr>
                <w:rFonts w:ascii="SimHei" w:eastAsia="SimHei" w:hAnsi="SimSun" w:hint="eastAsia"/>
                <w:b/>
                <w:noProof/>
                <w:sz w:val="17"/>
                <w:szCs w:val="17"/>
                <w:lang w:val="en-US"/>
              </w:rPr>
              <w:t>共计</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7"/>
              </w:rPr>
            </w:pPr>
            <w:r w:rsidRPr="00DE2AA2">
              <w:rPr>
                <w:rFonts w:ascii="SimHei" w:eastAsia="SimHei" w:hAnsi="SimSun"/>
                <w:b/>
                <w:sz w:val="17"/>
                <w:szCs w:val="17"/>
              </w:rPr>
              <w:t>18.0%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7"/>
              </w:rPr>
            </w:pPr>
            <w:r w:rsidRPr="00DE2AA2">
              <w:rPr>
                <w:rFonts w:ascii="SimHei" w:eastAsia="SimHei" w:hAnsi="SimSun"/>
                <w:b/>
                <w:sz w:val="17"/>
                <w:szCs w:val="17"/>
              </w:rPr>
              <w:t>18.0%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7"/>
              </w:rPr>
            </w:pPr>
            <w:r w:rsidRPr="00DE2AA2">
              <w:rPr>
                <w:rFonts w:ascii="SimHei" w:eastAsia="SimHei" w:hAnsi="SimSun"/>
                <w:b/>
                <w:sz w:val="17"/>
                <w:szCs w:val="17"/>
              </w:rPr>
              <w:t>17.0%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7"/>
              </w:rPr>
            </w:pPr>
            <w:r w:rsidRPr="00DE2AA2">
              <w:rPr>
                <w:rFonts w:ascii="SimHei" w:eastAsia="SimHei" w:hAnsi="SimSun"/>
                <w:b/>
                <w:sz w:val="17"/>
                <w:szCs w:val="17"/>
              </w:rPr>
              <w:t>21.0%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7"/>
              </w:rPr>
            </w:pPr>
            <w:r w:rsidRPr="00DE2AA2">
              <w:rPr>
                <w:rFonts w:ascii="SimHei" w:eastAsia="SimHei" w:hAnsi="SimSun"/>
                <w:b/>
                <w:sz w:val="17"/>
                <w:szCs w:val="17"/>
              </w:rPr>
              <w:t>20.0%</w:t>
            </w:r>
          </w:p>
        </w:tc>
        <w:tc>
          <w:tcPr>
            <w:tcW w:w="862"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7"/>
              </w:rPr>
            </w:pPr>
            <w:r w:rsidRPr="00DE2AA2">
              <w:rPr>
                <w:rFonts w:ascii="SimHei" w:eastAsia="SimHei" w:hAnsi="SimSun"/>
                <w:b/>
                <w:sz w:val="17"/>
                <w:szCs w:val="17"/>
              </w:rPr>
              <w:t>20.0%</w:t>
            </w:r>
          </w:p>
        </w:tc>
        <w:tc>
          <w:tcPr>
            <w:tcW w:w="863" w:type="dxa"/>
            <w:tcBorders>
              <w:top w:val="single" w:sz="4" w:space="0" w:color="auto"/>
              <w:bottom w:val="single" w:sz="4"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7"/>
              </w:rPr>
            </w:pPr>
            <w:r w:rsidRPr="00DE2AA2">
              <w:rPr>
                <w:rFonts w:ascii="SimHei" w:eastAsia="SimHei" w:hAnsi="SimSun"/>
                <w:b/>
                <w:sz w:val="17"/>
                <w:szCs w:val="17"/>
              </w:rPr>
              <w:t>20.0%</w:t>
            </w:r>
          </w:p>
        </w:tc>
      </w:tr>
      <w:tr w:rsidR="00DE2AA2" w:rsidRPr="00DE2AA2" w:rsidTr="00DE2AA2">
        <w:tblPrEx>
          <w:tblCellMar>
            <w:top w:w="0" w:type="dxa"/>
            <w:bottom w:w="0" w:type="dxa"/>
          </w:tblCellMar>
        </w:tblPrEx>
        <w:tc>
          <w:tcPr>
            <w:tcW w:w="420"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17"/>
              </w:rPr>
            </w:pPr>
          </w:p>
        </w:tc>
        <w:tc>
          <w:tcPr>
            <w:tcW w:w="862" w:type="dxa"/>
            <w:tcBorders>
              <w:top w:val="single" w:sz="4" w:space="0" w:color="auto"/>
              <w:bottom w:val="single" w:sz="12" w:space="0" w:color="auto"/>
            </w:tcBorders>
            <w:shd w:val="clear" w:color="auto" w:fill="auto"/>
            <w:vAlign w:val="bottom"/>
          </w:tcPr>
          <w:p w:rsidR="00DE2AA2" w:rsidRPr="00DE2AA2" w:rsidRDefault="00DC4C76" w:rsidP="00DE2AA2">
            <w:pPr>
              <w:pStyle w:val="SingleTxtG"/>
              <w:tabs>
                <w:tab w:val="left" w:pos="334"/>
                <w:tab w:val="left" w:pos="669"/>
                <w:tab w:val="left" w:pos="1003"/>
                <w:tab w:val="left" w:pos="1338"/>
              </w:tabs>
              <w:spacing w:before="80" w:after="80" w:line="280" w:lineRule="exact"/>
              <w:ind w:left="0" w:right="57"/>
              <w:jc w:val="left"/>
              <w:rPr>
                <w:rFonts w:ascii="SimHei" w:eastAsia="SimHei" w:hAnsi="SimSun"/>
                <w:b/>
                <w:sz w:val="17"/>
                <w:szCs w:val="17"/>
              </w:rPr>
            </w:pPr>
            <w:r>
              <w:rPr>
                <w:rFonts w:ascii="SimHei" w:eastAsia="SimHei" w:hAnsi="SimSun"/>
                <w:b/>
                <w:noProof/>
                <w:sz w:val="17"/>
                <w:szCs w:val="17"/>
                <w:lang w:val="en-US" w:eastAsia="zh-CN"/>
              </w:rPr>
              <w:tab/>
            </w:r>
            <w:r w:rsidRPr="00DE2AA2">
              <w:rPr>
                <w:rFonts w:ascii="SimHei" w:eastAsia="SimHei" w:hAnsi="SimSun" w:hint="eastAsia"/>
                <w:b/>
                <w:noProof/>
                <w:sz w:val="17"/>
                <w:szCs w:val="17"/>
                <w:lang w:val="en-US"/>
              </w:rPr>
              <w:t>总计</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20.0%</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19.0%</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16.0%</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22.0%</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21.0%</w:t>
            </w:r>
          </w:p>
        </w:tc>
        <w:tc>
          <w:tcPr>
            <w:tcW w:w="862"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21.0%</w:t>
            </w:r>
          </w:p>
        </w:tc>
        <w:tc>
          <w:tcPr>
            <w:tcW w:w="863" w:type="dxa"/>
            <w:tcBorders>
              <w:top w:val="single" w:sz="4" w:space="0" w:color="auto"/>
              <w:bottom w:val="single" w:sz="12" w:space="0" w:color="auto"/>
            </w:tcBorders>
            <w:shd w:val="clear" w:color="auto" w:fill="auto"/>
            <w:vAlign w:val="bottom"/>
          </w:tcPr>
          <w:p w:rsidR="00DE2AA2" w:rsidRPr="00DE2AA2" w:rsidRDefault="00DE2AA2" w:rsidP="00DE2AA2">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DE2AA2">
              <w:rPr>
                <w:rFonts w:ascii="SimHei" w:eastAsia="SimHei" w:hAnsi="SimSun"/>
                <w:b/>
                <w:sz w:val="17"/>
                <w:szCs w:val="17"/>
              </w:rPr>
              <w:t>21.0%</w:t>
            </w:r>
          </w:p>
        </w:tc>
      </w:tr>
    </w:tbl>
    <w:p w:rsidR="00DE2AA2" w:rsidRPr="00DE2AA2" w:rsidRDefault="00DE2AA2" w:rsidP="00DE2AA2">
      <w:pPr>
        <w:pStyle w:val="FootnoteText"/>
        <w:tabs>
          <w:tab w:val="clear" w:pos="418"/>
          <w:tab w:val="right" w:pos="1476"/>
          <w:tab w:val="left" w:pos="1548"/>
          <w:tab w:val="right" w:pos="1836"/>
          <w:tab w:val="left" w:pos="1908"/>
        </w:tabs>
        <w:spacing w:after="0" w:line="120" w:lineRule="exact"/>
        <w:ind w:left="1548" w:right="1267" w:hanging="288"/>
        <w:rPr>
          <w:rFonts w:hint="eastAsia"/>
          <w:noProof w:val="0"/>
          <w:sz w:val="10"/>
        </w:rPr>
      </w:pPr>
    </w:p>
    <w:p w:rsidR="00DE2AA2" w:rsidRDefault="009303E0" w:rsidP="00DE2AA2">
      <w:pPr>
        <w:pStyle w:val="FootnoteText"/>
        <w:tabs>
          <w:tab w:val="clear" w:pos="418"/>
          <w:tab w:val="right" w:pos="1476"/>
          <w:tab w:val="left" w:pos="1548"/>
          <w:tab w:val="right" w:pos="1836"/>
          <w:tab w:val="left" w:pos="1908"/>
        </w:tabs>
        <w:ind w:left="1548" w:right="1267" w:hanging="288"/>
      </w:pPr>
      <w:r>
        <w:rPr>
          <w:rFonts w:ascii="Times New Roman" w:eastAsia="KaiTi_GB2312"/>
        </w:rPr>
        <w:tab/>
      </w:r>
      <w:r>
        <w:rPr>
          <w:rFonts w:ascii="Times New Roman" w:eastAsia="KaiTi_GB2312"/>
        </w:rPr>
        <w:tab/>
      </w:r>
      <w:r w:rsidR="00DE2AA2" w:rsidRPr="00DE2AA2">
        <w:rPr>
          <w:rFonts w:ascii="KaiTi_GB2312" w:eastAsia="KaiTi_GB2312" w:hint="eastAsia"/>
        </w:rPr>
        <w:t>资料来源</w:t>
      </w:r>
      <w:r w:rsidR="00DE2AA2">
        <w:rPr>
          <w:rFonts w:hint="eastAsia"/>
        </w:rPr>
        <w:t>：科研、创新和高等教育部根据丹麦统计局提供的数据</w:t>
      </w:r>
      <w:r w:rsidR="00A36325">
        <w:rPr>
          <w:rFonts w:hint="eastAsia"/>
        </w:rPr>
        <w:t>。</w:t>
      </w:r>
    </w:p>
    <w:p w:rsidR="00DC4C76" w:rsidRPr="00DC4C76" w:rsidRDefault="00DC4C76" w:rsidP="00DC4C76">
      <w:pPr>
        <w:pStyle w:val="SingleTxt"/>
        <w:spacing w:after="0" w:line="120" w:lineRule="exact"/>
        <w:rPr>
          <w:rFonts w:hint="eastAsia"/>
          <w:sz w:val="10"/>
        </w:rPr>
      </w:pPr>
    </w:p>
    <w:p w:rsidR="00DE2AA2" w:rsidRDefault="00DE2AA2" w:rsidP="00DC4C76">
      <w:pPr>
        <w:pStyle w:val="SingleTxt"/>
        <w:rPr>
          <w:rFonts w:hint="eastAsia"/>
        </w:rPr>
      </w:pPr>
      <w:r>
        <w:rPr>
          <w:rFonts w:hint="eastAsia"/>
        </w:rPr>
        <w:tab/>
        <w:t>学生都有权为得到进一步教育获得公共财务支持 － 不论其社会地位为何。如果学生在学习期间或入学之前不久生育儿女，她们都能得到特殊财务支持。母亲能得到一年的额外支持，父亲能得到一年额外支持的半数。</w:t>
      </w:r>
    </w:p>
    <w:p w:rsidR="00DE2AA2" w:rsidRPr="00DC4C76" w:rsidRDefault="00DE2AA2" w:rsidP="00DE2AA2">
      <w:pPr>
        <w:pStyle w:val="SingleTxt"/>
        <w:rPr>
          <w:rFonts w:ascii="SimHei" w:eastAsia="SimHei" w:hint="eastAsia"/>
        </w:rPr>
      </w:pPr>
      <w:r w:rsidRPr="00DC4C76">
        <w:rPr>
          <w:rFonts w:ascii="SimHei" w:eastAsia="SimHei" w:hint="eastAsia"/>
        </w:rPr>
        <w:t>在学术界的女性</w:t>
      </w:r>
    </w:p>
    <w:p w:rsidR="00DE2AA2" w:rsidRDefault="00DE2AA2" w:rsidP="00DC4C76">
      <w:pPr>
        <w:pStyle w:val="SingleTxt"/>
        <w:spacing w:line="300" w:lineRule="exact"/>
        <w:rPr>
          <w:rFonts w:hint="eastAsia"/>
        </w:rPr>
      </w:pPr>
      <w:r>
        <w:rPr>
          <w:rFonts w:hint="eastAsia"/>
        </w:rPr>
        <w:tab/>
        <w:t>实现男女平等继续是丹麦研究场所的高度优先事项。为此目的，前科研、技术和创新部在2009年举办了一次由丹麦大学和研究机构参加的讨论“妇女和研究”的圆桌会议。通过这次讨论，促成了若干具体举措并编制了一本关于“最佳做法”的手册，以此鼓励和激励其他机构。今天，所有丹麦大学都有专门针对大学的类似男女平等举措。</w:t>
      </w:r>
    </w:p>
    <w:p w:rsidR="00674C4B" w:rsidRPr="00C10BAF" w:rsidRDefault="00DE2AA2" w:rsidP="00674C4B">
      <w:pPr>
        <w:pStyle w:val="SingleTxt"/>
        <w:rPr>
          <w:rFonts w:ascii="SimHei" w:eastAsia="SimHei" w:hint="eastAsia"/>
        </w:rPr>
      </w:pPr>
      <w:r>
        <w:rPr>
          <w:rFonts w:hint="eastAsia"/>
        </w:rPr>
        <w:t>表3</w:t>
      </w:r>
      <w:r>
        <w:rPr>
          <w:rFonts w:hint="eastAsia"/>
        </w:rPr>
        <w:br/>
      </w:r>
      <w:r w:rsidRPr="00C10BAF">
        <w:rPr>
          <w:rFonts w:ascii="SimHei" w:eastAsia="SimHei" w:hint="eastAsia"/>
        </w:rPr>
        <w:t>2000年、2006年、2009年和2011年丹麦各大学按性别和职务分列的教授、副教授和助理教授及博士后人数</w:t>
      </w:r>
    </w:p>
    <w:tbl>
      <w:tblPr>
        <w:tblW w:w="9813" w:type="dxa"/>
        <w:tblInd w:w="14" w:type="dxa"/>
        <w:tblLayout w:type="fixed"/>
        <w:tblCellMar>
          <w:left w:w="0" w:type="dxa"/>
          <w:right w:w="0" w:type="dxa"/>
        </w:tblCellMar>
        <w:tblLook w:val="0020"/>
      </w:tblPr>
      <w:tblGrid>
        <w:gridCol w:w="1484"/>
        <w:gridCol w:w="694"/>
        <w:gridCol w:w="608"/>
        <w:gridCol w:w="780"/>
        <w:gridCol w:w="115"/>
        <w:gridCol w:w="547"/>
        <w:gridCol w:w="616"/>
        <w:gridCol w:w="804"/>
        <w:gridCol w:w="99"/>
        <w:gridCol w:w="482"/>
        <w:gridCol w:w="672"/>
        <w:gridCol w:w="829"/>
        <w:gridCol w:w="99"/>
        <w:gridCol w:w="556"/>
        <w:gridCol w:w="630"/>
        <w:gridCol w:w="798"/>
      </w:tblGrid>
      <w:tr w:rsidR="00674C4B" w:rsidRPr="00674C4B" w:rsidTr="00674C4B">
        <w:trPr>
          <w:trHeight w:val="240"/>
          <w:tblHeader/>
        </w:trPr>
        <w:tc>
          <w:tcPr>
            <w:tcW w:w="1484" w:type="dxa"/>
            <w:tcBorders>
              <w:top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lang w:eastAsia="zh-CN"/>
              </w:rPr>
            </w:pPr>
          </w:p>
        </w:tc>
        <w:tc>
          <w:tcPr>
            <w:tcW w:w="2082" w:type="dxa"/>
            <w:gridSpan w:val="3"/>
            <w:tcBorders>
              <w:top w:val="single" w:sz="4" w:space="0" w:color="auto"/>
              <w:bottom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rPr>
            </w:pPr>
            <w:r w:rsidRPr="00674C4B">
              <w:rPr>
                <w:rFonts w:ascii="KaiTi_GB2312" w:eastAsia="KaiTi_GB2312"/>
                <w:sz w:val="15"/>
                <w:szCs w:val="24"/>
              </w:rPr>
              <w:t>2001</w:t>
            </w:r>
            <w:r w:rsidRPr="00674C4B">
              <w:rPr>
                <w:rFonts w:ascii="KaiTi_GB2312" w:eastAsia="KaiTi_GB2312" w:hint="eastAsia"/>
                <w:sz w:val="15"/>
                <w:szCs w:val="24"/>
              </w:rPr>
              <w:t>年</w:t>
            </w:r>
          </w:p>
        </w:tc>
        <w:tc>
          <w:tcPr>
            <w:tcW w:w="115" w:type="dxa"/>
            <w:tcBorders>
              <w:top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rPr>
            </w:pPr>
          </w:p>
        </w:tc>
        <w:tc>
          <w:tcPr>
            <w:tcW w:w="1967" w:type="dxa"/>
            <w:gridSpan w:val="3"/>
            <w:tcBorders>
              <w:top w:val="single" w:sz="4" w:space="0" w:color="auto"/>
              <w:bottom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rPr>
            </w:pPr>
            <w:r w:rsidRPr="00674C4B">
              <w:rPr>
                <w:rFonts w:ascii="KaiTi_GB2312" w:eastAsia="KaiTi_GB2312"/>
                <w:sz w:val="15"/>
                <w:szCs w:val="24"/>
              </w:rPr>
              <w:t>2006</w:t>
            </w:r>
            <w:r w:rsidRPr="00674C4B">
              <w:rPr>
                <w:rFonts w:ascii="KaiTi_GB2312" w:eastAsia="KaiTi_GB2312" w:hint="eastAsia"/>
                <w:sz w:val="15"/>
                <w:szCs w:val="24"/>
              </w:rPr>
              <w:t>年</w:t>
            </w:r>
          </w:p>
        </w:tc>
        <w:tc>
          <w:tcPr>
            <w:tcW w:w="99" w:type="dxa"/>
            <w:tcBorders>
              <w:top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rPr>
            </w:pPr>
          </w:p>
        </w:tc>
        <w:tc>
          <w:tcPr>
            <w:tcW w:w="1983" w:type="dxa"/>
            <w:gridSpan w:val="3"/>
            <w:tcBorders>
              <w:top w:val="single" w:sz="4" w:space="0" w:color="auto"/>
              <w:bottom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rPr>
            </w:pPr>
            <w:r w:rsidRPr="00674C4B">
              <w:rPr>
                <w:rFonts w:ascii="KaiTi_GB2312" w:eastAsia="KaiTi_GB2312"/>
                <w:sz w:val="15"/>
                <w:szCs w:val="24"/>
              </w:rPr>
              <w:t>2009</w:t>
            </w:r>
            <w:r w:rsidRPr="00674C4B">
              <w:rPr>
                <w:rFonts w:ascii="KaiTi_GB2312" w:eastAsia="KaiTi_GB2312" w:hint="eastAsia"/>
                <w:sz w:val="15"/>
                <w:szCs w:val="24"/>
              </w:rPr>
              <w:t>年</w:t>
            </w:r>
          </w:p>
        </w:tc>
        <w:tc>
          <w:tcPr>
            <w:tcW w:w="99" w:type="dxa"/>
            <w:tcBorders>
              <w:top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rPr>
            </w:pPr>
          </w:p>
        </w:tc>
        <w:tc>
          <w:tcPr>
            <w:tcW w:w="1984" w:type="dxa"/>
            <w:gridSpan w:val="3"/>
            <w:tcBorders>
              <w:top w:val="single" w:sz="4" w:space="0" w:color="auto"/>
              <w:bottom w:val="single" w:sz="4" w:space="0" w:color="auto"/>
            </w:tcBorders>
            <w:shd w:val="clear" w:color="auto" w:fill="auto"/>
            <w:vAlign w:val="bottom"/>
          </w:tcPr>
          <w:p w:rsidR="00674C4B" w:rsidRPr="00674C4B" w:rsidRDefault="00674C4B" w:rsidP="00674C4B">
            <w:pPr>
              <w:pStyle w:val="SingleTxtG"/>
              <w:spacing w:before="60" w:after="60" w:line="200" w:lineRule="exact"/>
              <w:ind w:left="0" w:right="57"/>
              <w:jc w:val="center"/>
              <w:rPr>
                <w:rFonts w:ascii="KaiTi_GB2312" w:eastAsia="KaiTi_GB2312"/>
                <w:sz w:val="15"/>
                <w:szCs w:val="24"/>
              </w:rPr>
            </w:pPr>
            <w:r w:rsidRPr="00674C4B">
              <w:rPr>
                <w:rFonts w:ascii="KaiTi_GB2312" w:eastAsia="KaiTi_GB2312"/>
                <w:sz w:val="15"/>
                <w:szCs w:val="24"/>
              </w:rPr>
              <w:t>2011</w:t>
            </w:r>
            <w:r w:rsidRPr="00674C4B">
              <w:rPr>
                <w:rFonts w:ascii="KaiTi_GB2312" w:eastAsia="KaiTi_GB2312" w:hint="eastAsia"/>
                <w:sz w:val="15"/>
                <w:szCs w:val="24"/>
              </w:rPr>
              <w:t>年</w:t>
            </w:r>
          </w:p>
        </w:tc>
      </w:tr>
      <w:tr w:rsidR="00674C4B" w:rsidRPr="00674C4B" w:rsidTr="00641AFA">
        <w:trPr>
          <w:trHeight w:val="240"/>
          <w:tblHeader/>
        </w:trPr>
        <w:tc>
          <w:tcPr>
            <w:tcW w:w="1484" w:type="dxa"/>
            <w:tcBorders>
              <w:bottom w:val="single" w:sz="12" w:space="0" w:color="auto"/>
            </w:tcBorders>
            <w:shd w:val="clear" w:color="auto" w:fill="auto"/>
            <w:vAlign w:val="bottom"/>
          </w:tcPr>
          <w:p w:rsidR="00674C4B" w:rsidRPr="00674C4B" w:rsidRDefault="00674C4B" w:rsidP="00674C4B">
            <w:pPr>
              <w:pStyle w:val="SingleTxtG"/>
              <w:spacing w:before="60" w:after="60" w:line="200" w:lineRule="exact"/>
              <w:ind w:left="0" w:right="57"/>
              <w:jc w:val="left"/>
              <w:rPr>
                <w:rFonts w:ascii="KaiTi_GB2312" w:eastAsia="KaiTi_GB2312"/>
                <w:sz w:val="15"/>
                <w:szCs w:val="24"/>
              </w:rPr>
            </w:pPr>
          </w:p>
        </w:tc>
        <w:tc>
          <w:tcPr>
            <w:tcW w:w="694" w:type="dxa"/>
            <w:tcBorders>
              <w:top w:val="single" w:sz="4" w:space="0" w:color="auto"/>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男</w:t>
            </w:r>
          </w:p>
        </w:tc>
        <w:tc>
          <w:tcPr>
            <w:tcW w:w="608" w:type="dxa"/>
            <w:tcBorders>
              <w:top w:val="single" w:sz="4" w:space="0" w:color="auto"/>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w:t>
            </w:r>
          </w:p>
        </w:tc>
        <w:tc>
          <w:tcPr>
            <w:tcW w:w="780" w:type="dxa"/>
            <w:tcBorders>
              <w:top w:val="single" w:sz="4" w:space="0" w:color="auto"/>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女性比例</w:t>
            </w:r>
          </w:p>
        </w:tc>
        <w:tc>
          <w:tcPr>
            <w:tcW w:w="662" w:type="dxa"/>
            <w:gridSpan w:val="2"/>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男</w:t>
            </w:r>
          </w:p>
        </w:tc>
        <w:tc>
          <w:tcPr>
            <w:tcW w:w="616" w:type="dxa"/>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w:t>
            </w:r>
          </w:p>
        </w:tc>
        <w:tc>
          <w:tcPr>
            <w:tcW w:w="804" w:type="dxa"/>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女性比例</w:t>
            </w:r>
          </w:p>
        </w:tc>
        <w:tc>
          <w:tcPr>
            <w:tcW w:w="581" w:type="dxa"/>
            <w:gridSpan w:val="2"/>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男</w:t>
            </w:r>
          </w:p>
        </w:tc>
        <w:tc>
          <w:tcPr>
            <w:tcW w:w="672" w:type="dxa"/>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w:t>
            </w:r>
          </w:p>
        </w:tc>
        <w:tc>
          <w:tcPr>
            <w:tcW w:w="829" w:type="dxa"/>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女性比例</w:t>
            </w:r>
          </w:p>
        </w:tc>
        <w:tc>
          <w:tcPr>
            <w:tcW w:w="655" w:type="dxa"/>
            <w:gridSpan w:val="2"/>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男</w:t>
            </w:r>
          </w:p>
        </w:tc>
        <w:tc>
          <w:tcPr>
            <w:tcW w:w="630" w:type="dxa"/>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w:t>
            </w:r>
          </w:p>
        </w:tc>
        <w:tc>
          <w:tcPr>
            <w:tcW w:w="798" w:type="dxa"/>
            <w:tcBorders>
              <w:bottom w:val="single" w:sz="12" w:space="0" w:color="auto"/>
            </w:tcBorders>
            <w:shd w:val="clear" w:color="auto" w:fill="auto"/>
            <w:vAlign w:val="bottom"/>
          </w:tcPr>
          <w:p w:rsidR="00674C4B" w:rsidRPr="00674C4B" w:rsidRDefault="00674C4B" w:rsidP="002270F4">
            <w:pPr>
              <w:pStyle w:val="SingleTxtG"/>
              <w:spacing w:before="60" w:after="60" w:line="200" w:lineRule="exact"/>
              <w:ind w:left="0" w:right="57"/>
              <w:jc w:val="right"/>
              <w:rPr>
                <w:rFonts w:ascii="KaiTi_GB2312" w:eastAsia="KaiTi_GB2312"/>
                <w:sz w:val="15"/>
                <w:szCs w:val="24"/>
              </w:rPr>
            </w:pPr>
            <w:r w:rsidRPr="00674C4B">
              <w:rPr>
                <w:rFonts w:ascii="KaiTi_GB2312" w:eastAsia="KaiTi_GB2312" w:hint="eastAsia"/>
                <w:sz w:val="15"/>
                <w:szCs w:val="24"/>
              </w:rPr>
              <w:t>女性比例</w:t>
            </w:r>
          </w:p>
        </w:tc>
      </w:tr>
      <w:tr w:rsidR="00674C4B" w:rsidRPr="00674C4B" w:rsidTr="00641AFA">
        <w:trPr>
          <w:trHeight w:hRule="exact" w:val="115"/>
          <w:tblHeader/>
        </w:trPr>
        <w:tc>
          <w:tcPr>
            <w:tcW w:w="1484"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left"/>
              <w:rPr>
                <w:sz w:val="17"/>
                <w:szCs w:val="24"/>
              </w:rPr>
            </w:pPr>
          </w:p>
        </w:tc>
        <w:tc>
          <w:tcPr>
            <w:tcW w:w="694"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608"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780"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662" w:type="dxa"/>
            <w:gridSpan w:val="2"/>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616"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804"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581" w:type="dxa"/>
            <w:gridSpan w:val="2"/>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672"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829"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655" w:type="dxa"/>
            <w:gridSpan w:val="2"/>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630"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c>
          <w:tcPr>
            <w:tcW w:w="798" w:type="dxa"/>
            <w:tcBorders>
              <w:top w:val="single" w:sz="12" w:space="0" w:color="auto"/>
            </w:tcBorders>
            <w:shd w:val="clear" w:color="auto" w:fill="auto"/>
            <w:vAlign w:val="bottom"/>
          </w:tcPr>
          <w:p w:rsidR="00674C4B" w:rsidRPr="00674C4B" w:rsidRDefault="00674C4B" w:rsidP="00674C4B">
            <w:pPr>
              <w:pStyle w:val="SingleTxtG"/>
              <w:spacing w:after="60" w:line="280" w:lineRule="exact"/>
              <w:ind w:left="0" w:right="57"/>
              <w:jc w:val="right"/>
              <w:rPr>
                <w:rFonts w:ascii="SimSun" w:hint="eastAsia"/>
                <w:noProof/>
                <w:sz w:val="17"/>
                <w:szCs w:val="24"/>
                <w:lang w:val="en-US"/>
              </w:rPr>
            </w:pPr>
          </w:p>
        </w:tc>
      </w:tr>
      <w:tr w:rsidR="00674C4B" w:rsidRPr="00674C4B" w:rsidTr="00641AFA">
        <w:trPr>
          <w:trHeight w:val="240"/>
        </w:trPr>
        <w:tc>
          <w:tcPr>
            <w:tcW w:w="1484"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rPr>
                <w:sz w:val="17"/>
                <w:szCs w:val="24"/>
              </w:rPr>
            </w:pPr>
            <w:r w:rsidRPr="00674C4B">
              <w:rPr>
                <w:rFonts w:ascii="SimSun" w:hint="eastAsia"/>
                <w:noProof/>
                <w:sz w:val="17"/>
                <w:szCs w:val="24"/>
                <w:lang w:val="en-US"/>
              </w:rPr>
              <w:t>教授</w:t>
            </w:r>
          </w:p>
        </w:tc>
        <w:tc>
          <w:tcPr>
            <w:tcW w:w="694" w:type="dxa"/>
            <w:shd w:val="clear" w:color="auto" w:fill="auto"/>
            <w:vAlign w:val="bottom"/>
          </w:tcPr>
          <w:p w:rsidR="00674C4B" w:rsidRPr="00674C4B" w:rsidRDefault="00674C4B" w:rsidP="00DC4C76">
            <w:pPr>
              <w:pStyle w:val="SingleTxtG"/>
              <w:spacing w:after="60" w:line="240" w:lineRule="exact"/>
              <w:ind w:left="0" w:right="57"/>
              <w:jc w:val="right"/>
              <w:rPr>
                <w:rFonts w:ascii="SimSun" w:hAnsi="SimSun"/>
                <w:sz w:val="17"/>
                <w:szCs w:val="24"/>
              </w:rPr>
            </w:pPr>
            <w:r w:rsidRPr="00674C4B">
              <w:rPr>
                <w:rFonts w:ascii="SimSun" w:hAnsi="SimSun"/>
                <w:sz w:val="17"/>
                <w:szCs w:val="24"/>
              </w:rPr>
              <w:t>941</w:t>
            </w:r>
          </w:p>
        </w:tc>
        <w:tc>
          <w:tcPr>
            <w:tcW w:w="608"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74</w:t>
            </w:r>
          </w:p>
        </w:tc>
        <w:tc>
          <w:tcPr>
            <w:tcW w:w="780"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 xml:space="preserve">7.3 </w:t>
            </w:r>
          </w:p>
        </w:tc>
        <w:tc>
          <w:tcPr>
            <w:tcW w:w="662" w:type="dxa"/>
            <w:gridSpan w:val="2"/>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200</w:t>
            </w:r>
          </w:p>
        </w:tc>
        <w:tc>
          <w:tcPr>
            <w:tcW w:w="616"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162</w:t>
            </w:r>
          </w:p>
        </w:tc>
        <w:tc>
          <w:tcPr>
            <w:tcW w:w="804"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11.9</w:t>
            </w:r>
          </w:p>
        </w:tc>
        <w:tc>
          <w:tcPr>
            <w:tcW w:w="581" w:type="dxa"/>
            <w:gridSpan w:val="2"/>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428</w:t>
            </w:r>
          </w:p>
        </w:tc>
        <w:tc>
          <w:tcPr>
            <w:tcW w:w="672"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262</w:t>
            </w:r>
          </w:p>
        </w:tc>
        <w:tc>
          <w:tcPr>
            <w:tcW w:w="829"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15.5</w:t>
            </w:r>
          </w:p>
        </w:tc>
        <w:tc>
          <w:tcPr>
            <w:tcW w:w="655" w:type="dxa"/>
            <w:gridSpan w:val="2"/>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516</w:t>
            </w:r>
          </w:p>
        </w:tc>
        <w:tc>
          <w:tcPr>
            <w:tcW w:w="630"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294</w:t>
            </w:r>
          </w:p>
        </w:tc>
        <w:tc>
          <w:tcPr>
            <w:tcW w:w="798"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16.2</w:t>
            </w:r>
          </w:p>
        </w:tc>
      </w:tr>
      <w:tr w:rsidR="00674C4B" w:rsidRPr="00674C4B" w:rsidTr="00641AFA">
        <w:trPr>
          <w:trHeight w:val="240"/>
        </w:trPr>
        <w:tc>
          <w:tcPr>
            <w:tcW w:w="1484"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rPr>
                <w:sz w:val="17"/>
                <w:szCs w:val="24"/>
              </w:rPr>
            </w:pPr>
            <w:r w:rsidRPr="00674C4B">
              <w:rPr>
                <w:rFonts w:ascii="SimSun" w:hint="eastAsia"/>
                <w:noProof/>
                <w:sz w:val="17"/>
                <w:szCs w:val="24"/>
                <w:lang w:val="en-US"/>
              </w:rPr>
              <w:t>副教授</w:t>
            </w:r>
          </w:p>
        </w:tc>
        <w:tc>
          <w:tcPr>
            <w:tcW w:w="694"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w:t>
            </w:r>
            <w:r w:rsidR="00641AFA">
              <w:rPr>
                <w:rFonts w:ascii="SimSun" w:hAnsi="SimSun"/>
                <w:sz w:val="17"/>
                <w:szCs w:val="24"/>
              </w:rPr>
              <w:t xml:space="preserve"> </w:t>
            </w:r>
            <w:r w:rsidRPr="00674C4B">
              <w:rPr>
                <w:rFonts w:ascii="SimSun" w:hAnsi="SimSun"/>
                <w:sz w:val="17"/>
                <w:szCs w:val="24"/>
              </w:rPr>
              <w:t>927</w:t>
            </w:r>
          </w:p>
        </w:tc>
        <w:tc>
          <w:tcPr>
            <w:tcW w:w="608"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817</w:t>
            </w:r>
          </w:p>
        </w:tc>
        <w:tc>
          <w:tcPr>
            <w:tcW w:w="780"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21.8</w:t>
            </w:r>
          </w:p>
        </w:tc>
        <w:tc>
          <w:tcPr>
            <w:tcW w:w="662" w:type="dxa"/>
            <w:gridSpan w:val="2"/>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w:t>
            </w:r>
            <w:r w:rsidR="00641AFA">
              <w:rPr>
                <w:rFonts w:ascii="SimSun" w:hAnsi="SimSun"/>
                <w:sz w:val="17"/>
                <w:szCs w:val="24"/>
              </w:rPr>
              <w:t xml:space="preserve"> </w:t>
            </w:r>
            <w:r w:rsidRPr="00674C4B">
              <w:rPr>
                <w:rFonts w:ascii="SimSun" w:hAnsi="SimSun"/>
                <w:sz w:val="17"/>
                <w:szCs w:val="24"/>
              </w:rPr>
              <w:t>708</w:t>
            </w:r>
          </w:p>
        </w:tc>
        <w:tc>
          <w:tcPr>
            <w:tcW w:w="616"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907</w:t>
            </w:r>
          </w:p>
        </w:tc>
        <w:tc>
          <w:tcPr>
            <w:tcW w:w="804"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25.1</w:t>
            </w:r>
          </w:p>
        </w:tc>
        <w:tc>
          <w:tcPr>
            <w:tcW w:w="581" w:type="dxa"/>
            <w:gridSpan w:val="2"/>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w:t>
            </w:r>
            <w:r w:rsidR="00641AFA">
              <w:rPr>
                <w:rFonts w:ascii="SimSun" w:hAnsi="SimSun"/>
                <w:sz w:val="17"/>
                <w:szCs w:val="24"/>
              </w:rPr>
              <w:t xml:space="preserve"> </w:t>
            </w:r>
            <w:r w:rsidRPr="00674C4B">
              <w:rPr>
                <w:rFonts w:ascii="SimSun" w:hAnsi="SimSun"/>
                <w:sz w:val="17"/>
                <w:szCs w:val="24"/>
              </w:rPr>
              <w:t>959</w:t>
            </w:r>
          </w:p>
        </w:tc>
        <w:tc>
          <w:tcPr>
            <w:tcW w:w="672"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188</w:t>
            </w:r>
          </w:p>
        </w:tc>
        <w:tc>
          <w:tcPr>
            <w:tcW w:w="829"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28.6</w:t>
            </w:r>
          </w:p>
        </w:tc>
        <w:tc>
          <w:tcPr>
            <w:tcW w:w="655" w:type="dxa"/>
            <w:gridSpan w:val="2"/>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3</w:t>
            </w:r>
            <w:r w:rsidR="00641AFA">
              <w:rPr>
                <w:rFonts w:ascii="SimSun" w:hAnsi="SimSun"/>
                <w:sz w:val="17"/>
                <w:szCs w:val="24"/>
              </w:rPr>
              <w:t xml:space="preserve"> </w:t>
            </w:r>
            <w:r w:rsidRPr="00674C4B">
              <w:rPr>
                <w:rFonts w:ascii="SimSun" w:hAnsi="SimSun"/>
                <w:sz w:val="17"/>
                <w:szCs w:val="24"/>
              </w:rPr>
              <w:t>051</w:t>
            </w:r>
          </w:p>
        </w:tc>
        <w:tc>
          <w:tcPr>
            <w:tcW w:w="630"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218</w:t>
            </w:r>
          </w:p>
        </w:tc>
        <w:tc>
          <w:tcPr>
            <w:tcW w:w="798" w:type="dxa"/>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28.5</w:t>
            </w:r>
          </w:p>
        </w:tc>
      </w:tr>
      <w:tr w:rsidR="00674C4B" w:rsidRPr="00674C4B" w:rsidTr="00641AFA">
        <w:trPr>
          <w:trHeight w:val="240"/>
        </w:trPr>
        <w:tc>
          <w:tcPr>
            <w:tcW w:w="1484"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rPr>
                <w:sz w:val="17"/>
                <w:szCs w:val="24"/>
              </w:rPr>
            </w:pPr>
            <w:r w:rsidRPr="00674C4B">
              <w:rPr>
                <w:rFonts w:ascii="SimSun" w:hint="eastAsia"/>
                <w:sz w:val="17"/>
                <w:szCs w:val="24"/>
                <w:lang w:val="zh-CN"/>
              </w:rPr>
              <w:t>助理教授</w:t>
            </w:r>
            <w:r w:rsidRPr="00674C4B">
              <w:rPr>
                <w:rFonts w:ascii="SimSun" w:hint="eastAsia"/>
                <w:noProof/>
                <w:sz w:val="17"/>
                <w:szCs w:val="24"/>
              </w:rPr>
              <w:t>/</w:t>
            </w:r>
            <w:r w:rsidRPr="00674C4B">
              <w:rPr>
                <w:rFonts w:ascii="SimSun" w:hint="eastAsia"/>
                <w:sz w:val="17"/>
                <w:szCs w:val="24"/>
                <w:lang w:val="zh-CN"/>
              </w:rPr>
              <w:t>博士后</w:t>
            </w:r>
          </w:p>
        </w:tc>
        <w:tc>
          <w:tcPr>
            <w:tcW w:w="694"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768</w:t>
            </w:r>
          </w:p>
        </w:tc>
        <w:tc>
          <w:tcPr>
            <w:tcW w:w="608"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432</w:t>
            </w:r>
          </w:p>
        </w:tc>
        <w:tc>
          <w:tcPr>
            <w:tcW w:w="780"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36.0</w:t>
            </w:r>
          </w:p>
        </w:tc>
        <w:tc>
          <w:tcPr>
            <w:tcW w:w="662" w:type="dxa"/>
            <w:gridSpan w:val="2"/>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119</w:t>
            </w:r>
          </w:p>
        </w:tc>
        <w:tc>
          <w:tcPr>
            <w:tcW w:w="616"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738</w:t>
            </w:r>
          </w:p>
        </w:tc>
        <w:tc>
          <w:tcPr>
            <w:tcW w:w="804"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39.7</w:t>
            </w:r>
          </w:p>
        </w:tc>
        <w:tc>
          <w:tcPr>
            <w:tcW w:w="581" w:type="dxa"/>
            <w:gridSpan w:val="2"/>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642</w:t>
            </w:r>
          </w:p>
        </w:tc>
        <w:tc>
          <w:tcPr>
            <w:tcW w:w="672"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983</w:t>
            </w:r>
          </w:p>
        </w:tc>
        <w:tc>
          <w:tcPr>
            <w:tcW w:w="829"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37.4</w:t>
            </w:r>
          </w:p>
        </w:tc>
        <w:tc>
          <w:tcPr>
            <w:tcW w:w="655" w:type="dxa"/>
            <w:gridSpan w:val="2"/>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783</w:t>
            </w:r>
          </w:p>
        </w:tc>
        <w:tc>
          <w:tcPr>
            <w:tcW w:w="630"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1</w:t>
            </w:r>
            <w:r w:rsidR="00641AFA">
              <w:rPr>
                <w:rFonts w:ascii="SimSun" w:hAnsi="SimSun"/>
                <w:sz w:val="17"/>
                <w:szCs w:val="24"/>
              </w:rPr>
              <w:t xml:space="preserve"> </w:t>
            </w:r>
            <w:r w:rsidRPr="00674C4B">
              <w:rPr>
                <w:rFonts w:ascii="SimSun" w:hAnsi="SimSun"/>
                <w:sz w:val="17"/>
                <w:szCs w:val="24"/>
              </w:rPr>
              <w:t>216</w:t>
            </w:r>
          </w:p>
        </w:tc>
        <w:tc>
          <w:tcPr>
            <w:tcW w:w="798" w:type="dxa"/>
            <w:tcBorders>
              <w:bottom w:val="single" w:sz="4" w:space="0" w:color="auto"/>
            </w:tcBorders>
            <w:shd w:val="clear" w:color="auto" w:fill="auto"/>
            <w:vAlign w:val="bottom"/>
          </w:tcPr>
          <w:p w:rsidR="00674C4B" w:rsidRPr="00674C4B" w:rsidRDefault="00674C4B" w:rsidP="00DC4C76">
            <w:pPr>
              <w:pStyle w:val="SingleTxtG"/>
              <w:tabs>
                <w:tab w:val="left" w:pos="334"/>
                <w:tab w:val="left" w:pos="669"/>
                <w:tab w:val="left" w:pos="1003"/>
                <w:tab w:val="left" w:pos="1338"/>
              </w:tabs>
              <w:spacing w:after="60" w:line="240" w:lineRule="exact"/>
              <w:ind w:left="0" w:right="57"/>
              <w:jc w:val="right"/>
              <w:rPr>
                <w:rFonts w:ascii="SimSun" w:hAnsi="SimSun"/>
                <w:sz w:val="17"/>
                <w:szCs w:val="24"/>
              </w:rPr>
            </w:pPr>
            <w:r w:rsidRPr="00674C4B">
              <w:rPr>
                <w:rFonts w:ascii="SimSun" w:hAnsi="SimSun"/>
                <w:sz w:val="17"/>
                <w:szCs w:val="24"/>
              </w:rPr>
              <w:t>40.5</w:t>
            </w:r>
          </w:p>
        </w:tc>
      </w:tr>
      <w:tr w:rsidR="00674C4B" w:rsidRPr="00674C4B" w:rsidTr="00641AFA">
        <w:trPr>
          <w:trHeight w:val="240"/>
        </w:trPr>
        <w:tc>
          <w:tcPr>
            <w:tcW w:w="1484"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rPr>
                <w:rFonts w:ascii="SimHei" w:eastAsia="SimHei"/>
                <w:b/>
                <w:sz w:val="17"/>
                <w:szCs w:val="24"/>
              </w:rPr>
            </w:pPr>
            <w:r>
              <w:rPr>
                <w:rFonts w:ascii="SimHei" w:eastAsia="SimHei"/>
                <w:b/>
                <w:noProof/>
                <w:sz w:val="17"/>
                <w:szCs w:val="24"/>
                <w:lang w:val="en-US" w:eastAsia="zh-CN"/>
              </w:rPr>
              <w:tab/>
            </w:r>
            <w:r w:rsidRPr="00674C4B">
              <w:rPr>
                <w:rFonts w:ascii="SimHei" w:eastAsia="SimHei" w:hint="eastAsia"/>
                <w:b/>
                <w:noProof/>
                <w:sz w:val="17"/>
                <w:szCs w:val="24"/>
                <w:lang w:val="en-US"/>
              </w:rPr>
              <w:t>共计</w:t>
            </w:r>
          </w:p>
        </w:tc>
        <w:tc>
          <w:tcPr>
            <w:tcW w:w="694"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4</w:t>
            </w:r>
            <w:r w:rsidR="00641AFA">
              <w:rPr>
                <w:rFonts w:ascii="SimHei" w:eastAsia="SimHei"/>
                <w:b/>
                <w:sz w:val="17"/>
                <w:szCs w:val="24"/>
              </w:rPr>
              <w:t xml:space="preserve"> </w:t>
            </w:r>
            <w:r w:rsidRPr="00674C4B">
              <w:rPr>
                <w:rFonts w:ascii="SimHei" w:eastAsia="SimHei"/>
                <w:b/>
                <w:sz w:val="17"/>
                <w:szCs w:val="24"/>
              </w:rPr>
              <w:t>636</w:t>
            </w:r>
          </w:p>
        </w:tc>
        <w:tc>
          <w:tcPr>
            <w:tcW w:w="608"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1</w:t>
            </w:r>
            <w:r w:rsidR="00641AFA">
              <w:rPr>
                <w:rFonts w:ascii="SimHei" w:eastAsia="SimHei"/>
                <w:b/>
                <w:sz w:val="17"/>
                <w:szCs w:val="24"/>
              </w:rPr>
              <w:t xml:space="preserve"> </w:t>
            </w:r>
            <w:r w:rsidRPr="00674C4B">
              <w:rPr>
                <w:rFonts w:ascii="SimHei" w:eastAsia="SimHei"/>
                <w:b/>
                <w:sz w:val="17"/>
                <w:szCs w:val="24"/>
              </w:rPr>
              <w:t>323</w:t>
            </w:r>
          </w:p>
        </w:tc>
        <w:tc>
          <w:tcPr>
            <w:tcW w:w="780"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22.2</w:t>
            </w:r>
          </w:p>
        </w:tc>
        <w:tc>
          <w:tcPr>
            <w:tcW w:w="662" w:type="dxa"/>
            <w:gridSpan w:val="2"/>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5</w:t>
            </w:r>
            <w:r w:rsidR="00641AFA">
              <w:rPr>
                <w:rFonts w:ascii="SimHei" w:eastAsia="SimHei"/>
                <w:b/>
                <w:sz w:val="17"/>
                <w:szCs w:val="24"/>
              </w:rPr>
              <w:t xml:space="preserve"> </w:t>
            </w:r>
            <w:r w:rsidRPr="00674C4B">
              <w:rPr>
                <w:rFonts w:ascii="SimHei" w:eastAsia="SimHei"/>
                <w:b/>
                <w:sz w:val="17"/>
                <w:szCs w:val="24"/>
              </w:rPr>
              <w:t>027</w:t>
            </w:r>
          </w:p>
        </w:tc>
        <w:tc>
          <w:tcPr>
            <w:tcW w:w="616"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1</w:t>
            </w:r>
            <w:r w:rsidR="00641AFA">
              <w:rPr>
                <w:rFonts w:ascii="SimHei" w:eastAsia="SimHei"/>
                <w:b/>
                <w:sz w:val="17"/>
                <w:szCs w:val="24"/>
              </w:rPr>
              <w:t xml:space="preserve"> </w:t>
            </w:r>
            <w:r w:rsidRPr="00674C4B">
              <w:rPr>
                <w:rFonts w:ascii="SimHei" w:eastAsia="SimHei"/>
                <w:b/>
                <w:sz w:val="17"/>
                <w:szCs w:val="24"/>
              </w:rPr>
              <w:t>807</w:t>
            </w:r>
          </w:p>
        </w:tc>
        <w:tc>
          <w:tcPr>
            <w:tcW w:w="804"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26.4</w:t>
            </w:r>
          </w:p>
        </w:tc>
        <w:tc>
          <w:tcPr>
            <w:tcW w:w="581" w:type="dxa"/>
            <w:gridSpan w:val="2"/>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6</w:t>
            </w:r>
            <w:r w:rsidR="00641AFA">
              <w:rPr>
                <w:rFonts w:ascii="SimHei" w:eastAsia="SimHei"/>
                <w:b/>
                <w:sz w:val="17"/>
                <w:szCs w:val="24"/>
              </w:rPr>
              <w:t xml:space="preserve"> </w:t>
            </w:r>
            <w:r w:rsidRPr="00674C4B">
              <w:rPr>
                <w:rFonts w:ascii="SimHei" w:eastAsia="SimHei"/>
                <w:b/>
                <w:sz w:val="17"/>
                <w:szCs w:val="24"/>
              </w:rPr>
              <w:t>029</w:t>
            </w:r>
          </w:p>
        </w:tc>
        <w:tc>
          <w:tcPr>
            <w:tcW w:w="672"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2</w:t>
            </w:r>
            <w:r w:rsidR="00641AFA">
              <w:rPr>
                <w:rFonts w:ascii="SimHei" w:eastAsia="SimHei"/>
                <w:b/>
                <w:sz w:val="17"/>
                <w:szCs w:val="24"/>
              </w:rPr>
              <w:t xml:space="preserve"> </w:t>
            </w:r>
            <w:r w:rsidRPr="00674C4B">
              <w:rPr>
                <w:rFonts w:ascii="SimHei" w:eastAsia="SimHei"/>
                <w:b/>
                <w:sz w:val="17"/>
                <w:szCs w:val="24"/>
              </w:rPr>
              <w:t>433</w:t>
            </w:r>
          </w:p>
        </w:tc>
        <w:tc>
          <w:tcPr>
            <w:tcW w:w="829"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28.8</w:t>
            </w:r>
          </w:p>
        </w:tc>
        <w:tc>
          <w:tcPr>
            <w:tcW w:w="655" w:type="dxa"/>
            <w:gridSpan w:val="2"/>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6</w:t>
            </w:r>
            <w:r w:rsidR="00641AFA">
              <w:rPr>
                <w:rFonts w:ascii="SimHei" w:eastAsia="SimHei"/>
                <w:b/>
                <w:sz w:val="17"/>
                <w:szCs w:val="24"/>
              </w:rPr>
              <w:t xml:space="preserve"> </w:t>
            </w:r>
            <w:r w:rsidRPr="00674C4B">
              <w:rPr>
                <w:rFonts w:ascii="SimHei" w:eastAsia="SimHei"/>
                <w:b/>
                <w:sz w:val="17"/>
                <w:szCs w:val="24"/>
              </w:rPr>
              <w:t>350</w:t>
            </w:r>
          </w:p>
        </w:tc>
        <w:tc>
          <w:tcPr>
            <w:tcW w:w="630"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2</w:t>
            </w:r>
            <w:r w:rsidR="00641AFA">
              <w:rPr>
                <w:rFonts w:ascii="SimHei" w:eastAsia="SimHei"/>
                <w:b/>
                <w:sz w:val="17"/>
                <w:szCs w:val="24"/>
              </w:rPr>
              <w:t xml:space="preserve"> </w:t>
            </w:r>
            <w:r w:rsidRPr="00674C4B">
              <w:rPr>
                <w:rFonts w:ascii="SimHei" w:eastAsia="SimHei"/>
                <w:b/>
                <w:sz w:val="17"/>
                <w:szCs w:val="24"/>
              </w:rPr>
              <w:t>728</w:t>
            </w:r>
          </w:p>
        </w:tc>
        <w:tc>
          <w:tcPr>
            <w:tcW w:w="798" w:type="dxa"/>
            <w:tcBorders>
              <w:top w:val="single" w:sz="4" w:space="0" w:color="auto"/>
              <w:bottom w:val="single" w:sz="12" w:space="0" w:color="auto"/>
            </w:tcBorders>
            <w:shd w:val="clear" w:color="auto" w:fill="auto"/>
            <w:vAlign w:val="bottom"/>
          </w:tcPr>
          <w:p w:rsidR="00674C4B" w:rsidRPr="00674C4B" w:rsidRDefault="00674C4B" w:rsidP="00674C4B">
            <w:pPr>
              <w:pStyle w:val="SingleTxtG"/>
              <w:tabs>
                <w:tab w:val="left" w:pos="334"/>
                <w:tab w:val="left" w:pos="669"/>
                <w:tab w:val="left" w:pos="1003"/>
                <w:tab w:val="left" w:pos="1338"/>
              </w:tabs>
              <w:spacing w:before="80" w:after="80" w:line="280" w:lineRule="exact"/>
              <w:ind w:left="0" w:right="57"/>
              <w:jc w:val="right"/>
              <w:rPr>
                <w:rFonts w:ascii="SimHei" w:eastAsia="SimHei"/>
                <w:b/>
                <w:sz w:val="17"/>
                <w:szCs w:val="24"/>
              </w:rPr>
            </w:pPr>
            <w:r w:rsidRPr="00674C4B">
              <w:rPr>
                <w:rFonts w:ascii="SimHei" w:eastAsia="SimHei"/>
                <w:b/>
                <w:sz w:val="17"/>
                <w:szCs w:val="24"/>
              </w:rPr>
              <w:t>30.1</w:t>
            </w:r>
          </w:p>
        </w:tc>
      </w:tr>
    </w:tbl>
    <w:p w:rsidR="00674C4B" w:rsidRPr="00674C4B" w:rsidRDefault="00674C4B" w:rsidP="00674C4B">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674C4B" w:rsidRDefault="00DC4C76" w:rsidP="00674C4B">
      <w:pPr>
        <w:pStyle w:val="FootnoteText"/>
        <w:tabs>
          <w:tab w:val="clear" w:pos="418"/>
          <w:tab w:val="right" w:pos="216"/>
          <w:tab w:val="left" w:pos="288"/>
          <w:tab w:val="right" w:pos="576"/>
          <w:tab w:val="left" w:pos="648"/>
        </w:tabs>
        <w:ind w:left="288" w:hanging="288"/>
        <w:rPr>
          <w:rFonts w:hint="eastAsia"/>
        </w:rPr>
      </w:pPr>
      <w:r>
        <w:rPr>
          <w:rFonts w:hint="eastAsia"/>
        </w:rPr>
        <w:tab/>
      </w:r>
      <w:r w:rsidR="009303E0">
        <w:tab/>
      </w:r>
      <w:r w:rsidR="00674C4B">
        <w:rPr>
          <w:rFonts w:hint="eastAsia"/>
        </w:rPr>
        <w:t>2000年为列入博士后的人数。</w:t>
      </w:r>
    </w:p>
    <w:p w:rsidR="00674C4B" w:rsidRDefault="009303E0" w:rsidP="00674C4B">
      <w:pPr>
        <w:pStyle w:val="FootnoteText"/>
        <w:tabs>
          <w:tab w:val="clear" w:pos="418"/>
          <w:tab w:val="right" w:pos="216"/>
          <w:tab w:val="left" w:pos="288"/>
          <w:tab w:val="right" w:pos="576"/>
          <w:tab w:val="left" w:pos="648"/>
        </w:tabs>
        <w:ind w:left="288" w:hanging="288"/>
        <w:rPr>
          <w:rFonts w:hint="eastAsia"/>
        </w:rPr>
      </w:pPr>
      <w:r>
        <w:rPr>
          <w:rFonts w:ascii="KaiTi_GB2312" w:eastAsia="KaiTi_GB2312" w:hint="eastAsia"/>
        </w:rPr>
        <w:tab/>
      </w:r>
      <w:r>
        <w:rPr>
          <w:rFonts w:ascii="KaiTi_GB2312" w:eastAsia="KaiTi_GB2312"/>
        </w:rPr>
        <w:tab/>
      </w:r>
      <w:r w:rsidR="00674C4B" w:rsidRPr="00674C4B">
        <w:rPr>
          <w:rFonts w:ascii="KaiTi_GB2312" w:eastAsia="KaiTi_GB2312" w:hint="eastAsia"/>
        </w:rPr>
        <w:t>资料来源</w:t>
      </w:r>
      <w:r w:rsidR="00674C4B">
        <w:rPr>
          <w:rFonts w:hint="eastAsia"/>
        </w:rPr>
        <w:t>：科研、创新和高等教育部</w:t>
      </w:r>
      <w:r w:rsidR="006D67CB">
        <w:rPr>
          <w:rFonts w:hint="eastAsia"/>
        </w:rPr>
        <w:t>。</w:t>
      </w:r>
    </w:p>
    <w:p w:rsidR="00DC4C76" w:rsidRPr="00DC4C76" w:rsidRDefault="00DC4C76" w:rsidP="00DC4C76">
      <w:pPr>
        <w:pStyle w:val="SingleTxt"/>
        <w:spacing w:after="0" w:line="120" w:lineRule="exact"/>
        <w:rPr>
          <w:rFonts w:ascii="SimHei" w:eastAsia="SimHei" w:hint="eastAsia"/>
          <w:sz w:val="10"/>
        </w:rPr>
      </w:pPr>
    </w:p>
    <w:p w:rsidR="00674C4B" w:rsidRPr="00DC4C76" w:rsidRDefault="00674C4B" w:rsidP="00674C4B">
      <w:pPr>
        <w:pStyle w:val="SingleTxt"/>
        <w:rPr>
          <w:rFonts w:ascii="SimHei" w:eastAsia="SimHei" w:hint="eastAsia"/>
        </w:rPr>
      </w:pPr>
      <w:r w:rsidRPr="00DC4C76">
        <w:rPr>
          <w:rFonts w:ascii="SimHei" w:eastAsia="SimHei" w:hint="eastAsia"/>
        </w:rPr>
        <w:t>研究经费</w:t>
      </w:r>
    </w:p>
    <w:p w:rsidR="00674C4B" w:rsidRDefault="00C10BAF" w:rsidP="00674C4B">
      <w:pPr>
        <w:pStyle w:val="SingleTxt"/>
        <w:rPr>
          <w:rFonts w:hint="eastAsia"/>
        </w:rPr>
      </w:pPr>
      <w:r>
        <w:rPr>
          <w:rFonts w:hint="eastAsia"/>
        </w:rPr>
        <w:tab/>
      </w:r>
      <w:r w:rsidR="00674C4B">
        <w:rPr>
          <w:rFonts w:hint="eastAsia"/>
        </w:rPr>
        <w:t>2008年至2009年，丹麦独立研究委员会制定了一项称为“女性研究领导人”的项目。这个项目针对的目标是至少拥有副教授头衔的女性。在进行这项举措之后，委员会决定将重点集中于参加“</w:t>
      </w:r>
      <w:r w:rsidR="00674C4B" w:rsidRPr="00891CDF">
        <w:rPr>
          <w:rFonts w:ascii="Times New Roman"/>
        </w:rPr>
        <w:t>Sapere Aude</w:t>
      </w:r>
      <w:r w:rsidR="00674C4B">
        <w:rPr>
          <w:rFonts w:hint="eastAsia"/>
        </w:rPr>
        <w:t>”方案的女性研究人员的举措。这个项目旨在加强有天份的研究人员、鼓励更多女性成为研究领导人员以及使丹麦研究人员符合申请欧洲出色研究人员奖助金的资格。这个方案在2010年启动，并将在2013年继续进行。</w:t>
      </w:r>
    </w:p>
    <w:p w:rsidR="00674C4B" w:rsidRDefault="00DC4C76" w:rsidP="00674C4B">
      <w:pPr>
        <w:pStyle w:val="SingleTxt"/>
        <w:rPr>
          <w:rFonts w:hint="eastAsia"/>
        </w:rPr>
      </w:pPr>
      <w:r>
        <w:rPr>
          <w:rFonts w:hint="eastAsia"/>
        </w:rPr>
        <w:tab/>
      </w:r>
      <w:r w:rsidR="00674C4B">
        <w:rPr>
          <w:rFonts w:hint="eastAsia"/>
        </w:rPr>
        <w:t>2013年3月，丹麦独立研究委员会将为委员会成员举办一次会议。此次会议的主题是在研究领域的男女性别问题，其中一个内容是跟进委员会在过去10年推动增加女性研究人员的举措的成果。</w:t>
      </w:r>
    </w:p>
    <w:p w:rsidR="00674C4B" w:rsidRPr="00C10BAF" w:rsidRDefault="00674C4B" w:rsidP="00674C4B">
      <w:pPr>
        <w:pStyle w:val="SingleTxt"/>
        <w:rPr>
          <w:rFonts w:ascii="SimHei" w:eastAsia="SimHei" w:hint="eastAsia"/>
        </w:rPr>
      </w:pPr>
      <w:r>
        <w:rPr>
          <w:rFonts w:hint="eastAsia"/>
        </w:rPr>
        <w:t>表4</w:t>
      </w:r>
      <w:r>
        <w:rPr>
          <w:rFonts w:hint="eastAsia"/>
        </w:rPr>
        <w:br/>
      </w:r>
      <w:r w:rsidRPr="00C10BAF">
        <w:rPr>
          <w:rFonts w:ascii="SimHei" w:eastAsia="SimHei" w:hint="eastAsia"/>
        </w:rPr>
        <w:t>2005-2009年按性别分列的获准率</w:t>
      </w:r>
      <w:r w:rsidR="00BA369E" w:rsidRPr="00C10BAF">
        <w:rPr>
          <w:rFonts w:ascii="SimHei" w:eastAsia="SimHei" w:hint="eastAsia"/>
        </w:rPr>
        <w:t>(</w:t>
      </w:r>
      <w:r w:rsidR="00DC4C76">
        <w:rPr>
          <w:rFonts w:ascii="SimHei" w:eastAsia="SimHei" w:hint="eastAsia"/>
        </w:rPr>
        <w:t>%</w:t>
      </w:r>
      <w:r w:rsidR="00BA369E" w:rsidRPr="00C10BAF">
        <w:rPr>
          <w:rFonts w:ascii="SimHei" w:eastAsia="SimHei" w:hint="eastAsia"/>
        </w:rPr>
        <w:t>)</w:t>
      </w:r>
    </w:p>
    <w:tbl>
      <w:tblPr>
        <w:tblW w:w="7323" w:type="dxa"/>
        <w:tblInd w:w="1267" w:type="dxa"/>
        <w:tblLayout w:type="fixed"/>
        <w:tblCellMar>
          <w:left w:w="0" w:type="dxa"/>
          <w:right w:w="0" w:type="dxa"/>
        </w:tblCellMar>
        <w:tblLook w:val="00A0"/>
      </w:tblPr>
      <w:tblGrid>
        <w:gridCol w:w="1659"/>
        <w:gridCol w:w="904"/>
        <w:gridCol w:w="680"/>
        <w:gridCol w:w="680"/>
        <w:gridCol w:w="680"/>
        <w:gridCol w:w="680"/>
        <w:gridCol w:w="680"/>
        <w:gridCol w:w="680"/>
        <w:gridCol w:w="680"/>
      </w:tblGrid>
      <w:tr w:rsidR="00674C4B" w:rsidRPr="00674C4B" w:rsidTr="009303E0">
        <w:trPr>
          <w:trHeight w:val="270"/>
          <w:tblHeader/>
        </w:trPr>
        <w:tc>
          <w:tcPr>
            <w:tcW w:w="1659"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rPr>
                <w:rFonts w:ascii="KaiTi_GB2312" w:eastAsia="KaiTi_GB2312"/>
                <w:sz w:val="15"/>
                <w:szCs w:val="24"/>
                <w:lang w:val="en-GB" w:eastAsia="en-US"/>
              </w:rPr>
            </w:pPr>
            <w:r w:rsidRPr="00674C4B">
              <w:rPr>
                <w:rFonts w:ascii="KaiTi_GB2312" w:eastAsia="KaiTi_GB2312" w:hint="eastAsia"/>
                <w:sz w:val="15"/>
                <w:szCs w:val="24"/>
                <w:lang w:val="en-GB" w:eastAsia="en-US"/>
              </w:rPr>
              <w:t>丹麦独立研究委员会</w:t>
            </w:r>
          </w:p>
        </w:tc>
        <w:tc>
          <w:tcPr>
            <w:tcW w:w="904" w:type="dxa"/>
            <w:tcBorders>
              <w:top w:val="single" w:sz="4" w:space="0" w:color="auto"/>
              <w:bottom w:val="single" w:sz="12" w:space="0" w:color="auto"/>
            </w:tcBorders>
            <w:shd w:val="clear" w:color="auto" w:fill="auto"/>
            <w:noWrap/>
            <w:vAlign w:val="bottom"/>
          </w:tcPr>
          <w:p w:rsidR="00674C4B" w:rsidRPr="00674C4B" w:rsidRDefault="00674C4B" w:rsidP="00AF5FB9">
            <w:pPr>
              <w:suppressAutoHyphens/>
              <w:spacing w:before="60" w:after="60" w:line="200" w:lineRule="exact"/>
              <w:ind w:right="57"/>
              <w:jc w:val="center"/>
              <w:rPr>
                <w:rFonts w:ascii="KaiTi_GB2312" w:eastAsia="KaiTi_GB2312"/>
                <w:sz w:val="15"/>
                <w:szCs w:val="24"/>
                <w:lang w:val="en-GB"/>
              </w:rPr>
            </w:pPr>
            <w:r w:rsidRPr="00674C4B">
              <w:rPr>
                <w:rFonts w:ascii="KaiTi_GB2312" w:eastAsia="KaiTi_GB2312" w:hint="eastAsia"/>
                <w:sz w:val="15"/>
                <w:szCs w:val="24"/>
                <w:lang w:val="en-GB"/>
              </w:rPr>
              <w:t>主要申请者</w:t>
            </w:r>
          </w:p>
        </w:tc>
        <w:tc>
          <w:tcPr>
            <w:tcW w:w="680" w:type="dxa"/>
            <w:tcBorders>
              <w:top w:val="single" w:sz="4" w:space="0" w:color="auto"/>
              <w:bottom w:val="single" w:sz="12" w:space="0" w:color="auto"/>
            </w:tcBorders>
            <w:shd w:val="clear" w:color="auto" w:fill="auto"/>
            <w:noWrap/>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rPr>
            </w:pPr>
            <w:r w:rsidRPr="00674C4B">
              <w:rPr>
                <w:rFonts w:ascii="KaiTi_GB2312" w:eastAsia="KaiTi_GB2312"/>
                <w:sz w:val="15"/>
                <w:szCs w:val="24"/>
                <w:lang w:val="en-GB"/>
              </w:rPr>
              <w:t>2005</w:t>
            </w:r>
            <w:r w:rsidRPr="00674C4B">
              <w:rPr>
                <w:rFonts w:ascii="KaiTi_GB2312" w:eastAsia="KaiTi_GB2312" w:hint="eastAsia"/>
                <w:sz w:val="15"/>
                <w:szCs w:val="24"/>
                <w:lang w:val="en-GB"/>
              </w:rPr>
              <w:t>年</w:t>
            </w:r>
          </w:p>
        </w:tc>
        <w:tc>
          <w:tcPr>
            <w:tcW w:w="680" w:type="dxa"/>
            <w:tcBorders>
              <w:top w:val="single" w:sz="4" w:space="0" w:color="auto"/>
              <w:bottom w:val="single" w:sz="12" w:space="0" w:color="auto"/>
            </w:tcBorders>
            <w:shd w:val="clear" w:color="auto" w:fill="auto"/>
            <w:noWrap/>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rPr>
            </w:pPr>
            <w:r w:rsidRPr="00674C4B">
              <w:rPr>
                <w:rFonts w:ascii="KaiTi_GB2312" w:eastAsia="KaiTi_GB2312"/>
                <w:sz w:val="15"/>
                <w:szCs w:val="24"/>
                <w:lang w:val="en-GB"/>
              </w:rPr>
              <w:t>2006</w:t>
            </w:r>
            <w:r w:rsidRPr="00674C4B">
              <w:rPr>
                <w:rFonts w:ascii="KaiTi_GB2312" w:eastAsia="KaiTi_GB2312" w:hint="eastAsia"/>
                <w:sz w:val="15"/>
                <w:szCs w:val="24"/>
                <w:lang w:val="en-GB"/>
              </w:rPr>
              <w:t>年</w:t>
            </w:r>
          </w:p>
        </w:tc>
        <w:tc>
          <w:tcPr>
            <w:tcW w:w="680" w:type="dxa"/>
            <w:tcBorders>
              <w:top w:val="single" w:sz="4" w:space="0" w:color="auto"/>
              <w:bottom w:val="single" w:sz="12" w:space="0" w:color="auto"/>
            </w:tcBorders>
            <w:shd w:val="clear" w:color="auto" w:fill="auto"/>
            <w:noWrap/>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rPr>
            </w:pPr>
            <w:r w:rsidRPr="00674C4B">
              <w:rPr>
                <w:rFonts w:ascii="KaiTi_GB2312" w:eastAsia="KaiTi_GB2312"/>
                <w:sz w:val="15"/>
                <w:szCs w:val="24"/>
                <w:lang w:val="en-GB"/>
              </w:rPr>
              <w:t>2007</w:t>
            </w:r>
            <w:r w:rsidRPr="00674C4B">
              <w:rPr>
                <w:rFonts w:ascii="KaiTi_GB2312" w:eastAsia="KaiTi_GB2312" w:hint="eastAsia"/>
                <w:sz w:val="15"/>
                <w:szCs w:val="24"/>
                <w:lang w:val="en-GB"/>
              </w:rPr>
              <w:t>年</w:t>
            </w:r>
          </w:p>
        </w:tc>
        <w:tc>
          <w:tcPr>
            <w:tcW w:w="680" w:type="dxa"/>
            <w:tcBorders>
              <w:top w:val="single" w:sz="4" w:space="0" w:color="auto"/>
              <w:bottom w:val="single" w:sz="12" w:space="0" w:color="auto"/>
            </w:tcBorders>
            <w:shd w:val="clear" w:color="auto" w:fill="auto"/>
            <w:noWrap/>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rPr>
            </w:pPr>
            <w:r w:rsidRPr="00674C4B">
              <w:rPr>
                <w:rFonts w:ascii="KaiTi_GB2312" w:eastAsia="KaiTi_GB2312"/>
                <w:sz w:val="15"/>
                <w:szCs w:val="24"/>
                <w:lang w:val="en-GB"/>
              </w:rPr>
              <w:t>2008</w:t>
            </w:r>
            <w:r w:rsidRPr="00674C4B">
              <w:rPr>
                <w:rFonts w:ascii="KaiTi_GB2312" w:eastAsia="KaiTi_GB2312" w:hint="eastAsia"/>
                <w:sz w:val="15"/>
                <w:szCs w:val="24"/>
                <w:lang w:val="en-GB"/>
              </w:rPr>
              <w:t>年</w:t>
            </w:r>
          </w:p>
        </w:tc>
        <w:tc>
          <w:tcPr>
            <w:tcW w:w="680" w:type="dxa"/>
            <w:tcBorders>
              <w:top w:val="single" w:sz="4" w:space="0" w:color="auto"/>
              <w:bottom w:val="single" w:sz="12" w:space="0" w:color="auto"/>
            </w:tcBorders>
            <w:shd w:val="clear" w:color="auto" w:fill="auto"/>
            <w:noWrap/>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rPr>
            </w:pPr>
            <w:r w:rsidRPr="00674C4B">
              <w:rPr>
                <w:rFonts w:ascii="KaiTi_GB2312" w:eastAsia="KaiTi_GB2312"/>
                <w:sz w:val="15"/>
                <w:szCs w:val="24"/>
                <w:lang w:val="en-GB"/>
              </w:rPr>
              <w:t>2009</w:t>
            </w:r>
            <w:r w:rsidRPr="00674C4B">
              <w:rPr>
                <w:rFonts w:ascii="KaiTi_GB2312" w:eastAsia="KaiTi_GB2312" w:hint="eastAsia"/>
                <w:sz w:val="15"/>
                <w:szCs w:val="24"/>
                <w:lang w:val="en-GB"/>
              </w:rPr>
              <w:t>年</w:t>
            </w:r>
          </w:p>
        </w:tc>
        <w:tc>
          <w:tcPr>
            <w:tcW w:w="680" w:type="dxa"/>
            <w:tcBorders>
              <w:top w:val="single" w:sz="4" w:space="0" w:color="auto"/>
              <w:bottom w:val="single" w:sz="12" w:space="0" w:color="auto"/>
            </w:tcBorders>
            <w:shd w:val="clear" w:color="auto" w:fill="auto"/>
            <w:noWrap/>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rPr>
            </w:pPr>
            <w:r w:rsidRPr="00674C4B">
              <w:rPr>
                <w:rFonts w:ascii="KaiTi_GB2312" w:eastAsia="KaiTi_GB2312"/>
                <w:sz w:val="15"/>
                <w:szCs w:val="24"/>
                <w:lang w:val="en-GB"/>
              </w:rPr>
              <w:t>2010</w:t>
            </w:r>
            <w:r w:rsidRPr="00674C4B">
              <w:rPr>
                <w:rFonts w:ascii="KaiTi_GB2312" w:eastAsia="KaiTi_GB2312" w:hint="eastAsia"/>
                <w:sz w:val="15"/>
                <w:szCs w:val="24"/>
                <w:lang w:val="en-GB"/>
              </w:rPr>
              <w:t>年</w:t>
            </w:r>
          </w:p>
        </w:tc>
        <w:tc>
          <w:tcPr>
            <w:tcW w:w="680" w:type="dxa"/>
            <w:tcBorders>
              <w:top w:val="single" w:sz="4" w:space="0" w:color="auto"/>
              <w:bottom w:val="single" w:sz="12" w:space="0" w:color="auto"/>
            </w:tcBorders>
            <w:shd w:val="clear" w:color="auto" w:fill="auto"/>
            <w:noWrap/>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rPr>
            </w:pPr>
            <w:r w:rsidRPr="00674C4B">
              <w:rPr>
                <w:rFonts w:ascii="KaiTi_GB2312" w:eastAsia="KaiTi_GB2312"/>
                <w:sz w:val="15"/>
                <w:szCs w:val="24"/>
                <w:lang w:val="en-GB"/>
              </w:rPr>
              <w:t>2011</w:t>
            </w:r>
            <w:r w:rsidRPr="00674C4B">
              <w:rPr>
                <w:rFonts w:ascii="KaiTi_GB2312" w:eastAsia="KaiTi_GB2312" w:hint="eastAsia"/>
                <w:sz w:val="15"/>
                <w:szCs w:val="24"/>
                <w:lang w:val="en-GB"/>
              </w:rPr>
              <w:t>年</w:t>
            </w:r>
          </w:p>
        </w:tc>
      </w:tr>
      <w:tr w:rsidR="00674C4B" w:rsidRPr="00674C4B" w:rsidTr="009303E0">
        <w:trPr>
          <w:trHeight w:hRule="exact" w:val="115"/>
          <w:tblHeader/>
        </w:trPr>
        <w:tc>
          <w:tcPr>
            <w:tcW w:w="1659"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rPr>
                <w:rFonts w:hint="eastAsia"/>
                <w:noProof/>
                <w:sz w:val="17"/>
                <w:szCs w:val="24"/>
              </w:rPr>
            </w:pPr>
          </w:p>
        </w:tc>
        <w:tc>
          <w:tcPr>
            <w:tcW w:w="904" w:type="dxa"/>
            <w:tcBorders>
              <w:top w:val="single" w:sz="12" w:space="0" w:color="auto"/>
            </w:tcBorders>
            <w:shd w:val="clear" w:color="auto" w:fill="auto"/>
            <w:noWrap/>
            <w:vAlign w:val="bottom"/>
          </w:tcPr>
          <w:p w:rsidR="00674C4B" w:rsidRPr="00674C4B" w:rsidRDefault="00674C4B" w:rsidP="00AF5FB9">
            <w:pPr>
              <w:suppressAutoHyphens/>
              <w:spacing w:after="60" w:line="280" w:lineRule="exact"/>
              <w:ind w:right="57"/>
              <w:jc w:val="center"/>
              <w:rPr>
                <w:rFonts w:hint="eastAsia"/>
                <w:noProof/>
                <w:sz w:val="17"/>
                <w:szCs w:val="24"/>
              </w:rPr>
            </w:pPr>
          </w:p>
        </w:tc>
        <w:tc>
          <w:tcPr>
            <w:tcW w:w="680" w:type="dxa"/>
            <w:tcBorders>
              <w:top w:val="single" w:sz="12" w:space="0" w:color="auto"/>
            </w:tcBorders>
            <w:shd w:val="clear" w:color="auto" w:fill="auto"/>
            <w:noWrap/>
            <w:vAlign w:val="bottom"/>
          </w:tcPr>
          <w:p w:rsidR="00674C4B" w:rsidRPr="00674C4B" w:rsidRDefault="00674C4B" w:rsidP="00674C4B">
            <w:pPr>
              <w:suppressAutoHyphens/>
              <w:spacing w:after="60" w:line="280" w:lineRule="exact"/>
              <w:ind w:right="57"/>
              <w:jc w:val="right"/>
              <w:rPr>
                <w:sz w:val="17"/>
                <w:szCs w:val="24"/>
              </w:rPr>
            </w:pPr>
          </w:p>
        </w:tc>
        <w:tc>
          <w:tcPr>
            <w:tcW w:w="680" w:type="dxa"/>
            <w:tcBorders>
              <w:top w:val="single" w:sz="12" w:space="0" w:color="auto"/>
            </w:tcBorders>
            <w:shd w:val="clear" w:color="auto" w:fill="auto"/>
            <w:noWrap/>
            <w:vAlign w:val="bottom"/>
          </w:tcPr>
          <w:p w:rsidR="00674C4B" w:rsidRPr="00674C4B" w:rsidRDefault="00674C4B" w:rsidP="00674C4B">
            <w:pPr>
              <w:suppressAutoHyphens/>
              <w:spacing w:after="60" w:line="280" w:lineRule="exact"/>
              <w:ind w:right="57"/>
              <w:jc w:val="right"/>
              <w:rPr>
                <w:sz w:val="17"/>
                <w:szCs w:val="24"/>
              </w:rPr>
            </w:pPr>
          </w:p>
        </w:tc>
        <w:tc>
          <w:tcPr>
            <w:tcW w:w="680" w:type="dxa"/>
            <w:tcBorders>
              <w:top w:val="single" w:sz="12" w:space="0" w:color="auto"/>
            </w:tcBorders>
            <w:shd w:val="clear" w:color="auto" w:fill="auto"/>
            <w:noWrap/>
            <w:vAlign w:val="bottom"/>
          </w:tcPr>
          <w:p w:rsidR="00674C4B" w:rsidRPr="00674C4B" w:rsidRDefault="00674C4B" w:rsidP="00674C4B">
            <w:pPr>
              <w:suppressAutoHyphens/>
              <w:spacing w:after="60" w:line="280" w:lineRule="exact"/>
              <w:ind w:right="57"/>
              <w:jc w:val="right"/>
              <w:rPr>
                <w:sz w:val="17"/>
                <w:szCs w:val="24"/>
              </w:rPr>
            </w:pPr>
          </w:p>
        </w:tc>
        <w:tc>
          <w:tcPr>
            <w:tcW w:w="680" w:type="dxa"/>
            <w:tcBorders>
              <w:top w:val="single" w:sz="12" w:space="0" w:color="auto"/>
            </w:tcBorders>
            <w:shd w:val="clear" w:color="auto" w:fill="auto"/>
            <w:noWrap/>
            <w:vAlign w:val="bottom"/>
          </w:tcPr>
          <w:p w:rsidR="00674C4B" w:rsidRPr="00674C4B" w:rsidRDefault="00674C4B" w:rsidP="00674C4B">
            <w:pPr>
              <w:suppressAutoHyphens/>
              <w:spacing w:after="60" w:line="280" w:lineRule="exact"/>
              <w:ind w:right="57"/>
              <w:jc w:val="right"/>
              <w:rPr>
                <w:sz w:val="17"/>
                <w:szCs w:val="24"/>
              </w:rPr>
            </w:pPr>
          </w:p>
        </w:tc>
        <w:tc>
          <w:tcPr>
            <w:tcW w:w="680" w:type="dxa"/>
            <w:tcBorders>
              <w:top w:val="single" w:sz="12" w:space="0" w:color="auto"/>
            </w:tcBorders>
            <w:shd w:val="clear" w:color="auto" w:fill="auto"/>
            <w:noWrap/>
            <w:vAlign w:val="bottom"/>
          </w:tcPr>
          <w:p w:rsidR="00674C4B" w:rsidRPr="00674C4B" w:rsidRDefault="00674C4B" w:rsidP="00674C4B">
            <w:pPr>
              <w:suppressAutoHyphens/>
              <w:spacing w:after="60" w:line="280" w:lineRule="exact"/>
              <w:ind w:right="57"/>
              <w:jc w:val="right"/>
              <w:rPr>
                <w:sz w:val="17"/>
                <w:szCs w:val="24"/>
              </w:rPr>
            </w:pPr>
          </w:p>
        </w:tc>
        <w:tc>
          <w:tcPr>
            <w:tcW w:w="680" w:type="dxa"/>
            <w:tcBorders>
              <w:top w:val="single" w:sz="12" w:space="0" w:color="auto"/>
            </w:tcBorders>
            <w:shd w:val="clear" w:color="auto" w:fill="auto"/>
            <w:noWrap/>
            <w:vAlign w:val="bottom"/>
          </w:tcPr>
          <w:p w:rsidR="00674C4B" w:rsidRPr="00674C4B" w:rsidRDefault="00674C4B" w:rsidP="00674C4B">
            <w:pPr>
              <w:suppressAutoHyphens/>
              <w:spacing w:after="60" w:line="280" w:lineRule="exact"/>
              <w:ind w:right="57"/>
              <w:jc w:val="right"/>
              <w:rPr>
                <w:sz w:val="17"/>
                <w:szCs w:val="24"/>
              </w:rPr>
            </w:pPr>
          </w:p>
        </w:tc>
        <w:tc>
          <w:tcPr>
            <w:tcW w:w="680" w:type="dxa"/>
            <w:tcBorders>
              <w:top w:val="single" w:sz="12" w:space="0" w:color="auto"/>
            </w:tcBorders>
            <w:shd w:val="clear" w:color="auto" w:fill="auto"/>
            <w:noWrap/>
            <w:vAlign w:val="bottom"/>
          </w:tcPr>
          <w:p w:rsidR="00674C4B" w:rsidRPr="00674C4B" w:rsidRDefault="00674C4B" w:rsidP="00674C4B">
            <w:pPr>
              <w:suppressAutoHyphens/>
              <w:spacing w:after="60" w:line="280" w:lineRule="exact"/>
              <w:ind w:right="57"/>
              <w:jc w:val="right"/>
              <w:rPr>
                <w:sz w:val="17"/>
                <w:szCs w:val="24"/>
              </w:rPr>
            </w:pPr>
          </w:p>
        </w:tc>
      </w:tr>
      <w:tr w:rsidR="00674C4B" w:rsidRPr="00674C4B" w:rsidTr="009303E0">
        <w:trPr>
          <w:trHeight w:val="270"/>
        </w:trPr>
        <w:tc>
          <w:tcPr>
            <w:tcW w:w="1659"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noProof/>
                <w:sz w:val="17"/>
                <w:szCs w:val="24"/>
              </w:rPr>
            </w:pPr>
            <w:r w:rsidRPr="00674C4B">
              <w:rPr>
                <w:rFonts w:hint="eastAsia"/>
                <w:noProof/>
                <w:sz w:val="17"/>
                <w:szCs w:val="24"/>
              </w:rPr>
              <w:t>申请数目获准率</w:t>
            </w:r>
            <w:r w:rsidRPr="00891CDF">
              <w:rPr>
                <w:rFonts w:hint="eastAsia"/>
                <w:noProof/>
                <w:sz w:val="17"/>
                <w:szCs w:val="24"/>
                <w:vertAlign w:val="superscript"/>
              </w:rPr>
              <w:t>*</w:t>
            </w: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女</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32</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32</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26</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24</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16</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15</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14</w:t>
            </w:r>
          </w:p>
        </w:tc>
      </w:tr>
      <w:tr w:rsidR="00674C4B" w:rsidRPr="00674C4B" w:rsidTr="009303E0">
        <w:trPr>
          <w:trHeight w:val="270"/>
        </w:trPr>
        <w:tc>
          <w:tcPr>
            <w:tcW w:w="1659"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rFonts w:hint="eastAsia"/>
                <w:noProof/>
                <w:sz w:val="17"/>
                <w:szCs w:val="24"/>
              </w:rPr>
            </w:pP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男</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35</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40</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33</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32</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20</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19</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16</w:t>
            </w:r>
          </w:p>
        </w:tc>
      </w:tr>
      <w:tr w:rsidR="00674C4B" w:rsidRPr="00674C4B" w:rsidTr="009303E0">
        <w:trPr>
          <w:trHeight w:val="270"/>
        </w:trPr>
        <w:tc>
          <w:tcPr>
            <w:tcW w:w="1659"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noProof/>
                <w:sz w:val="17"/>
                <w:szCs w:val="24"/>
              </w:rPr>
            </w:pPr>
            <w:r w:rsidRPr="00674C4B">
              <w:rPr>
                <w:rFonts w:hint="eastAsia"/>
                <w:noProof/>
                <w:sz w:val="17"/>
                <w:szCs w:val="24"/>
              </w:rPr>
              <w:t>申请经费获准率</w:t>
            </w:r>
            <w:r w:rsidRPr="009303E0">
              <w:rPr>
                <w:rFonts w:ascii="Times New Roman"/>
                <w:noProof/>
                <w:sz w:val="17"/>
                <w:szCs w:val="24"/>
                <w:vertAlign w:val="superscript"/>
              </w:rPr>
              <w:t>**</w:t>
            </w: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女</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15</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17</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14</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12</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9</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11</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10</w:t>
            </w:r>
          </w:p>
        </w:tc>
      </w:tr>
      <w:tr w:rsidR="00674C4B" w:rsidRPr="00674C4B" w:rsidTr="009303E0">
        <w:trPr>
          <w:trHeight w:val="270"/>
        </w:trPr>
        <w:tc>
          <w:tcPr>
            <w:tcW w:w="1659"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rFonts w:hint="eastAsia"/>
                <w:noProof/>
                <w:sz w:val="17"/>
                <w:szCs w:val="24"/>
              </w:rPr>
            </w:pP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男</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18</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21</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19</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16</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14</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14</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14</w:t>
            </w:r>
          </w:p>
        </w:tc>
      </w:tr>
      <w:tr w:rsidR="00674C4B" w:rsidRPr="00674C4B" w:rsidTr="009303E0">
        <w:trPr>
          <w:trHeight w:val="270"/>
        </w:trPr>
        <w:tc>
          <w:tcPr>
            <w:tcW w:w="1659"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noProof/>
                <w:sz w:val="17"/>
                <w:szCs w:val="24"/>
              </w:rPr>
            </w:pPr>
            <w:r w:rsidRPr="00674C4B">
              <w:rPr>
                <w:rFonts w:hint="eastAsia"/>
                <w:noProof/>
                <w:sz w:val="17"/>
                <w:szCs w:val="24"/>
              </w:rPr>
              <w:t>丹麦战略研究委员会</w:t>
            </w: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p>
        </w:tc>
      </w:tr>
      <w:tr w:rsidR="00674C4B" w:rsidRPr="00674C4B" w:rsidTr="009303E0">
        <w:trPr>
          <w:trHeight w:val="270"/>
        </w:trPr>
        <w:tc>
          <w:tcPr>
            <w:tcW w:w="1659"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noProof/>
                <w:sz w:val="17"/>
                <w:szCs w:val="24"/>
              </w:rPr>
            </w:pPr>
            <w:r w:rsidRPr="00674C4B">
              <w:rPr>
                <w:rFonts w:hint="eastAsia"/>
                <w:noProof/>
                <w:sz w:val="17"/>
                <w:szCs w:val="24"/>
              </w:rPr>
              <w:t>申请数目获准率</w:t>
            </w:r>
            <w:r w:rsidRPr="009303E0">
              <w:rPr>
                <w:rFonts w:ascii="Times New Roman" w:hint="eastAsia"/>
                <w:noProof/>
                <w:sz w:val="17"/>
                <w:szCs w:val="24"/>
                <w:vertAlign w:val="superscript"/>
              </w:rPr>
              <w:t>*</w:t>
            </w: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女</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15</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20</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21</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11</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8</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11</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9</w:t>
            </w:r>
          </w:p>
        </w:tc>
      </w:tr>
      <w:tr w:rsidR="00674C4B" w:rsidRPr="00674C4B" w:rsidTr="009303E0">
        <w:trPr>
          <w:trHeight w:val="270"/>
        </w:trPr>
        <w:tc>
          <w:tcPr>
            <w:tcW w:w="1659"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rFonts w:hint="eastAsia"/>
                <w:noProof/>
                <w:sz w:val="17"/>
                <w:szCs w:val="24"/>
              </w:rPr>
            </w:pP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男</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23</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21</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30</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20</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17</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13</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15</w:t>
            </w:r>
          </w:p>
        </w:tc>
      </w:tr>
      <w:tr w:rsidR="00674C4B" w:rsidRPr="00674C4B" w:rsidTr="009303E0">
        <w:trPr>
          <w:trHeight w:val="270"/>
        </w:trPr>
        <w:tc>
          <w:tcPr>
            <w:tcW w:w="1659"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noProof/>
                <w:sz w:val="17"/>
                <w:szCs w:val="24"/>
              </w:rPr>
            </w:pPr>
            <w:r w:rsidRPr="00674C4B">
              <w:rPr>
                <w:rFonts w:hint="eastAsia"/>
                <w:noProof/>
                <w:sz w:val="17"/>
                <w:szCs w:val="24"/>
              </w:rPr>
              <w:t>申请经费获准率</w:t>
            </w:r>
            <w:r w:rsidRPr="009303E0">
              <w:rPr>
                <w:rFonts w:ascii="Times New Roman" w:hint="eastAsia"/>
                <w:noProof/>
                <w:sz w:val="17"/>
                <w:szCs w:val="24"/>
                <w:vertAlign w:val="superscript"/>
              </w:rPr>
              <w:t>**</w:t>
            </w:r>
          </w:p>
        </w:tc>
        <w:tc>
          <w:tcPr>
            <w:tcW w:w="904" w:type="dxa"/>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女</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10</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18</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21</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12</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6</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9</w:t>
            </w:r>
          </w:p>
        </w:tc>
        <w:tc>
          <w:tcPr>
            <w:tcW w:w="680" w:type="dxa"/>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9</w:t>
            </w:r>
          </w:p>
        </w:tc>
      </w:tr>
      <w:tr w:rsidR="00674C4B" w:rsidRPr="00674C4B" w:rsidTr="009303E0">
        <w:trPr>
          <w:trHeight w:val="270"/>
        </w:trPr>
        <w:tc>
          <w:tcPr>
            <w:tcW w:w="1659"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rPr>
                <w:noProof/>
                <w:sz w:val="17"/>
                <w:szCs w:val="24"/>
              </w:rPr>
            </w:pPr>
          </w:p>
        </w:tc>
        <w:tc>
          <w:tcPr>
            <w:tcW w:w="904" w:type="dxa"/>
            <w:tcBorders>
              <w:bottom w:val="single" w:sz="12" w:space="0" w:color="auto"/>
            </w:tcBorders>
            <w:shd w:val="clear" w:color="auto" w:fill="auto"/>
            <w:noWrap/>
            <w:vAlign w:val="bottom"/>
          </w:tcPr>
          <w:p w:rsidR="00674C4B" w:rsidRPr="00674C4B" w:rsidRDefault="00674C4B" w:rsidP="00AF5FB9">
            <w:pPr>
              <w:tabs>
                <w:tab w:val="left" w:pos="334"/>
                <w:tab w:val="left" w:pos="669"/>
                <w:tab w:val="left" w:pos="1003"/>
                <w:tab w:val="left" w:pos="1338"/>
              </w:tabs>
              <w:suppressAutoHyphens/>
              <w:spacing w:after="60" w:line="280" w:lineRule="exact"/>
              <w:ind w:right="57"/>
              <w:jc w:val="center"/>
              <w:rPr>
                <w:noProof/>
                <w:sz w:val="17"/>
                <w:szCs w:val="24"/>
              </w:rPr>
            </w:pPr>
            <w:r w:rsidRPr="00674C4B">
              <w:rPr>
                <w:rFonts w:hint="eastAsia"/>
                <w:noProof/>
                <w:sz w:val="17"/>
                <w:szCs w:val="24"/>
              </w:rPr>
              <w:t>男</w:t>
            </w:r>
          </w:p>
        </w:tc>
        <w:tc>
          <w:tcPr>
            <w:tcW w:w="680" w:type="dxa"/>
            <w:tcBorders>
              <w:bottom w:val="single" w:sz="12" w:space="0" w:color="auto"/>
            </w:tcBorders>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17</w:t>
            </w:r>
          </w:p>
        </w:tc>
        <w:tc>
          <w:tcPr>
            <w:tcW w:w="680" w:type="dxa"/>
            <w:tcBorders>
              <w:bottom w:val="single" w:sz="12" w:space="0" w:color="auto"/>
            </w:tcBorders>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17</w:t>
            </w:r>
          </w:p>
        </w:tc>
        <w:tc>
          <w:tcPr>
            <w:tcW w:w="680" w:type="dxa"/>
            <w:tcBorders>
              <w:bottom w:val="single" w:sz="12" w:space="0" w:color="auto"/>
            </w:tcBorders>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26</w:t>
            </w:r>
          </w:p>
        </w:tc>
        <w:tc>
          <w:tcPr>
            <w:tcW w:w="680" w:type="dxa"/>
            <w:tcBorders>
              <w:bottom w:val="single" w:sz="12" w:space="0" w:color="auto"/>
            </w:tcBorders>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20</w:t>
            </w:r>
          </w:p>
        </w:tc>
        <w:tc>
          <w:tcPr>
            <w:tcW w:w="680" w:type="dxa"/>
            <w:tcBorders>
              <w:bottom w:val="single" w:sz="12" w:space="0" w:color="auto"/>
            </w:tcBorders>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19</w:t>
            </w:r>
          </w:p>
        </w:tc>
        <w:tc>
          <w:tcPr>
            <w:tcW w:w="680" w:type="dxa"/>
            <w:tcBorders>
              <w:bottom w:val="single" w:sz="12" w:space="0" w:color="auto"/>
            </w:tcBorders>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15</w:t>
            </w:r>
          </w:p>
        </w:tc>
        <w:tc>
          <w:tcPr>
            <w:tcW w:w="680" w:type="dxa"/>
            <w:tcBorders>
              <w:bottom w:val="single" w:sz="12" w:space="0" w:color="auto"/>
            </w:tcBorders>
            <w:shd w:val="clear" w:color="auto" w:fill="auto"/>
            <w:noWrap/>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noProof/>
                <w:sz w:val="17"/>
                <w:szCs w:val="24"/>
              </w:rPr>
            </w:pPr>
            <w:r w:rsidRPr="00674C4B">
              <w:rPr>
                <w:noProof/>
                <w:sz w:val="17"/>
                <w:szCs w:val="24"/>
              </w:rPr>
              <w:t>14</w:t>
            </w:r>
          </w:p>
        </w:tc>
      </w:tr>
    </w:tbl>
    <w:p w:rsidR="00674C4B" w:rsidRPr="00674C4B" w:rsidRDefault="00674C4B" w:rsidP="00674C4B">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674C4B" w:rsidRDefault="00674C4B" w:rsidP="00674C4B">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sidRPr="00674C4B">
        <w:rPr>
          <w:rFonts w:ascii="Times New Roman"/>
          <w:vertAlign w:val="superscript"/>
        </w:rPr>
        <w:t>*</w:t>
      </w:r>
      <w:r>
        <w:rPr>
          <w:rFonts w:hint="eastAsia"/>
        </w:rPr>
        <w:tab/>
        <w:t>经费数量除以申请数量</w:t>
      </w:r>
      <w:r w:rsidR="006D67CB">
        <w:rPr>
          <w:rFonts w:hint="eastAsia"/>
        </w:rPr>
        <w:t>。</w:t>
      </w:r>
    </w:p>
    <w:p w:rsidR="00674C4B" w:rsidRDefault="00674C4B" w:rsidP="00674C4B">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sidRPr="00674C4B">
        <w:rPr>
          <w:rFonts w:ascii="Times New Roman"/>
          <w:vertAlign w:val="superscript"/>
        </w:rPr>
        <w:t>*</w:t>
      </w:r>
      <w:r w:rsidR="00891CDF">
        <w:rPr>
          <w:rFonts w:ascii="Times New Roman"/>
          <w:vertAlign w:val="superscript"/>
        </w:rPr>
        <w:t>*</w:t>
      </w:r>
      <w:r>
        <w:rPr>
          <w:rFonts w:hint="eastAsia"/>
        </w:rPr>
        <w:tab/>
        <w:t>核准经费除以申请数额</w:t>
      </w:r>
      <w:r w:rsidR="006D67CB">
        <w:rPr>
          <w:rFonts w:hint="eastAsia"/>
        </w:rPr>
        <w:t>。</w:t>
      </w:r>
    </w:p>
    <w:p w:rsidR="00674C4B" w:rsidRDefault="00674C4B" w:rsidP="00674C4B">
      <w:pPr>
        <w:pStyle w:val="FootnoteText"/>
        <w:tabs>
          <w:tab w:val="clear" w:pos="418"/>
          <w:tab w:val="right" w:pos="1476"/>
          <w:tab w:val="left" w:pos="1548"/>
          <w:tab w:val="right" w:pos="1836"/>
          <w:tab w:val="left" w:pos="1908"/>
        </w:tabs>
        <w:ind w:left="1548" w:right="1267" w:hanging="288"/>
        <w:rPr>
          <w:rFonts w:hint="eastAsia"/>
        </w:rPr>
      </w:pPr>
      <w:r>
        <w:rPr>
          <w:rFonts w:ascii="KaiTi_GB2312" w:eastAsia="KaiTi_GB2312" w:hint="eastAsia"/>
        </w:rPr>
        <w:tab/>
      </w:r>
      <w:r>
        <w:rPr>
          <w:rFonts w:ascii="KaiTi_GB2312" w:eastAsia="KaiTi_GB2312" w:hint="eastAsia"/>
        </w:rPr>
        <w:tab/>
      </w:r>
      <w:r w:rsidRPr="00674C4B">
        <w:rPr>
          <w:rFonts w:ascii="KaiTi_GB2312" w:eastAsia="KaiTi_GB2312" w:hint="eastAsia"/>
        </w:rPr>
        <w:t>资料来源</w:t>
      </w:r>
      <w:r>
        <w:rPr>
          <w:rFonts w:hint="eastAsia"/>
        </w:rPr>
        <w:t>：科研、创新和高等教育部</w:t>
      </w:r>
      <w:r w:rsidR="006D67CB">
        <w:rPr>
          <w:rFonts w:hint="eastAsia"/>
        </w:rPr>
        <w:t>。</w:t>
      </w:r>
    </w:p>
    <w:p w:rsidR="00AF5FB9" w:rsidRPr="00AF5FB9" w:rsidRDefault="00AF5FB9" w:rsidP="00AF5FB9">
      <w:pPr>
        <w:pStyle w:val="SingleTxt"/>
        <w:spacing w:after="0" w:line="120" w:lineRule="exact"/>
        <w:rPr>
          <w:rFonts w:hint="eastAsia"/>
          <w:sz w:val="10"/>
        </w:rPr>
      </w:pPr>
    </w:p>
    <w:p w:rsidR="00674C4B" w:rsidRDefault="00C10BAF" w:rsidP="00674C4B">
      <w:pPr>
        <w:pStyle w:val="SingleTxt"/>
        <w:rPr>
          <w:rFonts w:hint="eastAsia"/>
        </w:rPr>
      </w:pPr>
      <w:r>
        <w:rPr>
          <w:rFonts w:hint="eastAsia"/>
        </w:rPr>
        <w:tab/>
      </w:r>
      <w:r w:rsidR="00674C4B">
        <w:rPr>
          <w:rFonts w:hint="eastAsia"/>
        </w:rPr>
        <w:t>如表4所示，丹麦独立研究委员会和战略研究委员会的女性申请者获准率低于男性申请者。此外，申请这两个委员会研究补助金的女性少于男性。女性申请者的人数不到三分之一。这个比率大约相等于丹麦大学女性学术人员的比例。应当指出，在委员会要求提出论文的具体规定中，有对博士年龄的限制。不过，产假能以1.5的因子数从这段期间减除。因此，1年的产假能当作1.5年的时间扣除，以考虑到生儿育女后回到研究工作的困难。</w:t>
      </w:r>
    </w:p>
    <w:p w:rsidR="00674C4B" w:rsidRDefault="00DC4C76" w:rsidP="00DC4C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674C4B">
        <w:rPr>
          <w:rFonts w:hint="eastAsia"/>
        </w:rPr>
        <w:t>第11条：劳动力市场的状况</w:t>
      </w:r>
    </w:p>
    <w:p w:rsidR="00DC4C76" w:rsidRPr="00DC4C76" w:rsidRDefault="00DC4C76" w:rsidP="00DC4C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74C4B" w:rsidRDefault="00DC4C76" w:rsidP="00DC4C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674C4B">
        <w:rPr>
          <w:rFonts w:hint="eastAsia"/>
        </w:rPr>
        <w:t>丹麦劳动队伍中的女性</w:t>
      </w:r>
    </w:p>
    <w:p w:rsidR="00DC4C76" w:rsidRPr="00DC4C76" w:rsidRDefault="00DC4C76" w:rsidP="00DC4C76">
      <w:pPr>
        <w:pStyle w:val="SingleTxt"/>
        <w:spacing w:after="0" w:line="120" w:lineRule="exact"/>
        <w:rPr>
          <w:rFonts w:hint="eastAsia"/>
          <w:sz w:val="10"/>
        </w:rPr>
      </w:pPr>
    </w:p>
    <w:p w:rsidR="00674C4B" w:rsidRDefault="00C10BAF" w:rsidP="00674C4B">
      <w:pPr>
        <w:pStyle w:val="SingleTxt"/>
        <w:rPr>
          <w:rFonts w:hint="eastAsia"/>
        </w:rPr>
      </w:pPr>
      <w:r>
        <w:rPr>
          <w:rFonts w:hint="eastAsia"/>
        </w:rPr>
        <w:tab/>
      </w:r>
      <w:r w:rsidR="00674C4B">
        <w:rPr>
          <w:rFonts w:hint="eastAsia"/>
        </w:rPr>
        <w:t>女性人数占整个劳动队伍的48%。女性参加劳动的人数低于男性。2011年，女性的参加率为71.5%。与此相比，男性的参加率为75.7%。男女参加率之间的差距一直在持续拉近。2011年，这项差距为4%。而在2006年，这项差距为6%。</w:t>
      </w:r>
    </w:p>
    <w:p w:rsidR="00674C4B" w:rsidRDefault="00C10BAF" w:rsidP="00674C4B">
      <w:pPr>
        <w:pStyle w:val="SingleTxt"/>
        <w:rPr>
          <w:rFonts w:hint="eastAsia"/>
        </w:rPr>
      </w:pPr>
      <w:r>
        <w:rPr>
          <w:rFonts w:hint="eastAsia"/>
        </w:rPr>
        <w:tab/>
      </w:r>
      <w:r w:rsidR="00674C4B">
        <w:rPr>
          <w:rFonts w:hint="eastAsia"/>
        </w:rPr>
        <w:t xml:space="preserve">2011年，包括所有就业和失业人员在内的工作队伍为276万全时工作人员。女性人数占其中136万人，相当于整个工作队伍的48%。 </w:t>
      </w:r>
    </w:p>
    <w:p w:rsidR="00674C4B" w:rsidRPr="00C10BAF" w:rsidRDefault="009303E0" w:rsidP="00674C4B">
      <w:pPr>
        <w:pStyle w:val="SingleTxt"/>
        <w:rPr>
          <w:rFonts w:ascii="SimHei" w:eastAsia="SimHei" w:hint="eastAsia"/>
        </w:rPr>
      </w:pPr>
      <w:r>
        <w:br w:type="page"/>
      </w:r>
      <w:r w:rsidR="00674C4B">
        <w:rPr>
          <w:rFonts w:hint="eastAsia"/>
        </w:rPr>
        <w:t>表1</w:t>
      </w:r>
      <w:r w:rsidR="00674C4B">
        <w:rPr>
          <w:rFonts w:hint="eastAsia"/>
        </w:rPr>
        <w:br/>
      </w:r>
      <w:r w:rsidR="00674C4B" w:rsidRPr="00C10BAF">
        <w:rPr>
          <w:rFonts w:ascii="SimHei" w:eastAsia="SimHei" w:hint="eastAsia"/>
        </w:rPr>
        <w:t>2001－2011年按性别分列的参加率</w:t>
      </w:r>
    </w:p>
    <w:tbl>
      <w:tblPr>
        <w:tblW w:w="0" w:type="auto"/>
        <w:tblInd w:w="1260" w:type="dxa"/>
        <w:tblLayout w:type="fixed"/>
        <w:tblCellMar>
          <w:left w:w="0" w:type="dxa"/>
          <w:right w:w="0" w:type="dxa"/>
        </w:tblCellMar>
        <w:tblLook w:val="00A0"/>
      </w:tblPr>
      <w:tblGrid>
        <w:gridCol w:w="664"/>
        <w:gridCol w:w="664"/>
        <w:gridCol w:w="664"/>
        <w:gridCol w:w="665"/>
        <w:gridCol w:w="664"/>
        <w:gridCol w:w="664"/>
        <w:gridCol w:w="664"/>
        <w:gridCol w:w="665"/>
        <w:gridCol w:w="664"/>
        <w:gridCol w:w="664"/>
        <w:gridCol w:w="665"/>
      </w:tblGrid>
      <w:tr w:rsidR="00674C4B" w:rsidRPr="00674C4B" w:rsidTr="00674C4B">
        <w:trPr>
          <w:tblHeader/>
        </w:trPr>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2001</w:t>
            </w:r>
            <w:r w:rsidRPr="00674C4B">
              <w:rPr>
                <w:rFonts w:ascii="KaiTi_GB2312" w:eastAsia="KaiTi_GB2312" w:hint="eastAsia"/>
                <w:noProof/>
                <w:sz w:val="15"/>
                <w:szCs w:val="24"/>
              </w:rPr>
              <w:t>年</w:t>
            </w:r>
          </w:p>
        </w:tc>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2002</w:t>
            </w:r>
            <w:r w:rsidRPr="00674C4B">
              <w:rPr>
                <w:rFonts w:ascii="KaiTi_GB2312" w:eastAsia="KaiTi_GB2312" w:hint="eastAsia"/>
                <w:noProof/>
                <w:sz w:val="15"/>
                <w:szCs w:val="24"/>
              </w:rPr>
              <w:t>年</w:t>
            </w:r>
          </w:p>
        </w:tc>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2003</w:t>
            </w:r>
            <w:r w:rsidRPr="00674C4B">
              <w:rPr>
                <w:rFonts w:ascii="KaiTi_GB2312" w:eastAsia="KaiTi_GB2312" w:hint="eastAsia"/>
                <w:noProof/>
                <w:sz w:val="15"/>
                <w:szCs w:val="24"/>
              </w:rPr>
              <w:t>年</w:t>
            </w:r>
          </w:p>
        </w:tc>
        <w:tc>
          <w:tcPr>
            <w:tcW w:w="665"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2004</w:t>
            </w:r>
            <w:r w:rsidRPr="00674C4B">
              <w:rPr>
                <w:rFonts w:ascii="KaiTi_GB2312" w:eastAsia="KaiTi_GB2312" w:hint="eastAsia"/>
                <w:noProof/>
                <w:sz w:val="15"/>
                <w:szCs w:val="24"/>
              </w:rPr>
              <w:t>年</w:t>
            </w:r>
          </w:p>
        </w:tc>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2005</w:t>
            </w:r>
            <w:r w:rsidRPr="00674C4B">
              <w:rPr>
                <w:rFonts w:ascii="KaiTi_GB2312" w:eastAsia="KaiTi_GB2312" w:hint="eastAsia"/>
                <w:noProof/>
                <w:sz w:val="15"/>
                <w:szCs w:val="24"/>
              </w:rPr>
              <w:t>年</w:t>
            </w:r>
          </w:p>
        </w:tc>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2006</w:t>
            </w:r>
            <w:r w:rsidRPr="00674C4B">
              <w:rPr>
                <w:rFonts w:ascii="KaiTi_GB2312" w:eastAsia="KaiTi_GB2312" w:hint="eastAsia"/>
                <w:noProof/>
                <w:sz w:val="15"/>
                <w:szCs w:val="24"/>
              </w:rPr>
              <w:t>年</w:t>
            </w:r>
          </w:p>
        </w:tc>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2007</w:t>
            </w:r>
            <w:r w:rsidRPr="00674C4B">
              <w:rPr>
                <w:rFonts w:ascii="KaiTi_GB2312" w:eastAsia="KaiTi_GB2312" w:hint="eastAsia"/>
                <w:noProof/>
                <w:sz w:val="15"/>
                <w:szCs w:val="24"/>
              </w:rPr>
              <w:t>年</w:t>
            </w:r>
          </w:p>
        </w:tc>
        <w:tc>
          <w:tcPr>
            <w:tcW w:w="665"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2008</w:t>
            </w:r>
            <w:r w:rsidRPr="00674C4B">
              <w:rPr>
                <w:rFonts w:ascii="KaiTi_GB2312" w:eastAsia="KaiTi_GB2312" w:hint="eastAsia"/>
                <w:noProof/>
                <w:sz w:val="15"/>
                <w:szCs w:val="24"/>
              </w:rPr>
              <w:t>年</w:t>
            </w:r>
          </w:p>
        </w:tc>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2009</w:t>
            </w:r>
            <w:r w:rsidRPr="00674C4B">
              <w:rPr>
                <w:rFonts w:ascii="KaiTi_GB2312" w:eastAsia="KaiTi_GB2312" w:hint="eastAsia"/>
                <w:noProof/>
                <w:sz w:val="15"/>
                <w:szCs w:val="24"/>
              </w:rPr>
              <w:t>年</w:t>
            </w:r>
          </w:p>
        </w:tc>
        <w:tc>
          <w:tcPr>
            <w:tcW w:w="664"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2010</w:t>
            </w:r>
            <w:r w:rsidRPr="00674C4B">
              <w:rPr>
                <w:rFonts w:ascii="KaiTi_GB2312" w:eastAsia="KaiTi_GB2312" w:hint="eastAsia"/>
                <w:noProof/>
                <w:sz w:val="15"/>
                <w:szCs w:val="24"/>
              </w:rPr>
              <w:t>年</w:t>
            </w:r>
          </w:p>
        </w:tc>
        <w:tc>
          <w:tcPr>
            <w:tcW w:w="665" w:type="dxa"/>
            <w:tcBorders>
              <w:top w:val="single" w:sz="4" w:space="0" w:color="auto"/>
              <w:bottom w:val="single" w:sz="12" w:space="0" w:color="auto"/>
            </w:tcBorders>
            <w:shd w:val="clear" w:color="auto" w:fill="auto"/>
            <w:vAlign w:val="bottom"/>
          </w:tcPr>
          <w:p w:rsidR="00674C4B" w:rsidRPr="00674C4B" w:rsidRDefault="00674C4B" w:rsidP="00674C4B">
            <w:pPr>
              <w:suppressAutoHyphens/>
              <w:spacing w:before="60" w:after="60" w:line="200" w:lineRule="exact"/>
              <w:ind w:right="57"/>
              <w:jc w:val="right"/>
              <w:rPr>
                <w:rFonts w:ascii="KaiTi_GB2312" w:eastAsia="KaiTi_GB2312"/>
                <w:sz w:val="15"/>
                <w:szCs w:val="24"/>
                <w:lang w:val="en-GB" w:eastAsia="en-US"/>
              </w:rPr>
            </w:pPr>
            <w:r w:rsidRPr="00674C4B">
              <w:rPr>
                <w:rFonts w:ascii="KaiTi_GB2312" w:eastAsia="KaiTi_GB2312"/>
                <w:noProof/>
                <w:sz w:val="15"/>
                <w:szCs w:val="24"/>
              </w:rPr>
              <w:t>2011</w:t>
            </w:r>
            <w:r w:rsidRPr="00674C4B">
              <w:rPr>
                <w:rFonts w:ascii="KaiTi_GB2312" w:eastAsia="KaiTi_GB2312" w:hint="eastAsia"/>
                <w:noProof/>
                <w:sz w:val="15"/>
                <w:szCs w:val="24"/>
              </w:rPr>
              <w:t>年</w:t>
            </w:r>
          </w:p>
        </w:tc>
      </w:tr>
      <w:tr w:rsidR="00674C4B" w:rsidRPr="00674C4B" w:rsidTr="00674C4B">
        <w:trPr>
          <w:trHeight w:hRule="exact" w:val="115"/>
          <w:tblHeader/>
        </w:trPr>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5"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5"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4"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c>
          <w:tcPr>
            <w:tcW w:w="665" w:type="dxa"/>
            <w:tcBorders>
              <w:top w:val="single" w:sz="12" w:space="0" w:color="auto"/>
            </w:tcBorders>
            <w:shd w:val="clear" w:color="auto" w:fill="auto"/>
            <w:vAlign w:val="bottom"/>
          </w:tcPr>
          <w:p w:rsidR="00674C4B" w:rsidRPr="00674C4B" w:rsidRDefault="00674C4B" w:rsidP="00674C4B">
            <w:pPr>
              <w:suppressAutoHyphens/>
              <w:spacing w:after="60" w:line="280" w:lineRule="exact"/>
              <w:ind w:right="57"/>
              <w:jc w:val="right"/>
              <w:rPr>
                <w:sz w:val="17"/>
                <w:szCs w:val="24"/>
              </w:rPr>
            </w:pPr>
          </w:p>
        </w:tc>
      </w:tr>
      <w:tr w:rsidR="00674C4B" w:rsidRPr="00674C4B" w:rsidTr="00674C4B">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82.9</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82.7</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81.6</w:t>
            </w:r>
          </w:p>
        </w:tc>
        <w:tc>
          <w:tcPr>
            <w:tcW w:w="665"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81.3</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81.0</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81.2</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81.8</w:t>
            </w:r>
          </w:p>
        </w:tc>
        <w:tc>
          <w:tcPr>
            <w:tcW w:w="665"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81.8</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78.9</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76.5</w:t>
            </w:r>
          </w:p>
        </w:tc>
        <w:tc>
          <w:tcPr>
            <w:tcW w:w="665"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75.7</w:t>
            </w:r>
          </w:p>
        </w:tc>
      </w:tr>
      <w:tr w:rsidR="00674C4B" w:rsidRPr="00674C4B" w:rsidTr="00674C4B">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76.0</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76.2</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75.2</w:t>
            </w:r>
          </w:p>
        </w:tc>
        <w:tc>
          <w:tcPr>
            <w:tcW w:w="665"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75.3</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75.0</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75.3</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76.2</w:t>
            </w:r>
          </w:p>
        </w:tc>
        <w:tc>
          <w:tcPr>
            <w:tcW w:w="665"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76.3</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73.5</w:t>
            </w:r>
          </w:p>
        </w:tc>
        <w:tc>
          <w:tcPr>
            <w:tcW w:w="664"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72.4</w:t>
            </w:r>
          </w:p>
        </w:tc>
        <w:tc>
          <w:tcPr>
            <w:tcW w:w="665" w:type="dxa"/>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71.5</w:t>
            </w:r>
          </w:p>
        </w:tc>
      </w:tr>
      <w:tr w:rsidR="00674C4B" w:rsidRPr="00674C4B" w:rsidTr="00674C4B">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6.9</w:t>
            </w:r>
          </w:p>
        </w:tc>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6.5</w:t>
            </w:r>
          </w:p>
        </w:tc>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6.4</w:t>
            </w:r>
          </w:p>
        </w:tc>
        <w:tc>
          <w:tcPr>
            <w:tcW w:w="665"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6.0</w:t>
            </w:r>
          </w:p>
        </w:tc>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6.0</w:t>
            </w:r>
          </w:p>
        </w:tc>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5.9</w:t>
            </w:r>
          </w:p>
        </w:tc>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5.6</w:t>
            </w:r>
          </w:p>
        </w:tc>
        <w:tc>
          <w:tcPr>
            <w:tcW w:w="665"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5.5</w:t>
            </w:r>
          </w:p>
        </w:tc>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5.4</w:t>
            </w:r>
          </w:p>
        </w:tc>
        <w:tc>
          <w:tcPr>
            <w:tcW w:w="664"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4.1</w:t>
            </w:r>
          </w:p>
        </w:tc>
        <w:tc>
          <w:tcPr>
            <w:tcW w:w="665" w:type="dxa"/>
            <w:tcBorders>
              <w:bottom w:val="single" w:sz="12" w:space="0" w:color="auto"/>
            </w:tcBorders>
            <w:shd w:val="clear" w:color="auto" w:fill="auto"/>
            <w:vAlign w:val="bottom"/>
          </w:tcPr>
          <w:p w:rsidR="00674C4B" w:rsidRPr="00674C4B" w:rsidRDefault="00674C4B" w:rsidP="00674C4B">
            <w:pPr>
              <w:tabs>
                <w:tab w:val="left" w:pos="334"/>
                <w:tab w:val="left" w:pos="669"/>
                <w:tab w:val="left" w:pos="1003"/>
                <w:tab w:val="left" w:pos="1338"/>
              </w:tabs>
              <w:suppressAutoHyphens/>
              <w:spacing w:after="60" w:line="280" w:lineRule="exact"/>
              <w:ind w:right="57"/>
              <w:jc w:val="right"/>
              <w:rPr>
                <w:sz w:val="17"/>
                <w:szCs w:val="24"/>
                <w:lang w:val="en-GB" w:eastAsia="en-US"/>
              </w:rPr>
            </w:pPr>
            <w:r w:rsidRPr="00674C4B">
              <w:rPr>
                <w:sz w:val="17"/>
                <w:szCs w:val="24"/>
              </w:rPr>
              <w:t>4.2</w:t>
            </w:r>
          </w:p>
        </w:tc>
      </w:tr>
    </w:tbl>
    <w:p w:rsidR="00C10BAF" w:rsidRPr="00C10BAF" w:rsidRDefault="00C10BAF" w:rsidP="00C10BAF">
      <w:pPr>
        <w:pStyle w:val="SingleTxt"/>
        <w:spacing w:after="0" w:line="120" w:lineRule="exact"/>
        <w:rPr>
          <w:rFonts w:hint="eastAsia"/>
          <w:sz w:val="10"/>
        </w:rPr>
      </w:pPr>
    </w:p>
    <w:p w:rsidR="00674C4B" w:rsidRDefault="00C10BAF" w:rsidP="00674C4B">
      <w:pPr>
        <w:pStyle w:val="SingleTxt"/>
        <w:rPr>
          <w:rFonts w:hint="eastAsia"/>
        </w:rPr>
      </w:pPr>
      <w:r>
        <w:rPr>
          <w:rFonts w:hint="eastAsia"/>
        </w:rPr>
        <w:tab/>
      </w:r>
      <w:r w:rsidR="00674C4B">
        <w:rPr>
          <w:rFonts w:hint="eastAsia"/>
        </w:rPr>
        <w:t>移民和少数族裔女性的参加率低于丹麦裔女性，但这项比率正在增加。2011年，移民和少数族裔女性的参加率为50.8%。不论族裔背景为何，女性在教育系统的表现都优于男性。少数族裔女性追随着丹麦裔女性成功的步伐。</w:t>
      </w:r>
    </w:p>
    <w:p w:rsidR="00674C4B" w:rsidRPr="00DC4C76" w:rsidRDefault="00674C4B" w:rsidP="00674C4B">
      <w:pPr>
        <w:pStyle w:val="SingleTxt"/>
        <w:rPr>
          <w:rFonts w:ascii="KaiTi_GB2312" w:eastAsia="KaiTi_GB2312" w:hint="eastAsia"/>
        </w:rPr>
      </w:pPr>
      <w:r w:rsidRPr="00DC4C76">
        <w:rPr>
          <w:rFonts w:ascii="KaiTi_GB2312" w:eastAsia="KaiTi_GB2312" w:hint="eastAsia"/>
        </w:rPr>
        <w:t>失业率</w:t>
      </w:r>
    </w:p>
    <w:p w:rsidR="00674C4B" w:rsidRDefault="00C10BAF" w:rsidP="00674C4B">
      <w:pPr>
        <w:pStyle w:val="SingleTxt"/>
        <w:rPr>
          <w:rFonts w:hint="eastAsia"/>
        </w:rPr>
      </w:pPr>
      <w:r>
        <w:rPr>
          <w:rFonts w:hint="eastAsia"/>
        </w:rPr>
        <w:tab/>
      </w:r>
      <w:r w:rsidR="00674C4B">
        <w:rPr>
          <w:rFonts w:hint="eastAsia"/>
        </w:rPr>
        <w:t xml:space="preserve">在经济危机期间，女性的失业率低于男性。不过，在2012年，男女的失业率都遵循相同的态势。 </w:t>
      </w:r>
    </w:p>
    <w:p w:rsidR="00674C4B" w:rsidRPr="002270F4" w:rsidRDefault="00674C4B" w:rsidP="00674C4B">
      <w:pPr>
        <w:pStyle w:val="SingleTxt"/>
        <w:rPr>
          <w:rFonts w:ascii="SimHei" w:eastAsia="SimHei" w:hint="eastAsia"/>
        </w:rPr>
      </w:pPr>
      <w:r>
        <w:rPr>
          <w:rFonts w:hint="eastAsia"/>
        </w:rPr>
        <w:t>图1</w:t>
      </w:r>
      <w:r>
        <w:rPr>
          <w:rFonts w:hint="eastAsia"/>
        </w:rPr>
        <w:br/>
      </w:r>
      <w:r w:rsidRPr="002270F4">
        <w:rPr>
          <w:rFonts w:ascii="SimHei" w:eastAsia="SimHei" w:hint="eastAsia"/>
        </w:rPr>
        <w:t>2007年1月至2012年10月按性别分列的失业率</w:t>
      </w:r>
    </w:p>
    <w:p w:rsidR="00674C4B" w:rsidRDefault="002270F4" w:rsidP="00674C4B">
      <w:pPr>
        <w:pStyle w:val="SingleTxt"/>
        <w:spacing w:line="240" w:lineRule="auto"/>
        <w:rPr>
          <w:rFonts w:hint="eastAsia"/>
        </w:rPr>
      </w:pPr>
      <w:r>
        <w:rPr>
          <w:rFonts w:hint="eastAsia"/>
          <w:noProof/>
        </w:rPr>
        <w:pict>
          <v:shapetype id="_x0000_t202" coordsize="21600,21600" o:spt="202" path="m,l,21600r21600,l21600,xe">
            <v:stroke joinstyle="miter"/>
            <v:path gradientshapeok="t" o:connecttype="rect"/>
          </v:shapetype>
          <v:shape id="_x0000_s1028" type="#_x0000_t202" style="position:absolute;left:0;text-align:left;margin-left:211pt;margin-top:2.75pt;width:26.25pt;height:9.9pt;z-index:3" stroked="f">
            <v:textbox inset="0,0,0,0">
              <w:txbxContent>
                <w:p w:rsidR="005352EC" w:rsidRPr="00282747" w:rsidRDefault="005352EC" w:rsidP="00282747">
                  <w:pPr>
                    <w:spacing w:line="200" w:lineRule="exact"/>
                    <w:jc w:val="center"/>
                    <w:rPr>
                      <w:rFonts w:hint="eastAsia"/>
                      <w:sz w:val="15"/>
                      <w:szCs w:val="15"/>
                    </w:rPr>
                  </w:pPr>
                  <w:r>
                    <w:rPr>
                      <w:rFonts w:hint="eastAsia"/>
                      <w:sz w:val="15"/>
                      <w:szCs w:val="15"/>
                    </w:rPr>
                    <w:t>女性</w:t>
                  </w:r>
                </w:p>
              </w:txbxContent>
            </v:textbox>
          </v:shape>
        </w:pict>
      </w:r>
      <w:r>
        <w:rPr>
          <w:rFonts w:hint="eastAsia"/>
          <w:noProof/>
        </w:rPr>
        <w:pict>
          <v:shape id="_x0000_s1029" type="#_x0000_t202" style="position:absolute;left:0;text-align:left;margin-left:246.75pt;margin-top:3.25pt;width:26.25pt;height:9.9pt;z-index:4" stroked="f">
            <v:textbox inset="0,0,0,0">
              <w:txbxContent>
                <w:p w:rsidR="005352EC" w:rsidRPr="00282747" w:rsidRDefault="005352EC" w:rsidP="00282747">
                  <w:pPr>
                    <w:spacing w:line="200" w:lineRule="exact"/>
                    <w:jc w:val="center"/>
                    <w:rPr>
                      <w:rFonts w:hint="eastAsia"/>
                      <w:sz w:val="15"/>
                      <w:szCs w:val="15"/>
                    </w:rPr>
                  </w:pPr>
                  <w:r>
                    <w:rPr>
                      <w:rFonts w:hint="eastAsia"/>
                      <w:sz w:val="15"/>
                      <w:szCs w:val="15"/>
                    </w:rPr>
                    <w:t>男性</w:t>
                  </w:r>
                </w:p>
              </w:txbxContent>
            </v:textbox>
          </v:shape>
        </w:pict>
      </w:r>
      <w:r>
        <w:rPr>
          <w:rFonts w:hint="eastAsia"/>
          <w:noProof/>
        </w:rPr>
        <w:pict>
          <v:shape id="_x0000_s1055" type="#_x0000_t202" style="position:absolute;left:0;text-align:left;margin-left:248pt;margin-top:190.45pt;width:11.25pt;height:54.6pt;z-index:29" stroked="f">
            <v:textbox style="layout-flow:vertical-ideographic;mso-next-textbox:#_x0000_s1055" inset="0,0,0,0">
              <w:txbxContent>
                <w:p w:rsidR="005352EC" w:rsidRPr="00282747" w:rsidRDefault="005352EC" w:rsidP="00282747">
                  <w:pPr>
                    <w:spacing w:line="200" w:lineRule="exact"/>
                    <w:jc w:val="left"/>
                    <w:rPr>
                      <w:rFonts w:hint="eastAsia"/>
                      <w:sz w:val="15"/>
                      <w:szCs w:val="15"/>
                    </w:rPr>
                  </w:pPr>
                  <w:r>
                    <w:rPr>
                      <w:rFonts w:hint="eastAsia"/>
                      <w:sz w:val="15"/>
                      <w:szCs w:val="15"/>
                    </w:rPr>
                    <w:t>2010年</w:t>
                  </w:r>
                  <w:r>
                    <w:rPr>
                      <w:sz w:val="15"/>
                      <w:szCs w:val="15"/>
                    </w:rPr>
                    <w:t>1</w:t>
                  </w:r>
                  <w:r>
                    <w:rPr>
                      <w:rFonts w:hint="eastAsia"/>
                      <w:sz w:val="15"/>
                      <w:szCs w:val="15"/>
                    </w:rPr>
                    <w:t>月</w:t>
                  </w:r>
                </w:p>
              </w:txbxContent>
            </v:textbox>
          </v:shape>
        </w:pict>
      </w:r>
      <w:r>
        <w:rPr>
          <w:rFonts w:hint="eastAsia"/>
          <w:noProof/>
        </w:rPr>
        <w:pict>
          <v:shape id="_x0000_s1041" type="#_x0000_t202" style="position:absolute;left:0;text-align:left;margin-left:232.5pt;margin-top:190.45pt;width:11.25pt;height:54.6pt;z-index:15" stroked="f">
            <v:textbox style="layout-flow:vertical-ideographic;mso-next-textbox:#_x0000_s1041"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9</w:t>
                  </w:r>
                  <w:r>
                    <w:rPr>
                      <w:rFonts w:hint="eastAsia"/>
                      <w:sz w:val="15"/>
                      <w:szCs w:val="15"/>
                    </w:rPr>
                    <w:t>年10月</w:t>
                  </w:r>
                </w:p>
              </w:txbxContent>
            </v:textbox>
          </v:shape>
        </w:pict>
      </w:r>
      <w:r>
        <w:rPr>
          <w:rFonts w:hint="eastAsia"/>
          <w:noProof/>
        </w:rPr>
        <w:pict>
          <v:shape id="_x0000_s1040" type="#_x0000_t202" style="position:absolute;left:0;text-align:left;margin-left:220.25pt;margin-top:190.45pt;width:11.25pt;height:54.6pt;z-index:14" stroked="f">
            <v:textbox style="layout-flow:vertical-ideographic;mso-next-textbox:#_x0000_s1040"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9</w:t>
                  </w:r>
                  <w:r>
                    <w:rPr>
                      <w:rFonts w:hint="eastAsia"/>
                      <w:sz w:val="15"/>
                      <w:szCs w:val="15"/>
                    </w:rPr>
                    <w:t>年7月</w:t>
                  </w:r>
                </w:p>
              </w:txbxContent>
            </v:textbox>
          </v:shape>
        </w:pict>
      </w:r>
      <w:r>
        <w:rPr>
          <w:rFonts w:hint="eastAsia"/>
          <w:noProof/>
        </w:rPr>
        <w:pict>
          <v:shape id="_x0000_s1039" type="#_x0000_t202" style="position:absolute;left:0;text-align:left;margin-left:207.5pt;margin-top:190.45pt;width:11.25pt;height:54.6pt;z-index:13" stroked="f">
            <v:textbox style="layout-flow:vertical-ideographic;mso-next-textbox:#_x0000_s1039"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9</w:t>
                  </w:r>
                  <w:r>
                    <w:rPr>
                      <w:rFonts w:hint="eastAsia"/>
                      <w:sz w:val="15"/>
                      <w:szCs w:val="15"/>
                    </w:rPr>
                    <w:t>年4月</w:t>
                  </w:r>
                </w:p>
              </w:txbxContent>
            </v:textbox>
          </v:shape>
        </w:pict>
      </w:r>
      <w:r>
        <w:rPr>
          <w:rFonts w:hint="eastAsia"/>
          <w:noProof/>
        </w:rPr>
        <w:pict>
          <v:shape id="_x0000_s1054" type="#_x0000_t202" style="position:absolute;left:0;text-align:left;margin-left:194.25pt;margin-top:190.45pt;width:11.25pt;height:54.6pt;z-index:28" stroked="f">
            <v:textbox style="layout-flow:vertical-ideographic;mso-next-textbox:#_x0000_s1054"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9</w:t>
                  </w:r>
                  <w:r>
                    <w:rPr>
                      <w:rFonts w:hint="eastAsia"/>
                      <w:sz w:val="15"/>
                      <w:szCs w:val="15"/>
                    </w:rPr>
                    <w:t>年</w:t>
                  </w:r>
                  <w:r>
                    <w:rPr>
                      <w:sz w:val="15"/>
                      <w:szCs w:val="15"/>
                    </w:rPr>
                    <w:t>1</w:t>
                  </w:r>
                  <w:r>
                    <w:rPr>
                      <w:rFonts w:hint="eastAsia"/>
                      <w:sz w:val="15"/>
                      <w:szCs w:val="15"/>
                    </w:rPr>
                    <w:t>月</w:t>
                  </w:r>
                </w:p>
              </w:txbxContent>
            </v:textbox>
          </v:shape>
        </w:pict>
      </w:r>
      <w:r>
        <w:rPr>
          <w:rFonts w:hint="eastAsia"/>
          <w:noProof/>
        </w:rPr>
        <w:pict>
          <v:shape id="_x0000_s1053" type="#_x0000_t202" style="position:absolute;left:0;text-align:left;margin-left:179pt;margin-top:190.45pt;width:11.25pt;height:54.6pt;z-index:27" stroked="f">
            <v:textbox style="layout-flow:vertical-ideographic;mso-next-textbox:#_x0000_s1053"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8</w:t>
                  </w:r>
                  <w:r>
                    <w:rPr>
                      <w:rFonts w:hint="eastAsia"/>
                      <w:sz w:val="15"/>
                      <w:szCs w:val="15"/>
                    </w:rPr>
                    <w:t>年</w:t>
                  </w:r>
                  <w:r>
                    <w:rPr>
                      <w:sz w:val="15"/>
                      <w:szCs w:val="15"/>
                    </w:rPr>
                    <w:t>10</w:t>
                  </w:r>
                  <w:r>
                    <w:rPr>
                      <w:rFonts w:hint="eastAsia"/>
                      <w:sz w:val="15"/>
                      <w:szCs w:val="15"/>
                    </w:rPr>
                    <w:t>月</w:t>
                  </w:r>
                </w:p>
              </w:txbxContent>
            </v:textbox>
          </v:shape>
        </w:pict>
      </w:r>
      <w:r>
        <w:rPr>
          <w:rFonts w:hint="eastAsia"/>
          <w:noProof/>
        </w:rPr>
        <w:pict>
          <v:shape id="_x0000_s1038" type="#_x0000_t202" style="position:absolute;left:0;text-align:left;margin-left:166pt;margin-top:190.45pt;width:11.25pt;height:54.6pt;z-index:12" stroked="f">
            <v:textbox style="layout-flow:vertical-ideographic;mso-next-textbox:#_x0000_s1038"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8</w:t>
                  </w:r>
                  <w:r>
                    <w:rPr>
                      <w:rFonts w:hint="eastAsia"/>
                      <w:sz w:val="15"/>
                      <w:szCs w:val="15"/>
                    </w:rPr>
                    <w:t>年</w:t>
                  </w:r>
                  <w:r>
                    <w:rPr>
                      <w:sz w:val="15"/>
                      <w:szCs w:val="15"/>
                    </w:rPr>
                    <w:t>7</w:t>
                  </w:r>
                  <w:r>
                    <w:rPr>
                      <w:rFonts w:hint="eastAsia"/>
                      <w:sz w:val="15"/>
                      <w:szCs w:val="15"/>
                    </w:rPr>
                    <w:t>月</w:t>
                  </w:r>
                </w:p>
              </w:txbxContent>
            </v:textbox>
          </v:shape>
        </w:pict>
      </w:r>
      <w:r>
        <w:rPr>
          <w:rFonts w:hint="eastAsia"/>
          <w:noProof/>
        </w:rPr>
        <w:pict>
          <v:shape id="_x0000_s1037" type="#_x0000_t202" style="position:absolute;left:0;text-align:left;margin-left:152.25pt;margin-top:190.45pt;width:11.25pt;height:54.6pt;z-index:11" stroked="f">
            <v:textbox style="layout-flow:vertical-ideographic;mso-next-textbox:#_x0000_s1037"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8</w:t>
                  </w:r>
                  <w:r>
                    <w:rPr>
                      <w:rFonts w:hint="eastAsia"/>
                      <w:sz w:val="15"/>
                      <w:szCs w:val="15"/>
                    </w:rPr>
                    <w:t>年</w:t>
                  </w:r>
                  <w:r>
                    <w:rPr>
                      <w:sz w:val="15"/>
                      <w:szCs w:val="15"/>
                    </w:rPr>
                    <w:t>4</w:t>
                  </w:r>
                  <w:r>
                    <w:rPr>
                      <w:rFonts w:hint="eastAsia"/>
                      <w:sz w:val="15"/>
                      <w:szCs w:val="15"/>
                    </w:rPr>
                    <w:t>月</w:t>
                  </w:r>
                </w:p>
              </w:txbxContent>
            </v:textbox>
          </v:shape>
        </w:pict>
      </w:r>
      <w:r>
        <w:rPr>
          <w:rFonts w:hint="eastAsia"/>
          <w:noProof/>
        </w:rPr>
        <w:pict>
          <v:shape id="_x0000_s1036" type="#_x0000_t202" style="position:absolute;left:0;text-align:left;margin-left:140.25pt;margin-top:190.45pt;width:11.25pt;height:54.6pt;z-index:10" stroked="f">
            <v:textbox style="layout-flow:vertical-ideographic;mso-next-textbox:#_x0000_s1036" inset="0,0,0,0">
              <w:txbxContent>
                <w:p w:rsidR="005352EC" w:rsidRPr="00282747" w:rsidRDefault="005352EC" w:rsidP="00282747">
                  <w:pPr>
                    <w:spacing w:line="200" w:lineRule="exact"/>
                    <w:jc w:val="left"/>
                    <w:rPr>
                      <w:rFonts w:hint="eastAsia"/>
                      <w:sz w:val="15"/>
                      <w:szCs w:val="15"/>
                    </w:rPr>
                  </w:pPr>
                  <w:r>
                    <w:rPr>
                      <w:rFonts w:hint="eastAsia"/>
                      <w:sz w:val="15"/>
                      <w:szCs w:val="15"/>
                    </w:rPr>
                    <w:t>200</w:t>
                  </w:r>
                  <w:r>
                    <w:rPr>
                      <w:sz w:val="15"/>
                      <w:szCs w:val="15"/>
                    </w:rPr>
                    <w:t>8</w:t>
                  </w:r>
                  <w:r>
                    <w:rPr>
                      <w:rFonts w:hint="eastAsia"/>
                      <w:sz w:val="15"/>
                      <w:szCs w:val="15"/>
                    </w:rPr>
                    <w:t>年</w:t>
                  </w:r>
                  <w:r>
                    <w:rPr>
                      <w:sz w:val="15"/>
                      <w:szCs w:val="15"/>
                    </w:rPr>
                    <w:t>1</w:t>
                  </w:r>
                  <w:r>
                    <w:rPr>
                      <w:rFonts w:hint="eastAsia"/>
                      <w:sz w:val="15"/>
                      <w:szCs w:val="15"/>
                    </w:rPr>
                    <w:t>月</w:t>
                  </w:r>
                </w:p>
              </w:txbxContent>
            </v:textbox>
          </v:shape>
        </w:pict>
      </w:r>
      <w:r>
        <w:rPr>
          <w:rFonts w:hint="eastAsia"/>
          <w:noProof/>
        </w:rPr>
        <w:pict>
          <v:shape id="_x0000_s1035" type="#_x0000_t202" style="position:absolute;left:0;text-align:left;margin-left:126pt;margin-top:190.45pt;width:11.25pt;height:54.6pt;z-index:9" stroked="f">
            <v:textbox style="layout-flow:vertical-ideographic;mso-next-textbox:#_x0000_s1035" inset="0,0,0,0">
              <w:txbxContent>
                <w:p w:rsidR="005352EC" w:rsidRPr="00282747" w:rsidRDefault="005352EC" w:rsidP="00282747">
                  <w:pPr>
                    <w:spacing w:line="200" w:lineRule="exact"/>
                    <w:jc w:val="left"/>
                    <w:rPr>
                      <w:rFonts w:hint="eastAsia"/>
                      <w:sz w:val="15"/>
                      <w:szCs w:val="15"/>
                    </w:rPr>
                  </w:pPr>
                  <w:r>
                    <w:rPr>
                      <w:rFonts w:hint="eastAsia"/>
                      <w:sz w:val="15"/>
                      <w:szCs w:val="15"/>
                    </w:rPr>
                    <w:t>2007年</w:t>
                  </w:r>
                  <w:r>
                    <w:rPr>
                      <w:sz w:val="15"/>
                      <w:szCs w:val="15"/>
                    </w:rPr>
                    <w:t>10</w:t>
                  </w:r>
                  <w:r>
                    <w:rPr>
                      <w:rFonts w:hint="eastAsia"/>
                      <w:sz w:val="15"/>
                      <w:szCs w:val="15"/>
                    </w:rPr>
                    <w:t>月</w:t>
                  </w:r>
                </w:p>
              </w:txbxContent>
            </v:textbox>
          </v:shape>
        </w:pict>
      </w:r>
      <w:r>
        <w:rPr>
          <w:rFonts w:hint="eastAsia"/>
          <w:noProof/>
        </w:rPr>
        <w:pict>
          <v:shape id="_x0000_s1042" type="#_x0000_t202" style="position:absolute;left:0;text-align:left;margin-left:262.5pt;margin-top:190.45pt;width:11.25pt;height:54.6pt;z-index:16" stroked="f">
            <v:textbox style="layout-flow:vertical-ideographic;mso-next-textbox:#_x0000_s1042"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10</w:t>
                  </w:r>
                  <w:r>
                    <w:rPr>
                      <w:rFonts w:hint="eastAsia"/>
                      <w:sz w:val="15"/>
                      <w:szCs w:val="15"/>
                    </w:rPr>
                    <w:t>年4月</w:t>
                  </w:r>
                </w:p>
              </w:txbxContent>
            </v:textbox>
          </v:shape>
        </w:pict>
      </w:r>
      <w:r>
        <w:rPr>
          <w:rFonts w:hint="eastAsia"/>
          <w:noProof/>
        </w:rPr>
        <w:pict>
          <v:shape id="_x0000_s1043" type="#_x0000_t202" style="position:absolute;left:0;text-align:left;margin-left:275pt;margin-top:190.45pt;width:11.25pt;height:54.6pt;z-index:17" stroked="f">
            <v:textbox style="layout-flow:vertical-ideographic;mso-next-textbox:#_x0000_s1043"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10</w:t>
                  </w:r>
                  <w:r>
                    <w:rPr>
                      <w:rFonts w:hint="eastAsia"/>
                      <w:sz w:val="15"/>
                      <w:szCs w:val="15"/>
                    </w:rPr>
                    <w:t>年7月</w:t>
                  </w:r>
                </w:p>
              </w:txbxContent>
            </v:textbox>
          </v:shape>
        </w:pict>
      </w:r>
      <w:r>
        <w:rPr>
          <w:rFonts w:hint="eastAsia"/>
          <w:noProof/>
        </w:rPr>
        <w:pict>
          <v:shape id="_x0000_s1044" type="#_x0000_t202" style="position:absolute;left:0;text-align:left;margin-left:288.75pt;margin-top:190.45pt;width:11.25pt;height:54.6pt;z-index:18" stroked="f">
            <v:textbox style="layout-flow:vertical-ideographic;mso-next-textbox:#_x0000_s1044"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10</w:t>
                  </w:r>
                  <w:r>
                    <w:rPr>
                      <w:rFonts w:hint="eastAsia"/>
                      <w:sz w:val="15"/>
                      <w:szCs w:val="15"/>
                    </w:rPr>
                    <w:t>年10月</w:t>
                  </w:r>
                </w:p>
              </w:txbxContent>
            </v:textbox>
          </v:shape>
        </w:pict>
      </w:r>
      <w:r>
        <w:rPr>
          <w:rFonts w:hint="eastAsia"/>
          <w:noProof/>
        </w:rPr>
        <w:pict>
          <v:shape id="_x0000_s1045" type="#_x0000_t202" style="position:absolute;left:0;text-align:left;margin-left:301.5pt;margin-top:190.45pt;width:11.25pt;height:54.6pt;z-index:19" stroked="f">
            <v:textbox style="layout-flow:vertical-ideographic;mso-next-textbox:#_x0000_s1045"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w:t>
                  </w:r>
                  <w:r>
                    <w:rPr>
                      <w:rFonts w:hint="eastAsia"/>
                      <w:sz w:val="15"/>
                      <w:szCs w:val="15"/>
                    </w:rPr>
                    <w:t>1年1月</w:t>
                  </w:r>
                </w:p>
              </w:txbxContent>
            </v:textbox>
          </v:shape>
        </w:pict>
      </w:r>
      <w:r>
        <w:rPr>
          <w:rFonts w:hint="eastAsia"/>
          <w:noProof/>
        </w:rPr>
        <w:pict>
          <v:shape id="_x0000_s1046" type="#_x0000_t202" style="position:absolute;left:0;text-align:left;margin-left:314.5pt;margin-top:190.45pt;width:11.25pt;height:54.6pt;z-index:20" stroked="f">
            <v:textbox style="layout-flow:vertical-ideographic;mso-next-textbox:#_x0000_s1046"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11</w:t>
                  </w:r>
                  <w:r>
                    <w:rPr>
                      <w:rFonts w:hint="eastAsia"/>
                      <w:sz w:val="15"/>
                      <w:szCs w:val="15"/>
                    </w:rPr>
                    <w:t>年4月</w:t>
                  </w:r>
                </w:p>
              </w:txbxContent>
            </v:textbox>
          </v:shape>
        </w:pict>
      </w:r>
      <w:r>
        <w:rPr>
          <w:rFonts w:hint="eastAsia"/>
          <w:noProof/>
        </w:rPr>
        <w:pict>
          <v:shape id="_x0000_s1047" type="#_x0000_t202" style="position:absolute;left:0;text-align:left;margin-left:328.25pt;margin-top:190.45pt;width:11.25pt;height:54.6pt;z-index:21" stroked="f">
            <v:textbox style="layout-flow:vertical-ideographic;mso-next-textbox:#_x0000_s1047"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11</w:t>
                  </w:r>
                  <w:r>
                    <w:rPr>
                      <w:rFonts w:hint="eastAsia"/>
                      <w:sz w:val="15"/>
                      <w:szCs w:val="15"/>
                    </w:rPr>
                    <w:t>年7月</w:t>
                  </w:r>
                </w:p>
              </w:txbxContent>
            </v:textbox>
          </v:shape>
        </w:pict>
      </w:r>
      <w:r>
        <w:rPr>
          <w:rFonts w:hint="eastAsia"/>
          <w:noProof/>
        </w:rPr>
        <w:pict>
          <v:shape id="_x0000_s1048" type="#_x0000_t202" style="position:absolute;left:0;text-align:left;margin-left:342.25pt;margin-top:190.45pt;width:11.25pt;height:54.6pt;z-index:22" stroked="f">
            <v:textbox style="layout-flow:vertical-ideographic;mso-next-textbox:#_x0000_s1048"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11</w:t>
                  </w:r>
                  <w:r>
                    <w:rPr>
                      <w:rFonts w:hint="eastAsia"/>
                      <w:sz w:val="15"/>
                      <w:szCs w:val="15"/>
                    </w:rPr>
                    <w:t>年10月</w:t>
                  </w:r>
                </w:p>
              </w:txbxContent>
            </v:textbox>
          </v:shape>
        </w:pict>
      </w:r>
      <w:r>
        <w:rPr>
          <w:rFonts w:hint="eastAsia"/>
          <w:noProof/>
        </w:rPr>
        <w:pict>
          <v:shape id="_x0000_s1049" type="#_x0000_t202" style="position:absolute;left:0;text-align:left;margin-left:356pt;margin-top:190.45pt;width:11.25pt;height:54.6pt;z-index:23" stroked="f">
            <v:textbox style="layout-flow:vertical-ideographic;mso-next-textbox:#_x0000_s1049"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w:t>
                  </w:r>
                  <w:r>
                    <w:rPr>
                      <w:rFonts w:hint="eastAsia"/>
                      <w:sz w:val="15"/>
                      <w:szCs w:val="15"/>
                    </w:rPr>
                    <w:t>2年1月</w:t>
                  </w:r>
                </w:p>
              </w:txbxContent>
            </v:textbox>
          </v:shape>
        </w:pict>
      </w:r>
      <w:r>
        <w:rPr>
          <w:rFonts w:hint="eastAsia"/>
          <w:noProof/>
        </w:rPr>
        <w:pict>
          <v:shape id="_x0000_s1050" type="#_x0000_t202" style="position:absolute;left:0;text-align:left;margin-left:370.5pt;margin-top:190.45pt;width:11.25pt;height:54.6pt;z-index:24" stroked="f">
            <v:textbox style="layout-flow:vertical-ideographic;mso-next-textbox:#_x0000_s1050"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12</w:t>
                  </w:r>
                  <w:r>
                    <w:rPr>
                      <w:rFonts w:hint="eastAsia"/>
                      <w:sz w:val="15"/>
                      <w:szCs w:val="15"/>
                    </w:rPr>
                    <w:t>年4月</w:t>
                  </w:r>
                </w:p>
              </w:txbxContent>
            </v:textbox>
          </v:shape>
        </w:pict>
      </w:r>
      <w:r>
        <w:rPr>
          <w:rFonts w:hint="eastAsia"/>
          <w:noProof/>
        </w:rPr>
        <w:pict>
          <v:shape id="_x0000_s1051" type="#_x0000_t202" style="position:absolute;left:0;text-align:left;margin-left:384.75pt;margin-top:190.45pt;width:11.25pt;height:54.6pt;z-index:25" stroked="f">
            <v:textbox style="layout-flow:vertical-ideographic;mso-next-textbox:#_x0000_s1051"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12</w:t>
                  </w:r>
                  <w:r>
                    <w:rPr>
                      <w:rFonts w:hint="eastAsia"/>
                      <w:sz w:val="15"/>
                      <w:szCs w:val="15"/>
                    </w:rPr>
                    <w:t>年7月</w:t>
                  </w:r>
                </w:p>
              </w:txbxContent>
            </v:textbox>
          </v:shape>
        </w:pict>
      </w:r>
      <w:r>
        <w:rPr>
          <w:rFonts w:hint="eastAsia"/>
          <w:noProof/>
        </w:rPr>
        <w:pict>
          <v:shape id="_x0000_s1052" type="#_x0000_t202" style="position:absolute;left:0;text-align:left;margin-left:398pt;margin-top:190.45pt;width:11.25pt;height:54.6pt;z-index:26" stroked="f">
            <v:textbox style="layout-flow:vertical-ideographic;mso-next-textbox:#_x0000_s1052" inset="0,0,0,0">
              <w:txbxContent>
                <w:p w:rsidR="005352EC" w:rsidRPr="00282747" w:rsidRDefault="005352EC" w:rsidP="00282747">
                  <w:pPr>
                    <w:spacing w:line="200" w:lineRule="exact"/>
                    <w:jc w:val="left"/>
                    <w:rPr>
                      <w:rFonts w:hint="eastAsia"/>
                      <w:sz w:val="15"/>
                      <w:szCs w:val="15"/>
                    </w:rPr>
                  </w:pPr>
                  <w:r>
                    <w:rPr>
                      <w:rFonts w:hint="eastAsia"/>
                      <w:sz w:val="15"/>
                      <w:szCs w:val="15"/>
                    </w:rPr>
                    <w:t>20</w:t>
                  </w:r>
                  <w:r>
                    <w:rPr>
                      <w:sz w:val="15"/>
                      <w:szCs w:val="15"/>
                    </w:rPr>
                    <w:t>12</w:t>
                  </w:r>
                  <w:r>
                    <w:rPr>
                      <w:rFonts w:hint="eastAsia"/>
                      <w:sz w:val="15"/>
                      <w:szCs w:val="15"/>
                    </w:rPr>
                    <w:t>年10月</w:t>
                  </w:r>
                </w:p>
              </w:txbxContent>
            </v:textbox>
          </v:shape>
        </w:pict>
      </w:r>
      <w:r w:rsidR="00282747">
        <w:rPr>
          <w:rFonts w:hint="eastAsia"/>
          <w:noProof/>
        </w:rPr>
        <w:pict>
          <v:shape id="_x0000_s1034" type="#_x0000_t202" style="position:absolute;left:0;text-align:left;margin-left:111.25pt;margin-top:190.45pt;width:11.25pt;height:54.6pt;z-index:8" stroked="f">
            <v:textbox style="layout-flow:vertical-ideographic" inset="0,0,0,0">
              <w:txbxContent>
                <w:p w:rsidR="005352EC" w:rsidRPr="00282747" w:rsidRDefault="005352EC" w:rsidP="00282747">
                  <w:pPr>
                    <w:spacing w:line="200" w:lineRule="exact"/>
                    <w:jc w:val="left"/>
                    <w:rPr>
                      <w:rFonts w:hint="eastAsia"/>
                      <w:sz w:val="15"/>
                      <w:szCs w:val="15"/>
                    </w:rPr>
                  </w:pPr>
                  <w:r>
                    <w:rPr>
                      <w:rFonts w:hint="eastAsia"/>
                      <w:sz w:val="15"/>
                      <w:szCs w:val="15"/>
                    </w:rPr>
                    <w:t>2007年</w:t>
                  </w:r>
                  <w:r>
                    <w:rPr>
                      <w:sz w:val="15"/>
                      <w:szCs w:val="15"/>
                    </w:rPr>
                    <w:t>7</w:t>
                  </w:r>
                  <w:r>
                    <w:rPr>
                      <w:rFonts w:hint="eastAsia"/>
                      <w:sz w:val="15"/>
                      <w:szCs w:val="15"/>
                    </w:rPr>
                    <w:t>月</w:t>
                  </w:r>
                </w:p>
              </w:txbxContent>
            </v:textbox>
          </v:shape>
        </w:pict>
      </w:r>
      <w:r w:rsidR="00282747">
        <w:rPr>
          <w:rFonts w:hint="eastAsia"/>
          <w:noProof/>
        </w:rPr>
        <w:pict>
          <v:shape id="_x0000_s1033" type="#_x0000_t202" style="position:absolute;left:0;text-align:left;margin-left:101.5pt;margin-top:190.45pt;width:11.25pt;height:54.6pt;z-index:7" stroked="f">
            <v:textbox style="layout-flow:vertical-ideographic" inset="0,0,0,0">
              <w:txbxContent>
                <w:p w:rsidR="005352EC" w:rsidRPr="00282747" w:rsidRDefault="005352EC" w:rsidP="00282747">
                  <w:pPr>
                    <w:spacing w:line="200" w:lineRule="exact"/>
                    <w:jc w:val="left"/>
                    <w:rPr>
                      <w:rFonts w:hint="eastAsia"/>
                      <w:sz w:val="15"/>
                      <w:szCs w:val="15"/>
                    </w:rPr>
                  </w:pPr>
                  <w:r>
                    <w:rPr>
                      <w:rFonts w:hint="eastAsia"/>
                      <w:sz w:val="15"/>
                      <w:szCs w:val="15"/>
                    </w:rPr>
                    <w:t>2007年</w:t>
                  </w:r>
                  <w:r>
                    <w:rPr>
                      <w:sz w:val="15"/>
                      <w:szCs w:val="15"/>
                    </w:rPr>
                    <w:t>4</w:t>
                  </w:r>
                  <w:r>
                    <w:rPr>
                      <w:rFonts w:hint="eastAsia"/>
                      <w:sz w:val="15"/>
                      <w:szCs w:val="15"/>
                    </w:rPr>
                    <w:t>月</w:t>
                  </w:r>
                </w:p>
              </w:txbxContent>
            </v:textbox>
          </v:shape>
        </w:pict>
      </w:r>
      <w:r w:rsidR="00282747">
        <w:rPr>
          <w:rFonts w:hint="eastAsia"/>
          <w:noProof/>
        </w:rPr>
        <w:pict>
          <v:shape id="_x0000_s1032" type="#_x0000_t202" style="position:absolute;left:0;text-align:left;margin-left:88.5pt;margin-top:190.45pt;width:11.25pt;height:54.6pt;z-index:6" stroked="f">
            <v:textbox style="layout-flow:vertical-ideographic" inset="0,0,0,0">
              <w:txbxContent>
                <w:p w:rsidR="005352EC" w:rsidRPr="00282747" w:rsidRDefault="005352EC" w:rsidP="00282747">
                  <w:pPr>
                    <w:spacing w:line="200" w:lineRule="exact"/>
                    <w:jc w:val="left"/>
                    <w:rPr>
                      <w:rFonts w:hAnsi="SimSun" w:hint="eastAsia"/>
                      <w:sz w:val="15"/>
                      <w:szCs w:val="15"/>
                    </w:rPr>
                  </w:pPr>
                  <w:r w:rsidRPr="00282747">
                    <w:rPr>
                      <w:rFonts w:hAnsi="SimSun" w:hint="eastAsia"/>
                      <w:sz w:val="15"/>
                      <w:szCs w:val="15"/>
                    </w:rPr>
                    <w:t>2007年1月</w:t>
                  </w:r>
                </w:p>
              </w:txbxContent>
            </v:textbox>
          </v:shape>
        </w:pict>
      </w:r>
      <w:r w:rsidR="00282747">
        <w:rPr>
          <w:rFonts w:hint="eastAsia"/>
          <w:noProof/>
        </w:rPr>
        <w:pict>
          <v:shape id="_x0000_s1027" type="#_x0000_t202" style="position:absolute;left:0;text-align:left;margin-left:65pt;margin-top:3.25pt;width:42pt;height:10.4pt;z-index:2" stroked="f">
            <v:textbox inset="0,0,0,0">
              <w:txbxContent>
                <w:p w:rsidR="005352EC" w:rsidRPr="00282747" w:rsidRDefault="005352EC" w:rsidP="00282747">
                  <w:pPr>
                    <w:spacing w:line="200" w:lineRule="exact"/>
                    <w:jc w:val="center"/>
                    <w:rPr>
                      <w:rFonts w:hint="eastAsia"/>
                      <w:sz w:val="15"/>
                      <w:szCs w:val="15"/>
                    </w:rPr>
                  </w:pPr>
                  <w:r w:rsidRPr="00282747">
                    <w:rPr>
                      <w:rFonts w:hint="eastAsia"/>
                      <w:sz w:val="15"/>
                      <w:szCs w:val="15"/>
                    </w:rPr>
                    <w:t>百分</w:t>
                  </w:r>
                  <w:r>
                    <w:rPr>
                      <w:rFonts w:hint="eastAsia"/>
                      <w:sz w:val="15"/>
                      <w:szCs w:val="15"/>
                    </w:rPr>
                    <w:t>率</w:t>
                  </w:r>
                </w:p>
              </w:txbxContent>
            </v:textbox>
          </v:shape>
        </w:pict>
      </w:r>
      <w:r w:rsidR="00282747">
        <w:rPr>
          <w:rFonts w:hint="eastAsia"/>
          <w:noProof/>
        </w:rPr>
        <w:pict>
          <v:shape id="_x0000_s1031" type="#_x0000_t202" style="position:absolute;left:0;text-align:left;margin-left:378pt;margin-top:3.25pt;width:42pt;height:10.75pt;z-index:5" stroked="f">
            <v:textbox inset="0,0,0,0">
              <w:txbxContent>
                <w:p w:rsidR="005352EC" w:rsidRPr="00282747" w:rsidRDefault="005352EC" w:rsidP="00282747">
                  <w:pPr>
                    <w:spacing w:line="200" w:lineRule="exact"/>
                    <w:jc w:val="center"/>
                    <w:rPr>
                      <w:rFonts w:hint="eastAsia"/>
                      <w:sz w:val="15"/>
                      <w:szCs w:val="15"/>
                    </w:rPr>
                  </w:pPr>
                  <w:r w:rsidRPr="00282747">
                    <w:rPr>
                      <w:rFonts w:hint="eastAsia"/>
                      <w:sz w:val="15"/>
                      <w:szCs w:val="15"/>
                    </w:rPr>
                    <w:t>百分</w:t>
                  </w:r>
                  <w:r>
                    <w:rPr>
                      <w:rFonts w:hint="eastAsia"/>
                      <w:sz w:val="15"/>
                      <w:szCs w:val="15"/>
                    </w:rPr>
                    <w:t>率</w:t>
                  </w:r>
                </w:p>
              </w:txbxContent>
            </v:textbox>
          </v:shape>
        </w:pict>
      </w:r>
      <w:r w:rsidR="00282747" w:rsidRPr="00282747">
        <w:rPr>
          <w:sz w:val="24"/>
          <w:szCs w:val="24"/>
        </w:rPr>
        <w:pict>
          <v:shape id="_x0000_i1026" type="#_x0000_t75" style="width:357pt;height:190.5pt">
            <v:imagedata r:id="rId17" o:title="" cropbottom="9104f" cropright="46f"/>
          </v:shape>
        </w:pict>
      </w:r>
    </w:p>
    <w:p w:rsidR="00674C4B" w:rsidRDefault="00674C4B" w:rsidP="00674C4B">
      <w:pPr>
        <w:pStyle w:val="SingleTxt"/>
        <w:spacing w:line="240" w:lineRule="auto"/>
        <w:rPr>
          <w:rFonts w:hint="eastAsia"/>
        </w:rPr>
      </w:pPr>
    </w:p>
    <w:p w:rsidR="00674C4B" w:rsidRDefault="00674C4B" w:rsidP="00674C4B">
      <w:pPr>
        <w:pStyle w:val="SingleTxt"/>
        <w:spacing w:line="240" w:lineRule="auto"/>
        <w:rPr>
          <w:rFonts w:hint="eastAsia"/>
        </w:rPr>
      </w:pPr>
    </w:p>
    <w:p w:rsidR="00674C4B" w:rsidRDefault="00674C4B" w:rsidP="00674C4B">
      <w:pPr>
        <w:pStyle w:val="SingleTxt"/>
        <w:spacing w:line="240" w:lineRule="auto"/>
        <w:rPr>
          <w:rFonts w:hint="eastAsia"/>
        </w:rPr>
      </w:pPr>
    </w:p>
    <w:p w:rsidR="002270F4" w:rsidRPr="00DC4C76" w:rsidRDefault="002270F4" w:rsidP="002270F4">
      <w:pPr>
        <w:pStyle w:val="SingleTxt"/>
        <w:spacing w:line="240" w:lineRule="auto"/>
        <w:rPr>
          <w:rFonts w:ascii="SimHei" w:eastAsia="SimHei" w:hint="eastAsia"/>
        </w:rPr>
      </w:pPr>
      <w:r w:rsidRPr="00DC4C76">
        <w:rPr>
          <w:rFonts w:ascii="SimHei" w:eastAsia="SimHei" w:hint="eastAsia"/>
        </w:rPr>
        <w:t>禁止歧视</w:t>
      </w:r>
    </w:p>
    <w:p w:rsidR="002270F4" w:rsidRDefault="002270F4" w:rsidP="00DC4C76">
      <w:pPr>
        <w:pStyle w:val="SingleTxt"/>
        <w:spacing w:line="340" w:lineRule="exact"/>
        <w:ind w:left="2126" w:hanging="431"/>
        <w:rPr>
          <w:rFonts w:hint="eastAsia"/>
        </w:rPr>
      </w:pPr>
      <w:r>
        <w:rPr>
          <w:rFonts w:hint="eastAsia"/>
        </w:rPr>
        <w:sym w:font="Symbol" w:char="F0B7"/>
      </w:r>
      <w:r>
        <w:tab/>
      </w:r>
      <w:r>
        <w:rPr>
          <w:rFonts w:hint="eastAsia"/>
        </w:rPr>
        <w:t>从2000年起禁止各个阶层的性别歧视。</w:t>
      </w:r>
    </w:p>
    <w:p w:rsidR="002270F4" w:rsidRDefault="002270F4" w:rsidP="00DC4C76">
      <w:pPr>
        <w:pStyle w:val="SingleTxt"/>
        <w:spacing w:line="340" w:lineRule="exact"/>
        <w:ind w:left="2126" w:hanging="431"/>
        <w:rPr>
          <w:rFonts w:hint="eastAsia"/>
        </w:rPr>
      </w:pPr>
      <w:r>
        <w:rPr>
          <w:rFonts w:hint="eastAsia"/>
        </w:rPr>
        <w:sym w:font="Symbol" w:char="F0B7"/>
      </w:r>
      <w:r>
        <w:tab/>
      </w:r>
      <w:r>
        <w:rPr>
          <w:rFonts w:hint="eastAsia"/>
        </w:rPr>
        <w:t>从1978年起禁止劳动力市场的性别歧视。</w:t>
      </w:r>
    </w:p>
    <w:p w:rsidR="002270F4" w:rsidRDefault="002270F4" w:rsidP="00DC4C76">
      <w:pPr>
        <w:pStyle w:val="SingleTxt"/>
        <w:spacing w:line="340" w:lineRule="exact"/>
        <w:ind w:left="2126" w:hanging="431"/>
        <w:rPr>
          <w:rFonts w:hint="eastAsia"/>
        </w:rPr>
      </w:pPr>
      <w:r>
        <w:rPr>
          <w:rFonts w:hint="eastAsia"/>
        </w:rPr>
        <w:sym w:font="Symbol" w:char="F0B7"/>
      </w:r>
      <w:r>
        <w:tab/>
      </w:r>
      <w:r>
        <w:rPr>
          <w:rFonts w:hint="eastAsia"/>
        </w:rPr>
        <w:t>禁止直接和间接歧视，特别禁止怀孕和产假期间的歧视。</w:t>
      </w:r>
    </w:p>
    <w:p w:rsidR="002270F4" w:rsidRDefault="002270F4" w:rsidP="00DC4C76">
      <w:pPr>
        <w:pStyle w:val="SingleTxt"/>
        <w:spacing w:line="340" w:lineRule="exact"/>
        <w:ind w:left="2126" w:hanging="431"/>
        <w:rPr>
          <w:rFonts w:hint="eastAsia"/>
        </w:rPr>
      </w:pPr>
      <w:r>
        <w:rPr>
          <w:rFonts w:hint="eastAsia"/>
        </w:rPr>
        <w:sym w:font="Symbol" w:char="F0B7"/>
      </w:r>
      <w:r>
        <w:tab/>
      </w:r>
      <w:r>
        <w:rPr>
          <w:rFonts w:hint="eastAsia"/>
        </w:rPr>
        <w:t>骚扰和性骚扰被视为性别歧视。</w:t>
      </w:r>
    </w:p>
    <w:p w:rsidR="002270F4" w:rsidRDefault="002270F4" w:rsidP="00DC4C76">
      <w:pPr>
        <w:pStyle w:val="SingleTxt"/>
        <w:rPr>
          <w:rFonts w:hint="eastAsia"/>
        </w:rPr>
      </w:pPr>
      <w:r>
        <w:tab/>
      </w:r>
      <w:r>
        <w:rPr>
          <w:rFonts w:hint="eastAsia"/>
        </w:rPr>
        <w:t xml:space="preserve">在解决劳资纠纷的系统、普通民事法庭和男女平等委员会，禁止歧视令也得到了执行。处理的大部分案件涉及孕产期解雇、性骚扰和同工同酬等诉讼案件。 </w:t>
      </w:r>
    </w:p>
    <w:p w:rsidR="002270F4" w:rsidRPr="00DC4C76" w:rsidRDefault="002270F4" w:rsidP="002270F4">
      <w:pPr>
        <w:pStyle w:val="SingleTxt"/>
        <w:spacing w:line="240" w:lineRule="auto"/>
        <w:rPr>
          <w:rFonts w:ascii="SimHei" w:eastAsia="SimHei" w:hint="eastAsia"/>
        </w:rPr>
      </w:pPr>
      <w:r w:rsidRPr="00DC4C76">
        <w:rPr>
          <w:rFonts w:ascii="SimHei" w:eastAsia="SimHei" w:hint="eastAsia"/>
        </w:rPr>
        <w:t>性别分隔的劳动力市场和薪酬差距</w:t>
      </w:r>
    </w:p>
    <w:p w:rsidR="002270F4" w:rsidRDefault="002270F4" w:rsidP="00DC4C76">
      <w:pPr>
        <w:pStyle w:val="SingleTxt"/>
        <w:rPr>
          <w:rFonts w:hint="eastAsia"/>
        </w:rPr>
      </w:pPr>
      <w:r>
        <w:tab/>
      </w:r>
      <w:r>
        <w:rPr>
          <w:rFonts w:hint="eastAsia"/>
        </w:rPr>
        <w:t>劳动力市场的性别分隔被认为是造成男女薪酬差距的最主要原因。因此，需要同时应对男女平等方面的这两项挑战。</w:t>
      </w:r>
    </w:p>
    <w:p w:rsidR="002270F4" w:rsidRDefault="00DC4C76" w:rsidP="009303E0">
      <w:pPr>
        <w:pStyle w:val="SingleTxt"/>
        <w:spacing w:line="300" w:lineRule="exact"/>
        <w:ind w:left="2126" w:hanging="431"/>
        <w:rPr>
          <w:rFonts w:hint="eastAsia"/>
        </w:rPr>
      </w:pPr>
      <w:r>
        <w:rPr>
          <w:rFonts w:hint="eastAsia"/>
        </w:rPr>
        <w:sym w:font="Symbol" w:char="F0B7"/>
      </w:r>
      <w:r>
        <w:tab/>
      </w:r>
      <w:r w:rsidR="002270F4">
        <w:rPr>
          <w:rFonts w:hint="eastAsia"/>
        </w:rPr>
        <w:t>超过半数的女性雇员和大约21%的男性雇员受雇于公共部门。男性大都受雇于私营部门。在地方政府中，女性雇员人数是男性雇员的两倍多。相比之下，在国家部门，男性雇员人数略多于女性雇员。</w:t>
      </w:r>
    </w:p>
    <w:p w:rsidR="002270F4" w:rsidRDefault="00DC4C76" w:rsidP="009303E0">
      <w:pPr>
        <w:pStyle w:val="SingleTxt"/>
        <w:spacing w:line="300" w:lineRule="exact"/>
        <w:ind w:left="2126" w:hanging="431"/>
        <w:rPr>
          <w:rFonts w:hint="eastAsia"/>
        </w:rPr>
      </w:pPr>
      <w:r>
        <w:rPr>
          <w:rFonts w:hint="eastAsia"/>
        </w:rPr>
        <w:sym w:font="Symbol" w:char="F0B7"/>
      </w:r>
      <w:r>
        <w:tab/>
      </w:r>
      <w:r w:rsidR="002270F4">
        <w:rPr>
          <w:rFonts w:hint="eastAsia"/>
        </w:rPr>
        <w:t>平均而言，男性比女性的收入高。净薪酬差距反映出他们所处的行业、从事的工作和个人的特点，例如教育程度和工作经验的不同。如今，歧视已成为一个次要的问题。</w:t>
      </w:r>
    </w:p>
    <w:p w:rsidR="002270F4" w:rsidRPr="00DC4C76" w:rsidRDefault="002270F4" w:rsidP="002270F4">
      <w:pPr>
        <w:pStyle w:val="SingleTxt"/>
        <w:spacing w:line="240" w:lineRule="auto"/>
        <w:rPr>
          <w:rFonts w:ascii="KaiTi_GB2312" w:eastAsia="KaiTi_GB2312" w:hint="eastAsia"/>
        </w:rPr>
      </w:pPr>
      <w:r w:rsidRPr="00DC4C76">
        <w:rPr>
          <w:rFonts w:ascii="KaiTi_GB2312" w:eastAsia="KaiTi_GB2312" w:hint="eastAsia"/>
        </w:rPr>
        <w:t>女性和男性的薪酬发展</w:t>
      </w:r>
    </w:p>
    <w:p w:rsidR="002270F4" w:rsidRDefault="002270F4" w:rsidP="00DC4C76">
      <w:pPr>
        <w:pStyle w:val="SingleTxt"/>
        <w:rPr>
          <w:rFonts w:hint="eastAsia"/>
        </w:rPr>
      </w:pPr>
      <w:r>
        <w:tab/>
      </w:r>
      <w:r>
        <w:rPr>
          <w:rFonts w:hint="eastAsia"/>
        </w:rPr>
        <w:t>2011年，受雇于私营部门的男性小时工资</w:t>
      </w:r>
      <w:r w:rsidR="00BA369E">
        <w:rPr>
          <w:rFonts w:hint="eastAsia"/>
        </w:rPr>
        <w:t>(</w:t>
      </w:r>
      <w:r>
        <w:rPr>
          <w:rFonts w:hint="eastAsia"/>
        </w:rPr>
        <w:t>除加班费</w:t>
      </w:r>
      <w:r w:rsidR="00BA369E">
        <w:rPr>
          <w:rFonts w:hint="eastAsia"/>
        </w:rPr>
        <w:t>)</w:t>
      </w:r>
      <w:r>
        <w:rPr>
          <w:rFonts w:hint="eastAsia"/>
        </w:rPr>
        <w:t>为252.4丹麦克朗，女性约为215.5丹麦克朗</w:t>
      </w:r>
      <w:r w:rsidR="00BA369E">
        <w:rPr>
          <w:rFonts w:hint="eastAsia"/>
        </w:rPr>
        <w:t>(</w:t>
      </w:r>
      <w:r>
        <w:rPr>
          <w:rFonts w:hint="eastAsia"/>
        </w:rPr>
        <w:t>见图2</w:t>
      </w:r>
      <w:r w:rsidR="00BA369E">
        <w:rPr>
          <w:rFonts w:hint="eastAsia"/>
        </w:rPr>
        <w:t>)</w:t>
      </w:r>
      <w:r>
        <w:rPr>
          <w:rFonts w:hint="eastAsia"/>
        </w:rPr>
        <w:t xml:space="preserve">，这与17%的薪酬差距相符。 </w:t>
      </w:r>
    </w:p>
    <w:p w:rsidR="00AE2EBC" w:rsidRPr="009303E0" w:rsidRDefault="00FA2D54" w:rsidP="002270F4">
      <w:pPr>
        <w:pStyle w:val="SingleTxt"/>
        <w:spacing w:line="240" w:lineRule="auto"/>
        <w:rPr>
          <w:rFonts w:ascii="SimHei" w:eastAsia="SimHei"/>
        </w:rPr>
      </w:pPr>
      <w:r>
        <w:rPr>
          <w:noProof/>
          <w:sz w:val="24"/>
          <w:szCs w:val="24"/>
        </w:rPr>
        <w:pict>
          <v:shape id="_x0000_s1056" type="#_x0000_t202" style="position:absolute;left:0;text-align:left;margin-left:48.7pt;margin-top:45.45pt;width:52.5pt;height:16.45pt;z-index:30" stroked="f">
            <v:textbox style="mso-next-textbox:#_x0000_s1056" inset="0,0,0,0">
              <w:txbxContent>
                <w:p w:rsidR="005352EC" w:rsidRPr="00282747" w:rsidRDefault="005352EC" w:rsidP="00FA2D54">
                  <w:pPr>
                    <w:spacing w:before="80" w:line="200" w:lineRule="exact"/>
                    <w:jc w:val="center"/>
                    <w:rPr>
                      <w:rFonts w:hint="eastAsia"/>
                      <w:sz w:val="15"/>
                      <w:szCs w:val="15"/>
                    </w:rPr>
                  </w:pPr>
                  <w:r>
                    <w:rPr>
                      <w:rFonts w:hint="eastAsia"/>
                      <w:sz w:val="15"/>
                      <w:szCs w:val="15"/>
                    </w:rPr>
                    <w:t>丹麦克朗</w:t>
                  </w:r>
                  <w:r>
                    <w:rPr>
                      <w:sz w:val="15"/>
                      <w:szCs w:val="15"/>
                    </w:rPr>
                    <w:t>/</w:t>
                  </w:r>
                  <w:r>
                    <w:rPr>
                      <w:rFonts w:hint="eastAsia"/>
                      <w:sz w:val="15"/>
                      <w:szCs w:val="15"/>
                    </w:rPr>
                    <w:t>小时</w:t>
                  </w:r>
                </w:p>
              </w:txbxContent>
            </v:textbox>
          </v:shape>
        </w:pict>
      </w:r>
      <w:r w:rsidR="002270F4">
        <w:rPr>
          <w:rFonts w:hint="eastAsia"/>
        </w:rPr>
        <w:t>图2</w:t>
      </w:r>
      <w:r w:rsidR="002270F4">
        <w:br/>
      </w:r>
      <w:r w:rsidR="002270F4" w:rsidRPr="00053537">
        <w:rPr>
          <w:rFonts w:ascii="SimHei" w:eastAsia="SimHei" w:hint="eastAsia"/>
        </w:rPr>
        <w:t>2011年按性别分列的地方政府、国家和私营部门雇员的薪酬差距</w:t>
      </w:r>
      <w:r w:rsidR="00BA369E">
        <w:rPr>
          <w:rFonts w:ascii="SimHei" w:eastAsia="SimHei" w:hint="eastAsia"/>
        </w:rPr>
        <w:t>(</w:t>
      </w:r>
      <w:r w:rsidR="002270F4" w:rsidRPr="00053537">
        <w:rPr>
          <w:rFonts w:ascii="SimHei" w:eastAsia="SimHei" w:hint="eastAsia"/>
        </w:rPr>
        <w:t>除加班费以外的小时工资</w:t>
      </w:r>
      <w:r w:rsidR="00BA369E">
        <w:rPr>
          <w:rFonts w:ascii="SimHei" w:eastAsia="SimHei" w:hint="eastAsia"/>
        </w:rPr>
        <w:t>)</w:t>
      </w:r>
    </w:p>
    <w:p w:rsidR="00490B71" w:rsidRDefault="00FA2D54" w:rsidP="002270F4">
      <w:pPr>
        <w:pStyle w:val="SingleTxt"/>
        <w:spacing w:line="240" w:lineRule="auto"/>
      </w:pPr>
      <w:r>
        <w:rPr>
          <w:noProof/>
          <w:sz w:val="24"/>
          <w:szCs w:val="24"/>
        </w:rPr>
        <w:pict>
          <v:shape id="_x0000_s1057" type="#_x0000_t202" style="position:absolute;left:0;text-align:left;margin-left:363.05pt;margin-top:.3pt;width:52.5pt;height:12.75pt;z-index:31" stroked="f">
            <v:textbox style="mso-next-textbox:#_x0000_s1057" inset="0,0,0,0">
              <w:txbxContent>
                <w:p w:rsidR="005352EC" w:rsidRPr="00282747" w:rsidRDefault="005352EC" w:rsidP="00490B71">
                  <w:pPr>
                    <w:spacing w:line="200" w:lineRule="exact"/>
                    <w:jc w:val="center"/>
                    <w:rPr>
                      <w:rFonts w:hint="eastAsia"/>
                      <w:sz w:val="15"/>
                      <w:szCs w:val="15"/>
                    </w:rPr>
                  </w:pPr>
                  <w:r>
                    <w:rPr>
                      <w:rFonts w:hint="eastAsia"/>
                      <w:sz w:val="15"/>
                      <w:szCs w:val="15"/>
                    </w:rPr>
                    <w:t>丹麦克朗</w:t>
                  </w:r>
                  <w:r>
                    <w:rPr>
                      <w:sz w:val="15"/>
                      <w:szCs w:val="15"/>
                    </w:rPr>
                    <w:t>/</w:t>
                  </w:r>
                  <w:r>
                    <w:rPr>
                      <w:rFonts w:hint="eastAsia"/>
                      <w:sz w:val="15"/>
                      <w:szCs w:val="15"/>
                    </w:rPr>
                    <w:t>小时</w:t>
                  </w:r>
                </w:p>
              </w:txbxContent>
            </v:textbox>
          </v:shape>
        </w:pict>
      </w:r>
      <w:r w:rsidR="009303E0">
        <w:rPr>
          <w:noProof/>
          <w:sz w:val="24"/>
          <w:szCs w:val="24"/>
        </w:rPr>
        <w:pict>
          <v:shape id="_x0000_s1059" type="#_x0000_t202" style="position:absolute;left:0;text-align:left;margin-left:242.7pt;margin-top:1.85pt;width:26.25pt;height:12.75pt;z-index:33" stroked="f">
            <v:textbox style="mso-next-textbox:#_x0000_s1059" inset="0,0,0,0">
              <w:txbxContent>
                <w:p w:rsidR="005352EC" w:rsidRPr="00282747" w:rsidRDefault="005352EC" w:rsidP="00490B71">
                  <w:pPr>
                    <w:spacing w:line="200" w:lineRule="exact"/>
                    <w:jc w:val="left"/>
                    <w:rPr>
                      <w:rFonts w:hint="eastAsia"/>
                      <w:sz w:val="15"/>
                      <w:szCs w:val="15"/>
                    </w:rPr>
                  </w:pPr>
                  <w:r>
                    <w:rPr>
                      <w:rFonts w:hint="eastAsia"/>
                      <w:sz w:val="15"/>
                      <w:szCs w:val="15"/>
                    </w:rPr>
                    <w:t>女性</w:t>
                  </w:r>
                </w:p>
              </w:txbxContent>
            </v:textbox>
          </v:shape>
        </w:pict>
      </w:r>
      <w:r w:rsidR="00490B71">
        <w:rPr>
          <w:noProof/>
          <w:sz w:val="24"/>
          <w:szCs w:val="24"/>
        </w:rPr>
        <w:pict>
          <v:shape id="_x0000_s1064" type="#_x0000_t202" style="position:absolute;left:0;text-align:left;margin-left:312.5pt;margin-top:216.6pt;width:63pt;height:12.75pt;z-index:38" stroked="f">
            <v:textbox style="mso-next-textbox:#_x0000_s1064" inset="0,0,0,0">
              <w:txbxContent>
                <w:p w:rsidR="005352EC" w:rsidRPr="00282747" w:rsidRDefault="005352EC" w:rsidP="00490B71">
                  <w:pPr>
                    <w:spacing w:line="200" w:lineRule="exact"/>
                    <w:jc w:val="center"/>
                    <w:rPr>
                      <w:rFonts w:hint="eastAsia"/>
                      <w:sz w:val="15"/>
                      <w:szCs w:val="15"/>
                    </w:rPr>
                  </w:pPr>
                  <w:r>
                    <w:rPr>
                      <w:rFonts w:hint="eastAsia"/>
                      <w:sz w:val="15"/>
                      <w:szCs w:val="15"/>
                    </w:rPr>
                    <w:t>地方政府部门</w:t>
                  </w:r>
                </w:p>
              </w:txbxContent>
            </v:textbox>
          </v:shape>
        </w:pict>
      </w:r>
      <w:r w:rsidR="00490B71">
        <w:rPr>
          <w:noProof/>
          <w:sz w:val="24"/>
          <w:szCs w:val="24"/>
        </w:rPr>
        <w:pict>
          <v:shape id="_x0000_s1063" type="#_x0000_t202" style="position:absolute;left:0;text-align:left;margin-left:199.5pt;margin-top:218.6pt;width:63pt;height:12.75pt;z-index:37" stroked="f">
            <v:textbox style="mso-next-textbox:#_x0000_s1063" inset="0,0,0,0">
              <w:txbxContent>
                <w:p w:rsidR="005352EC" w:rsidRPr="00282747" w:rsidRDefault="005352EC" w:rsidP="00490B71">
                  <w:pPr>
                    <w:spacing w:line="200" w:lineRule="exact"/>
                    <w:jc w:val="center"/>
                    <w:rPr>
                      <w:rFonts w:hint="eastAsia"/>
                      <w:sz w:val="15"/>
                      <w:szCs w:val="15"/>
                    </w:rPr>
                  </w:pPr>
                  <w:r>
                    <w:rPr>
                      <w:rFonts w:hint="eastAsia"/>
                      <w:sz w:val="15"/>
                      <w:szCs w:val="15"/>
                    </w:rPr>
                    <w:t>国家部门</w:t>
                  </w:r>
                </w:p>
              </w:txbxContent>
            </v:textbox>
          </v:shape>
        </w:pict>
      </w:r>
      <w:r w:rsidR="00490B71">
        <w:rPr>
          <w:noProof/>
          <w:sz w:val="24"/>
          <w:szCs w:val="24"/>
        </w:rPr>
        <w:pict>
          <v:shape id="_x0000_s1062" type="#_x0000_t202" style="position:absolute;left:0;text-align:left;margin-left:89.25pt;margin-top:218.6pt;width:63pt;height:12.75pt;z-index:36" stroked="f">
            <v:textbox style="mso-next-textbox:#_x0000_s1062" inset="0,0,0,0">
              <w:txbxContent>
                <w:p w:rsidR="005352EC" w:rsidRPr="00282747" w:rsidRDefault="005352EC" w:rsidP="00490B71">
                  <w:pPr>
                    <w:spacing w:line="200" w:lineRule="exact"/>
                    <w:jc w:val="center"/>
                    <w:rPr>
                      <w:rFonts w:hint="eastAsia"/>
                      <w:sz w:val="15"/>
                      <w:szCs w:val="15"/>
                    </w:rPr>
                  </w:pPr>
                  <w:r>
                    <w:rPr>
                      <w:rFonts w:hint="eastAsia"/>
                      <w:sz w:val="15"/>
                      <w:szCs w:val="15"/>
                    </w:rPr>
                    <w:t>私营部门</w:t>
                  </w:r>
                </w:p>
              </w:txbxContent>
            </v:textbox>
          </v:shape>
        </w:pict>
      </w:r>
      <w:r w:rsidR="00490B71">
        <w:rPr>
          <w:noProof/>
          <w:sz w:val="24"/>
          <w:szCs w:val="24"/>
        </w:rPr>
        <w:pict>
          <v:shape id="_x0000_s1061" type="#_x0000_t202" style="position:absolute;left:0;text-align:left;margin-left:400.25pt;margin-top:16.3pt;width:26.25pt;height:205.3pt;z-index:35" stroked="f">
            <v:textbox style="mso-next-textbox:#_x0000_s1061" inset="0,0,0,0">
              <w:txbxContent>
                <w:p w:rsidR="005352EC" w:rsidRDefault="005352EC" w:rsidP="00490B71">
                  <w:pPr>
                    <w:spacing w:line="200" w:lineRule="exact"/>
                    <w:ind w:right="57"/>
                    <w:jc w:val="left"/>
                    <w:rPr>
                      <w:sz w:val="15"/>
                      <w:szCs w:val="15"/>
                    </w:rPr>
                  </w:pPr>
                  <w:r>
                    <w:rPr>
                      <w:rFonts w:hint="eastAsia"/>
                      <w:sz w:val="15"/>
                      <w:szCs w:val="15"/>
                    </w:rPr>
                    <w:t>300</w:t>
                  </w:r>
                </w:p>
                <w:p w:rsidR="005352EC" w:rsidRDefault="005352EC" w:rsidP="00490B71">
                  <w:pPr>
                    <w:spacing w:line="200" w:lineRule="exact"/>
                    <w:ind w:right="57"/>
                    <w:jc w:val="left"/>
                    <w:rPr>
                      <w:sz w:val="15"/>
                      <w:szCs w:val="15"/>
                    </w:rPr>
                  </w:pPr>
                </w:p>
                <w:p w:rsidR="005352EC" w:rsidRDefault="005352EC" w:rsidP="00490B71">
                  <w:pPr>
                    <w:spacing w:line="200" w:lineRule="exact"/>
                    <w:ind w:right="57"/>
                    <w:jc w:val="left"/>
                    <w:rPr>
                      <w:sz w:val="15"/>
                      <w:szCs w:val="15"/>
                    </w:rPr>
                  </w:pPr>
                </w:p>
                <w:p w:rsidR="005352EC" w:rsidRDefault="005352EC" w:rsidP="00490B71">
                  <w:pPr>
                    <w:spacing w:line="200" w:lineRule="exact"/>
                    <w:ind w:right="57"/>
                    <w:jc w:val="left"/>
                    <w:rPr>
                      <w:sz w:val="15"/>
                      <w:szCs w:val="15"/>
                    </w:rPr>
                  </w:pPr>
                  <w:r>
                    <w:rPr>
                      <w:sz w:val="15"/>
                      <w:szCs w:val="15"/>
                    </w:rPr>
                    <w:t>250</w:t>
                  </w:r>
                </w:p>
                <w:p w:rsidR="005352EC" w:rsidRDefault="005352EC" w:rsidP="00490B71">
                  <w:pPr>
                    <w:spacing w:line="200" w:lineRule="exact"/>
                    <w:ind w:right="57"/>
                    <w:jc w:val="left"/>
                    <w:rPr>
                      <w:sz w:val="15"/>
                      <w:szCs w:val="15"/>
                    </w:rPr>
                  </w:pPr>
                </w:p>
                <w:p w:rsidR="005352EC" w:rsidRDefault="005352EC" w:rsidP="00490B71">
                  <w:pPr>
                    <w:spacing w:line="200" w:lineRule="exact"/>
                    <w:ind w:right="57"/>
                    <w:jc w:val="left"/>
                    <w:rPr>
                      <w:sz w:val="15"/>
                      <w:szCs w:val="15"/>
                    </w:rPr>
                  </w:pPr>
                </w:p>
                <w:p w:rsidR="005352EC" w:rsidRDefault="005352EC" w:rsidP="00490B71">
                  <w:pPr>
                    <w:spacing w:line="280" w:lineRule="exact"/>
                    <w:ind w:right="57"/>
                    <w:jc w:val="left"/>
                    <w:rPr>
                      <w:sz w:val="15"/>
                      <w:szCs w:val="15"/>
                    </w:rPr>
                  </w:pPr>
                  <w:r>
                    <w:rPr>
                      <w:sz w:val="15"/>
                      <w:szCs w:val="15"/>
                    </w:rPr>
                    <w:t>200</w:t>
                  </w:r>
                </w:p>
                <w:p w:rsidR="005352EC" w:rsidRDefault="005352EC" w:rsidP="00490B71">
                  <w:pPr>
                    <w:spacing w:line="200" w:lineRule="exact"/>
                    <w:ind w:right="57"/>
                    <w:jc w:val="left"/>
                    <w:rPr>
                      <w:sz w:val="15"/>
                      <w:szCs w:val="15"/>
                    </w:rPr>
                  </w:pPr>
                </w:p>
                <w:p w:rsidR="005352EC" w:rsidRDefault="005352EC" w:rsidP="00490B71">
                  <w:pPr>
                    <w:spacing w:line="200" w:lineRule="exact"/>
                    <w:ind w:right="57"/>
                    <w:jc w:val="left"/>
                    <w:rPr>
                      <w:sz w:val="15"/>
                      <w:szCs w:val="15"/>
                    </w:rPr>
                  </w:pPr>
                </w:p>
                <w:p w:rsidR="005352EC" w:rsidRDefault="005352EC" w:rsidP="00490B71">
                  <w:pPr>
                    <w:spacing w:line="280" w:lineRule="exact"/>
                    <w:ind w:right="57"/>
                    <w:jc w:val="left"/>
                    <w:rPr>
                      <w:sz w:val="15"/>
                      <w:szCs w:val="15"/>
                    </w:rPr>
                  </w:pPr>
                  <w:r>
                    <w:rPr>
                      <w:sz w:val="15"/>
                      <w:szCs w:val="15"/>
                    </w:rPr>
                    <w:t>150</w:t>
                  </w:r>
                </w:p>
                <w:p w:rsidR="005352EC" w:rsidRDefault="005352EC" w:rsidP="00490B71">
                  <w:pPr>
                    <w:spacing w:line="200" w:lineRule="exact"/>
                    <w:ind w:right="57"/>
                    <w:jc w:val="left"/>
                    <w:rPr>
                      <w:sz w:val="15"/>
                      <w:szCs w:val="15"/>
                    </w:rPr>
                  </w:pPr>
                </w:p>
                <w:p w:rsidR="005352EC" w:rsidRDefault="005352EC" w:rsidP="00490B71">
                  <w:pPr>
                    <w:spacing w:line="420" w:lineRule="exact"/>
                    <w:ind w:right="57"/>
                    <w:jc w:val="left"/>
                    <w:rPr>
                      <w:sz w:val="15"/>
                      <w:szCs w:val="15"/>
                    </w:rPr>
                  </w:pPr>
                  <w:r>
                    <w:rPr>
                      <w:sz w:val="15"/>
                      <w:szCs w:val="15"/>
                    </w:rPr>
                    <w:t>100</w:t>
                  </w:r>
                </w:p>
                <w:p w:rsidR="005352EC" w:rsidRDefault="005352EC" w:rsidP="00490B71">
                  <w:pPr>
                    <w:spacing w:line="200" w:lineRule="exact"/>
                    <w:ind w:right="57"/>
                    <w:jc w:val="left"/>
                    <w:rPr>
                      <w:sz w:val="15"/>
                      <w:szCs w:val="15"/>
                    </w:rPr>
                  </w:pPr>
                </w:p>
                <w:p w:rsidR="005352EC" w:rsidRDefault="005352EC" w:rsidP="00490B71">
                  <w:pPr>
                    <w:spacing w:line="420" w:lineRule="exact"/>
                    <w:ind w:right="57"/>
                    <w:jc w:val="left"/>
                    <w:rPr>
                      <w:sz w:val="15"/>
                      <w:szCs w:val="15"/>
                    </w:rPr>
                  </w:pPr>
                  <w:r>
                    <w:rPr>
                      <w:sz w:val="15"/>
                      <w:szCs w:val="15"/>
                    </w:rPr>
                    <w:t>50</w:t>
                  </w:r>
                </w:p>
                <w:p w:rsidR="005352EC" w:rsidRDefault="005352EC" w:rsidP="00490B71">
                  <w:pPr>
                    <w:spacing w:line="200" w:lineRule="exact"/>
                    <w:ind w:right="57"/>
                    <w:jc w:val="left"/>
                    <w:rPr>
                      <w:sz w:val="15"/>
                      <w:szCs w:val="15"/>
                    </w:rPr>
                  </w:pPr>
                </w:p>
                <w:p w:rsidR="005352EC" w:rsidRDefault="005352EC" w:rsidP="00490B71">
                  <w:pPr>
                    <w:spacing w:line="420" w:lineRule="exact"/>
                    <w:ind w:right="57"/>
                    <w:jc w:val="left"/>
                    <w:rPr>
                      <w:sz w:val="15"/>
                      <w:szCs w:val="15"/>
                    </w:rPr>
                  </w:pPr>
                  <w:r>
                    <w:rPr>
                      <w:sz w:val="15"/>
                      <w:szCs w:val="15"/>
                    </w:rPr>
                    <w:t>0</w:t>
                  </w:r>
                </w:p>
                <w:p w:rsidR="005352EC" w:rsidRDefault="005352EC" w:rsidP="00490B71">
                  <w:pPr>
                    <w:spacing w:line="200" w:lineRule="exact"/>
                    <w:ind w:right="57"/>
                    <w:jc w:val="right"/>
                    <w:rPr>
                      <w:sz w:val="15"/>
                      <w:szCs w:val="15"/>
                    </w:rPr>
                  </w:pPr>
                </w:p>
                <w:p w:rsidR="005352EC" w:rsidRPr="00282747" w:rsidRDefault="005352EC" w:rsidP="00490B71">
                  <w:pPr>
                    <w:spacing w:line="200" w:lineRule="exact"/>
                    <w:ind w:right="57"/>
                    <w:jc w:val="right"/>
                    <w:rPr>
                      <w:sz w:val="15"/>
                      <w:szCs w:val="15"/>
                    </w:rPr>
                  </w:pPr>
                </w:p>
              </w:txbxContent>
            </v:textbox>
          </v:shape>
        </w:pict>
      </w:r>
      <w:r w:rsidR="00490B71">
        <w:rPr>
          <w:noProof/>
          <w:sz w:val="24"/>
          <w:szCs w:val="24"/>
        </w:rPr>
        <w:pict>
          <v:shape id="_x0000_s1060" type="#_x0000_t202" style="position:absolute;left:0;text-align:left;margin-left:36.75pt;margin-top:16.3pt;width:26.25pt;height:205.3pt;z-index:34" stroked="f">
            <v:textbox style="mso-next-textbox:#_x0000_s1060" inset="0,0,0,0">
              <w:txbxContent>
                <w:p w:rsidR="005352EC" w:rsidRDefault="005352EC" w:rsidP="00490B71">
                  <w:pPr>
                    <w:spacing w:line="200" w:lineRule="exact"/>
                    <w:ind w:right="57"/>
                    <w:jc w:val="right"/>
                    <w:rPr>
                      <w:sz w:val="15"/>
                      <w:szCs w:val="15"/>
                    </w:rPr>
                  </w:pPr>
                  <w:r>
                    <w:rPr>
                      <w:rFonts w:hint="eastAsia"/>
                      <w:sz w:val="15"/>
                      <w:szCs w:val="15"/>
                    </w:rPr>
                    <w:t>300</w:t>
                  </w:r>
                </w:p>
                <w:p w:rsidR="005352EC" w:rsidRDefault="005352EC" w:rsidP="00490B71">
                  <w:pPr>
                    <w:spacing w:line="200" w:lineRule="exact"/>
                    <w:ind w:right="57"/>
                    <w:jc w:val="right"/>
                    <w:rPr>
                      <w:sz w:val="15"/>
                      <w:szCs w:val="15"/>
                    </w:rPr>
                  </w:pPr>
                </w:p>
                <w:p w:rsidR="005352EC" w:rsidRDefault="005352EC" w:rsidP="00490B71">
                  <w:pPr>
                    <w:spacing w:line="200" w:lineRule="exact"/>
                    <w:ind w:right="57"/>
                    <w:jc w:val="right"/>
                    <w:rPr>
                      <w:sz w:val="15"/>
                      <w:szCs w:val="15"/>
                    </w:rPr>
                  </w:pPr>
                </w:p>
                <w:p w:rsidR="005352EC" w:rsidRDefault="005352EC" w:rsidP="00490B71">
                  <w:pPr>
                    <w:spacing w:line="200" w:lineRule="exact"/>
                    <w:ind w:right="57"/>
                    <w:jc w:val="right"/>
                    <w:rPr>
                      <w:sz w:val="15"/>
                      <w:szCs w:val="15"/>
                    </w:rPr>
                  </w:pPr>
                  <w:r>
                    <w:rPr>
                      <w:sz w:val="15"/>
                      <w:szCs w:val="15"/>
                    </w:rPr>
                    <w:t>250</w:t>
                  </w:r>
                </w:p>
                <w:p w:rsidR="005352EC" w:rsidRDefault="005352EC" w:rsidP="00490B71">
                  <w:pPr>
                    <w:spacing w:line="200" w:lineRule="exact"/>
                    <w:ind w:right="57"/>
                    <w:jc w:val="right"/>
                    <w:rPr>
                      <w:sz w:val="15"/>
                      <w:szCs w:val="15"/>
                    </w:rPr>
                  </w:pPr>
                </w:p>
                <w:p w:rsidR="005352EC" w:rsidRDefault="005352EC" w:rsidP="00490B71">
                  <w:pPr>
                    <w:spacing w:line="200" w:lineRule="exact"/>
                    <w:ind w:right="57"/>
                    <w:jc w:val="right"/>
                    <w:rPr>
                      <w:sz w:val="15"/>
                      <w:szCs w:val="15"/>
                    </w:rPr>
                  </w:pPr>
                </w:p>
                <w:p w:rsidR="005352EC" w:rsidRDefault="005352EC" w:rsidP="00490B71">
                  <w:pPr>
                    <w:spacing w:line="280" w:lineRule="exact"/>
                    <w:ind w:right="57"/>
                    <w:jc w:val="right"/>
                    <w:rPr>
                      <w:sz w:val="15"/>
                      <w:szCs w:val="15"/>
                    </w:rPr>
                  </w:pPr>
                  <w:r>
                    <w:rPr>
                      <w:sz w:val="15"/>
                      <w:szCs w:val="15"/>
                    </w:rPr>
                    <w:t>200</w:t>
                  </w:r>
                </w:p>
                <w:p w:rsidR="005352EC" w:rsidRDefault="005352EC" w:rsidP="00490B71">
                  <w:pPr>
                    <w:spacing w:line="200" w:lineRule="exact"/>
                    <w:ind w:right="57"/>
                    <w:jc w:val="right"/>
                    <w:rPr>
                      <w:sz w:val="15"/>
                      <w:szCs w:val="15"/>
                    </w:rPr>
                  </w:pPr>
                </w:p>
                <w:p w:rsidR="005352EC" w:rsidRDefault="005352EC" w:rsidP="00490B71">
                  <w:pPr>
                    <w:spacing w:line="200" w:lineRule="exact"/>
                    <w:ind w:right="57"/>
                    <w:jc w:val="right"/>
                    <w:rPr>
                      <w:sz w:val="15"/>
                      <w:szCs w:val="15"/>
                    </w:rPr>
                  </w:pPr>
                </w:p>
                <w:p w:rsidR="005352EC" w:rsidRDefault="005352EC" w:rsidP="00490B71">
                  <w:pPr>
                    <w:spacing w:line="280" w:lineRule="exact"/>
                    <w:ind w:right="57"/>
                    <w:jc w:val="right"/>
                    <w:rPr>
                      <w:sz w:val="15"/>
                      <w:szCs w:val="15"/>
                    </w:rPr>
                  </w:pPr>
                  <w:r>
                    <w:rPr>
                      <w:sz w:val="15"/>
                      <w:szCs w:val="15"/>
                    </w:rPr>
                    <w:t>150</w:t>
                  </w:r>
                </w:p>
                <w:p w:rsidR="005352EC" w:rsidRDefault="005352EC" w:rsidP="00490B71">
                  <w:pPr>
                    <w:spacing w:line="200" w:lineRule="exact"/>
                    <w:ind w:right="57"/>
                    <w:jc w:val="right"/>
                    <w:rPr>
                      <w:sz w:val="15"/>
                      <w:szCs w:val="15"/>
                    </w:rPr>
                  </w:pPr>
                </w:p>
                <w:p w:rsidR="005352EC" w:rsidRDefault="005352EC" w:rsidP="00490B71">
                  <w:pPr>
                    <w:spacing w:line="420" w:lineRule="exact"/>
                    <w:ind w:right="57"/>
                    <w:jc w:val="right"/>
                    <w:rPr>
                      <w:sz w:val="15"/>
                      <w:szCs w:val="15"/>
                    </w:rPr>
                  </w:pPr>
                  <w:r>
                    <w:rPr>
                      <w:sz w:val="15"/>
                      <w:szCs w:val="15"/>
                    </w:rPr>
                    <w:t>100</w:t>
                  </w:r>
                </w:p>
                <w:p w:rsidR="005352EC" w:rsidRDefault="005352EC" w:rsidP="00490B71">
                  <w:pPr>
                    <w:spacing w:line="200" w:lineRule="exact"/>
                    <w:ind w:right="57"/>
                    <w:jc w:val="right"/>
                    <w:rPr>
                      <w:sz w:val="15"/>
                      <w:szCs w:val="15"/>
                    </w:rPr>
                  </w:pPr>
                </w:p>
                <w:p w:rsidR="005352EC" w:rsidRDefault="005352EC" w:rsidP="00490B71">
                  <w:pPr>
                    <w:spacing w:line="420" w:lineRule="exact"/>
                    <w:ind w:right="57"/>
                    <w:jc w:val="right"/>
                    <w:rPr>
                      <w:sz w:val="15"/>
                      <w:szCs w:val="15"/>
                    </w:rPr>
                  </w:pPr>
                  <w:r>
                    <w:rPr>
                      <w:sz w:val="15"/>
                      <w:szCs w:val="15"/>
                    </w:rPr>
                    <w:t>50</w:t>
                  </w:r>
                </w:p>
                <w:p w:rsidR="005352EC" w:rsidRDefault="005352EC" w:rsidP="00490B71">
                  <w:pPr>
                    <w:spacing w:line="200" w:lineRule="exact"/>
                    <w:ind w:right="57"/>
                    <w:jc w:val="right"/>
                    <w:rPr>
                      <w:sz w:val="15"/>
                      <w:szCs w:val="15"/>
                    </w:rPr>
                  </w:pPr>
                </w:p>
                <w:p w:rsidR="005352EC" w:rsidRDefault="005352EC" w:rsidP="00490B71">
                  <w:pPr>
                    <w:spacing w:line="420" w:lineRule="exact"/>
                    <w:ind w:right="57"/>
                    <w:jc w:val="right"/>
                    <w:rPr>
                      <w:sz w:val="15"/>
                      <w:szCs w:val="15"/>
                    </w:rPr>
                  </w:pPr>
                  <w:r>
                    <w:rPr>
                      <w:sz w:val="15"/>
                      <w:szCs w:val="15"/>
                    </w:rPr>
                    <w:t>0</w:t>
                  </w:r>
                </w:p>
                <w:p w:rsidR="005352EC" w:rsidRDefault="005352EC" w:rsidP="00490B71">
                  <w:pPr>
                    <w:spacing w:line="200" w:lineRule="exact"/>
                    <w:ind w:right="57"/>
                    <w:jc w:val="right"/>
                    <w:rPr>
                      <w:sz w:val="15"/>
                      <w:szCs w:val="15"/>
                    </w:rPr>
                  </w:pPr>
                </w:p>
                <w:p w:rsidR="005352EC" w:rsidRPr="00282747" w:rsidRDefault="005352EC" w:rsidP="00490B71">
                  <w:pPr>
                    <w:spacing w:line="200" w:lineRule="exact"/>
                    <w:ind w:right="57"/>
                    <w:jc w:val="right"/>
                    <w:rPr>
                      <w:sz w:val="15"/>
                      <w:szCs w:val="15"/>
                    </w:rPr>
                  </w:pPr>
                </w:p>
              </w:txbxContent>
            </v:textbox>
          </v:shape>
        </w:pict>
      </w:r>
      <w:r w:rsidR="00490B71">
        <w:rPr>
          <w:noProof/>
          <w:sz w:val="24"/>
          <w:szCs w:val="24"/>
        </w:rPr>
        <w:pict>
          <v:shape id="_x0000_s1058" type="#_x0000_t202" style="position:absolute;left:0;text-align:left;margin-left:188pt;margin-top:.55pt;width:26.25pt;height:12.75pt;z-index:32" stroked="f">
            <v:textbox style="mso-next-textbox:#_x0000_s1058" inset="0,0,0,0">
              <w:txbxContent>
                <w:p w:rsidR="005352EC" w:rsidRPr="00282747" w:rsidRDefault="005352EC" w:rsidP="00490B71">
                  <w:pPr>
                    <w:spacing w:line="200" w:lineRule="exact"/>
                    <w:jc w:val="left"/>
                    <w:rPr>
                      <w:rFonts w:hint="eastAsia"/>
                      <w:sz w:val="15"/>
                      <w:szCs w:val="15"/>
                    </w:rPr>
                  </w:pPr>
                  <w:r>
                    <w:rPr>
                      <w:rFonts w:hint="eastAsia"/>
                      <w:sz w:val="15"/>
                      <w:szCs w:val="15"/>
                    </w:rPr>
                    <w:t>男性</w:t>
                  </w:r>
                </w:p>
              </w:txbxContent>
            </v:textbox>
          </v:shape>
        </w:pict>
      </w:r>
      <w:r w:rsidR="00490B71" w:rsidRPr="00341D10">
        <w:rPr>
          <w:sz w:val="24"/>
          <w:szCs w:val="24"/>
        </w:rPr>
        <w:pict>
          <v:shape id="_x0000_i1027" type="#_x0000_t75" style="width:341.25pt;height:218.25pt">
            <v:imagedata r:id="rId18" o:title="" croptop="2139f" cropbottom="4964f" cropleft="5208f" cropright="3503f"/>
          </v:shape>
        </w:pict>
      </w:r>
    </w:p>
    <w:p w:rsidR="00490B71" w:rsidRDefault="00490B71" w:rsidP="009303E0">
      <w:pPr>
        <w:pStyle w:val="FootnoteText"/>
        <w:tabs>
          <w:tab w:val="clear" w:pos="418"/>
          <w:tab w:val="right" w:pos="1476"/>
          <w:tab w:val="left" w:pos="1548"/>
          <w:tab w:val="right" w:pos="1836"/>
          <w:tab w:val="left" w:pos="1908"/>
        </w:tabs>
        <w:spacing w:before="120" w:line="480" w:lineRule="exact"/>
        <w:ind w:left="1548" w:right="1264" w:hanging="289"/>
        <w:rPr>
          <w:rFonts w:hint="eastAsia"/>
        </w:rPr>
      </w:pPr>
      <w:r w:rsidRPr="00053537">
        <w:rPr>
          <w:rFonts w:ascii="KaiTi_GB2312" w:eastAsia="KaiTi_GB2312" w:hint="eastAsia"/>
        </w:rPr>
        <w:t>资料来源</w:t>
      </w:r>
      <w:r>
        <w:rPr>
          <w:rFonts w:hint="eastAsia"/>
        </w:rPr>
        <w:t>：丹麦统计局</w:t>
      </w:r>
      <w:r w:rsidR="00053537">
        <w:rPr>
          <w:rFonts w:hint="eastAsia"/>
        </w:rPr>
        <w:t>——</w:t>
      </w:r>
      <w:r w:rsidRPr="00053537">
        <w:rPr>
          <w:rFonts w:ascii="Times New Roman"/>
        </w:rPr>
        <w:t>www.statistikbanken.dk</w:t>
      </w:r>
      <w:r w:rsidR="00053537">
        <w:rPr>
          <w:rFonts w:ascii="Times New Roman" w:hint="eastAsia"/>
        </w:rPr>
        <w:t>。</w:t>
      </w:r>
    </w:p>
    <w:p w:rsidR="00490B71" w:rsidRDefault="00053537" w:rsidP="00053537">
      <w:pPr>
        <w:pStyle w:val="SingleTxt"/>
        <w:rPr>
          <w:rFonts w:hint="eastAsia"/>
        </w:rPr>
      </w:pPr>
      <w:r>
        <w:rPr>
          <w:rFonts w:hint="eastAsia"/>
        </w:rPr>
        <w:tab/>
      </w:r>
      <w:r w:rsidR="00490B71">
        <w:rPr>
          <w:rFonts w:hint="eastAsia"/>
        </w:rPr>
        <w:t>2008年11月，丹麦国家社会研究中心公布了男女薪酬差距的最新报告，其首次报告在2004年公布。</w:t>
      </w:r>
    </w:p>
    <w:p w:rsidR="00490B71" w:rsidRDefault="00053537" w:rsidP="00053537">
      <w:pPr>
        <w:pStyle w:val="SingleTxt"/>
        <w:rPr>
          <w:rFonts w:hint="eastAsia"/>
        </w:rPr>
      </w:pPr>
      <w:r>
        <w:rPr>
          <w:rFonts w:hint="eastAsia"/>
        </w:rPr>
        <w:tab/>
      </w:r>
      <w:r w:rsidR="00490B71">
        <w:rPr>
          <w:rFonts w:hint="eastAsia"/>
        </w:rPr>
        <w:t>2008年报告分析了1996-2006年期间男女薪酬的差距。2001年的首次报告作出结论认为，男性薪酬平均高于女性12%至19%，其差别在于所用的方法。2008年报告发现，这个薪酬差距在过去10年间并没有改变。丹麦国家社会研究中心在2013年春开始更新这项分析，预期将在2013年9月公布分析结果。</w:t>
      </w:r>
    </w:p>
    <w:p w:rsidR="00490B71" w:rsidRPr="00DC4C76" w:rsidRDefault="00490B71" w:rsidP="00053537">
      <w:pPr>
        <w:pStyle w:val="SingleTxt"/>
        <w:rPr>
          <w:rFonts w:ascii="KaiTi_GB2312" w:eastAsia="KaiTi_GB2312" w:hint="eastAsia"/>
        </w:rPr>
      </w:pPr>
      <w:r w:rsidRPr="00DC4C76">
        <w:rPr>
          <w:rFonts w:ascii="KaiTi_GB2312" w:eastAsia="KaiTi_GB2312" w:hint="eastAsia"/>
        </w:rPr>
        <w:t>针对劳动力市场性别分隔和童工同酬问题采取的具体举措</w:t>
      </w:r>
    </w:p>
    <w:p w:rsidR="00490B71" w:rsidRDefault="00053537" w:rsidP="00053537">
      <w:pPr>
        <w:pStyle w:val="SingleTxt"/>
        <w:rPr>
          <w:rFonts w:hint="eastAsia"/>
        </w:rPr>
      </w:pPr>
      <w:r>
        <w:rPr>
          <w:rFonts w:hint="eastAsia"/>
        </w:rPr>
        <w:tab/>
      </w:r>
      <w:r w:rsidR="00490B71">
        <w:rPr>
          <w:rFonts w:hint="eastAsia"/>
        </w:rPr>
        <w:t>自提交第七次报告以来，根据政府男女平等战略采取了如下具体举措：</w:t>
      </w:r>
    </w:p>
    <w:p w:rsidR="00490B71" w:rsidRDefault="00053537" w:rsidP="00053537">
      <w:pPr>
        <w:pStyle w:val="SingleTxt"/>
        <w:rPr>
          <w:rFonts w:hint="eastAsia"/>
        </w:rPr>
      </w:pPr>
      <w:r>
        <w:rPr>
          <w:rFonts w:hint="eastAsia"/>
        </w:rPr>
        <w:tab/>
      </w:r>
      <w:r w:rsidR="00490B71">
        <w:rPr>
          <w:rFonts w:hint="eastAsia"/>
        </w:rPr>
        <w:t>政府为解决同工同酬和劳动力市场性别分隔问题作出了非常复杂的工作，这方面工作是在与企业和社会合作伙伴的对话中进行的，因为它认识到促进男女同工同酬需在工作场所和集体谈判的条件下进行。</w:t>
      </w:r>
    </w:p>
    <w:p w:rsidR="00490B71" w:rsidRDefault="00053537" w:rsidP="00053537">
      <w:pPr>
        <w:pStyle w:val="SingleTxt"/>
        <w:rPr>
          <w:rFonts w:hint="eastAsia"/>
        </w:rPr>
      </w:pPr>
      <w:r>
        <w:rPr>
          <w:rFonts w:hint="eastAsia"/>
        </w:rPr>
        <w:tab/>
      </w:r>
      <w:r w:rsidR="00490B71">
        <w:rPr>
          <w:rFonts w:hint="eastAsia"/>
        </w:rPr>
        <w:t>《平等薪酬法》禁止歧视，并且法院、平等待遇委员会和劳资仲裁部门都受理歧视案件。自提交第七次报告以来，法院已经审理了3宗歧视案件，平等待遇委员会6宗歧视案件。</w:t>
      </w:r>
    </w:p>
    <w:p w:rsidR="00490B71" w:rsidRDefault="00053537" w:rsidP="00053537">
      <w:pPr>
        <w:pStyle w:val="SingleTxt"/>
        <w:rPr>
          <w:rFonts w:hint="eastAsia"/>
        </w:rPr>
      </w:pPr>
      <w:r>
        <w:rPr>
          <w:rFonts w:hint="eastAsia"/>
        </w:rPr>
        <w:tab/>
      </w:r>
      <w:r w:rsidR="00490B71">
        <w:rPr>
          <w:rFonts w:hint="eastAsia"/>
        </w:rPr>
        <w:t>社会合作伙伴认识到它们在这一领域起着至关重要的作用，因此全面讨论了企业和雇员如何改变态度的问题，以便接纳更多女性从事以男性为主的高薪工作。这种方法有助于同时解决如下问题，如同工同酬、性别分隔的劳动力市场和家庭生活与工作取得协调等问题。</w:t>
      </w:r>
    </w:p>
    <w:p w:rsidR="00490B71" w:rsidRDefault="00053537" w:rsidP="00053537">
      <w:pPr>
        <w:pStyle w:val="SingleTxt"/>
        <w:rPr>
          <w:rFonts w:hint="eastAsia"/>
        </w:rPr>
      </w:pPr>
      <w:r>
        <w:rPr>
          <w:rFonts w:hint="eastAsia"/>
        </w:rPr>
        <w:tab/>
      </w:r>
      <w:r w:rsidR="00490B71">
        <w:rPr>
          <w:rFonts w:hint="eastAsia"/>
        </w:rPr>
        <w:t>这种讨论是在就业部组织的同工同酬研讨会上进行的。会上，研究人员和专家讨论了涉及男女平等的各种问题，例如，性别分隔的劳动力市场对男女薪酬差距的重要影响；产假对女性个人的收入状况的重要影响；和企业性别分隔薪酬的统计数据。</w:t>
      </w:r>
    </w:p>
    <w:p w:rsidR="00490B71" w:rsidRDefault="00053537" w:rsidP="00053537">
      <w:pPr>
        <w:pStyle w:val="SingleTxt"/>
        <w:rPr>
          <w:rFonts w:hint="eastAsia"/>
        </w:rPr>
      </w:pPr>
      <w:r>
        <w:rPr>
          <w:rFonts w:hint="eastAsia"/>
        </w:rPr>
        <w:tab/>
      </w:r>
      <w:r w:rsidR="00490B71">
        <w:rPr>
          <w:rFonts w:hint="eastAsia"/>
        </w:rPr>
        <w:t>截至2007年1月1日，所有大型企业都必须编制性别分隔的薪酬统计。这意味着很多企业首次被要求开展同工同酬工作。企业就同工同酬进行合作成为最高优先事项。因此，已经从联合咨询委员会收集经验的企业编制了性别分隔薪酬统计。只有主要企业才被要求这样做。预备对立法作出修订，以便包括更多企业在内，并使雇员更加了解企业内的男女薪酬情况。</w:t>
      </w:r>
    </w:p>
    <w:p w:rsidR="00490B71" w:rsidRPr="009303E0" w:rsidRDefault="00490B71" w:rsidP="00053537">
      <w:pPr>
        <w:pStyle w:val="SingleTxt"/>
        <w:rPr>
          <w:rFonts w:ascii="SimHei" w:eastAsia="SimHei" w:hint="eastAsia"/>
        </w:rPr>
      </w:pPr>
      <w:r w:rsidRPr="009303E0">
        <w:rPr>
          <w:rFonts w:ascii="SimHei" w:eastAsia="SimHei" w:hint="eastAsia"/>
        </w:rPr>
        <w:t>产假、陪产假和育儿假</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2010年，女性平均可休276天产假，男性平均可休26天陪产假和育儿假。男性的陪产假和育儿假占全部休假时间的9%。</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在某些情况下，雇主要向坐月子的女雇员支付薪酬。在这种情况下，应向雇主提供补贴。</w:t>
      </w:r>
    </w:p>
    <w:p w:rsidR="00490B71" w:rsidRDefault="00053537" w:rsidP="00053537">
      <w:pPr>
        <w:pStyle w:val="SingleTxt"/>
        <w:rPr>
          <w:rFonts w:hint="eastAsia"/>
        </w:rPr>
      </w:pPr>
      <w:r>
        <w:rPr>
          <w:rFonts w:hint="eastAsia"/>
        </w:rPr>
        <w:tab/>
      </w:r>
      <w:r w:rsidR="00490B71">
        <w:rPr>
          <w:rFonts w:hint="eastAsia"/>
        </w:rPr>
        <w:t>有关产假、陪产假和育儿假的规定于2002年经过了修改并延长了假期时间，以使与分娩有关的育儿假更合理。有关规则的内容在第六次报告和第七次报告中作了说明。这些规则自2002年以来未经任何修订，但政府正考虑在陪产假中规定一些假期，以确保父母在育儿假中有各自的假期。经济补偿为12个月的全部补贴，在2013年达每年208 000丹麦克朗。另外，越来越多的雇主支付分娩假期内的大部分费用。</w:t>
      </w:r>
    </w:p>
    <w:p w:rsidR="00490B71" w:rsidRPr="00AE2EBC" w:rsidRDefault="00490B71" w:rsidP="00053537">
      <w:pPr>
        <w:pStyle w:val="SingleTxt"/>
        <w:rPr>
          <w:rFonts w:ascii="KaiTi_GB2312" w:eastAsia="KaiTi_GB2312" w:hint="eastAsia"/>
        </w:rPr>
      </w:pPr>
      <w:r w:rsidRPr="00AE2EBC">
        <w:rPr>
          <w:rFonts w:ascii="KaiTi_GB2312" w:eastAsia="KaiTi_GB2312" w:hint="eastAsia"/>
        </w:rPr>
        <w:t>父母对产假、陪产假和育儿假的使用</w:t>
      </w:r>
    </w:p>
    <w:p w:rsidR="00490B71" w:rsidRDefault="00053537" w:rsidP="00053537">
      <w:pPr>
        <w:pStyle w:val="SingleTxt"/>
        <w:rPr>
          <w:rFonts w:hint="eastAsia"/>
        </w:rPr>
      </w:pPr>
      <w:r>
        <w:rPr>
          <w:rFonts w:hint="eastAsia"/>
        </w:rPr>
        <w:tab/>
      </w:r>
      <w:r w:rsidR="00490B71">
        <w:rPr>
          <w:rFonts w:hint="eastAsia"/>
        </w:rPr>
        <w:t>2006年，共有148 073人获得生育补贴。在这些人中，女性占68.1%。2006年，女性平均获得27.2周产假，而男性平均获得3.7周陪产假</w:t>
      </w:r>
      <w:r w:rsidR="00BA369E">
        <w:rPr>
          <w:rFonts w:hint="eastAsia"/>
        </w:rPr>
        <w:t>(</w:t>
      </w:r>
      <w:r w:rsidR="00490B71">
        <w:rPr>
          <w:rFonts w:hint="eastAsia"/>
        </w:rPr>
        <w:t>见表1</w:t>
      </w:r>
      <w:r w:rsidR="00BA369E">
        <w:rPr>
          <w:rFonts w:hint="eastAsia"/>
        </w:rPr>
        <w:t>)</w:t>
      </w:r>
      <w:r w:rsidR="00490B71">
        <w:rPr>
          <w:rFonts w:hint="eastAsia"/>
        </w:rPr>
        <w:t>。</w:t>
      </w:r>
    </w:p>
    <w:p w:rsidR="00053537" w:rsidRPr="00AE2EBC" w:rsidRDefault="00490B71" w:rsidP="00053537">
      <w:pPr>
        <w:pStyle w:val="SingleTxt"/>
        <w:rPr>
          <w:rFonts w:ascii="Times New Roman" w:eastAsia="SimHei"/>
        </w:rPr>
      </w:pPr>
      <w:r>
        <w:rPr>
          <w:rFonts w:hint="eastAsia"/>
        </w:rPr>
        <w:t>表2</w:t>
      </w:r>
      <w:r w:rsidR="00053537">
        <w:rPr>
          <w:rFonts w:hint="eastAsia"/>
        </w:rPr>
        <w:br/>
      </w:r>
      <w:r w:rsidRPr="00AE2EBC">
        <w:rPr>
          <w:rFonts w:ascii="SimHei" w:eastAsia="SimHei" w:hint="eastAsia"/>
        </w:rPr>
        <w:t>2004-2010年按日计算的分娩假期总天数</w:t>
      </w:r>
    </w:p>
    <w:tbl>
      <w:tblPr>
        <w:tblW w:w="0" w:type="auto"/>
        <w:tblInd w:w="1260" w:type="dxa"/>
        <w:tblLayout w:type="fixed"/>
        <w:tblCellMar>
          <w:left w:w="0" w:type="dxa"/>
          <w:right w:w="0" w:type="dxa"/>
        </w:tblCellMar>
        <w:tblLook w:val="0000"/>
      </w:tblPr>
      <w:tblGrid>
        <w:gridCol w:w="1220"/>
        <w:gridCol w:w="1220"/>
        <w:gridCol w:w="1220"/>
        <w:gridCol w:w="1220"/>
        <w:gridCol w:w="1220"/>
        <w:gridCol w:w="1220"/>
      </w:tblGrid>
      <w:tr w:rsidR="00053537" w:rsidRPr="00053537" w:rsidTr="00053537">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053537" w:rsidRPr="00053537" w:rsidRDefault="00053537" w:rsidP="00053537">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22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sz w:val="15"/>
                <w:szCs w:val="24"/>
                <w:lang w:eastAsia="zh-CN"/>
              </w:rPr>
              <w:t xml:space="preserve"> </w:t>
            </w:r>
            <w:r w:rsidRPr="00053537">
              <w:rPr>
                <w:rFonts w:ascii="KaiTi_GB2312" w:eastAsia="KaiTi_GB2312"/>
                <w:noProof/>
                <w:sz w:val="15"/>
                <w:szCs w:val="24"/>
              </w:rPr>
              <w:t>2004</w:t>
            </w:r>
            <w:r w:rsidRPr="00053537">
              <w:rPr>
                <w:rFonts w:ascii="KaiTi_GB2312" w:eastAsia="KaiTi_GB2312" w:hint="eastAsia"/>
                <w:noProof/>
                <w:sz w:val="15"/>
                <w:szCs w:val="24"/>
                <w:lang w:val="en-US"/>
              </w:rPr>
              <w:t>年</w:t>
            </w:r>
            <w:r w:rsidRPr="00053537">
              <w:rPr>
                <w:rFonts w:ascii="KaiTi_GB2312" w:eastAsia="KaiTi_GB2312"/>
                <w:noProof/>
                <w:sz w:val="15"/>
                <w:szCs w:val="24"/>
                <w:lang w:val="en-US"/>
              </w:rPr>
              <w:t xml:space="preserve"> </w:t>
            </w:r>
          </w:p>
        </w:tc>
        <w:tc>
          <w:tcPr>
            <w:tcW w:w="122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sz w:val="15"/>
                <w:szCs w:val="24"/>
              </w:rPr>
              <w:t xml:space="preserve"> </w:t>
            </w:r>
            <w:r w:rsidRPr="00053537">
              <w:rPr>
                <w:rFonts w:ascii="KaiTi_GB2312" w:eastAsia="KaiTi_GB2312"/>
                <w:noProof/>
                <w:sz w:val="15"/>
                <w:szCs w:val="24"/>
              </w:rPr>
              <w:t>2006</w:t>
            </w:r>
            <w:r w:rsidRPr="00053537">
              <w:rPr>
                <w:rFonts w:ascii="KaiTi_GB2312" w:eastAsia="KaiTi_GB2312" w:hint="eastAsia"/>
                <w:noProof/>
                <w:sz w:val="15"/>
                <w:szCs w:val="24"/>
                <w:lang w:val="en-US"/>
              </w:rPr>
              <w:t>年</w:t>
            </w:r>
            <w:r w:rsidRPr="00053537">
              <w:rPr>
                <w:rFonts w:ascii="KaiTi_GB2312" w:eastAsia="KaiTi_GB2312"/>
                <w:noProof/>
                <w:sz w:val="15"/>
                <w:szCs w:val="24"/>
                <w:lang w:val="en-US"/>
              </w:rPr>
              <w:t xml:space="preserve"> </w:t>
            </w:r>
          </w:p>
        </w:tc>
        <w:tc>
          <w:tcPr>
            <w:tcW w:w="122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sz w:val="15"/>
                <w:szCs w:val="24"/>
              </w:rPr>
              <w:t xml:space="preserve"> </w:t>
            </w:r>
            <w:r w:rsidRPr="00053537">
              <w:rPr>
                <w:rFonts w:ascii="KaiTi_GB2312" w:eastAsia="KaiTi_GB2312"/>
                <w:noProof/>
                <w:sz w:val="15"/>
                <w:szCs w:val="24"/>
              </w:rPr>
              <w:t>2008</w:t>
            </w:r>
            <w:r w:rsidRPr="00053537">
              <w:rPr>
                <w:rFonts w:ascii="KaiTi_GB2312" w:eastAsia="KaiTi_GB2312" w:hint="eastAsia"/>
                <w:noProof/>
                <w:sz w:val="15"/>
                <w:szCs w:val="24"/>
                <w:lang w:val="en-US"/>
              </w:rPr>
              <w:t>年</w:t>
            </w:r>
            <w:r w:rsidRPr="00053537">
              <w:rPr>
                <w:rFonts w:ascii="KaiTi_GB2312" w:eastAsia="KaiTi_GB2312"/>
                <w:noProof/>
                <w:sz w:val="15"/>
                <w:szCs w:val="24"/>
                <w:lang w:val="en-US"/>
              </w:rPr>
              <w:t xml:space="preserve"> </w:t>
            </w:r>
          </w:p>
        </w:tc>
        <w:tc>
          <w:tcPr>
            <w:tcW w:w="122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sz w:val="15"/>
                <w:szCs w:val="24"/>
              </w:rPr>
              <w:t xml:space="preserve"> </w:t>
            </w:r>
            <w:r w:rsidRPr="00053537">
              <w:rPr>
                <w:rFonts w:ascii="KaiTi_GB2312" w:eastAsia="KaiTi_GB2312"/>
                <w:noProof/>
                <w:sz w:val="15"/>
                <w:szCs w:val="24"/>
              </w:rPr>
              <w:t>2009</w:t>
            </w:r>
            <w:r w:rsidRPr="00053537">
              <w:rPr>
                <w:rFonts w:ascii="KaiTi_GB2312" w:eastAsia="KaiTi_GB2312" w:hint="eastAsia"/>
                <w:noProof/>
                <w:sz w:val="15"/>
                <w:szCs w:val="24"/>
                <w:lang w:val="en-US"/>
              </w:rPr>
              <w:t>年</w:t>
            </w:r>
            <w:r w:rsidRPr="00053537">
              <w:rPr>
                <w:rFonts w:ascii="KaiTi_GB2312" w:eastAsia="KaiTi_GB2312"/>
                <w:noProof/>
                <w:sz w:val="15"/>
                <w:szCs w:val="24"/>
                <w:lang w:val="en-US"/>
              </w:rPr>
              <w:t xml:space="preserve"> </w:t>
            </w:r>
          </w:p>
        </w:tc>
        <w:tc>
          <w:tcPr>
            <w:tcW w:w="122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sz w:val="15"/>
                <w:szCs w:val="24"/>
              </w:rPr>
              <w:t xml:space="preserve"> </w:t>
            </w:r>
            <w:r w:rsidRPr="00053537">
              <w:rPr>
                <w:rFonts w:ascii="KaiTi_GB2312" w:eastAsia="KaiTi_GB2312"/>
                <w:noProof/>
                <w:sz w:val="15"/>
                <w:szCs w:val="24"/>
              </w:rPr>
              <w:t>2010</w:t>
            </w:r>
            <w:r w:rsidRPr="00053537">
              <w:rPr>
                <w:rFonts w:ascii="KaiTi_GB2312" w:eastAsia="KaiTi_GB2312" w:hint="eastAsia"/>
                <w:noProof/>
                <w:sz w:val="15"/>
                <w:szCs w:val="24"/>
                <w:lang w:val="en-US"/>
              </w:rPr>
              <w:t>年</w:t>
            </w:r>
            <w:r w:rsidRPr="00053537">
              <w:rPr>
                <w:rFonts w:ascii="KaiTi_GB2312" w:eastAsia="KaiTi_GB2312"/>
                <w:noProof/>
                <w:sz w:val="15"/>
                <w:szCs w:val="24"/>
                <w:lang w:val="en-US"/>
              </w:rPr>
              <w:t xml:space="preserve"> </w:t>
            </w:r>
          </w:p>
        </w:tc>
      </w:tr>
      <w:tr w:rsidR="00053537" w:rsidRPr="00053537" w:rsidTr="00053537">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left"/>
              <w:rPr>
                <w:rFonts w:ascii="SimSun" w:hint="eastAsia"/>
                <w:sz w:val="17"/>
                <w:szCs w:val="24"/>
                <w:lang w:val="zh-CN"/>
              </w:rPr>
            </w:pPr>
          </w:p>
        </w:tc>
        <w:tc>
          <w:tcPr>
            <w:tcW w:w="122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122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122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122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122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r>
      <w:tr w:rsidR="00053537" w:rsidRPr="00053537" w:rsidTr="00053537">
        <w:tblPrEx>
          <w:tblCellMar>
            <w:top w:w="0" w:type="dxa"/>
            <w:bottom w:w="0" w:type="dxa"/>
          </w:tblCellMar>
        </w:tblPrEx>
        <w:tc>
          <w:tcPr>
            <w:tcW w:w="122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053537">
              <w:rPr>
                <w:rFonts w:ascii="SimSun" w:hAnsi="SimSun" w:hint="eastAsia"/>
                <w:sz w:val="17"/>
                <w:szCs w:val="24"/>
                <w:lang w:val="zh-CN"/>
              </w:rPr>
              <w:t>父亲假期</w:t>
            </w:r>
          </w:p>
        </w:tc>
        <w:tc>
          <w:tcPr>
            <w:tcW w:w="122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18 </w:t>
            </w:r>
          </w:p>
        </w:tc>
        <w:tc>
          <w:tcPr>
            <w:tcW w:w="122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22 </w:t>
            </w:r>
          </w:p>
        </w:tc>
        <w:tc>
          <w:tcPr>
            <w:tcW w:w="122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26 </w:t>
            </w:r>
          </w:p>
        </w:tc>
        <w:tc>
          <w:tcPr>
            <w:tcW w:w="122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26</w:t>
            </w:r>
          </w:p>
        </w:tc>
        <w:tc>
          <w:tcPr>
            <w:tcW w:w="122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26 </w:t>
            </w:r>
          </w:p>
        </w:tc>
      </w:tr>
      <w:tr w:rsidR="00053537" w:rsidRPr="00053537" w:rsidTr="00053537">
        <w:tblPrEx>
          <w:tblCellMar>
            <w:top w:w="0" w:type="dxa"/>
            <w:bottom w:w="0" w:type="dxa"/>
          </w:tblCellMar>
        </w:tblPrEx>
        <w:tc>
          <w:tcPr>
            <w:tcW w:w="122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053537">
              <w:rPr>
                <w:rFonts w:ascii="SimSun" w:hAnsi="SimSun" w:hint="eastAsia"/>
                <w:sz w:val="17"/>
                <w:szCs w:val="24"/>
                <w:lang w:val="zh-CN"/>
              </w:rPr>
              <w:t>母亲假期</w:t>
            </w:r>
          </w:p>
        </w:tc>
        <w:tc>
          <w:tcPr>
            <w:tcW w:w="122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272 </w:t>
            </w:r>
          </w:p>
        </w:tc>
        <w:tc>
          <w:tcPr>
            <w:tcW w:w="122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275 </w:t>
            </w:r>
          </w:p>
        </w:tc>
        <w:tc>
          <w:tcPr>
            <w:tcW w:w="122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276 </w:t>
            </w:r>
          </w:p>
        </w:tc>
        <w:tc>
          <w:tcPr>
            <w:tcW w:w="122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277 </w:t>
            </w:r>
          </w:p>
        </w:tc>
        <w:tc>
          <w:tcPr>
            <w:tcW w:w="122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 xml:space="preserve"> 276</w:t>
            </w:r>
          </w:p>
        </w:tc>
      </w:tr>
    </w:tbl>
    <w:p w:rsidR="00053537" w:rsidRPr="00053537" w:rsidRDefault="00053537" w:rsidP="00053537">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490B71" w:rsidRDefault="00490B71" w:rsidP="00053537">
      <w:pPr>
        <w:pStyle w:val="FootnoteText"/>
        <w:tabs>
          <w:tab w:val="clear" w:pos="418"/>
          <w:tab w:val="right" w:pos="1476"/>
          <w:tab w:val="left" w:pos="1548"/>
          <w:tab w:val="right" w:pos="1836"/>
          <w:tab w:val="left" w:pos="1908"/>
        </w:tabs>
        <w:ind w:left="1548" w:right="1267" w:hanging="288"/>
        <w:rPr>
          <w:rFonts w:hint="eastAsia"/>
        </w:rPr>
      </w:pPr>
      <w:r w:rsidRPr="00053537">
        <w:rPr>
          <w:rFonts w:ascii="KaiTi_GB2312" w:eastAsia="KaiTi_GB2312" w:hint="eastAsia"/>
        </w:rPr>
        <w:t>资料来源</w:t>
      </w:r>
      <w:r>
        <w:rPr>
          <w:rFonts w:hint="eastAsia"/>
        </w:rPr>
        <w:t>：丹麦统计局</w:t>
      </w:r>
      <w:r w:rsidR="009303E0">
        <w:rPr>
          <w:rFonts w:hint="eastAsia"/>
        </w:rPr>
        <w:t>。</w:t>
      </w:r>
    </w:p>
    <w:p w:rsidR="00490B71" w:rsidRDefault="00053537" w:rsidP="00AE2EBC">
      <w:pPr>
        <w:pStyle w:val="SingleTxt"/>
        <w:spacing w:line="330" w:lineRule="exact"/>
        <w:rPr>
          <w:rFonts w:hint="eastAsia"/>
        </w:rPr>
      </w:pPr>
      <w:r>
        <w:rPr>
          <w:rFonts w:hint="eastAsia"/>
        </w:rPr>
        <w:tab/>
      </w:r>
      <w:r w:rsidR="00490B71">
        <w:rPr>
          <w:rFonts w:hint="eastAsia"/>
        </w:rPr>
        <w:t xml:space="preserve">按每个儿童出生年和次年的父母假期计算，在2010年，父亲的假期占9%，母亲占91%(见表2)，随着向父母双方支付育儿假期内薪酬的做法越来越普遍，预期越来越多的父亲将使用他们的育儿假。 </w:t>
      </w:r>
    </w:p>
    <w:p w:rsidR="00490B71" w:rsidRDefault="00053537" w:rsidP="00AE2EBC">
      <w:pPr>
        <w:pStyle w:val="SingleTxt"/>
        <w:spacing w:line="330" w:lineRule="exact"/>
        <w:rPr>
          <w:rFonts w:hint="eastAsia"/>
        </w:rPr>
      </w:pPr>
      <w:r>
        <w:rPr>
          <w:rFonts w:hint="eastAsia"/>
        </w:rPr>
        <w:tab/>
      </w:r>
      <w:r w:rsidR="00490B71">
        <w:rPr>
          <w:rFonts w:hint="eastAsia"/>
        </w:rPr>
        <w:t>2006年采用了一项有关分娩的国家平等计划。所有雇主都需要对这项计划提供经费，即使他们不支付在产假/陪产假和育儿假期间的薪酬，或雇员是否因育儿而休假。这项计划的目标是确保不仅仅是以女性为主的行业必须为休产假支付薪酬。2013年，平等计划扩大到将自营职业者也包括在内。</w:t>
      </w:r>
    </w:p>
    <w:p w:rsidR="00490B71" w:rsidRPr="00AE2EBC" w:rsidRDefault="00490B71" w:rsidP="00AE2EBC">
      <w:pPr>
        <w:pStyle w:val="SingleTxt"/>
        <w:spacing w:line="330" w:lineRule="exact"/>
        <w:rPr>
          <w:rFonts w:ascii="SimHei" w:eastAsia="SimHei" w:hint="eastAsia"/>
        </w:rPr>
      </w:pPr>
      <w:r w:rsidRPr="00AE2EBC">
        <w:rPr>
          <w:rFonts w:ascii="SimHei" w:eastAsia="SimHei" w:hint="eastAsia"/>
        </w:rPr>
        <w:t>兼职工作/减少的时间/工作时间</w:t>
      </w:r>
    </w:p>
    <w:p w:rsidR="00490B71" w:rsidRDefault="00053537" w:rsidP="00AE2EBC">
      <w:pPr>
        <w:pStyle w:val="SingleTxt"/>
        <w:spacing w:line="330" w:lineRule="exact"/>
        <w:ind w:left="2126" w:hanging="431"/>
        <w:rPr>
          <w:rFonts w:hint="eastAsia"/>
        </w:rPr>
      </w:pPr>
      <w:r>
        <w:rPr>
          <w:rFonts w:hint="eastAsia"/>
        </w:rPr>
        <w:sym w:font="Symbol" w:char="F0B7"/>
      </w:r>
      <w:r>
        <w:tab/>
      </w:r>
      <w:r w:rsidR="00490B71">
        <w:rPr>
          <w:rFonts w:hint="eastAsia"/>
        </w:rPr>
        <w:t>2011年，每周工作时间不足37小时的女性人数多于男性。相比之下，每周工作37小时或更长时间的男性数量多于女性。</w:t>
      </w:r>
    </w:p>
    <w:p w:rsidR="00490B71" w:rsidRDefault="00053537" w:rsidP="00AE2EBC">
      <w:pPr>
        <w:pStyle w:val="SingleTxt"/>
        <w:spacing w:line="330" w:lineRule="exact"/>
        <w:ind w:left="2126" w:hanging="431"/>
        <w:rPr>
          <w:rFonts w:hint="eastAsia"/>
        </w:rPr>
      </w:pPr>
      <w:r>
        <w:rPr>
          <w:rFonts w:hint="eastAsia"/>
        </w:rPr>
        <w:sym w:font="Symbol" w:char="F0B7"/>
      </w:r>
      <w:r>
        <w:tab/>
      </w:r>
      <w:r w:rsidR="00490B71">
        <w:rPr>
          <w:rFonts w:hint="eastAsia"/>
        </w:rPr>
        <w:t xml:space="preserve">2011年，女性每周平均工作时间为32.1小时，而男性平均工作时间为37.7小时。 </w:t>
      </w:r>
    </w:p>
    <w:p w:rsidR="00490B71" w:rsidRPr="00AE2EBC" w:rsidRDefault="00490B71" w:rsidP="00AE2EBC">
      <w:pPr>
        <w:pStyle w:val="SingleTxt"/>
        <w:spacing w:line="330" w:lineRule="exact"/>
        <w:rPr>
          <w:rFonts w:ascii="SimHei" w:eastAsia="SimHei" w:hint="eastAsia"/>
        </w:rPr>
      </w:pPr>
      <w:r w:rsidRPr="00AE2EBC">
        <w:rPr>
          <w:rFonts w:ascii="SimHei" w:eastAsia="SimHei" w:hint="eastAsia"/>
        </w:rPr>
        <w:t>《移徙工人公约》</w:t>
      </w:r>
    </w:p>
    <w:p w:rsidR="00490B71" w:rsidRDefault="00053537" w:rsidP="00AE2EBC">
      <w:pPr>
        <w:pStyle w:val="SingleTxt"/>
        <w:spacing w:line="330" w:lineRule="exact"/>
        <w:rPr>
          <w:rFonts w:hint="eastAsia"/>
        </w:rPr>
      </w:pPr>
      <w:r>
        <w:rPr>
          <w:rFonts w:hint="eastAsia"/>
        </w:rPr>
        <w:tab/>
      </w:r>
      <w:r w:rsidR="00490B71">
        <w:rPr>
          <w:rFonts w:hint="eastAsia"/>
        </w:rPr>
        <w:t>保护移徙工人及其家属的公约在丹麦没有得到批准。估计自1975年以来，在本国以外地区居住和工作的人数已经增加。丹麦没有批准联合国在1990年通过的这项公约，因为它不确定监管社会保护可能产生的后果。</w:t>
      </w:r>
    </w:p>
    <w:p w:rsidR="00490B71" w:rsidRPr="00AE2EBC" w:rsidRDefault="00490B71" w:rsidP="00AE2EBC">
      <w:pPr>
        <w:pStyle w:val="SingleTxt"/>
        <w:spacing w:line="330" w:lineRule="exact"/>
        <w:rPr>
          <w:rFonts w:ascii="SimHei" w:eastAsia="SimHei" w:hint="eastAsia"/>
        </w:rPr>
      </w:pPr>
      <w:r w:rsidRPr="00AE2EBC">
        <w:rPr>
          <w:rFonts w:ascii="SimHei" w:eastAsia="SimHei" w:hint="eastAsia"/>
        </w:rPr>
        <w:t>女性企业家</w:t>
      </w:r>
    </w:p>
    <w:p w:rsidR="00490B71" w:rsidRDefault="00053537" w:rsidP="00AE2EBC">
      <w:pPr>
        <w:pStyle w:val="SingleTxt"/>
        <w:spacing w:line="330" w:lineRule="exact"/>
        <w:rPr>
          <w:rFonts w:hint="eastAsia"/>
        </w:rPr>
      </w:pPr>
      <w:r>
        <w:rPr>
          <w:rFonts w:hint="eastAsia"/>
        </w:rPr>
        <w:tab/>
      </w:r>
      <w:r w:rsidR="00490B71">
        <w:rPr>
          <w:rFonts w:hint="eastAsia"/>
        </w:rPr>
        <w:t>自2001年执政以来，丹麦政府非常关注促进企业的问题。在五个行动计划中，落实了50多项举措。这些举措侧重于改善丹麦发展企业的环境，适用于所有人，其优惠条件有利于每一个人。在政治上，重点不是在特殊群体中达成企业目标。因此，丹麦并没有促进或支持女性企业家的公共计划。</w:t>
      </w:r>
    </w:p>
    <w:p w:rsidR="00490B71" w:rsidRDefault="00053537" w:rsidP="00AE2EBC">
      <w:pPr>
        <w:pStyle w:val="SingleTxt"/>
        <w:spacing w:line="330" w:lineRule="exact"/>
        <w:rPr>
          <w:rFonts w:hint="eastAsia"/>
        </w:rPr>
      </w:pPr>
      <w:r>
        <w:rPr>
          <w:rFonts w:hint="eastAsia"/>
        </w:rPr>
        <w:tab/>
      </w:r>
      <w:r w:rsidR="00490B71">
        <w:rPr>
          <w:rFonts w:hint="eastAsia"/>
        </w:rPr>
        <w:t>在上一个欧洲社会基金方案期间</w:t>
      </w:r>
      <w:r w:rsidR="00BA369E">
        <w:rPr>
          <w:rFonts w:hint="eastAsia"/>
        </w:rPr>
        <w:t>(</w:t>
      </w:r>
      <w:r w:rsidR="00490B71">
        <w:rPr>
          <w:rFonts w:hint="eastAsia"/>
        </w:rPr>
        <w:t>2000-2006年</w:t>
      </w:r>
      <w:r w:rsidR="00BA369E">
        <w:rPr>
          <w:rFonts w:hint="eastAsia"/>
        </w:rPr>
        <w:t>)</w:t>
      </w:r>
      <w:r w:rsidR="00490B71">
        <w:rPr>
          <w:rFonts w:hint="eastAsia"/>
        </w:rPr>
        <w:t xml:space="preserve">，由基金支助的大量丹麦计划专门针对妇女。收集了从这些计划得到的经验，并将这些经验用于未来的举措和方案。在2007-2011年方案期间，还优先制定了强调平等机会的项目。 </w:t>
      </w:r>
    </w:p>
    <w:p w:rsidR="00490B71" w:rsidRDefault="00053537" w:rsidP="00AE2EBC">
      <w:pPr>
        <w:pStyle w:val="SingleTxt"/>
        <w:spacing w:line="330" w:lineRule="exact"/>
        <w:rPr>
          <w:rFonts w:hint="eastAsia"/>
        </w:rPr>
      </w:pPr>
      <w:r>
        <w:rPr>
          <w:rFonts w:hint="eastAsia"/>
        </w:rPr>
        <w:tab/>
      </w:r>
      <w:r w:rsidR="00490B71">
        <w:rPr>
          <w:rFonts w:hint="eastAsia"/>
        </w:rPr>
        <w:t>在丹麦，大约25%的企业家是女性。这个比例在2001年至2004年之间略有下降。数据包含所有新企业，包括公司、独资企业和合伙企业。</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053537" w:rsidRPr="00053537" w:rsidTr="00053537">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53537" w:rsidRPr="00053537" w:rsidRDefault="00053537" w:rsidP="00053537">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noProof/>
                <w:sz w:val="15"/>
                <w:szCs w:val="24"/>
              </w:rPr>
              <w:t>2001</w:t>
            </w:r>
            <w:r w:rsidRPr="00053537">
              <w:rPr>
                <w:rFonts w:ascii="KaiTi_GB2312" w:eastAsia="KaiTi_GB2312" w:hint="eastAsia"/>
                <w:noProof/>
                <w:sz w:val="15"/>
                <w:szCs w:val="24"/>
                <w:lang w:val="en-US"/>
              </w:rPr>
              <w:t>年</w:t>
            </w: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noProof/>
                <w:sz w:val="15"/>
                <w:szCs w:val="24"/>
              </w:rPr>
              <w:t>2002</w:t>
            </w:r>
            <w:r w:rsidRPr="00053537">
              <w:rPr>
                <w:rFonts w:ascii="KaiTi_GB2312" w:eastAsia="KaiTi_GB2312" w:hint="eastAsia"/>
                <w:noProof/>
                <w:sz w:val="15"/>
                <w:szCs w:val="24"/>
                <w:lang w:val="en-US"/>
              </w:rPr>
              <w:t>年</w:t>
            </w: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noProof/>
                <w:sz w:val="15"/>
                <w:szCs w:val="24"/>
              </w:rPr>
              <w:t>2003</w:t>
            </w:r>
            <w:r w:rsidRPr="00053537">
              <w:rPr>
                <w:rFonts w:ascii="KaiTi_GB2312" w:eastAsia="KaiTi_GB2312" w:hint="eastAsia"/>
                <w:noProof/>
                <w:sz w:val="15"/>
                <w:szCs w:val="24"/>
                <w:lang w:val="en-US"/>
              </w:rPr>
              <w:t>年</w:t>
            </w: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noProof/>
                <w:sz w:val="15"/>
                <w:szCs w:val="24"/>
              </w:rPr>
              <w:t>2004</w:t>
            </w:r>
            <w:r w:rsidRPr="00053537">
              <w:rPr>
                <w:rFonts w:ascii="KaiTi_GB2312" w:eastAsia="KaiTi_GB2312" w:hint="eastAsia"/>
                <w:noProof/>
                <w:sz w:val="15"/>
                <w:szCs w:val="24"/>
                <w:lang w:val="en-US"/>
              </w:rPr>
              <w:t>年</w:t>
            </w:r>
          </w:p>
        </w:tc>
      </w:tr>
      <w:tr w:rsidR="00053537" w:rsidRPr="00053537" w:rsidTr="00053537">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left"/>
              <w:rPr>
                <w:rFonts w:ascii="SimSun" w:hint="eastAsia"/>
                <w:b/>
                <w:sz w:val="17"/>
                <w:szCs w:val="24"/>
                <w:lang w:val="zh-CN"/>
              </w:rPr>
            </w:pPr>
          </w:p>
        </w:tc>
        <w:tc>
          <w:tcPr>
            <w:tcW w:w="1464"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1464"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1464"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1464"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r>
      <w:tr w:rsidR="00053537" w:rsidRPr="00053537" w:rsidTr="00053537">
        <w:tblPrEx>
          <w:tblCellMar>
            <w:top w:w="0" w:type="dxa"/>
            <w:bottom w:w="0" w:type="dxa"/>
          </w:tblCellMar>
        </w:tblPrEx>
        <w:tc>
          <w:tcPr>
            <w:tcW w:w="1464" w:type="dxa"/>
            <w:shd w:val="clear" w:color="auto" w:fill="auto"/>
            <w:vAlign w:val="bottom"/>
          </w:tcPr>
          <w:p w:rsidR="00053537" w:rsidRPr="00C10BAF"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C10BAF">
              <w:rPr>
                <w:rFonts w:ascii="SimSun" w:hAnsi="SimSun" w:hint="eastAsia"/>
                <w:sz w:val="17"/>
                <w:szCs w:val="24"/>
                <w:lang w:val="zh-CN"/>
              </w:rPr>
              <w:t>男性</w:t>
            </w:r>
          </w:p>
        </w:tc>
        <w:tc>
          <w:tcPr>
            <w:tcW w:w="1464"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74.6</w:t>
            </w:r>
          </w:p>
        </w:tc>
        <w:tc>
          <w:tcPr>
            <w:tcW w:w="1464"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74.7</w:t>
            </w:r>
          </w:p>
        </w:tc>
        <w:tc>
          <w:tcPr>
            <w:tcW w:w="1464"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75.4</w:t>
            </w:r>
          </w:p>
        </w:tc>
        <w:tc>
          <w:tcPr>
            <w:tcW w:w="1464"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75.9</w:t>
            </w:r>
          </w:p>
        </w:tc>
      </w:tr>
      <w:tr w:rsidR="00053537" w:rsidRPr="00053537" w:rsidTr="00053537">
        <w:tblPrEx>
          <w:tblCellMar>
            <w:top w:w="0" w:type="dxa"/>
            <w:bottom w:w="0" w:type="dxa"/>
          </w:tblCellMar>
        </w:tblPrEx>
        <w:tc>
          <w:tcPr>
            <w:tcW w:w="1464" w:type="dxa"/>
            <w:tcBorders>
              <w:bottom w:val="single" w:sz="4" w:space="0" w:color="auto"/>
            </w:tcBorders>
            <w:shd w:val="clear" w:color="auto" w:fill="auto"/>
            <w:vAlign w:val="bottom"/>
          </w:tcPr>
          <w:p w:rsidR="00053537" w:rsidRPr="00C10BAF"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C10BAF">
              <w:rPr>
                <w:rFonts w:ascii="SimSun" w:hAnsi="SimSun" w:hint="eastAsia"/>
                <w:sz w:val="17"/>
                <w:szCs w:val="24"/>
                <w:lang w:val="zh-CN"/>
              </w:rPr>
              <w:t>女性</w:t>
            </w:r>
          </w:p>
        </w:tc>
        <w:tc>
          <w:tcPr>
            <w:tcW w:w="1464" w:type="dxa"/>
            <w:tcBorders>
              <w:bottom w:val="single" w:sz="4"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25.4</w:t>
            </w:r>
          </w:p>
        </w:tc>
        <w:tc>
          <w:tcPr>
            <w:tcW w:w="1464" w:type="dxa"/>
            <w:tcBorders>
              <w:bottom w:val="single" w:sz="4"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25.3</w:t>
            </w:r>
          </w:p>
        </w:tc>
        <w:tc>
          <w:tcPr>
            <w:tcW w:w="1464" w:type="dxa"/>
            <w:tcBorders>
              <w:bottom w:val="single" w:sz="4"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24.6</w:t>
            </w:r>
          </w:p>
        </w:tc>
        <w:tc>
          <w:tcPr>
            <w:tcW w:w="1464" w:type="dxa"/>
            <w:tcBorders>
              <w:bottom w:val="single" w:sz="4"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24.1</w:t>
            </w:r>
          </w:p>
        </w:tc>
      </w:tr>
      <w:tr w:rsidR="00053537" w:rsidRPr="00053537" w:rsidTr="00053537">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24"/>
              </w:rPr>
            </w:pPr>
            <w:r>
              <w:rPr>
                <w:rFonts w:ascii="SimHei" w:eastAsia="SimHei" w:hAnsi="SimSun"/>
                <w:b/>
                <w:sz w:val="17"/>
                <w:szCs w:val="24"/>
                <w:lang w:val="zh-CN" w:eastAsia="zh-CN"/>
              </w:rPr>
              <w:tab/>
            </w:r>
            <w:r w:rsidRPr="00053537">
              <w:rPr>
                <w:rFonts w:ascii="SimHei" w:eastAsia="SimHei" w:hAnsi="SimSun" w:hint="eastAsia"/>
                <w:b/>
                <w:sz w:val="17"/>
                <w:szCs w:val="24"/>
                <w:lang w:val="zh-CN"/>
              </w:rPr>
              <w:t>总计</w:t>
            </w: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053537">
              <w:rPr>
                <w:rFonts w:ascii="SimHei" w:eastAsia="SimHei" w:hAnsi="SimSun"/>
                <w:b/>
                <w:sz w:val="17"/>
                <w:szCs w:val="24"/>
              </w:rPr>
              <w:t>100</w:t>
            </w: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053537">
              <w:rPr>
                <w:rFonts w:ascii="SimHei" w:eastAsia="SimHei" w:hAnsi="SimSun"/>
                <w:b/>
                <w:sz w:val="17"/>
                <w:szCs w:val="24"/>
              </w:rPr>
              <w:t>100</w:t>
            </w: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053537">
              <w:rPr>
                <w:rFonts w:ascii="SimHei" w:eastAsia="SimHei" w:hAnsi="SimSun"/>
                <w:b/>
                <w:sz w:val="17"/>
                <w:szCs w:val="24"/>
              </w:rPr>
              <w:t>100</w:t>
            </w:r>
          </w:p>
        </w:tc>
        <w:tc>
          <w:tcPr>
            <w:tcW w:w="1464" w:type="dxa"/>
            <w:tcBorders>
              <w:top w:val="single" w:sz="4" w:space="0" w:color="auto"/>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24"/>
              </w:rPr>
            </w:pPr>
            <w:r w:rsidRPr="00053537">
              <w:rPr>
                <w:rFonts w:ascii="SimHei" w:eastAsia="SimHei" w:hAnsi="SimSun"/>
                <w:b/>
                <w:sz w:val="17"/>
                <w:szCs w:val="24"/>
              </w:rPr>
              <w:t>100</w:t>
            </w:r>
          </w:p>
        </w:tc>
      </w:tr>
    </w:tbl>
    <w:p w:rsidR="00053537" w:rsidRPr="00053537" w:rsidRDefault="00053537" w:rsidP="00053537">
      <w:pPr>
        <w:pStyle w:val="SingleTxt"/>
        <w:spacing w:after="0" w:line="120" w:lineRule="exact"/>
        <w:rPr>
          <w:rFonts w:hint="eastAsia"/>
          <w:sz w:val="10"/>
        </w:rPr>
      </w:pPr>
    </w:p>
    <w:p w:rsidR="00053537" w:rsidRPr="00053537" w:rsidRDefault="00053537" w:rsidP="00053537">
      <w:pPr>
        <w:pStyle w:val="SingleTxt"/>
        <w:spacing w:after="0" w:line="120" w:lineRule="exact"/>
        <w:rPr>
          <w:rFonts w:hint="eastAsia"/>
          <w:sz w:val="10"/>
        </w:rPr>
      </w:pPr>
    </w:p>
    <w:p w:rsidR="00490B71" w:rsidRDefault="00053537" w:rsidP="00053537">
      <w:pPr>
        <w:pStyle w:val="SingleTxt"/>
        <w:rPr>
          <w:rFonts w:hint="eastAsia"/>
        </w:rPr>
      </w:pPr>
      <w:r>
        <w:rPr>
          <w:rFonts w:hint="eastAsia"/>
        </w:rPr>
        <w:tab/>
      </w:r>
      <w:r w:rsidR="00490B71">
        <w:rPr>
          <w:rFonts w:hint="eastAsia"/>
        </w:rPr>
        <w:t>可利用全球创业监测网对丹麦和其他国家进行比较。从它们的调查可以看出，2006年，3.30%的丹麦女性参与了早期的创业活动</w:t>
      </w:r>
      <w:r w:rsidR="009303E0">
        <w:rPr>
          <w:rFonts w:hint="eastAsia"/>
        </w:rPr>
        <w:t>——</w:t>
      </w:r>
      <w:r w:rsidR="00490B71">
        <w:rPr>
          <w:rFonts w:hint="eastAsia"/>
        </w:rPr>
        <w:t xml:space="preserve">而这个数据在瑞典是2.43%，挪威是5.87%，英国是3.61%和荷兰是3.60%。丹麦的比例略低于参加全球创业监测网分析的19个欧洲国家的平均水平。 </w:t>
      </w:r>
    </w:p>
    <w:p w:rsidR="00490B71" w:rsidRDefault="00053537" w:rsidP="00053537">
      <w:pPr>
        <w:pStyle w:val="SingleTxt"/>
        <w:rPr>
          <w:rFonts w:hint="eastAsia"/>
        </w:rPr>
      </w:pPr>
      <w:r>
        <w:rPr>
          <w:rFonts w:hint="eastAsia"/>
        </w:rPr>
        <w:tab/>
      </w:r>
      <w:r w:rsidR="00490B71">
        <w:rPr>
          <w:rFonts w:hint="eastAsia"/>
        </w:rPr>
        <w:t xml:space="preserve">女性企业家人数较少的原因各不相同。其中一个原因是丹麦妇女大都选择参与导致在公共部门就业的教育，这限制了成为企业家的机会。丹麦没有提拔女性企业家的具体政策。女性在一般商界跃升中的机会与男子相同，尽管丹麦政府对提拔女性企业家给予某种程度的关注，因为它提供了增长的潜力。因此，丹麦政府对包含女性如何成功创业的实例的“女性有能力”这个举措提供了经费。 </w:t>
      </w:r>
    </w:p>
    <w:p w:rsidR="00490B71" w:rsidRDefault="00053537" w:rsidP="00053537">
      <w:pPr>
        <w:pStyle w:val="SingleTxt"/>
        <w:rPr>
          <w:rFonts w:hint="eastAsia"/>
        </w:rPr>
      </w:pPr>
      <w:r>
        <w:rPr>
          <w:rFonts w:hint="eastAsia"/>
        </w:rPr>
        <w:tab/>
      </w:r>
      <w:r w:rsidR="00490B71">
        <w:rPr>
          <w:rFonts w:hint="eastAsia"/>
        </w:rPr>
        <w:t>过去数年，每四名企业家中就有一名是女性。2007年以来，女性企业家约占28%。因此，丹麦目前与挪威和瑞典处于同一水平。起始点是鼓励女性利用与其他企业家相同的机会和举措创业</w:t>
      </w:r>
      <w:r w:rsidR="00AA551C">
        <w:rPr>
          <w:rFonts w:hint="eastAsia"/>
        </w:rPr>
        <w:t>——</w:t>
      </w:r>
      <w:r w:rsidR="00490B71">
        <w:rPr>
          <w:rFonts w:hint="eastAsia"/>
        </w:rPr>
        <w:t xml:space="preserve">这样就不会采用两套平行系统。 </w:t>
      </w:r>
    </w:p>
    <w:p w:rsidR="00490B71" w:rsidRDefault="00053537" w:rsidP="00053537">
      <w:pPr>
        <w:pStyle w:val="SingleTxt"/>
        <w:rPr>
          <w:rFonts w:hint="eastAsia"/>
        </w:rPr>
      </w:pPr>
      <w:r>
        <w:rPr>
          <w:rFonts w:hint="eastAsia"/>
        </w:rPr>
        <w:tab/>
      </w:r>
      <w:r w:rsidR="00490B71">
        <w:rPr>
          <w:rFonts w:hint="eastAsia"/>
        </w:rPr>
        <w:t xml:space="preserve">为了利用女性企业家和新女性企业家的潜力，丹麦商务局展开了“女性有能力”举措。这项举措在各个地区增长中心与这个领域内的一些行为体合作实施。 </w:t>
      </w:r>
    </w:p>
    <w:p w:rsidR="00490B71" w:rsidRDefault="00AE2EBC" w:rsidP="00053537">
      <w:pPr>
        <w:pStyle w:val="SingleTxt"/>
        <w:rPr>
          <w:rFonts w:hint="eastAsia"/>
        </w:rPr>
      </w:pPr>
      <w:r>
        <w:tab/>
      </w:r>
      <w:r w:rsidR="00490B71">
        <w:rPr>
          <w:rFonts w:hint="eastAsia"/>
        </w:rPr>
        <w:t>丹麦的举措包括：</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出版“女性有能力”刊物，其中载有妇女创业实例。</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设立“</w:t>
      </w:r>
      <w:r w:rsidR="00490B71" w:rsidRPr="00AE2EBC">
        <w:rPr>
          <w:rFonts w:ascii="Times New Roman"/>
        </w:rPr>
        <w:t>virksomhedskvinder.dk</w:t>
      </w:r>
      <w:r w:rsidR="00490B71">
        <w:rPr>
          <w:rFonts w:hint="eastAsia"/>
        </w:rPr>
        <w:t>”网站，载有提供给女性企业家的机会、按性别分类的统计数据、角色典范、案例和事例。</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发展女性企业家的地区课程，以便说明增长潜力和加强她们的发展。</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具有角色典范的事例。</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以年轻学生为对象针对创新和创业的措施。</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 xml:space="preserve">每年更新按性别分类的统计数据。 </w:t>
      </w:r>
    </w:p>
    <w:p w:rsidR="00490B71" w:rsidRDefault="00AE2EBC" w:rsidP="00AE2EBC">
      <w:pPr>
        <w:pStyle w:val="SingleTxt"/>
        <w:ind w:left="2126" w:hanging="431"/>
        <w:rPr>
          <w:rFonts w:hint="eastAsia"/>
        </w:rPr>
      </w:pPr>
      <w:r>
        <w:rPr>
          <w:rFonts w:hint="eastAsia"/>
        </w:rPr>
        <w:sym w:font="Symbol" w:char="F0B7"/>
      </w:r>
      <w:r>
        <w:tab/>
      </w:r>
      <w:r w:rsidR="00490B71">
        <w:rPr>
          <w:rFonts w:hint="eastAsia"/>
        </w:rPr>
        <w:t>统计数据显示男女在某些领域的差异：</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女性企业家在创业时比男性企业家学历高但商业经验少。</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在增长潜力低的产业创业的女性比男性多。</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女性在创业时时常改变产业。因此，她们缺乏减少增长潜力和生存的产业知识。</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每10名女性企业家中有1名单身母亲，而男性只有2%。</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女性企业家在创业前一年没有工作的人数比男性多。</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大多数女性和男性一样，都受雇于公共部门。大多数企业家</w:t>
      </w:r>
      <w:r w:rsidR="00891CDF">
        <w:rPr>
          <w:rFonts w:hint="eastAsia"/>
        </w:rPr>
        <w:t>——</w:t>
      </w:r>
      <w:r w:rsidR="00490B71">
        <w:rPr>
          <w:rFonts w:hint="eastAsia"/>
        </w:rPr>
        <w:t>不论性别</w:t>
      </w:r>
      <w:r w:rsidR="00891CDF">
        <w:rPr>
          <w:rFonts w:hint="eastAsia"/>
        </w:rPr>
        <w:t>——</w:t>
      </w:r>
      <w:r w:rsidR="00490B71">
        <w:rPr>
          <w:rFonts w:hint="eastAsia"/>
        </w:rPr>
        <w:t xml:space="preserve">都来自于私有部门。很少人放弃公共部门开始创业。 </w:t>
      </w:r>
    </w:p>
    <w:p w:rsidR="00490B71" w:rsidRDefault="00AE2EBC" w:rsidP="00AE2E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490B71">
        <w:rPr>
          <w:rFonts w:hint="eastAsia"/>
        </w:rPr>
        <w:t>第12条：健康</w:t>
      </w:r>
    </w:p>
    <w:p w:rsidR="00AE2EBC" w:rsidRPr="00AE2EBC" w:rsidRDefault="00AE2EBC" w:rsidP="00AE2EBC">
      <w:pPr>
        <w:pStyle w:val="SingleTxt"/>
        <w:spacing w:after="0" w:line="120" w:lineRule="exact"/>
        <w:rPr>
          <w:rFonts w:hint="eastAsia"/>
          <w:sz w:val="10"/>
        </w:rPr>
      </w:pPr>
    </w:p>
    <w:p w:rsidR="00490B71" w:rsidRDefault="00053537" w:rsidP="00053537">
      <w:pPr>
        <w:pStyle w:val="SingleTxt"/>
        <w:rPr>
          <w:rFonts w:hint="eastAsia"/>
        </w:rPr>
      </w:pPr>
      <w:r>
        <w:rPr>
          <w:rFonts w:hint="eastAsia"/>
        </w:rPr>
        <w:tab/>
      </w:r>
      <w:r w:rsidR="00490B71">
        <w:rPr>
          <w:rFonts w:hint="eastAsia"/>
        </w:rPr>
        <w:t>在丹麦，男女拥有获得保健服务的平等机会。政府继续评价与性别相关的健康问题及其预防方案的优先次序，特别是与妇女健康有关的预防方案，例如，在2007年，政府为年龄在50-69岁之间的妇女制定了乳腺癌的国家预防方案。</w:t>
      </w:r>
    </w:p>
    <w:p w:rsidR="00490B71" w:rsidRPr="00AE2EBC" w:rsidRDefault="00490B71" w:rsidP="00053537">
      <w:pPr>
        <w:pStyle w:val="SingleTxt"/>
        <w:rPr>
          <w:rFonts w:ascii="SimHei" w:eastAsia="SimHei" w:hint="eastAsia"/>
        </w:rPr>
      </w:pPr>
      <w:r w:rsidRPr="00AE2EBC">
        <w:rPr>
          <w:rFonts w:ascii="SimHei" w:eastAsia="SimHei" w:hint="eastAsia"/>
        </w:rPr>
        <w:t>治疗子宫颈癌的人类乳头瘤病毒疫苗</w:t>
      </w:r>
    </w:p>
    <w:p w:rsidR="00490B71" w:rsidRDefault="00053537" w:rsidP="00053537">
      <w:pPr>
        <w:pStyle w:val="SingleTxt"/>
        <w:rPr>
          <w:rFonts w:hint="eastAsia"/>
        </w:rPr>
      </w:pPr>
      <w:r>
        <w:rPr>
          <w:rFonts w:hint="eastAsia"/>
        </w:rPr>
        <w:tab/>
      </w:r>
      <w:r w:rsidR="00490B71">
        <w:rPr>
          <w:rFonts w:hint="eastAsia"/>
        </w:rPr>
        <w:t>从2009年1月1日起，作为儿童免疫方案的一部分，免费为12岁至14岁之间的女孩接种预防子宫颈癌的人类乳头瘤病毒疫苗。此外，还免费为1984年以后出生的女孩和少女补种这种疫苗。</w:t>
      </w:r>
    </w:p>
    <w:p w:rsidR="00490B71" w:rsidRPr="00AE2EBC" w:rsidRDefault="00490B71" w:rsidP="00053537">
      <w:pPr>
        <w:pStyle w:val="SingleTxt"/>
        <w:rPr>
          <w:rFonts w:ascii="SimHei" w:eastAsia="SimHei" w:hint="eastAsia"/>
        </w:rPr>
      </w:pPr>
      <w:r w:rsidRPr="00AE2EBC">
        <w:rPr>
          <w:rFonts w:ascii="SimHei" w:eastAsia="SimHei" w:hint="eastAsia"/>
        </w:rPr>
        <w:t>生育率</w:t>
      </w:r>
    </w:p>
    <w:p w:rsidR="00490B71" w:rsidRDefault="00053537" w:rsidP="00053537">
      <w:pPr>
        <w:pStyle w:val="SingleTxt"/>
        <w:rPr>
          <w:rFonts w:hint="eastAsia"/>
        </w:rPr>
      </w:pPr>
      <w:r>
        <w:rPr>
          <w:rFonts w:hint="eastAsia"/>
        </w:rPr>
        <w:tab/>
      </w:r>
      <w:r w:rsidR="00490B71">
        <w:rPr>
          <w:rFonts w:hint="eastAsia"/>
        </w:rPr>
        <w:t>女性生育率已经从1980年代中期的1.4%增加到2006年的1.9%。在此期间，生育女性的平均年龄有所提高，从1985年的27.7岁上升到2005年的30.2岁和到2011年的30.9岁。2005年，女性生育第一个孩子的平均年龄为28.9岁，在2011年为29.1岁。2009年35岁以上母亲的比率为20.3%、2010年20.8%和2011年21.4%。活产婴儿数从2008年65 000个下降到2011年59 000个。2010年，大约进行了30 000次手术</w:t>
      </w:r>
      <w:r w:rsidR="00BA369E">
        <w:rPr>
          <w:rFonts w:hint="eastAsia"/>
        </w:rPr>
        <w:t>(</w:t>
      </w:r>
      <w:r w:rsidR="00490B71">
        <w:rPr>
          <w:rFonts w:hint="eastAsia"/>
        </w:rPr>
        <w:t>人工授精和体外受精</w:t>
      </w:r>
      <w:r w:rsidR="00BA369E">
        <w:rPr>
          <w:rFonts w:hint="eastAsia"/>
        </w:rPr>
        <w:t>)</w:t>
      </w:r>
      <w:r w:rsidR="00490B71">
        <w:rPr>
          <w:rFonts w:hint="eastAsia"/>
        </w:rPr>
        <w:t>，导致4 200次分娩和出生了4 700名儿童。因此，大约8%活产婴儿是通过辅助生育达成的。</w:t>
      </w:r>
    </w:p>
    <w:p w:rsidR="00490B71" w:rsidRPr="00AE2EBC" w:rsidRDefault="00490B71" w:rsidP="00053537">
      <w:pPr>
        <w:pStyle w:val="SingleTxt"/>
        <w:rPr>
          <w:rFonts w:ascii="SimHei" w:eastAsia="SimHei" w:hint="eastAsia"/>
        </w:rPr>
      </w:pPr>
      <w:r w:rsidRPr="00AE2EBC">
        <w:rPr>
          <w:rFonts w:ascii="SimHei" w:eastAsia="SimHei" w:hint="eastAsia"/>
        </w:rPr>
        <w:t>产妇护理</w:t>
      </w:r>
    </w:p>
    <w:p w:rsidR="00490B71" w:rsidRDefault="00053537" w:rsidP="00053537">
      <w:pPr>
        <w:pStyle w:val="SingleTxt"/>
        <w:rPr>
          <w:rFonts w:hint="eastAsia"/>
        </w:rPr>
      </w:pPr>
      <w:r>
        <w:rPr>
          <w:rFonts w:hint="eastAsia"/>
        </w:rPr>
        <w:tab/>
      </w:r>
      <w:r w:rsidR="00490B71">
        <w:rPr>
          <w:rFonts w:hint="eastAsia"/>
        </w:rPr>
        <w:t xml:space="preserve">2009年公布并在2012年更新了新的国家产妇护理准则。这些准则形成了丹麦公共保健系统提供给孕妇及其家属的各种服务的基础，包括与增进健康、预防疾病和怀孕、生育及产后照顾有关的医疗问题。丹麦产妇护理是有区别的。因此，可对弱势孕妇及其家人提供特别服务。 </w:t>
      </w:r>
    </w:p>
    <w:p w:rsidR="00490B71" w:rsidRPr="00AE2EBC" w:rsidRDefault="00490B71" w:rsidP="00053537">
      <w:pPr>
        <w:pStyle w:val="SingleTxt"/>
        <w:rPr>
          <w:rFonts w:ascii="SimHei" w:eastAsia="SimHei" w:hint="eastAsia"/>
        </w:rPr>
      </w:pPr>
      <w:r w:rsidRPr="00AE2EBC">
        <w:rPr>
          <w:rFonts w:ascii="SimHei" w:eastAsia="SimHei" w:hint="eastAsia"/>
        </w:rPr>
        <w:t>堕胎权</w:t>
      </w:r>
    </w:p>
    <w:p w:rsidR="00490B71" w:rsidRDefault="00053537" w:rsidP="00053537">
      <w:pPr>
        <w:pStyle w:val="SingleTxt"/>
        <w:rPr>
          <w:rFonts w:hint="eastAsia"/>
        </w:rPr>
      </w:pPr>
      <w:r>
        <w:rPr>
          <w:rFonts w:hint="eastAsia"/>
        </w:rPr>
        <w:tab/>
      </w:r>
      <w:r w:rsidR="00490B71">
        <w:rPr>
          <w:rFonts w:hint="eastAsia"/>
        </w:rPr>
        <w:t>丹麦女性从1973年开始就有合法的人工流产权利。根据保健法，妇女有权在怀孕12周结束前进行人口流产。在丹麦，堕胎率从1989年以来一直下降；从1989年每1 000名女性中16.5名妇女堕胎降至2006年12.2名。从2007年至2010年，人工流产的比例持续稳定，每年约16 000例。其中，96%人工流产都在12周内进行。2010年，每1 000名年龄在15-49岁之间的妇女进行人口流产的有13例。此外，20岁以下女性的人口流产人数正在下降</w:t>
      </w:r>
      <w:r w:rsidR="00AE2EBC">
        <w:rPr>
          <w:rFonts w:hint="eastAsia"/>
        </w:rPr>
        <w:t>——</w:t>
      </w:r>
      <w:r w:rsidR="00490B71">
        <w:rPr>
          <w:rFonts w:hint="eastAsia"/>
        </w:rPr>
        <w:t>从2008年每1 000名妇女有17.7例人口流产下降到2010年每1 000名妇女15例。年龄在20-24岁之间的妇女是人口流产比率最高的群体，其人口流产比率略有上升，在2010年，每1 000名妇女有25.6例。从1999年至2003年，落实了一项减少人口流产数目的行动计划。对这项计划提供了2 000万丹麦克朗的经费。这项行动计划在2004年至2007年期间继续得到执行，为落实其中的活动拨供了14 000万丹麦克朗。这些活动的重点是向公众提供信息，确认弱势群体，例如年轻人和来自非西方国家的移民。</w:t>
      </w:r>
    </w:p>
    <w:p w:rsidR="00490B71" w:rsidRDefault="00053537" w:rsidP="00053537">
      <w:pPr>
        <w:pStyle w:val="SingleTxt"/>
        <w:rPr>
          <w:rFonts w:hint="eastAsia"/>
        </w:rPr>
      </w:pPr>
      <w:r>
        <w:rPr>
          <w:rFonts w:hint="eastAsia"/>
        </w:rPr>
        <w:tab/>
      </w:r>
      <w:r w:rsidR="00490B71">
        <w:rPr>
          <w:rFonts w:hint="eastAsia"/>
        </w:rPr>
        <w:t>作为上述行动计划的后续措施，共划拨了1 920万丹麦克朗</w:t>
      </w:r>
      <w:r w:rsidR="00BA369E">
        <w:rPr>
          <w:rFonts w:hint="eastAsia"/>
        </w:rPr>
        <w:t>(</w:t>
      </w:r>
      <w:r w:rsidR="00490B71">
        <w:rPr>
          <w:rFonts w:hint="eastAsia"/>
        </w:rPr>
        <w:t>2008-2011年</w:t>
      </w:r>
      <w:r w:rsidR="00BA369E">
        <w:rPr>
          <w:rFonts w:hint="eastAsia"/>
        </w:rPr>
        <w:t>)</w:t>
      </w:r>
      <w:r w:rsidR="00490B71">
        <w:rPr>
          <w:rFonts w:hint="eastAsia"/>
        </w:rPr>
        <w:t>用于进行减少人工流产和感染性传播疾病数量的举措。自2011年以来，一直对青年和少数族裔的活动拨供经费。此外，还拨供经费以加强对寻求人口流产的女性提供咨询服务。2011年，编制了“预防手册”</w:t>
      </w:r>
      <w:r w:rsidR="00BA369E">
        <w:rPr>
          <w:rFonts w:hint="eastAsia"/>
        </w:rPr>
        <w:t>(</w:t>
      </w:r>
      <w:r w:rsidR="00490B71">
        <w:rPr>
          <w:rFonts w:hint="eastAsia"/>
        </w:rPr>
        <w:t>详情如下</w:t>
      </w:r>
      <w:r w:rsidR="00BA369E">
        <w:rPr>
          <w:rFonts w:hint="eastAsia"/>
        </w:rPr>
        <w:t>)</w:t>
      </w:r>
      <w:r w:rsidR="00490B71">
        <w:rPr>
          <w:rFonts w:hint="eastAsia"/>
        </w:rPr>
        <w:t>，其中包括性保健手册，对加强儿童和年青人性健康教育的举措提出建议，以及针对成年人、老年人和残疾人的各项举措的建议。计划为2011年至2015年的活动提供经费。</w:t>
      </w:r>
    </w:p>
    <w:p w:rsidR="00490B71" w:rsidRPr="00AE2EBC" w:rsidRDefault="00490B71" w:rsidP="00053537">
      <w:pPr>
        <w:pStyle w:val="SingleTxt"/>
        <w:rPr>
          <w:rFonts w:ascii="SimHei" w:eastAsia="SimHei" w:hint="eastAsia"/>
        </w:rPr>
      </w:pPr>
      <w:r w:rsidRPr="00AE2EBC">
        <w:rPr>
          <w:rFonts w:ascii="SimHei" w:eastAsia="SimHei" w:hint="eastAsia"/>
        </w:rPr>
        <w:t>预防手册</w:t>
      </w:r>
    </w:p>
    <w:p w:rsidR="00490B71" w:rsidRDefault="00053537" w:rsidP="00053537">
      <w:pPr>
        <w:pStyle w:val="SingleTxt"/>
        <w:rPr>
          <w:rFonts w:hint="eastAsia"/>
        </w:rPr>
      </w:pPr>
      <w:r>
        <w:rPr>
          <w:rFonts w:hint="eastAsia"/>
        </w:rPr>
        <w:tab/>
      </w:r>
      <w:r w:rsidR="00490B71">
        <w:rPr>
          <w:rFonts w:hint="eastAsia"/>
        </w:rPr>
        <w:t xml:space="preserve">作为2012年政府纲领的一部分，丹麦政府启动了国民健康状况的国家目标。这些目标将设定所有参与机构的框架，这些机构包括保健机构、社会和就业服务部门、环境管理部门和市政府的学校管理部门。其目的是使市政府的所有政策、服务部门和单位注意保健问题。国家目标将用于处理各项决定性因素和风险要素 </w:t>
      </w:r>
      <w:r w:rsidR="00AE2EBC">
        <w:rPr>
          <w:rFonts w:hint="eastAsia"/>
        </w:rPr>
        <w:t>——</w:t>
      </w:r>
      <w:r w:rsidR="00490B71">
        <w:rPr>
          <w:rFonts w:hint="eastAsia"/>
        </w:rPr>
        <w:t>吸烟、酗酒、怠惰、肥胖和精神健康。重点将是保健的不公平状况，其中不利的社会条件及不足的教育背景都是重要因素。这些建议详细说明未来10年各个市镇应该落实的保健促进和预防措施。预防手册侧重于各个市镇能如何确保青少年、少数族裔群体和弱势群体等能得到必要的咨询、信息和治疗。</w:t>
      </w:r>
    </w:p>
    <w:p w:rsidR="00490B71" w:rsidRPr="00AE2EBC" w:rsidRDefault="00490B71" w:rsidP="00053537">
      <w:pPr>
        <w:pStyle w:val="SingleTxt"/>
        <w:rPr>
          <w:rFonts w:ascii="SimHei" w:eastAsia="SimHei" w:hint="eastAsia"/>
        </w:rPr>
      </w:pPr>
      <w:r w:rsidRPr="00AE2EBC">
        <w:rPr>
          <w:rFonts w:ascii="SimHei" w:eastAsia="SimHei" w:hint="eastAsia"/>
        </w:rPr>
        <w:t>2012年的预期寿命</w:t>
      </w:r>
    </w:p>
    <w:p w:rsidR="00490B71" w:rsidRDefault="00053537" w:rsidP="00053537">
      <w:pPr>
        <w:pStyle w:val="SingleTxt"/>
        <w:rPr>
          <w:rFonts w:hint="eastAsia"/>
        </w:rPr>
      </w:pPr>
      <w:r>
        <w:rPr>
          <w:rFonts w:hint="eastAsia"/>
        </w:rPr>
        <w:tab/>
      </w:r>
      <w:r w:rsidR="00490B71">
        <w:rPr>
          <w:rFonts w:hint="eastAsia"/>
        </w:rPr>
        <w:t>2011年，丹麦妇女的预期寿命是81.6岁，女性平均寿命在2011年比男性长4.3年</w:t>
      </w:r>
      <w:r w:rsidR="00BA369E">
        <w:rPr>
          <w:rFonts w:hint="eastAsia"/>
        </w:rPr>
        <w:t>(</w:t>
      </w:r>
      <w:r w:rsidR="00490B71">
        <w:rPr>
          <w:rFonts w:hint="eastAsia"/>
        </w:rPr>
        <w:t>男性寿命77.3岁</w:t>
      </w:r>
      <w:r w:rsidR="00BA369E">
        <w:rPr>
          <w:rFonts w:hint="eastAsia"/>
        </w:rPr>
        <w:t>)</w:t>
      </w:r>
      <w:r w:rsidR="00490B71">
        <w:rPr>
          <w:rFonts w:hint="eastAsia"/>
        </w:rPr>
        <w:t>。从2000年至2011年，女性预期寿命增加了2.4年</w:t>
      </w:r>
      <w:r w:rsidR="00BA369E">
        <w:rPr>
          <w:rFonts w:hint="eastAsia"/>
        </w:rPr>
        <w:t>(</w:t>
      </w:r>
      <w:r w:rsidR="00490B71">
        <w:rPr>
          <w:rFonts w:hint="eastAsia"/>
        </w:rPr>
        <w:t>从79.2岁上升到81.6岁</w:t>
      </w:r>
      <w:r w:rsidR="00BA369E">
        <w:rPr>
          <w:rFonts w:hint="eastAsia"/>
        </w:rPr>
        <w:t>)</w:t>
      </w:r>
      <w:r w:rsidR="00490B71">
        <w:rPr>
          <w:rFonts w:hint="eastAsia"/>
        </w:rPr>
        <w:t>，男性增加了2.8年</w:t>
      </w:r>
      <w:r w:rsidR="00BA369E">
        <w:rPr>
          <w:rFonts w:hint="eastAsia"/>
        </w:rPr>
        <w:t>(</w:t>
      </w:r>
      <w:r w:rsidR="00490B71">
        <w:rPr>
          <w:rFonts w:hint="eastAsia"/>
        </w:rPr>
        <w:t>从74.5岁上升到77.3岁</w:t>
      </w:r>
      <w:r w:rsidR="00BA369E">
        <w:rPr>
          <w:rFonts w:hint="eastAsia"/>
        </w:rPr>
        <w:t>)</w:t>
      </w:r>
      <w:r w:rsidR="00490B71">
        <w:rPr>
          <w:rFonts w:hint="eastAsia"/>
        </w:rPr>
        <w:t>。</w:t>
      </w:r>
    </w:p>
    <w:p w:rsidR="00490B71" w:rsidRPr="00AE2EBC" w:rsidRDefault="00490B71" w:rsidP="00053537">
      <w:pPr>
        <w:pStyle w:val="SingleTxt"/>
        <w:rPr>
          <w:rFonts w:ascii="SimHei" w:eastAsia="SimHei" w:hint="eastAsia"/>
        </w:rPr>
      </w:pPr>
      <w:r w:rsidRPr="00AE2EBC">
        <w:rPr>
          <w:rFonts w:ascii="SimHei" w:eastAsia="SimHei" w:hint="eastAsia"/>
        </w:rPr>
        <w:t>吸烟</w:t>
      </w:r>
    </w:p>
    <w:p w:rsidR="00490B71" w:rsidRDefault="00053537" w:rsidP="00053537">
      <w:pPr>
        <w:pStyle w:val="SingleTxt"/>
        <w:rPr>
          <w:rFonts w:hint="eastAsia"/>
        </w:rPr>
      </w:pPr>
      <w:r>
        <w:rPr>
          <w:rFonts w:hint="eastAsia"/>
        </w:rPr>
        <w:tab/>
      </w:r>
      <w:r w:rsidR="00490B71">
        <w:rPr>
          <w:rFonts w:hint="eastAsia"/>
        </w:rPr>
        <w:t>丹麦每日吸烟人数正在下降</w:t>
      </w:r>
      <w:r w:rsidR="00891CDF">
        <w:rPr>
          <w:rFonts w:hint="eastAsia"/>
        </w:rPr>
        <w:t>——</w:t>
      </w:r>
      <w:r w:rsidR="00490B71">
        <w:rPr>
          <w:rFonts w:hint="eastAsia"/>
        </w:rPr>
        <w:t>从1990年43%下降到2012年17%</w:t>
      </w:r>
      <w:r w:rsidR="00BA369E">
        <w:rPr>
          <w:rFonts w:hint="eastAsia"/>
        </w:rPr>
        <w:t>(</w:t>
      </w:r>
      <w:r w:rsidR="00490B71">
        <w:rPr>
          <w:rFonts w:hint="eastAsia"/>
        </w:rPr>
        <w:t>15岁以上的吸烟者</w:t>
      </w:r>
      <w:r w:rsidR="00BA369E">
        <w:rPr>
          <w:rFonts w:hint="eastAsia"/>
        </w:rPr>
        <w:t>)</w:t>
      </w:r>
      <w:r w:rsidR="00490B71">
        <w:rPr>
          <w:rFonts w:hint="eastAsia"/>
        </w:rPr>
        <w:t>。5%的人说他们偶尔吸烟。男女吸烟人数的比率相同。男女大量吸烟者的人数</w:t>
      </w:r>
      <w:r w:rsidR="00BA369E">
        <w:rPr>
          <w:rFonts w:hint="eastAsia"/>
        </w:rPr>
        <w:t>(</w:t>
      </w:r>
      <w:r w:rsidR="00490B71">
        <w:rPr>
          <w:rFonts w:hint="eastAsia"/>
        </w:rPr>
        <w:t>每天吸烟15支以上</w:t>
      </w:r>
      <w:r w:rsidR="00BA369E">
        <w:rPr>
          <w:rFonts w:hint="eastAsia"/>
        </w:rPr>
        <w:t>)</w:t>
      </w:r>
      <w:r w:rsidR="00490B71">
        <w:rPr>
          <w:rFonts w:hint="eastAsia"/>
        </w:rPr>
        <w:t>也都已下降。2012年，女性大量吸烟者占7%，男性9%。男子由于肺癌导致的年龄标准化死亡率正在逐渐下降，而女性过去30年这个死亡率稳步上升之后，在2011年开始略微下降。男女由于慢性阻塞性肺病导致的死亡人数都在增加。</w:t>
      </w:r>
    </w:p>
    <w:p w:rsidR="00490B71" w:rsidRPr="00AE2EBC" w:rsidRDefault="00490B71" w:rsidP="00053537">
      <w:pPr>
        <w:pStyle w:val="SingleTxt"/>
        <w:rPr>
          <w:rFonts w:ascii="SimHei" w:eastAsia="SimHei" w:hint="eastAsia"/>
        </w:rPr>
      </w:pPr>
      <w:r w:rsidRPr="00AE2EBC">
        <w:rPr>
          <w:rFonts w:ascii="SimHei" w:eastAsia="SimHei" w:hint="eastAsia"/>
        </w:rPr>
        <w:t>外国女性的保健和疾病预防</w:t>
      </w:r>
    </w:p>
    <w:p w:rsidR="00490B71" w:rsidRDefault="00053537" w:rsidP="00053537">
      <w:pPr>
        <w:pStyle w:val="SingleTxt"/>
        <w:rPr>
          <w:rFonts w:hint="eastAsia"/>
        </w:rPr>
      </w:pPr>
      <w:r>
        <w:rPr>
          <w:rFonts w:hint="eastAsia"/>
        </w:rPr>
        <w:tab/>
      </w:r>
      <w:r w:rsidR="00490B71">
        <w:rPr>
          <w:rFonts w:hint="eastAsia"/>
        </w:rPr>
        <w:t>过去几年，针对少数族裔群体的预防疾病和促进健康措施是许多市镇部门尤其是大城市的高度优先领域。落实了若干举措。女性是若干举措的直接对象，包括生殖保健和一般家庭保健。在许多市镇，培训了不同族裔的同行教导者，旨在在社会状况不利的社区生活的妇女间设立促进保健的网络，以便提供体能锻炼活动和育儿及营养课程。</w:t>
      </w:r>
    </w:p>
    <w:p w:rsidR="00490B71" w:rsidRDefault="00053537" w:rsidP="00053537">
      <w:pPr>
        <w:pStyle w:val="SingleTxt"/>
        <w:rPr>
          <w:rFonts w:hint="eastAsia"/>
        </w:rPr>
      </w:pPr>
      <w:r>
        <w:rPr>
          <w:rFonts w:hint="eastAsia"/>
        </w:rPr>
        <w:tab/>
      </w:r>
      <w:r w:rsidR="00490B71">
        <w:rPr>
          <w:rFonts w:hint="eastAsia"/>
        </w:rPr>
        <w:t>关于产前护理，一些少数族裔孕妇比例较高的医院为不讲丹麦语的女性提供群体咨询服务，或由受过为少数族裔女性接生培训的助产士提供这类服务。国家卫生和药品局为处于社会不利地位的妇女特别是为少数族裔妇女举办了全国产前外联护理的试办项目。2011年，红十字会和其他合作伙伴为非法移民开设了第一家随时看诊的免费诊所。诊所工作人员都由自愿医生、护士、助产士等人组成。</w:t>
      </w:r>
    </w:p>
    <w:p w:rsidR="00490B71" w:rsidRPr="00AE2EBC" w:rsidRDefault="00490B71" w:rsidP="00053537">
      <w:pPr>
        <w:pStyle w:val="SingleTxt"/>
        <w:rPr>
          <w:rFonts w:ascii="SimHei" w:eastAsia="SimHei" w:hint="eastAsia"/>
        </w:rPr>
      </w:pPr>
      <w:r w:rsidRPr="00AE2EBC">
        <w:rPr>
          <w:rFonts w:ascii="SimHei" w:eastAsia="SimHei" w:hint="eastAsia"/>
        </w:rPr>
        <w:t>艾滋病毒/艾滋病</w:t>
      </w:r>
    </w:p>
    <w:p w:rsidR="00490B71" w:rsidRDefault="00053537" w:rsidP="00053537">
      <w:pPr>
        <w:pStyle w:val="SingleTxt"/>
        <w:rPr>
          <w:rFonts w:hint="eastAsia"/>
        </w:rPr>
      </w:pPr>
      <w:r>
        <w:rPr>
          <w:rFonts w:hint="eastAsia"/>
        </w:rPr>
        <w:tab/>
      </w:r>
      <w:r w:rsidR="00490B71">
        <w:rPr>
          <w:rFonts w:hint="eastAsia"/>
        </w:rPr>
        <w:t>每名丹麦公民都能公平获得知识、信息、治疗和照顾，包括在艾滋病毒和艾滋病领域的这些服务。在1990年至2011年期间，丹麦有1 688名女性被诊断携带艾滋病毒(占全部的27%)；其中三分之二是出生在外国的非丹麦裔女性。大多数居住在丹麦的艾滋病毒阳性移民在其本国都已被感染。据报告，2011年，有74名妇女新感染了艾滋病毒并有19名妇女罹患了艾滋病。为改善对少数族裔群体的干预，丹麦非政府组织</w:t>
      </w:r>
      <w:r w:rsidR="00891CDF">
        <w:rPr>
          <w:rFonts w:hint="eastAsia"/>
        </w:rPr>
        <w:t>——</w:t>
      </w:r>
      <w:r w:rsidR="00490B71">
        <w:rPr>
          <w:rFonts w:hint="eastAsia"/>
        </w:rPr>
        <w:t>艾滋病基金会</w:t>
      </w:r>
      <w:r w:rsidR="00891CDF">
        <w:rPr>
          <w:rFonts w:hint="eastAsia"/>
        </w:rPr>
        <w:t>——</w:t>
      </w:r>
      <w:r w:rsidR="00490B71">
        <w:rPr>
          <w:rFonts w:hint="eastAsia"/>
        </w:rPr>
        <w:t>设立了一个公共资助的称为“</w:t>
      </w:r>
      <w:r w:rsidR="00490B71" w:rsidRPr="00891CDF">
        <w:rPr>
          <w:rFonts w:ascii="Times New Roman"/>
        </w:rPr>
        <w:t>Cross-Over</w:t>
      </w:r>
      <w:r w:rsidR="00490B71">
        <w:rPr>
          <w:rFonts w:hint="eastAsia"/>
        </w:rPr>
        <w:t>”的秘书处，并致力于加强在艾滋病毒/艾滋病、其他性传染病和意外怀孕领域的族裔平等。“</w:t>
      </w:r>
      <w:r w:rsidR="00490B71" w:rsidRPr="00891CDF">
        <w:rPr>
          <w:rFonts w:ascii="Times New Roman" w:hint="eastAsia"/>
        </w:rPr>
        <w:t>Cross</w:t>
      </w:r>
      <w:r w:rsidR="00490B71">
        <w:rPr>
          <w:rFonts w:hint="eastAsia"/>
        </w:rPr>
        <w:t>-</w:t>
      </w:r>
      <w:r w:rsidR="00490B71" w:rsidRPr="00891CDF">
        <w:rPr>
          <w:rFonts w:ascii="Times New Roman" w:hint="eastAsia"/>
        </w:rPr>
        <w:t>Over</w:t>
      </w:r>
      <w:r w:rsidR="00490B71">
        <w:rPr>
          <w:rFonts w:hint="eastAsia"/>
        </w:rPr>
        <w:t>”通过电话或在咨询人员同意的任何地点亲自提供关于艾滋病毒/艾滋病等的咨询。“</w:t>
      </w:r>
      <w:r w:rsidR="00490B71" w:rsidRPr="00891CDF">
        <w:rPr>
          <w:rFonts w:ascii="Times New Roman" w:hint="eastAsia"/>
        </w:rPr>
        <w:t>Cross</w:t>
      </w:r>
      <w:r w:rsidR="00490B71">
        <w:rPr>
          <w:rFonts w:hint="eastAsia"/>
        </w:rPr>
        <w:t>-</w:t>
      </w:r>
      <w:r w:rsidR="00490B71" w:rsidRPr="00891CDF">
        <w:rPr>
          <w:rFonts w:ascii="Times New Roman" w:hint="eastAsia"/>
        </w:rPr>
        <w:t>Over</w:t>
      </w:r>
      <w:r w:rsidR="00490B71">
        <w:rPr>
          <w:rFonts w:hint="eastAsia"/>
        </w:rPr>
        <w:t>”的项目建立了与少数族裔协会和组织的伙伴关系。“</w:t>
      </w:r>
      <w:r w:rsidR="00490B71" w:rsidRPr="00891CDF">
        <w:rPr>
          <w:rFonts w:ascii="Times New Roman"/>
        </w:rPr>
        <w:t>Cross-Over</w:t>
      </w:r>
      <w:r w:rsidR="00490B71">
        <w:rPr>
          <w:rFonts w:hint="eastAsia"/>
        </w:rPr>
        <w:t>”对伙伴组织提供保健专业及财务方面的援助，而伙伴组织提供与该项目有关的具体文化和语言方面的知识。例如，这些项目包括“关于哥本哈根地区的索马里人生殖健康的信息”。</w:t>
      </w:r>
    </w:p>
    <w:p w:rsidR="00490B71" w:rsidRDefault="00053537" w:rsidP="00053537">
      <w:pPr>
        <w:pStyle w:val="SingleTxt"/>
        <w:rPr>
          <w:rFonts w:hint="eastAsia"/>
        </w:rPr>
      </w:pPr>
      <w:r>
        <w:rPr>
          <w:rFonts w:hint="eastAsia"/>
        </w:rPr>
        <w:tab/>
      </w:r>
      <w:r w:rsidR="00490B71">
        <w:rPr>
          <w:rFonts w:hint="eastAsia"/>
        </w:rPr>
        <w:t>在哥本哈根、欧登塞和奥胡斯的检查点通过受过特别训练的同行对非丹麦裔的所有其他族裔背景的人在一小时内提供匿名和免费的艾滋病毒检测和咨询。咨询能以丹麦语和英语进行，或在哥本哈根以土耳其语以及在欧登塞以法语进行。</w:t>
      </w:r>
    </w:p>
    <w:p w:rsidR="00490B71" w:rsidRPr="00AE2EBC" w:rsidRDefault="00490B71" w:rsidP="00053537">
      <w:pPr>
        <w:pStyle w:val="SingleTxt"/>
        <w:rPr>
          <w:rFonts w:ascii="SimHei" w:eastAsia="SimHei" w:hint="eastAsia"/>
        </w:rPr>
      </w:pPr>
      <w:r w:rsidRPr="00AE2EBC">
        <w:rPr>
          <w:rFonts w:ascii="SimHei" w:eastAsia="SimHei" w:hint="eastAsia"/>
        </w:rPr>
        <w:t>暴力侵害妇女</w:t>
      </w:r>
    </w:p>
    <w:p w:rsidR="00490B71" w:rsidRDefault="00053537" w:rsidP="00053537">
      <w:pPr>
        <w:pStyle w:val="SingleTxt"/>
        <w:rPr>
          <w:rFonts w:hint="eastAsia"/>
        </w:rPr>
      </w:pPr>
      <w:r>
        <w:rPr>
          <w:rFonts w:hint="eastAsia"/>
        </w:rPr>
        <w:tab/>
      </w:r>
      <w:r w:rsidR="00490B71">
        <w:rPr>
          <w:rFonts w:hint="eastAsia"/>
        </w:rPr>
        <w:t xml:space="preserve">在丹麦，暴力侵害妇女触犯了丹麦刑法，并且政府认为暴力侵害妇女属于严重的男女平等问题。丹麦已经建立了国家支助系统，使所有受到暴力之害或暴力威胁的妇女都能得到庇护所、心理咨询、社会和司法服务、保健医疗和劳动力市场的支持。法律规定对家暴受害者提供社会和保健服务，例如妇女庇护所等。根据法律，庇护所内有子女的妇女将得到特别照顾，包括给予康复、学校以及子女安全、住房、工作等方面的支持。此外，司法系统将采取特别行动处罚肇事者和支持受害者。过去几年，对亲密关系中有暴力行为的男子提供咨询的私营组织暂由国家提供经费。 </w:t>
      </w:r>
    </w:p>
    <w:p w:rsidR="00490B71" w:rsidRDefault="00053537" w:rsidP="00053537">
      <w:pPr>
        <w:pStyle w:val="SingleTxt"/>
        <w:rPr>
          <w:rFonts w:hint="eastAsia"/>
        </w:rPr>
      </w:pPr>
      <w:r>
        <w:rPr>
          <w:rFonts w:hint="eastAsia"/>
        </w:rPr>
        <w:tab/>
      </w:r>
      <w:r w:rsidR="00490B71">
        <w:rPr>
          <w:rFonts w:hint="eastAsia"/>
        </w:rPr>
        <w:t xml:space="preserve">除了这些长期服务之外，自2002年以来，对打击亲密关系中暴力侵害妇女的行为还进行了三项国家行动计划。一般而言，这些行动计划侧重于：对受害者提供支持、处置肇事者、培训专业人员和收集及传播知识。对这些行动计划进行的外部评价认为，这些计划取得了积极成果。受害者已经更知道她们的权利和获得支持及咨询的不同可能性。同样，专业人员及肇事者也更知道各种处理暴力行为的可能方式，因此，更多肇事者得到了治疗。行动计划中的不同举措加强了对家庭暴力行为的认识。这项知识在某种程度上已散发给相关部门和专业人员。政府部门和非政府组织认为应设立有成效的部委间协调工作组的体制。 </w:t>
      </w:r>
    </w:p>
    <w:p w:rsidR="00490B71" w:rsidRDefault="00053537" w:rsidP="00053537">
      <w:pPr>
        <w:pStyle w:val="SingleTxt"/>
        <w:rPr>
          <w:rFonts w:hint="eastAsia"/>
        </w:rPr>
      </w:pPr>
      <w:r>
        <w:rPr>
          <w:rFonts w:hint="eastAsia"/>
        </w:rPr>
        <w:tab/>
      </w:r>
      <w:r w:rsidR="00490B71">
        <w:rPr>
          <w:rFonts w:hint="eastAsia"/>
        </w:rPr>
        <w:t xml:space="preserve">此外，评价结果显示，就行动计划作出的各种努力已经帮助打破了对家庭暴力问题的沉默并已导致遭到家庭暴力女性人数的下降。 </w:t>
      </w:r>
    </w:p>
    <w:p w:rsidR="00490B71" w:rsidRPr="00AE2EBC" w:rsidRDefault="00490B71" w:rsidP="00053537">
      <w:pPr>
        <w:pStyle w:val="SingleTxt"/>
        <w:rPr>
          <w:rFonts w:ascii="SimHei" w:eastAsia="SimHei" w:hint="eastAsia"/>
        </w:rPr>
      </w:pPr>
      <w:r w:rsidRPr="00AE2EBC">
        <w:rPr>
          <w:rFonts w:ascii="SimHei" w:eastAsia="SimHei" w:hint="eastAsia"/>
        </w:rPr>
        <w:t>暴力侵害妇女</w:t>
      </w:r>
      <w:r w:rsidR="00BA369E" w:rsidRPr="00AE2EBC">
        <w:rPr>
          <w:rFonts w:ascii="SimHei" w:eastAsia="SimHei" w:hint="eastAsia"/>
        </w:rPr>
        <w:t>(</w:t>
      </w:r>
      <w:r w:rsidRPr="00AE2EBC">
        <w:rPr>
          <w:rFonts w:ascii="SimHei" w:eastAsia="SimHei" w:hint="eastAsia"/>
        </w:rPr>
        <w:t>年龄：16-74岁</w:t>
      </w:r>
      <w:r w:rsidR="00BA369E" w:rsidRPr="00AE2EBC">
        <w:rPr>
          <w:rFonts w:ascii="SimHei" w:eastAsia="SimHei" w:hint="eastAsia"/>
        </w:rPr>
        <w:t>)</w:t>
      </w:r>
    </w:p>
    <w:tbl>
      <w:tblPr>
        <w:tblW w:w="7320" w:type="dxa"/>
        <w:tblInd w:w="1260" w:type="dxa"/>
        <w:tblLayout w:type="fixed"/>
        <w:tblCellMar>
          <w:left w:w="0" w:type="dxa"/>
          <w:right w:w="0" w:type="dxa"/>
        </w:tblCellMar>
        <w:tblLook w:val="0000"/>
      </w:tblPr>
      <w:tblGrid>
        <w:gridCol w:w="2440"/>
        <w:gridCol w:w="2440"/>
        <w:gridCol w:w="2440"/>
      </w:tblGrid>
      <w:tr w:rsidR="00053537" w:rsidRPr="00053537" w:rsidTr="00053537">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left"/>
              <w:rPr>
                <w:rFonts w:ascii="KaiTi_GB2312" w:eastAsia="KaiTi_GB2312"/>
                <w:sz w:val="15"/>
                <w:szCs w:val="24"/>
                <w:lang w:eastAsia="zh-CN"/>
              </w:rPr>
            </w:pPr>
          </w:p>
        </w:tc>
        <w:tc>
          <w:tcPr>
            <w:tcW w:w="244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lang w:val="it-IT"/>
              </w:rPr>
            </w:pPr>
            <w:r w:rsidRPr="00053537">
              <w:rPr>
                <w:rFonts w:ascii="KaiTi_GB2312" w:eastAsia="KaiTi_GB2312" w:hint="eastAsia"/>
                <w:sz w:val="15"/>
                <w:szCs w:val="24"/>
                <w:lang w:val="zh-CN"/>
              </w:rPr>
              <w:t>一般暴力</w:t>
            </w:r>
          </w:p>
        </w:tc>
        <w:tc>
          <w:tcPr>
            <w:tcW w:w="244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hint="eastAsia"/>
                <w:sz w:val="15"/>
                <w:szCs w:val="24"/>
                <w:lang w:val="zh-CN"/>
              </w:rPr>
              <w:t>亲密关系中的暴力</w:t>
            </w:r>
          </w:p>
        </w:tc>
      </w:tr>
      <w:tr w:rsidR="00053537" w:rsidRPr="00053537" w:rsidTr="00053537">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left"/>
              <w:rPr>
                <w:noProof/>
                <w:sz w:val="17"/>
                <w:szCs w:val="24"/>
              </w:rPr>
            </w:pPr>
          </w:p>
        </w:tc>
        <w:tc>
          <w:tcPr>
            <w:tcW w:w="244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c>
          <w:tcPr>
            <w:tcW w:w="244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r>
      <w:tr w:rsidR="00053537" w:rsidRPr="00053537" w:rsidTr="00053537">
        <w:tblPrEx>
          <w:tblCellMar>
            <w:top w:w="0" w:type="dxa"/>
            <w:bottom w:w="0" w:type="dxa"/>
          </w:tblCellMar>
        </w:tblPrEx>
        <w:tc>
          <w:tcPr>
            <w:tcW w:w="244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053537">
              <w:rPr>
                <w:rFonts w:ascii="SimSun" w:hAnsi="SimSun"/>
                <w:noProof/>
                <w:sz w:val="17"/>
                <w:szCs w:val="24"/>
              </w:rPr>
              <w:t>2000</w:t>
            </w:r>
            <w:r w:rsidRPr="00053537">
              <w:rPr>
                <w:rFonts w:ascii="SimSun" w:hAnsi="SimSun" w:hint="eastAsia"/>
                <w:noProof/>
                <w:sz w:val="17"/>
                <w:szCs w:val="24"/>
                <w:lang w:val="en-US"/>
              </w:rPr>
              <w:t>年</w:t>
            </w:r>
          </w:p>
        </w:tc>
        <w:tc>
          <w:tcPr>
            <w:tcW w:w="244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64</w:t>
            </w:r>
            <w:r w:rsidR="009303E0">
              <w:rPr>
                <w:rFonts w:ascii="SimSun" w:hAnsi="SimSun"/>
                <w:sz w:val="17"/>
                <w:szCs w:val="24"/>
              </w:rPr>
              <w:t xml:space="preserve"> </w:t>
            </w:r>
            <w:r w:rsidRPr="00053537">
              <w:rPr>
                <w:rFonts w:ascii="SimSun" w:hAnsi="SimSun"/>
                <w:sz w:val="17"/>
                <w:szCs w:val="24"/>
              </w:rPr>
              <w:t>000</w:t>
            </w:r>
          </w:p>
        </w:tc>
        <w:tc>
          <w:tcPr>
            <w:tcW w:w="2440" w:type="dxa"/>
            <w:shd w:val="clear" w:color="auto" w:fill="auto"/>
            <w:vAlign w:val="bottom"/>
          </w:tcPr>
          <w:p w:rsidR="00053537" w:rsidRPr="00053537" w:rsidRDefault="009303E0"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Pr>
                <w:rFonts w:ascii="SimSun" w:hAnsi="SimSun"/>
                <w:sz w:val="17"/>
                <w:szCs w:val="24"/>
              </w:rPr>
              <w:t>42 000(2.5</w:t>
            </w:r>
            <w:r w:rsidR="00053537" w:rsidRPr="00053537">
              <w:rPr>
                <w:rFonts w:ascii="SimSun" w:hAnsi="SimSun"/>
                <w:sz w:val="17"/>
                <w:szCs w:val="24"/>
              </w:rPr>
              <w:t>%)</w:t>
            </w:r>
          </w:p>
        </w:tc>
      </w:tr>
      <w:tr w:rsidR="00053537" w:rsidRPr="00053537" w:rsidTr="00053537">
        <w:tblPrEx>
          <w:tblCellMar>
            <w:top w:w="0" w:type="dxa"/>
            <w:bottom w:w="0" w:type="dxa"/>
          </w:tblCellMar>
        </w:tblPrEx>
        <w:tc>
          <w:tcPr>
            <w:tcW w:w="244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053537">
              <w:rPr>
                <w:rFonts w:ascii="SimSun" w:hAnsi="SimSun"/>
                <w:noProof/>
                <w:sz w:val="17"/>
                <w:szCs w:val="24"/>
              </w:rPr>
              <w:t>2005</w:t>
            </w:r>
            <w:r w:rsidRPr="00053537">
              <w:rPr>
                <w:rFonts w:ascii="SimSun" w:hAnsi="SimSun" w:hint="eastAsia"/>
                <w:noProof/>
                <w:sz w:val="17"/>
                <w:szCs w:val="24"/>
                <w:lang w:val="en-US"/>
              </w:rPr>
              <w:t>年</w:t>
            </w:r>
          </w:p>
        </w:tc>
        <w:tc>
          <w:tcPr>
            <w:tcW w:w="244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70</w:t>
            </w:r>
            <w:r w:rsidR="009303E0">
              <w:rPr>
                <w:rFonts w:ascii="SimSun" w:hAnsi="SimSun"/>
                <w:sz w:val="17"/>
                <w:szCs w:val="24"/>
              </w:rPr>
              <w:t xml:space="preserve"> </w:t>
            </w:r>
            <w:r w:rsidRPr="00053537">
              <w:rPr>
                <w:rFonts w:ascii="SimSun" w:hAnsi="SimSun"/>
                <w:sz w:val="17"/>
                <w:szCs w:val="24"/>
              </w:rPr>
              <w:t>000</w:t>
            </w:r>
          </w:p>
        </w:tc>
        <w:tc>
          <w:tcPr>
            <w:tcW w:w="2440" w:type="dxa"/>
            <w:shd w:val="clear" w:color="auto" w:fill="auto"/>
            <w:vAlign w:val="bottom"/>
          </w:tcPr>
          <w:p w:rsidR="00053537" w:rsidRPr="00053537" w:rsidRDefault="009303E0"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Pr>
                <w:rFonts w:ascii="SimSun" w:hAnsi="SimSun"/>
                <w:sz w:val="17"/>
                <w:szCs w:val="24"/>
              </w:rPr>
              <w:t>33 000(1.7</w:t>
            </w:r>
            <w:r w:rsidR="00053537" w:rsidRPr="00053537">
              <w:rPr>
                <w:rFonts w:ascii="SimSun" w:hAnsi="SimSun"/>
                <w:sz w:val="17"/>
                <w:szCs w:val="24"/>
              </w:rPr>
              <w:t>%)</w:t>
            </w:r>
          </w:p>
        </w:tc>
      </w:tr>
      <w:tr w:rsidR="00053537" w:rsidRPr="00053537" w:rsidTr="00053537">
        <w:tblPrEx>
          <w:tblCellMar>
            <w:top w:w="0" w:type="dxa"/>
            <w:bottom w:w="0" w:type="dxa"/>
          </w:tblCellMar>
        </w:tblPrEx>
        <w:tc>
          <w:tcPr>
            <w:tcW w:w="244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053537">
              <w:rPr>
                <w:rFonts w:ascii="SimSun" w:hAnsi="SimSun"/>
                <w:noProof/>
                <w:sz w:val="17"/>
                <w:szCs w:val="24"/>
              </w:rPr>
              <w:t>2010</w:t>
            </w:r>
            <w:r w:rsidRPr="00053537">
              <w:rPr>
                <w:rFonts w:ascii="SimSun" w:hAnsi="SimSun" w:hint="eastAsia"/>
                <w:noProof/>
                <w:sz w:val="17"/>
                <w:szCs w:val="24"/>
                <w:lang w:val="en-US"/>
              </w:rPr>
              <w:t>年</w:t>
            </w:r>
          </w:p>
        </w:tc>
        <w:tc>
          <w:tcPr>
            <w:tcW w:w="244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sidRPr="00053537">
              <w:rPr>
                <w:rFonts w:ascii="SimSun" w:hAnsi="SimSun"/>
                <w:sz w:val="17"/>
                <w:szCs w:val="24"/>
              </w:rPr>
              <w:t>83</w:t>
            </w:r>
            <w:r w:rsidR="009303E0">
              <w:rPr>
                <w:rFonts w:ascii="SimSun" w:hAnsi="SimSun"/>
                <w:sz w:val="17"/>
                <w:szCs w:val="24"/>
              </w:rPr>
              <w:t xml:space="preserve"> </w:t>
            </w:r>
            <w:r w:rsidRPr="00053537">
              <w:rPr>
                <w:rFonts w:ascii="SimSun" w:hAnsi="SimSun"/>
                <w:sz w:val="17"/>
                <w:szCs w:val="24"/>
              </w:rPr>
              <w:t>000</w:t>
            </w:r>
          </w:p>
        </w:tc>
        <w:tc>
          <w:tcPr>
            <w:tcW w:w="2440" w:type="dxa"/>
            <w:tcBorders>
              <w:bottom w:val="single" w:sz="12" w:space="0" w:color="auto"/>
            </w:tcBorders>
            <w:shd w:val="clear" w:color="auto" w:fill="auto"/>
            <w:vAlign w:val="bottom"/>
          </w:tcPr>
          <w:p w:rsidR="00053537" w:rsidRPr="00053537" w:rsidRDefault="009303E0"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Pr>
                <w:rFonts w:ascii="SimSun" w:hAnsi="SimSun"/>
                <w:sz w:val="17"/>
                <w:szCs w:val="24"/>
              </w:rPr>
              <w:t>29 000(1.4</w:t>
            </w:r>
            <w:r w:rsidR="00053537" w:rsidRPr="00053537">
              <w:rPr>
                <w:rFonts w:ascii="SimSun" w:hAnsi="SimSun"/>
                <w:sz w:val="17"/>
                <w:szCs w:val="24"/>
              </w:rPr>
              <w:t>%)</w:t>
            </w:r>
          </w:p>
        </w:tc>
      </w:tr>
    </w:tbl>
    <w:p w:rsidR="00053537" w:rsidRPr="00053537" w:rsidRDefault="00053537" w:rsidP="00053537">
      <w:pPr>
        <w:pStyle w:val="SingleTxt"/>
        <w:spacing w:after="0" w:line="120" w:lineRule="exact"/>
        <w:rPr>
          <w:rFonts w:hint="eastAsia"/>
          <w:sz w:val="10"/>
        </w:rPr>
      </w:pPr>
    </w:p>
    <w:p w:rsidR="00490B71" w:rsidRPr="00AE2EBC" w:rsidRDefault="009303E0" w:rsidP="00053537">
      <w:pPr>
        <w:pStyle w:val="SingleTxt"/>
        <w:rPr>
          <w:rFonts w:ascii="SimHei" w:eastAsia="SimHei" w:hint="eastAsia"/>
        </w:rPr>
      </w:pPr>
      <w:r>
        <w:rPr>
          <w:rFonts w:ascii="SimHei" w:eastAsia="SimHei"/>
        </w:rPr>
        <w:br w:type="page"/>
      </w:r>
      <w:r w:rsidR="00490B71" w:rsidRPr="00AE2EBC">
        <w:rPr>
          <w:rFonts w:ascii="SimHei" w:eastAsia="SimHei" w:hint="eastAsia"/>
        </w:rPr>
        <w:t>侵害女性的约会暴力</w:t>
      </w:r>
      <w:r w:rsidR="00BA369E" w:rsidRPr="00AE2EBC">
        <w:rPr>
          <w:rFonts w:ascii="SimHei" w:eastAsia="SimHei" w:hint="eastAsia"/>
        </w:rPr>
        <w:t>(</w:t>
      </w:r>
      <w:r w:rsidR="00490B71" w:rsidRPr="00AE2EBC">
        <w:rPr>
          <w:rFonts w:ascii="SimHei" w:eastAsia="SimHei" w:hint="eastAsia"/>
        </w:rPr>
        <w:t>年龄：16-24岁</w:t>
      </w:r>
      <w:r w:rsidR="00BA369E" w:rsidRPr="00AE2EBC">
        <w:rPr>
          <w:rFonts w:ascii="SimHei" w:eastAsia="SimHei" w:hint="eastAsia"/>
        </w:rPr>
        <w:t>)</w:t>
      </w:r>
    </w:p>
    <w:tbl>
      <w:tblPr>
        <w:tblW w:w="7320" w:type="dxa"/>
        <w:tblInd w:w="1260" w:type="dxa"/>
        <w:tblLayout w:type="fixed"/>
        <w:tblCellMar>
          <w:left w:w="0" w:type="dxa"/>
          <w:right w:w="0" w:type="dxa"/>
        </w:tblCellMar>
        <w:tblLook w:val="0000"/>
      </w:tblPr>
      <w:tblGrid>
        <w:gridCol w:w="3660"/>
        <w:gridCol w:w="3660"/>
      </w:tblGrid>
      <w:tr w:rsidR="00053537" w:rsidRPr="00053537" w:rsidTr="00053537">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left"/>
              <w:rPr>
                <w:rFonts w:ascii="KaiTi_GB2312" w:eastAsia="KaiTi_GB2312"/>
                <w:sz w:val="15"/>
                <w:szCs w:val="24"/>
                <w:lang w:eastAsia="zh-CN"/>
              </w:rPr>
            </w:pPr>
          </w:p>
        </w:tc>
        <w:tc>
          <w:tcPr>
            <w:tcW w:w="3660" w:type="dxa"/>
            <w:tcBorders>
              <w:top w:val="single" w:sz="4" w:space="0" w:color="auto"/>
              <w:bottom w:val="single" w:sz="12" w:space="0" w:color="auto"/>
            </w:tcBorders>
            <w:shd w:val="clear" w:color="auto" w:fill="auto"/>
            <w:vAlign w:val="bottom"/>
          </w:tcPr>
          <w:p w:rsidR="00053537" w:rsidRPr="00053537" w:rsidRDefault="00053537" w:rsidP="00053537">
            <w:pPr>
              <w:pStyle w:val="SingleTxtG"/>
              <w:spacing w:before="60" w:after="60" w:line="200" w:lineRule="exact"/>
              <w:ind w:left="0" w:right="57"/>
              <w:jc w:val="right"/>
              <w:rPr>
                <w:rFonts w:ascii="KaiTi_GB2312" w:eastAsia="KaiTi_GB2312"/>
                <w:sz w:val="15"/>
                <w:szCs w:val="24"/>
              </w:rPr>
            </w:pPr>
            <w:r w:rsidRPr="00053537">
              <w:rPr>
                <w:rFonts w:ascii="KaiTi_GB2312" w:eastAsia="KaiTi_GB2312" w:hint="eastAsia"/>
                <w:sz w:val="15"/>
                <w:szCs w:val="24"/>
                <w:lang w:val="zh-CN"/>
              </w:rPr>
              <w:t>侵害女性的约会暴力</w:t>
            </w:r>
          </w:p>
        </w:tc>
      </w:tr>
      <w:tr w:rsidR="00053537" w:rsidRPr="00053537" w:rsidTr="00053537">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left"/>
              <w:rPr>
                <w:noProof/>
                <w:sz w:val="17"/>
                <w:szCs w:val="24"/>
              </w:rPr>
            </w:pPr>
          </w:p>
        </w:tc>
        <w:tc>
          <w:tcPr>
            <w:tcW w:w="3660" w:type="dxa"/>
            <w:tcBorders>
              <w:top w:val="single" w:sz="12" w:space="0" w:color="auto"/>
            </w:tcBorders>
            <w:shd w:val="clear" w:color="auto" w:fill="auto"/>
            <w:vAlign w:val="bottom"/>
          </w:tcPr>
          <w:p w:rsidR="00053537" w:rsidRPr="00053537" w:rsidRDefault="00053537" w:rsidP="00053537">
            <w:pPr>
              <w:pStyle w:val="SingleTxtG"/>
              <w:spacing w:after="60" w:line="280" w:lineRule="exact"/>
              <w:ind w:left="0" w:right="57"/>
              <w:jc w:val="right"/>
              <w:rPr>
                <w:sz w:val="17"/>
                <w:szCs w:val="24"/>
              </w:rPr>
            </w:pPr>
          </w:p>
        </w:tc>
      </w:tr>
      <w:tr w:rsidR="00053537" w:rsidRPr="00053537" w:rsidTr="00053537">
        <w:tblPrEx>
          <w:tblCellMar>
            <w:top w:w="0" w:type="dxa"/>
            <w:bottom w:w="0" w:type="dxa"/>
          </w:tblCellMar>
        </w:tblPrEx>
        <w:tc>
          <w:tcPr>
            <w:tcW w:w="3660" w:type="dxa"/>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053537">
              <w:rPr>
                <w:rFonts w:ascii="SimSun" w:hAnsi="SimSun"/>
                <w:noProof/>
                <w:sz w:val="17"/>
                <w:szCs w:val="24"/>
              </w:rPr>
              <w:t>2007</w:t>
            </w:r>
            <w:r w:rsidRPr="00053537">
              <w:rPr>
                <w:rFonts w:ascii="SimSun" w:hAnsi="SimSun" w:hint="eastAsia"/>
                <w:noProof/>
                <w:sz w:val="17"/>
                <w:szCs w:val="24"/>
                <w:lang w:val="en-US"/>
              </w:rPr>
              <w:t>年</w:t>
            </w:r>
          </w:p>
        </w:tc>
        <w:tc>
          <w:tcPr>
            <w:tcW w:w="3660" w:type="dxa"/>
            <w:shd w:val="clear" w:color="auto" w:fill="auto"/>
            <w:vAlign w:val="bottom"/>
          </w:tcPr>
          <w:p w:rsidR="00053537" w:rsidRPr="00053537" w:rsidRDefault="009303E0"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Pr>
                <w:rFonts w:ascii="SimSun" w:hAnsi="SimSun"/>
                <w:sz w:val="17"/>
                <w:szCs w:val="24"/>
              </w:rPr>
              <w:t>13 000(4.7</w:t>
            </w:r>
            <w:r w:rsidR="00053537" w:rsidRPr="00053537">
              <w:rPr>
                <w:rFonts w:ascii="SimSun" w:hAnsi="SimSun"/>
                <w:sz w:val="17"/>
                <w:szCs w:val="24"/>
              </w:rPr>
              <w:t>%)</w:t>
            </w:r>
          </w:p>
        </w:tc>
      </w:tr>
      <w:tr w:rsidR="00053537" w:rsidRPr="00053537" w:rsidTr="00053537">
        <w:tblPrEx>
          <w:tblCellMar>
            <w:top w:w="0" w:type="dxa"/>
            <w:bottom w:w="0" w:type="dxa"/>
          </w:tblCellMar>
        </w:tblPrEx>
        <w:tc>
          <w:tcPr>
            <w:tcW w:w="3660" w:type="dxa"/>
            <w:tcBorders>
              <w:bottom w:val="single" w:sz="12" w:space="0" w:color="auto"/>
            </w:tcBorders>
            <w:shd w:val="clear" w:color="auto" w:fill="auto"/>
            <w:vAlign w:val="bottom"/>
          </w:tcPr>
          <w:p w:rsidR="00053537" w:rsidRPr="00053537" w:rsidRDefault="00053537" w:rsidP="00053537">
            <w:pPr>
              <w:pStyle w:val="SingleTxtG"/>
              <w:tabs>
                <w:tab w:val="left" w:pos="334"/>
                <w:tab w:val="left" w:pos="669"/>
                <w:tab w:val="left" w:pos="1003"/>
                <w:tab w:val="left" w:pos="1338"/>
              </w:tabs>
              <w:spacing w:after="60" w:line="280" w:lineRule="exact"/>
              <w:ind w:left="0" w:right="57"/>
              <w:rPr>
                <w:rFonts w:ascii="SimSun" w:hAnsi="SimSun"/>
                <w:sz w:val="17"/>
                <w:szCs w:val="24"/>
              </w:rPr>
            </w:pPr>
            <w:r w:rsidRPr="00053537">
              <w:rPr>
                <w:rFonts w:ascii="SimSun" w:hAnsi="SimSun"/>
                <w:noProof/>
                <w:sz w:val="17"/>
                <w:szCs w:val="24"/>
              </w:rPr>
              <w:t>2011</w:t>
            </w:r>
            <w:r w:rsidRPr="00053537">
              <w:rPr>
                <w:rFonts w:ascii="SimSun" w:hAnsi="SimSun" w:hint="eastAsia"/>
                <w:noProof/>
                <w:sz w:val="17"/>
                <w:szCs w:val="24"/>
                <w:lang w:val="en-US"/>
              </w:rPr>
              <w:t>年</w:t>
            </w:r>
          </w:p>
        </w:tc>
        <w:tc>
          <w:tcPr>
            <w:tcW w:w="3660" w:type="dxa"/>
            <w:tcBorders>
              <w:bottom w:val="single" w:sz="12" w:space="0" w:color="auto"/>
            </w:tcBorders>
            <w:shd w:val="clear" w:color="auto" w:fill="auto"/>
            <w:vAlign w:val="bottom"/>
          </w:tcPr>
          <w:p w:rsidR="00053537" w:rsidRPr="00053537" w:rsidRDefault="009303E0" w:rsidP="00053537">
            <w:pPr>
              <w:pStyle w:val="SingleTxtG"/>
              <w:tabs>
                <w:tab w:val="left" w:pos="334"/>
                <w:tab w:val="left" w:pos="669"/>
                <w:tab w:val="left" w:pos="1003"/>
                <w:tab w:val="left" w:pos="1338"/>
              </w:tabs>
              <w:spacing w:after="60" w:line="280" w:lineRule="exact"/>
              <w:ind w:left="0" w:right="57"/>
              <w:jc w:val="right"/>
              <w:rPr>
                <w:rFonts w:ascii="SimSun" w:hAnsi="SimSun"/>
                <w:sz w:val="17"/>
                <w:szCs w:val="24"/>
              </w:rPr>
            </w:pPr>
            <w:r>
              <w:rPr>
                <w:rFonts w:ascii="SimSun" w:hAnsi="SimSun"/>
                <w:sz w:val="17"/>
                <w:szCs w:val="24"/>
              </w:rPr>
              <w:t>9 500(3.2</w:t>
            </w:r>
            <w:r w:rsidR="00053537" w:rsidRPr="00053537">
              <w:rPr>
                <w:rFonts w:ascii="SimSun" w:hAnsi="SimSun"/>
                <w:sz w:val="17"/>
                <w:szCs w:val="24"/>
              </w:rPr>
              <w:t>%)</w:t>
            </w:r>
          </w:p>
        </w:tc>
      </w:tr>
    </w:tbl>
    <w:p w:rsidR="00053537" w:rsidRPr="00053537" w:rsidRDefault="00053537" w:rsidP="00053537">
      <w:pPr>
        <w:pStyle w:val="SingleTxt"/>
        <w:spacing w:after="0" w:line="120" w:lineRule="exact"/>
        <w:rPr>
          <w:rFonts w:hint="eastAsia"/>
          <w:sz w:val="10"/>
        </w:rPr>
      </w:pPr>
    </w:p>
    <w:p w:rsidR="00053537" w:rsidRPr="00053537" w:rsidRDefault="00053537" w:rsidP="00053537">
      <w:pPr>
        <w:pStyle w:val="SingleTxt"/>
        <w:spacing w:after="0" w:line="120" w:lineRule="exact"/>
        <w:rPr>
          <w:rFonts w:hint="eastAsia"/>
          <w:sz w:val="10"/>
        </w:rPr>
      </w:pPr>
    </w:p>
    <w:p w:rsidR="00490B71" w:rsidRDefault="00053537" w:rsidP="00053537">
      <w:pPr>
        <w:pStyle w:val="SingleTxt"/>
        <w:rPr>
          <w:rFonts w:hint="eastAsia"/>
        </w:rPr>
      </w:pPr>
      <w:r>
        <w:rPr>
          <w:rFonts w:hint="eastAsia"/>
        </w:rPr>
        <w:tab/>
      </w:r>
      <w:r w:rsidR="00490B71">
        <w:rPr>
          <w:rFonts w:hint="eastAsia"/>
        </w:rPr>
        <w:t xml:space="preserve">这个行动计划由性别平等和宗教事务部牵头的部委间工作组负责执行。 </w:t>
      </w:r>
    </w:p>
    <w:p w:rsidR="00490B71" w:rsidRDefault="00053537" w:rsidP="00053537">
      <w:pPr>
        <w:pStyle w:val="SingleTxt"/>
        <w:rPr>
          <w:rFonts w:hint="eastAsia"/>
        </w:rPr>
      </w:pPr>
      <w:r>
        <w:rPr>
          <w:rFonts w:hint="eastAsia"/>
        </w:rPr>
        <w:tab/>
      </w:r>
      <w:r w:rsidR="00490B71">
        <w:rPr>
          <w:rFonts w:hint="eastAsia"/>
        </w:rPr>
        <w:t>对行动计划进行的外部评价还显示：受害者已经更加知道他们拥有的权利和可以得到的支持/咨询；专业人员和肇事者已经更加知道获得治疗</w:t>
      </w:r>
      <w:r w:rsidR="00BA369E">
        <w:rPr>
          <w:rFonts w:hint="eastAsia"/>
        </w:rPr>
        <w:t>(</w:t>
      </w:r>
      <w:r w:rsidR="00490B71">
        <w:rPr>
          <w:rFonts w:hint="eastAsia"/>
        </w:rPr>
        <w:t>暴力行为</w:t>
      </w:r>
      <w:r w:rsidR="00BA369E">
        <w:rPr>
          <w:rFonts w:hint="eastAsia"/>
        </w:rPr>
        <w:t>)</w:t>
      </w:r>
      <w:r w:rsidR="00490B71">
        <w:rPr>
          <w:rFonts w:hint="eastAsia"/>
        </w:rPr>
        <w:t>的可能性，因此，有更多肇事者接受了治疗；这项行动计划的各种举措已经帮助改善了对家庭暴力问题的了解。这项知识已在某种程度传播给相关政府部门和专业人员，政府部门和非政府组织都认为应设立有成效的部委间协调工作组的体制。</w:t>
      </w:r>
    </w:p>
    <w:p w:rsidR="00490B71" w:rsidRPr="00AE2EBC" w:rsidRDefault="00490B71" w:rsidP="00053537">
      <w:pPr>
        <w:pStyle w:val="SingleTxt"/>
        <w:rPr>
          <w:rFonts w:ascii="KaiTi_GB2312" w:eastAsia="KaiTi_GB2312" w:hint="eastAsia"/>
        </w:rPr>
      </w:pPr>
      <w:r w:rsidRPr="00AE2EBC">
        <w:rPr>
          <w:rFonts w:ascii="KaiTi_GB2312" w:eastAsia="KaiTi_GB2312" w:hint="eastAsia"/>
        </w:rPr>
        <w:t>目前的行动计划用于消除家庭暴力的实例如下：</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 xml:space="preserve">针对各个市镇工作人员团体进行的能力建设工作可被视为取得巨大成功。在2013年7月31日以前，将对家庭暴力的相关问题提供为期一日的免费课程。截至2012年12月1日，61个市镇已经登记参加这些课程，并已举办了44次课程，共有3018名市镇工作人员上了课。 </w:t>
      </w:r>
    </w:p>
    <w:p w:rsidR="00490B71" w:rsidRDefault="00053537" w:rsidP="00053537">
      <w:pPr>
        <w:pStyle w:val="SingleTxt"/>
        <w:ind w:left="2126" w:hanging="431"/>
        <w:rPr>
          <w:rFonts w:hint="eastAsia"/>
        </w:rPr>
      </w:pPr>
      <w:r>
        <w:rPr>
          <w:rFonts w:hint="eastAsia"/>
        </w:rPr>
        <w:sym w:font="Symbol" w:char="F0B7"/>
      </w:r>
      <w:r>
        <w:tab/>
      </w:r>
      <w:r w:rsidR="00490B71" w:rsidRPr="00AE2EBC">
        <w:rPr>
          <w:rFonts w:hint="eastAsia"/>
          <w:spacing w:val="-4"/>
        </w:rPr>
        <w:t>除了提供给市镇工作人员的课程之外，编制了一份电子指南，其中载有关于家庭暴力问题的主要信息。见：</w:t>
      </w:r>
      <w:r w:rsidR="00490B71" w:rsidRPr="00AE2EBC">
        <w:rPr>
          <w:rFonts w:ascii="Times New Roman"/>
        </w:rPr>
        <w:t>http://www.servicestyrelsen.dk/udsatte/</w:t>
      </w:r>
      <w:r w:rsidR="00AE2EBC">
        <w:rPr>
          <w:rFonts w:ascii="Times New Roman" w:hint="eastAsia"/>
        </w:rPr>
        <w:br/>
      </w:r>
      <w:r w:rsidR="00490B71" w:rsidRPr="00AE2EBC">
        <w:rPr>
          <w:rFonts w:ascii="Times New Roman"/>
        </w:rPr>
        <w:t>vold-i-familien</w:t>
      </w:r>
      <w:r w:rsidR="00490B71">
        <w:rPr>
          <w:rFonts w:hint="eastAsia"/>
        </w:rPr>
        <w:t>。这份指南的重点是提供信息察觉发生暴力的迹象和通过他们的工作对知道的或怀疑的家庭暴力事件采取行动。</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 xml:space="preserve">从2011年6月至2013年3月进行了“对暴力侵害妇女发出红牌”的宣传运动。这项运动是性别平等部与全国足球协会和国家足球队及国家手球队的男性球员合作推动的。这项运动得到各个地方足球俱乐部的支持。这项运动在脸书开设了网址，大家可支持无法接受暴力侵害妇女的信息内容。在脸书上，2011年的运动得到大约850次“喜欢”，而至今2012年的运动已经收集到5 800次“喜欢”。 </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 xml:space="preserve">为遭到女友或男友暴力蹂躏的年轻人设立交谈和电话热线服务提供了经费。在这个背景下，对负责热线服务的自愿人员进行了培训。评价报告显示，女性比男性更愿意使用热线以及遭到约会暴力侵犯的年轻人可小至13岁。 </w:t>
      </w:r>
    </w:p>
    <w:p w:rsidR="00490B71" w:rsidRDefault="00053537" w:rsidP="00053537">
      <w:pPr>
        <w:pStyle w:val="SingleTxt"/>
        <w:ind w:left="2126" w:hanging="431"/>
        <w:rPr>
          <w:rFonts w:hint="eastAsia"/>
        </w:rPr>
      </w:pPr>
      <w:r>
        <w:rPr>
          <w:rFonts w:hint="eastAsia"/>
        </w:rPr>
        <w:sym w:font="Symbol" w:char="F0B7"/>
      </w:r>
      <w:r>
        <w:tab/>
      </w:r>
      <w:r w:rsidR="00490B71">
        <w:rPr>
          <w:rFonts w:hint="eastAsia"/>
        </w:rPr>
        <w:t>在性别平等部提供经费的情况下，丹麦女性庇护所全国组织</w:t>
      </w:r>
      <w:r w:rsidR="00BA369E">
        <w:rPr>
          <w:rFonts w:hint="eastAsia"/>
        </w:rPr>
        <w:t>(</w:t>
      </w:r>
      <w:r w:rsidR="00490B71">
        <w:rPr>
          <w:rFonts w:hint="eastAsia"/>
        </w:rPr>
        <w:t>LOKK</w:t>
      </w:r>
      <w:r w:rsidR="00BA369E">
        <w:rPr>
          <w:rFonts w:hint="eastAsia"/>
        </w:rPr>
        <w:t>)</w:t>
      </w:r>
      <w:r w:rsidR="00490B71">
        <w:rPr>
          <w:rFonts w:hint="eastAsia"/>
        </w:rPr>
        <w:t>制作了一个智慧型手机的应用软件，供年龄在13-24岁之间的男女报告约会暴力之用。这个应用软件用于告知何谓约会暴力以及如何防止。它取得了极大成功。在这个项目的头三个月，这个应用软件被下载了4</w:t>
      </w:r>
      <w:r w:rsidR="009303E0">
        <w:t xml:space="preserve"> </w:t>
      </w:r>
      <w:r w:rsidR="00490B71">
        <w:rPr>
          <w:rFonts w:hint="eastAsia"/>
        </w:rPr>
        <w:t>644次</w:t>
      </w:r>
      <w:r w:rsidR="00BA369E">
        <w:rPr>
          <w:rFonts w:hint="eastAsia"/>
        </w:rPr>
        <w:t>(</w:t>
      </w:r>
      <w:r w:rsidR="00490B71">
        <w:rPr>
          <w:rFonts w:hint="eastAsia"/>
        </w:rPr>
        <w:t>比预期一年的下载量多三倍</w:t>
      </w:r>
      <w:r w:rsidR="00BA369E">
        <w:rPr>
          <w:rFonts w:hint="eastAsia"/>
        </w:rPr>
        <w:t>)</w:t>
      </w:r>
      <w:r w:rsidR="00490B71">
        <w:rPr>
          <w:rFonts w:hint="eastAsia"/>
        </w:rPr>
        <w:t>，并在供年轻人使用的网站的约会暴力条目有4</w:t>
      </w:r>
      <w:r w:rsidR="009303E0">
        <w:t xml:space="preserve"> </w:t>
      </w:r>
      <w:r w:rsidR="00490B71">
        <w:rPr>
          <w:rFonts w:hint="eastAsia"/>
        </w:rPr>
        <w:t>000多次点击。最后，张贴在</w:t>
      </w:r>
      <w:r w:rsidR="00490B71" w:rsidRPr="00891CDF">
        <w:rPr>
          <w:rFonts w:ascii="Times New Roman"/>
        </w:rPr>
        <w:t>YouTube</w:t>
      </w:r>
      <w:r w:rsidR="00490B71">
        <w:rPr>
          <w:rFonts w:hint="eastAsia"/>
        </w:rPr>
        <w:t>上关于约会暴力的短片已被观看34 534次</w:t>
      </w:r>
      <w:r w:rsidR="00BA369E">
        <w:rPr>
          <w:rFonts w:hint="eastAsia"/>
        </w:rPr>
        <w:t>(</w:t>
      </w:r>
      <w:r w:rsidR="00490B71">
        <w:rPr>
          <w:rFonts w:hint="eastAsia"/>
        </w:rPr>
        <w:t>原来目标是800次</w:t>
      </w:r>
      <w:r w:rsidR="00BA369E">
        <w:rPr>
          <w:rFonts w:hint="eastAsia"/>
        </w:rPr>
        <w:t>)</w:t>
      </w:r>
      <w:r w:rsidR="00490B71">
        <w:rPr>
          <w:rFonts w:hint="eastAsia"/>
        </w:rPr>
        <w:t>。</w:t>
      </w:r>
    </w:p>
    <w:p w:rsidR="00490B71" w:rsidRPr="00AE2EBC" w:rsidRDefault="00490B71" w:rsidP="00053537">
      <w:pPr>
        <w:pStyle w:val="SingleTxt"/>
        <w:rPr>
          <w:rFonts w:ascii="SimHei" w:eastAsia="SimHei" w:hint="eastAsia"/>
        </w:rPr>
      </w:pPr>
      <w:r w:rsidRPr="00AE2EBC">
        <w:rPr>
          <w:rFonts w:ascii="SimHei" w:eastAsia="SimHei" w:hint="eastAsia"/>
        </w:rPr>
        <w:t>警察过滤针对儿童的色情制品</w:t>
      </w:r>
    </w:p>
    <w:p w:rsidR="00490B71" w:rsidRDefault="00053537" w:rsidP="00053537">
      <w:pPr>
        <w:pStyle w:val="SingleTxt"/>
        <w:rPr>
          <w:rFonts w:hint="eastAsia"/>
        </w:rPr>
      </w:pPr>
      <w:r>
        <w:rPr>
          <w:rFonts w:hint="eastAsia"/>
        </w:rPr>
        <w:tab/>
      </w:r>
      <w:r w:rsidR="00490B71">
        <w:rPr>
          <w:rFonts w:hint="eastAsia"/>
        </w:rPr>
        <w:t>丹麦互联网供应商、“拯救儿童”组织和国家警察署自2004年以来在运行所谓的“过滤儿童性虐待制品”方面进行了非常良好的合作。至今，丹麦互联网供应商已经封杀了大约3 200个非法网站的传播。通过这种过滤办法，能够阻挡在丹麦境外发送不当内容的网站。丹麦警政署定期与世界各地的其他执法机构交流关于非法网站的信息并向国际刑警组织的要犯名单提供资料。</w:t>
      </w:r>
    </w:p>
    <w:p w:rsidR="00490B71" w:rsidRDefault="00AE2EBC" w:rsidP="00AE2E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490B71">
        <w:rPr>
          <w:rFonts w:hint="eastAsia"/>
        </w:rPr>
        <w:t>第13条：财政和社会生活中其他领域的男女平等</w:t>
      </w:r>
    </w:p>
    <w:p w:rsidR="00AE2EBC" w:rsidRPr="00AE2EBC" w:rsidRDefault="00AE2EBC" w:rsidP="00AE2E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90B71" w:rsidRDefault="00AE2EBC" w:rsidP="00AE2E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490B71">
        <w:rPr>
          <w:rFonts w:hint="eastAsia"/>
        </w:rPr>
        <w:t>享有家庭福利的权利</w:t>
      </w:r>
    </w:p>
    <w:p w:rsidR="00AE2EBC" w:rsidRPr="00AE2EBC" w:rsidRDefault="00AE2EBC" w:rsidP="00AE2EBC">
      <w:pPr>
        <w:pStyle w:val="SingleTxt"/>
        <w:spacing w:after="0" w:line="120" w:lineRule="exact"/>
        <w:rPr>
          <w:rFonts w:hint="eastAsia"/>
          <w:sz w:val="10"/>
        </w:rPr>
      </w:pPr>
    </w:p>
    <w:p w:rsidR="00490B71" w:rsidRDefault="00053537" w:rsidP="00053537">
      <w:pPr>
        <w:pStyle w:val="SingleTxt"/>
        <w:rPr>
          <w:rFonts w:hint="eastAsia"/>
        </w:rPr>
      </w:pPr>
      <w:r>
        <w:rPr>
          <w:rFonts w:hint="eastAsia"/>
        </w:rPr>
        <w:tab/>
      </w:r>
      <w:r w:rsidR="00490B71">
        <w:rPr>
          <w:rFonts w:hint="eastAsia"/>
        </w:rPr>
        <w:t xml:space="preserve">如第七次定期报告所指，丹麦立法没有对家庭政策作出正式定义，但这个词语经常用来表述支助有子女家庭的举措。丹麦现行家庭政策比以往涉及的范围更广，因此不仅解决了收入支持问题，而且还加强了预防和复原方面的干预行动。 </w:t>
      </w:r>
    </w:p>
    <w:p w:rsidR="00490B71" w:rsidRPr="00AE2EBC" w:rsidRDefault="00490B71" w:rsidP="00053537">
      <w:pPr>
        <w:pStyle w:val="SingleTxt"/>
        <w:rPr>
          <w:rFonts w:ascii="SimHei" w:eastAsia="SimHei" w:hint="eastAsia"/>
        </w:rPr>
      </w:pPr>
      <w:r w:rsidRPr="00AE2EBC">
        <w:rPr>
          <w:rFonts w:ascii="SimHei" w:eastAsia="SimHei" w:hint="eastAsia"/>
        </w:rPr>
        <w:t>家庭津贴</w:t>
      </w:r>
    </w:p>
    <w:p w:rsidR="00490B71" w:rsidRDefault="00053537" w:rsidP="00053537">
      <w:pPr>
        <w:pStyle w:val="SingleTxt"/>
        <w:rPr>
          <w:rFonts w:hint="eastAsia"/>
        </w:rPr>
      </w:pPr>
      <w:r>
        <w:rPr>
          <w:rFonts w:hint="eastAsia"/>
        </w:rPr>
        <w:tab/>
      </w:r>
      <w:r w:rsidR="00490B71">
        <w:rPr>
          <w:rFonts w:hint="eastAsia"/>
        </w:rPr>
        <w:t>家庭津贴是对居住在丹麦有年龄不满18岁子女的人提供的免税财政援助。对欧盟成员国和其他一些国家适用特殊规定。子女不得得到公共资金的支助，例如，政府部门已将儿童托付照顾。对儿童拥有监管权的人中至少一人必须是在丹麦应缴纳税款的纳税人，津贴接受人在接受全额津贴的每次付款前的10年期间，必须至少在丹麦居住或就业2年。</w:t>
      </w:r>
    </w:p>
    <w:p w:rsidR="00490B71" w:rsidRPr="00AE2EBC" w:rsidRDefault="00490B71" w:rsidP="00053537">
      <w:pPr>
        <w:pStyle w:val="SingleTxt"/>
        <w:rPr>
          <w:rFonts w:ascii="SimHei" w:eastAsia="SimHei" w:hint="eastAsia"/>
        </w:rPr>
      </w:pPr>
      <w:r w:rsidRPr="00AE2EBC">
        <w:rPr>
          <w:rFonts w:ascii="SimHei" w:eastAsia="SimHei" w:hint="eastAsia"/>
        </w:rPr>
        <w:t>儿童津贴</w:t>
      </w:r>
    </w:p>
    <w:p w:rsidR="00490B71" w:rsidRDefault="00053537" w:rsidP="00053537">
      <w:pPr>
        <w:pStyle w:val="SingleTxt"/>
        <w:rPr>
          <w:rFonts w:hint="eastAsia"/>
        </w:rPr>
      </w:pPr>
      <w:r>
        <w:rPr>
          <w:rFonts w:hint="eastAsia"/>
        </w:rPr>
        <w:tab/>
      </w:r>
      <w:r w:rsidR="00490B71">
        <w:rPr>
          <w:rFonts w:hint="eastAsia"/>
        </w:rPr>
        <w:t xml:space="preserve">关于丹麦儿童津贴的细节，请参阅丹麦提交的第七次定期报告。 </w:t>
      </w:r>
    </w:p>
    <w:p w:rsidR="00490B71" w:rsidRDefault="00053537" w:rsidP="00053537">
      <w:pPr>
        <w:pStyle w:val="SingleTxt"/>
        <w:rPr>
          <w:rFonts w:hint="eastAsia"/>
        </w:rPr>
      </w:pPr>
      <w:r>
        <w:rPr>
          <w:rFonts w:hint="eastAsia"/>
        </w:rPr>
        <w:tab/>
      </w:r>
      <w:r w:rsidR="00490B71">
        <w:rPr>
          <w:rFonts w:hint="eastAsia"/>
        </w:rPr>
        <w:t>如提供家庭津贴的情况</w:t>
      </w:r>
      <w:r w:rsidR="00BA369E">
        <w:rPr>
          <w:rFonts w:hint="eastAsia"/>
        </w:rPr>
        <w:t>(</w:t>
      </w:r>
      <w:r w:rsidR="00490B71">
        <w:rPr>
          <w:rFonts w:hint="eastAsia"/>
        </w:rPr>
        <w:t>见上文</w:t>
      </w:r>
      <w:r w:rsidR="00BA369E">
        <w:rPr>
          <w:rFonts w:hint="eastAsia"/>
        </w:rPr>
        <w:t>)</w:t>
      </w:r>
      <w:r w:rsidR="00490B71">
        <w:rPr>
          <w:rFonts w:hint="eastAsia"/>
        </w:rPr>
        <w:t>，津贴接受人在接受全额津贴的每次付款前的10年期间，必须至少在丹麦居住或就业2年</w:t>
      </w:r>
      <w:r w:rsidR="00BA369E">
        <w:rPr>
          <w:rFonts w:hint="eastAsia"/>
        </w:rPr>
        <w:t>(</w:t>
      </w:r>
      <w:r w:rsidR="00490B71">
        <w:rPr>
          <w:rFonts w:hint="eastAsia"/>
        </w:rPr>
        <w:t>较短的居住或就业时间将减少儿童津贴款额</w:t>
      </w:r>
      <w:r w:rsidR="00BA369E">
        <w:rPr>
          <w:rFonts w:hint="eastAsia"/>
        </w:rPr>
        <w:t>)</w:t>
      </w:r>
      <w:r w:rsidR="00490B71">
        <w:rPr>
          <w:rFonts w:hint="eastAsia"/>
        </w:rPr>
        <w:t>。</w:t>
      </w:r>
    </w:p>
    <w:p w:rsidR="00490B71" w:rsidRDefault="00AE2EBC" w:rsidP="00AE2E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490B71">
        <w:rPr>
          <w:rFonts w:hint="eastAsia"/>
        </w:rPr>
        <w:t>第14条：农村妇女</w:t>
      </w:r>
    </w:p>
    <w:p w:rsidR="00AE2EBC" w:rsidRPr="00AE2EBC" w:rsidRDefault="00AE2EBC" w:rsidP="00AE2EBC">
      <w:pPr>
        <w:pStyle w:val="SingleTxt"/>
        <w:spacing w:after="0" w:line="120" w:lineRule="exact"/>
        <w:rPr>
          <w:rFonts w:hint="eastAsia"/>
          <w:sz w:val="10"/>
        </w:rPr>
      </w:pPr>
    </w:p>
    <w:p w:rsidR="00490B71" w:rsidRDefault="00053537" w:rsidP="00053537">
      <w:pPr>
        <w:pStyle w:val="SingleTxt"/>
        <w:rPr>
          <w:rFonts w:hint="eastAsia"/>
        </w:rPr>
      </w:pPr>
      <w:r>
        <w:rPr>
          <w:rFonts w:hint="eastAsia"/>
        </w:rPr>
        <w:tab/>
      </w:r>
      <w:r w:rsidR="00490B71">
        <w:rPr>
          <w:rFonts w:hint="eastAsia"/>
        </w:rPr>
        <w:t>在丹麦农村居住的绝大多数女性都在非农业部门工作。她们的生活与城市妇女的生活没有明显区别。总体而言，居住在农村地区的女性既不能被视为是脆弱群体，也不能被视为是容易遭到暴力和歧视的群体。</w:t>
      </w:r>
    </w:p>
    <w:p w:rsidR="00490B71" w:rsidRDefault="00053537" w:rsidP="00053537">
      <w:pPr>
        <w:pStyle w:val="SingleTxt"/>
        <w:rPr>
          <w:rFonts w:hint="eastAsia"/>
        </w:rPr>
      </w:pPr>
      <w:r>
        <w:rPr>
          <w:rFonts w:hint="eastAsia"/>
        </w:rPr>
        <w:tab/>
      </w:r>
      <w:r w:rsidR="00490B71">
        <w:rPr>
          <w:rFonts w:hint="eastAsia"/>
        </w:rPr>
        <w:t xml:space="preserve">丹麦农村地区家庭的生活标准与丹麦城市地区家庭的生活标准相似。农村地区的女性拥有与其他丹麦人同等的权利：免费上学和受教育，免费医疗援助和免费社会服务援助等。 </w:t>
      </w:r>
    </w:p>
    <w:p w:rsidR="00490B71" w:rsidRDefault="00053537" w:rsidP="00053537">
      <w:pPr>
        <w:pStyle w:val="SingleTxt"/>
        <w:rPr>
          <w:rFonts w:hint="eastAsia"/>
        </w:rPr>
      </w:pPr>
      <w:r>
        <w:rPr>
          <w:rFonts w:hint="eastAsia"/>
        </w:rPr>
        <w:tab/>
      </w:r>
      <w:r w:rsidR="00490B71">
        <w:rPr>
          <w:rFonts w:hint="eastAsia"/>
        </w:rPr>
        <w:t>因此，关于第14条</w:t>
      </w:r>
      <w:r w:rsidR="00BA369E">
        <w:rPr>
          <w:rFonts w:hint="eastAsia"/>
        </w:rPr>
        <w:t>(</w:t>
      </w:r>
      <w:r w:rsidR="00490B71">
        <w:rPr>
          <w:rFonts w:hint="eastAsia"/>
        </w:rPr>
        <w:t>a-h项</w:t>
      </w:r>
      <w:r w:rsidR="00BA369E">
        <w:rPr>
          <w:rFonts w:hint="eastAsia"/>
        </w:rPr>
        <w:t>)</w:t>
      </w:r>
      <w:r w:rsidR="00490B71">
        <w:rPr>
          <w:rFonts w:hint="eastAsia"/>
        </w:rPr>
        <w:t>所列的各项问题，应该能够认定，居住在农村地区的丹麦女性与其他丹麦公民享有同等的权利和机会。所以，无需采取特别措施来消除歧视。</w:t>
      </w:r>
    </w:p>
    <w:p w:rsidR="00AE2EBC" w:rsidRPr="00AE2EBC" w:rsidRDefault="00AE2EBC" w:rsidP="00AE2E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90B71" w:rsidRDefault="00AE2EBC" w:rsidP="00AE2E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490B71">
        <w:rPr>
          <w:rFonts w:hint="eastAsia"/>
        </w:rPr>
        <w:t>第4章：法定资格与婚姻和家庭</w:t>
      </w:r>
    </w:p>
    <w:p w:rsidR="00AE2EBC" w:rsidRPr="00AE2EBC" w:rsidRDefault="00AE2EBC" w:rsidP="00AE2E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E2EBC" w:rsidRPr="00AE2EBC" w:rsidRDefault="00AE2EBC" w:rsidP="00AE2E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90B71" w:rsidRDefault="00AE2EBC" w:rsidP="00AE2E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490B71">
        <w:rPr>
          <w:rFonts w:hint="eastAsia"/>
        </w:rPr>
        <w:t>第15条：法定资格</w:t>
      </w:r>
    </w:p>
    <w:p w:rsidR="00AE2EBC" w:rsidRPr="00AE2EBC" w:rsidRDefault="00AE2EBC" w:rsidP="00AE2EBC">
      <w:pPr>
        <w:pStyle w:val="SingleTxt"/>
        <w:spacing w:after="0" w:line="120" w:lineRule="exact"/>
        <w:rPr>
          <w:rFonts w:hint="eastAsia"/>
          <w:sz w:val="10"/>
        </w:rPr>
      </w:pPr>
    </w:p>
    <w:p w:rsidR="00490B71" w:rsidRDefault="00053537" w:rsidP="00053537">
      <w:pPr>
        <w:pStyle w:val="SingleTxt"/>
        <w:rPr>
          <w:rFonts w:hint="eastAsia"/>
        </w:rPr>
      </w:pPr>
      <w:r>
        <w:rPr>
          <w:rFonts w:hint="eastAsia"/>
        </w:rPr>
        <w:tab/>
      </w:r>
      <w:r w:rsidR="00490B71">
        <w:rPr>
          <w:rFonts w:hint="eastAsia"/>
        </w:rPr>
        <w:t>男女在法律面前一律平等，并享有同等的财产权。男女享有平等诉诸司法的权利并在法庭受到平等待遇。</w:t>
      </w:r>
    </w:p>
    <w:p w:rsidR="00490B71" w:rsidRDefault="00AE2EBC" w:rsidP="00AE2E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490B71">
        <w:rPr>
          <w:rFonts w:hint="eastAsia"/>
        </w:rPr>
        <w:t>第16条：婚姻和家庭关系</w:t>
      </w:r>
    </w:p>
    <w:p w:rsidR="00AE2EBC" w:rsidRPr="00AE2EBC" w:rsidRDefault="00AE2EBC" w:rsidP="00AE2EBC">
      <w:pPr>
        <w:pStyle w:val="SingleTxt"/>
        <w:spacing w:after="0" w:line="120" w:lineRule="exact"/>
        <w:rPr>
          <w:rFonts w:hint="eastAsia"/>
          <w:sz w:val="10"/>
        </w:rPr>
      </w:pPr>
    </w:p>
    <w:p w:rsidR="00490B71" w:rsidRDefault="00053537" w:rsidP="00053537">
      <w:pPr>
        <w:pStyle w:val="SingleTxt"/>
        <w:rPr>
          <w:rFonts w:hint="eastAsia"/>
        </w:rPr>
      </w:pPr>
      <w:r>
        <w:rPr>
          <w:rFonts w:hint="eastAsia"/>
        </w:rPr>
        <w:tab/>
      </w:r>
      <w:r w:rsidR="00490B71">
        <w:rPr>
          <w:rFonts w:hint="eastAsia"/>
        </w:rPr>
        <w:t xml:space="preserve">自提交第七次定期报告给联合国消除对妇女歧视委员会以来，丹麦加强了打击迫婚和其他与荣誉有关的暴力行为。作出的努力包括提高认识和保障少数群体女性有关男女平等的权利。 </w:t>
      </w:r>
    </w:p>
    <w:p w:rsidR="00053537" w:rsidRDefault="00053537" w:rsidP="00053537">
      <w:pPr>
        <w:pStyle w:val="SingleTxt"/>
        <w:rPr>
          <w:rFonts w:hint="eastAsia"/>
        </w:rPr>
      </w:pPr>
      <w:r>
        <w:rPr>
          <w:rFonts w:hint="eastAsia"/>
        </w:rPr>
        <w:tab/>
      </w:r>
      <w:r w:rsidR="00490B71">
        <w:rPr>
          <w:rFonts w:hint="eastAsia"/>
        </w:rPr>
        <w:t>丹麦为前沿雇员展开了一个为期四年如何处理与荣誉有关的冲突的方案。其他实施的举措包括设立</w:t>
      </w:r>
      <w:r>
        <w:rPr>
          <w:rFonts w:hAnsi="SimSun" w:hint="eastAsia"/>
        </w:rPr>
        <w:t>㈠</w:t>
      </w:r>
      <w:r w:rsidR="009303E0">
        <w:rPr>
          <w:rFonts w:hAnsi="SimSun"/>
        </w:rPr>
        <w:t xml:space="preserve"> </w:t>
      </w:r>
      <w:r>
        <w:rPr>
          <w:rFonts w:hint="eastAsia"/>
        </w:rPr>
        <w:t>为逃离迫婚或其他与荣誉有关的暴力的年轻夫妇的庇护所；</w:t>
      </w:r>
      <w:r>
        <w:rPr>
          <w:rFonts w:hAnsi="SimSun" w:hint="eastAsia"/>
        </w:rPr>
        <w:t>㈡</w:t>
      </w:r>
      <w:r w:rsidR="009303E0">
        <w:rPr>
          <w:rFonts w:hAnsi="SimSun"/>
        </w:rPr>
        <w:t xml:space="preserve"> </w:t>
      </w:r>
      <w:r>
        <w:rPr>
          <w:rFonts w:hint="eastAsia"/>
        </w:rPr>
        <w:t>专业调解人员小组；</w:t>
      </w:r>
      <w:r>
        <w:rPr>
          <w:rFonts w:hAnsi="SimSun" w:hint="eastAsia"/>
        </w:rPr>
        <w:t>㈢</w:t>
      </w:r>
      <w:r w:rsidR="009303E0">
        <w:rPr>
          <w:rFonts w:hAnsi="SimSun"/>
        </w:rPr>
        <w:t xml:space="preserve"> </w:t>
      </w:r>
      <w:r>
        <w:rPr>
          <w:rFonts w:hint="eastAsia"/>
        </w:rPr>
        <w:t>一组有少数族裔背景的年轻典范对荣誉、婚姻等问题提供咨询意见；</w:t>
      </w:r>
      <w:r>
        <w:rPr>
          <w:rFonts w:hAnsi="SimSun" w:hint="eastAsia"/>
        </w:rPr>
        <w:t>㈣</w:t>
      </w:r>
      <w:r w:rsidR="009303E0">
        <w:rPr>
          <w:rFonts w:hAnsi="SimSun"/>
        </w:rPr>
        <w:t xml:space="preserve"> </w:t>
      </w:r>
      <w:r>
        <w:rPr>
          <w:rFonts w:hint="eastAsia"/>
        </w:rPr>
        <w:t>辅导项目和态度宣导；和</w:t>
      </w:r>
      <w:r>
        <w:rPr>
          <w:rFonts w:hAnsi="SimSun" w:hint="eastAsia"/>
        </w:rPr>
        <w:t>㈤</w:t>
      </w:r>
      <w:r w:rsidR="009303E0">
        <w:rPr>
          <w:rFonts w:hAnsi="SimSun"/>
        </w:rPr>
        <w:t xml:space="preserve"> </w:t>
      </w:r>
      <w:r>
        <w:rPr>
          <w:rFonts w:hint="eastAsia"/>
        </w:rPr>
        <w:t xml:space="preserve">为市镇提供咨询的国家单位。 </w:t>
      </w:r>
    </w:p>
    <w:p w:rsidR="00053537" w:rsidRPr="00AE2EBC" w:rsidRDefault="00053537" w:rsidP="00053537">
      <w:pPr>
        <w:pStyle w:val="SingleTxt"/>
        <w:rPr>
          <w:rFonts w:ascii="SimHei" w:eastAsia="SimHei" w:hint="eastAsia"/>
        </w:rPr>
      </w:pPr>
      <w:r w:rsidRPr="00AE2EBC">
        <w:rPr>
          <w:rFonts w:ascii="SimHei" w:eastAsia="SimHei" w:hint="eastAsia"/>
        </w:rPr>
        <w:t>普遍存在的年轻移民的社会控制</w:t>
      </w:r>
      <w:r w:rsidR="008E74BC">
        <w:rPr>
          <w:rStyle w:val="FootnoteReference"/>
          <w:rFonts w:ascii="SimHei" w:eastAsia="SimHei"/>
        </w:rPr>
        <w:footnoteReference w:id="2"/>
      </w:r>
    </w:p>
    <w:p w:rsidR="00490B71" w:rsidRDefault="00053537" w:rsidP="00053537">
      <w:pPr>
        <w:pStyle w:val="SingleTxt"/>
        <w:rPr>
          <w:rFonts w:hint="eastAsia"/>
        </w:rPr>
      </w:pPr>
      <w:r>
        <w:rPr>
          <w:rFonts w:hint="eastAsia"/>
        </w:rPr>
        <w:tab/>
      </w:r>
      <w:r w:rsidR="00490B71">
        <w:rPr>
          <w:rFonts w:hint="eastAsia"/>
        </w:rPr>
        <w:t>因此，2012年7月，社会和融合事务大臣为打击与荣誉有关的冲突展开了一项国家战略。这项战略包括30余项举措，旨在减少受到与荣誉有关的冲突影响的年轻人和使年轻人更加了解他们的基本权利。其中七个主要领域是：市镇之间以及与非政府组织的合作；专业人员的学习；对“再教育途径”作出的特别努力；对年轻人的支持；态度改变；信息宣传；和国际合作。</w:t>
      </w:r>
      <w:r w:rsidR="008E74BC">
        <w:rPr>
          <w:rStyle w:val="FootnoteReference"/>
        </w:rPr>
        <w:footnoteReference w:id="3"/>
      </w:r>
      <w:r w:rsidR="00490B71">
        <w:rPr>
          <w:rFonts w:hint="eastAsia"/>
        </w:rPr>
        <w:t xml:space="preserve"> </w:t>
      </w:r>
    </w:p>
    <w:p w:rsidR="009303E0" w:rsidRPr="009303E0" w:rsidRDefault="009303E0" w:rsidP="009303E0">
      <w:pPr>
        <w:pStyle w:val="SingleTxt"/>
      </w:pPr>
      <w:r>
        <w:rPr>
          <w:noProof/>
          <w:sz w:val="20"/>
        </w:rPr>
        <w:pict>
          <v:line id="_x0000_s1067" style="position:absolute;left:0;text-align:left;z-index:40" from="189pt,102.4pt" to="261pt,102.4pt" strokeweight=".25pt"/>
        </w:pict>
      </w:r>
      <w:r w:rsidR="00053537">
        <w:rPr>
          <w:rFonts w:hint="eastAsia"/>
        </w:rPr>
        <w:tab/>
      </w:r>
      <w:r w:rsidR="00490B71">
        <w:rPr>
          <w:rFonts w:hint="eastAsia"/>
        </w:rPr>
        <w:t>丹麦国家社会研究中心在2011年进行的研究显示，在有些少数群体之间普遍存在无法律约束力的宗教婚姻。对有些少数群体女性而言，尽管宗教婚姻以没有约束力的婚姻契约为基础，但她们很难得到解除宗教婚姻的法律权利。因此，丹麦政府在2012年制定了一项不得强制进行无法律约束力的宗教婚姻的行动计划。其目的是防止成人和青少年被迫进行宗教婚姻并支持女性有同等的权利解除宗教婚姻。</w:t>
      </w:r>
      <w:r w:rsidR="00252453">
        <w:t xml:space="preserve"> </w:t>
      </w:r>
    </w:p>
    <w:sectPr w:rsidR="009303E0" w:rsidRPr="009303E0" w:rsidSect="00EB58CE">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1-31T10:53:00Z" w:initials="Start">
    <w:p w:rsidR="005352EC" w:rsidRDefault="005352E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NO&gt;&gt;N1362159C&lt;&lt;ODS JOB NO&gt;&gt;</w:t>
      </w:r>
    </w:p>
    <w:p w:rsidR="005352EC" w:rsidRDefault="005352EC">
      <w:pPr>
        <w:pStyle w:val="CommentText"/>
      </w:pPr>
      <w:r>
        <w:t>&lt;&lt;ODS DOC SYMBOL1&gt;&gt;CEDAW/C/DNK/8&lt;&lt;ODS DOC SYMBOL1&gt;&gt;</w:t>
      </w:r>
    </w:p>
    <w:p w:rsidR="005352EC" w:rsidRDefault="005352E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2EC" w:rsidRDefault="005352EC">
      <w:r>
        <w:separator/>
      </w:r>
    </w:p>
  </w:endnote>
  <w:endnote w:type="continuationSeparator" w:id="0">
    <w:p w:rsidR="005352EC" w:rsidRDefault="005352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352EC" w:rsidTr="00EB58CE">
      <w:tblPrEx>
        <w:tblCellMar>
          <w:top w:w="0" w:type="dxa"/>
          <w:bottom w:w="0" w:type="dxa"/>
        </w:tblCellMar>
      </w:tblPrEx>
      <w:tc>
        <w:tcPr>
          <w:tcW w:w="5033" w:type="dxa"/>
          <w:shd w:val="clear" w:color="auto" w:fill="auto"/>
        </w:tcPr>
        <w:p w:rsidR="005352EC" w:rsidRPr="00EB58CE" w:rsidRDefault="005352EC" w:rsidP="00EB58CE">
          <w:pPr>
            <w:pStyle w:val="Footer"/>
            <w:jc w:val="right"/>
            <w:rPr>
              <w:b w:val="0"/>
              <w:w w:val="103"/>
              <w:sz w:val="14"/>
            </w:rPr>
          </w:pPr>
          <w:fldSimple w:instr=" DOCVARIABLE &quot;FooterJN&quot; \* MERGEFORMAT ">
            <w:r>
              <w:rPr>
                <w:b w:val="0"/>
                <w:w w:val="103"/>
                <w:sz w:val="14"/>
              </w:rPr>
              <w:t>13-62159 (C)</w:t>
            </w:r>
          </w:fldSimple>
        </w:p>
      </w:tc>
      <w:tc>
        <w:tcPr>
          <w:tcW w:w="5033" w:type="dxa"/>
          <w:shd w:val="clear" w:color="auto" w:fill="auto"/>
        </w:tcPr>
        <w:p w:rsidR="005352EC" w:rsidRPr="00EB58CE" w:rsidRDefault="005352EC" w:rsidP="00EB58CE">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33</w:t>
            </w:r>
          </w:fldSimple>
        </w:p>
      </w:tc>
    </w:tr>
  </w:tbl>
  <w:p w:rsidR="005352EC" w:rsidRPr="00EB58CE" w:rsidRDefault="005352EC" w:rsidP="00EB58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352EC" w:rsidTr="00EB58CE">
      <w:tblPrEx>
        <w:tblCellMar>
          <w:top w:w="0" w:type="dxa"/>
          <w:bottom w:w="0" w:type="dxa"/>
        </w:tblCellMar>
      </w:tblPrEx>
      <w:tc>
        <w:tcPr>
          <w:tcW w:w="5033" w:type="dxa"/>
          <w:shd w:val="clear" w:color="auto" w:fill="auto"/>
        </w:tcPr>
        <w:p w:rsidR="005352EC" w:rsidRPr="00EB58CE" w:rsidRDefault="005352EC" w:rsidP="00EB58CE">
          <w:pPr>
            <w:pStyle w:val="Footer"/>
            <w:jc w:val="right"/>
          </w:pPr>
          <w:fldSimple w:instr=" PAGE  \* Arabic  \* MERGEFORMAT ">
            <w:r>
              <w:t>33</w:t>
            </w:r>
          </w:fldSimple>
          <w:r>
            <w:t>/</w:t>
          </w:r>
          <w:fldSimple w:instr=" NUMPAGES  \* Arabic  \* MERGEFORMAT ">
            <w:r>
              <w:t>33</w:t>
            </w:r>
          </w:fldSimple>
        </w:p>
      </w:tc>
      <w:tc>
        <w:tcPr>
          <w:tcW w:w="5033" w:type="dxa"/>
          <w:shd w:val="clear" w:color="auto" w:fill="auto"/>
        </w:tcPr>
        <w:p w:rsidR="005352EC" w:rsidRPr="00EB58CE" w:rsidRDefault="005352EC" w:rsidP="00EB58CE">
          <w:pPr>
            <w:pStyle w:val="Footer"/>
            <w:jc w:val="left"/>
            <w:rPr>
              <w:b w:val="0"/>
              <w:w w:val="103"/>
              <w:sz w:val="14"/>
            </w:rPr>
          </w:pPr>
          <w:fldSimple w:instr=" DOCVARIABLE &quot;FooterJN&quot; \* MERGEFORMAT ">
            <w:r>
              <w:rPr>
                <w:b w:val="0"/>
                <w:w w:val="103"/>
                <w:sz w:val="14"/>
              </w:rPr>
              <w:t>13-62159 (C)</w:t>
            </w:r>
          </w:fldSimple>
        </w:p>
      </w:tc>
    </w:tr>
  </w:tbl>
  <w:p w:rsidR="005352EC" w:rsidRPr="00EB58CE" w:rsidRDefault="005352EC" w:rsidP="00EB58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352EC" w:rsidTr="00EB58CE">
      <w:tblPrEx>
        <w:tblCellMar>
          <w:top w:w="0" w:type="dxa"/>
          <w:bottom w:w="0" w:type="dxa"/>
        </w:tblCellMar>
      </w:tblPrEx>
      <w:tc>
        <w:tcPr>
          <w:tcW w:w="5033" w:type="dxa"/>
        </w:tcPr>
        <w:p w:rsidR="005352EC" w:rsidRPr="000B218A" w:rsidRDefault="005352EC" w:rsidP="00EB58CE">
          <w:pPr>
            <w:pStyle w:val="Footer"/>
            <w:rPr>
              <w:b w:val="0"/>
              <w:sz w:val="21"/>
            </w:rPr>
          </w:pPr>
          <w:r w:rsidRPr="000B218A">
            <w:rPr>
              <w:b w:val="0"/>
              <w:sz w:val="21"/>
            </w:rPr>
            <w:t>13-621</w:t>
          </w:r>
          <w:r>
            <w:rPr>
              <w:b w:val="0"/>
              <w:sz w:val="21"/>
            </w:rPr>
            <w:t>59 X (C)    300114    0703</w:t>
          </w:r>
          <w:bookmarkStart w:id="0" w:name="TmpSave"/>
          <w:bookmarkEnd w:id="0"/>
          <w:r w:rsidRPr="000B218A">
            <w:rPr>
              <w:b w:val="0"/>
              <w:sz w:val="21"/>
            </w:rPr>
            <w:t>14</w:t>
          </w:r>
        </w:p>
        <w:p w:rsidR="005352EC" w:rsidRPr="00EB58CE" w:rsidRDefault="005352EC" w:rsidP="00EB58CE">
          <w:pPr>
            <w:spacing w:before="80" w:line="210" w:lineRule="exact"/>
            <w:rPr>
              <w:rFonts w:ascii="Barcode 3 of 9 by request" w:hAnsi="Barcode 3 of 9 by request"/>
              <w:sz w:val="24"/>
            </w:rPr>
          </w:pPr>
          <w:r>
            <w:rPr>
              <w:rFonts w:ascii="Barcode 3 of 9 by request" w:hAnsi="Barcode 3 of 9 by request"/>
              <w:sz w:val="24"/>
            </w:rPr>
            <w:t>*1362159*</w:t>
          </w:r>
        </w:p>
      </w:tc>
      <w:tc>
        <w:tcPr>
          <w:tcW w:w="3686" w:type="dxa"/>
        </w:tcPr>
        <w:p w:rsidR="005352EC" w:rsidRDefault="005352EC" w:rsidP="00EB58CE">
          <w:pPr>
            <w:pStyle w:val="Footer"/>
            <w:jc w:val="right"/>
            <w:rPr>
              <w:b w:val="0"/>
              <w:sz w:val="21"/>
            </w:rPr>
          </w:pPr>
          <w:r w:rsidRPr="00EB58C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75pt;height:18pt">
                <v:imagedata r:id="rId1" o:title="recycle_Chinese"/>
              </v:shape>
            </w:pict>
          </w:r>
        </w:p>
      </w:tc>
    </w:tr>
  </w:tbl>
  <w:p w:rsidR="005352EC" w:rsidRPr="00EB58CE" w:rsidRDefault="005352EC" w:rsidP="00EB58CE">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2EC" w:rsidRPr="008E74BC" w:rsidRDefault="005352EC" w:rsidP="008E74BC">
      <w:pPr>
        <w:pStyle w:val="Footer"/>
        <w:spacing w:after="80"/>
        <w:ind w:left="792"/>
        <w:rPr>
          <w:sz w:val="16"/>
        </w:rPr>
      </w:pPr>
      <w:r w:rsidRPr="008E74BC">
        <w:rPr>
          <w:sz w:val="16"/>
        </w:rPr>
        <w:t>__________________</w:t>
      </w:r>
    </w:p>
  </w:footnote>
  <w:footnote w:type="continuationSeparator" w:id="0">
    <w:p w:rsidR="005352EC" w:rsidRPr="008E74BC" w:rsidRDefault="005352EC" w:rsidP="008E74BC">
      <w:pPr>
        <w:pStyle w:val="Footer"/>
        <w:spacing w:after="80"/>
        <w:ind w:left="792"/>
        <w:rPr>
          <w:sz w:val="16"/>
        </w:rPr>
      </w:pPr>
      <w:r w:rsidRPr="008E74BC">
        <w:rPr>
          <w:sz w:val="16"/>
        </w:rPr>
        <w:t>__________________</w:t>
      </w:r>
    </w:p>
  </w:footnote>
  <w:footnote w:id="1">
    <w:p w:rsidR="005352EC" w:rsidRPr="008E74BC" w:rsidRDefault="005352EC" w:rsidP="008E74B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E74BC">
        <w:rPr>
          <w:rFonts w:hint="eastAsia"/>
        </w:rPr>
        <w:t>性别分布以我们知道性别情况的96%入托儿童为基础。</w:t>
      </w:r>
    </w:p>
  </w:footnote>
  <w:footnote w:id="2">
    <w:p w:rsidR="005352EC" w:rsidRPr="00AA551C" w:rsidRDefault="005352EC" w:rsidP="008E74B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A551C">
        <w:rPr>
          <w:rFonts w:hint="eastAsia"/>
        </w:rPr>
        <w:t>详情请参阅调查报告网页：“</w:t>
      </w:r>
      <w:r w:rsidRPr="00AA551C">
        <w:rPr>
          <w:rFonts w:ascii="Times New Roman"/>
        </w:rPr>
        <w:t>Ung i 2011–Nydanske unges oplevelse af social kontrol, frihed og grænser”</w:t>
      </w:r>
      <w:r w:rsidRPr="00AA551C">
        <w:rPr>
          <w:rFonts w:ascii="Times New Roman"/>
        </w:rPr>
        <w:t>，</w:t>
      </w:r>
      <w:r w:rsidRPr="00AA551C">
        <w:rPr>
          <w:rFonts w:ascii="Times New Roman"/>
        </w:rPr>
        <w:t>Als Research 2011</w:t>
      </w:r>
      <w:r w:rsidRPr="00AA551C">
        <w:rPr>
          <w:rFonts w:ascii="Times New Roman"/>
        </w:rPr>
        <w:t>，</w:t>
      </w:r>
      <w:hyperlink r:id="rId1" w:history="1">
        <w:r w:rsidRPr="00AA551C">
          <w:rPr>
            <w:rStyle w:val="Hyperlink"/>
            <w:rFonts w:ascii="Times New Roman"/>
            <w:u w:val="none"/>
          </w:rPr>
          <w:t>www.sm.dk/data/Dokumentertilnyheder/2011/Ung%20i%202011_</w:t>
        </w:r>
        <w:r w:rsidRPr="00AA551C">
          <w:rPr>
            <w:rStyle w:val="Hyperlink"/>
            <w:rFonts w:ascii="Times New Roman" w:hint="eastAsia"/>
            <w:u w:val="none"/>
          </w:rPr>
          <w:br/>
        </w:r>
        <w:r w:rsidRPr="00AA551C">
          <w:rPr>
            <w:rStyle w:val="Hyperlink"/>
            <w:rFonts w:ascii="Times New Roman"/>
            <w:u w:val="none"/>
          </w:rPr>
          <w:t>rapport.pdf</w:t>
        </w:r>
      </w:hyperlink>
      <w:r w:rsidRPr="00AA551C">
        <w:rPr>
          <w:rFonts w:hint="eastAsia"/>
        </w:rPr>
        <w:t>。</w:t>
      </w:r>
    </w:p>
  </w:footnote>
  <w:footnote w:id="3">
    <w:p w:rsidR="005352EC" w:rsidRPr="008E74BC" w:rsidRDefault="005352EC" w:rsidP="008E74B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E74BC">
        <w:rPr>
          <w:rFonts w:hint="eastAsia"/>
        </w:rPr>
        <w:t>还请参阅：</w:t>
      </w:r>
      <w:hyperlink r:id="rId2" w:history="1">
        <w:r w:rsidRPr="00AA551C">
          <w:rPr>
            <w:rStyle w:val="Hyperlink"/>
            <w:rFonts w:ascii="Times New Roman"/>
            <w:u w:val="none"/>
          </w:rPr>
          <w:t>http://www.sm.dk/Publikationer/Sider/VisPublikation.aspx?Publication=704</w:t>
        </w:r>
      </w:hyperlink>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352EC" w:rsidTr="00EB58CE">
      <w:tblPrEx>
        <w:tblCellMar>
          <w:top w:w="0" w:type="dxa"/>
          <w:bottom w:w="0" w:type="dxa"/>
        </w:tblCellMar>
      </w:tblPrEx>
      <w:trPr>
        <w:trHeight w:hRule="exact" w:val="864"/>
      </w:trPr>
      <w:tc>
        <w:tcPr>
          <w:tcW w:w="4838" w:type="dxa"/>
          <w:shd w:val="clear" w:color="auto" w:fill="auto"/>
          <w:vAlign w:val="bottom"/>
        </w:tcPr>
        <w:p w:rsidR="005352EC" w:rsidRPr="00EB58CE" w:rsidRDefault="005352EC" w:rsidP="00EB58CE">
          <w:pPr>
            <w:pStyle w:val="Header"/>
            <w:spacing w:after="80"/>
            <w:jc w:val="left"/>
            <w:rPr>
              <w:b/>
              <w:sz w:val="17"/>
            </w:rPr>
          </w:pPr>
          <w:fldSimple w:instr=" DOCVARIABLE &quot;sss1&quot; \* MERGEFORMAT ">
            <w:r>
              <w:rPr>
                <w:b/>
                <w:sz w:val="17"/>
              </w:rPr>
              <w:t>CEDAW/C/DNK/8</w:t>
            </w:r>
          </w:fldSimple>
        </w:p>
      </w:tc>
      <w:tc>
        <w:tcPr>
          <w:tcW w:w="5033" w:type="dxa"/>
          <w:shd w:val="clear" w:color="auto" w:fill="auto"/>
          <w:vAlign w:val="bottom"/>
        </w:tcPr>
        <w:p w:rsidR="005352EC" w:rsidRDefault="005352EC" w:rsidP="00EB58CE">
          <w:pPr>
            <w:pStyle w:val="Header"/>
          </w:pPr>
        </w:p>
      </w:tc>
    </w:tr>
  </w:tbl>
  <w:p w:rsidR="005352EC" w:rsidRPr="00EB58CE" w:rsidRDefault="005352EC" w:rsidP="00EB58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352EC" w:rsidTr="00EB58CE">
      <w:tblPrEx>
        <w:tblCellMar>
          <w:top w:w="0" w:type="dxa"/>
          <w:bottom w:w="0" w:type="dxa"/>
        </w:tblCellMar>
      </w:tblPrEx>
      <w:trPr>
        <w:trHeight w:hRule="exact" w:val="864"/>
      </w:trPr>
      <w:tc>
        <w:tcPr>
          <w:tcW w:w="4838" w:type="dxa"/>
          <w:shd w:val="clear" w:color="auto" w:fill="auto"/>
          <w:vAlign w:val="bottom"/>
        </w:tcPr>
        <w:p w:rsidR="005352EC" w:rsidRDefault="005352EC" w:rsidP="00EB58CE">
          <w:pPr>
            <w:pStyle w:val="Header"/>
          </w:pPr>
        </w:p>
      </w:tc>
      <w:tc>
        <w:tcPr>
          <w:tcW w:w="5033" w:type="dxa"/>
          <w:shd w:val="clear" w:color="auto" w:fill="auto"/>
          <w:vAlign w:val="bottom"/>
        </w:tcPr>
        <w:p w:rsidR="005352EC" w:rsidRPr="00EB58CE" w:rsidRDefault="005352EC" w:rsidP="00EB58CE">
          <w:pPr>
            <w:pStyle w:val="Header"/>
            <w:spacing w:after="80"/>
            <w:jc w:val="right"/>
            <w:rPr>
              <w:b/>
              <w:sz w:val="17"/>
            </w:rPr>
          </w:pPr>
          <w:fldSimple w:instr=" DOCVARIABLE &quot;sss1&quot; \* MERGEFORMAT ">
            <w:r>
              <w:rPr>
                <w:b/>
                <w:sz w:val="17"/>
              </w:rPr>
              <w:t>CEDAW/C/DNK/8</w:t>
            </w:r>
          </w:fldSimple>
        </w:p>
      </w:tc>
    </w:tr>
  </w:tbl>
  <w:p w:rsidR="005352EC" w:rsidRPr="00EB58CE" w:rsidRDefault="005352EC" w:rsidP="00EB58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352EC" w:rsidTr="00EB58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52EC" w:rsidRDefault="005352EC" w:rsidP="00EB58CE">
          <w:pPr>
            <w:pStyle w:val="Header"/>
            <w:spacing w:after="120"/>
          </w:pPr>
        </w:p>
      </w:tc>
      <w:tc>
        <w:tcPr>
          <w:tcW w:w="1872" w:type="dxa"/>
          <w:tcBorders>
            <w:bottom w:val="single" w:sz="4" w:space="0" w:color="auto"/>
          </w:tcBorders>
          <w:shd w:val="clear" w:color="auto" w:fill="auto"/>
          <w:vAlign w:val="bottom"/>
        </w:tcPr>
        <w:p w:rsidR="005352EC" w:rsidRPr="00EB58CE" w:rsidRDefault="005352EC" w:rsidP="00EB58C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352EC" w:rsidRDefault="005352EC" w:rsidP="00EB58CE">
          <w:pPr>
            <w:pStyle w:val="Header"/>
            <w:spacing w:after="120"/>
          </w:pPr>
        </w:p>
      </w:tc>
      <w:tc>
        <w:tcPr>
          <w:tcW w:w="6523" w:type="dxa"/>
          <w:gridSpan w:val="3"/>
          <w:tcBorders>
            <w:bottom w:val="single" w:sz="4" w:space="0" w:color="auto"/>
          </w:tcBorders>
          <w:shd w:val="clear" w:color="auto" w:fill="auto"/>
          <w:vAlign w:val="bottom"/>
        </w:tcPr>
        <w:p w:rsidR="005352EC" w:rsidRPr="00EB58CE" w:rsidRDefault="005352EC" w:rsidP="00EB58CE">
          <w:pPr>
            <w:spacing w:after="80" w:line="240" w:lineRule="auto"/>
            <w:jc w:val="right"/>
            <w:rPr>
              <w:rFonts w:ascii="Times New Roman"/>
              <w:position w:val="-4"/>
            </w:rPr>
          </w:pPr>
          <w:r>
            <w:rPr>
              <w:rFonts w:ascii="Times New Roman"/>
              <w:position w:val="-4"/>
              <w:sz w:val="40"/>
            </w:rPr>
            <w:t>CEDAW</w:t>
          </w:r>
          <w:r>
            <w:rPr>
              <w:rFonts w:ascii="Times New Roman"/>
              <w:position w:val="-4"/>
            </w:rPr>
            <w:t>/C/DNK/8</w:t>
          </w:r>
        </w:p>
      </w:tc>
    </w:tr>
    <w:tr w:rsidR="005352EC" w:rsidRPr="00EB58CE" w:rsidTr="00EB58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52EC" w:rsidRDefault="005352EC" w:rsidP="00EB58C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7.25pt">
                <v:imagedata r:id="rId1" o:title="_unlogo"/>
              </v:shape>
            </w:pict>
          </w:r>
        </w:p>
        <w:p w:rsidR="005352EC" w:rsidRPr="00EB58CE" w:rsidRDefault="005352EC" w:rsidP="00EB58CE">
          <w:pPr>
            <w:pStyle w:val="Header"/>
            <w:spacing w:before="109"/>
            <w:ind w:left="-72"/>
          </w:pPr>
        </w:p>
      </w:tc>
      <w:tc>
        <w:tcPr>
          <w:tcW w:w="5227" w:type="dxa"/>
          <w:gridSpan w:val="3"/>
          <w:tcBorders>
            <w:top w:val="single" w:sz="4" w:space="0" w:color="auto"/>
            <w:bottom w:val="single" w:sz="12" w:space="0" w:color="auto"/>
          </w:tcBorders>
          <w:shd w:val="clear" w:color="auto" w:fill="auto"/>
        </w:tcPr>
        <w:p w:rsidR="005352EC" w:rsidRPr="00EB58CE" w:rsidRDefault="005352EC" w:rsidP="00EB58C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352EC" w:rsidRPr="00EB58CE" w:rsidRDefault="005352EC" w:rsidP="00EB58CE">
          <w:pPr>
            <w:pStyle w:val="Header"/>
            <w:spacing w:before="109"/>
          </w:pPr>
        </w:p>
      </w:tc>
      <w:tc>
        <w:tcPr>
          <w:tcW w:w="3180" w:type="dxa"/>
          <w:gridSpan w:val="2"/>
          <w:tcBorders>
            <w:top w:val="single" w:sz="4" w:space="0" w:color="auto"/>
            <w:bottom w:val="single" w:sz="12" w:space="0" w:color="auto"/>
          </w:tcBorders>
          <w:shd w:val="clear" w:color="auto" w:fill="auto"/>
        </w:tcPr>
        <w:p w:rsidR="005352EC" w:rsidRDefault="005352EC" w:rsidP="00EB58CE">
          <w:pPr>
            <w:spacing w:before="240" w:line="240" w:lineRule="exact"/>
            <w:rPr>
              <w:rFonts w:ascii="Times New Roman"/>
            </w:rPr>
          </w:pPr>
          <w:r>
            <w:rPr>
              <w:rFonts w:ascii="Times New Roman"/>
            </w:rPr>
            <w:t>Distr.: General</w:t>
          </w:r>
        </w:p>
        <w:p w:rsidR="005352EC" w:rsidRDefault="005352EC" w:rsidP="00EB58CE">
          <w:pPr>
            <w:spacing w:line="240" w:lineRule="exact"/>
            <w:rPr>
              <w:rFonts w:ascii="Times New Roman"/>
            </w:rPr>
          </w:pPr>
          <w:r>
            <w:rPr>
              <w:rFonts w:ascii="Times New Roman"/>
            </w:rPr>
            <w:t>16 December 2013</w:t>
          </w:r>
        </w:p>
        <w:p w:rsidR="005352EC" w:rsidRDefault="005352EC" w:rsidP="00EB58CE">
          <w:pPr>
            <w:spacing w:line="240" w:lineRule="exact"/>
            <w:rPr>
              <w:rFonts w:ascii="Times New Roman"/>
            </w:rPr>
          </w:pPr>
          <w:r>
            <w:rPr>
              <w:rFonts w:ascii="Times New Roman"/>
            </w:rPr>
            <w:t>Chinese</w:t>
          </w:r>
        </w:p>
        <w:p w:rsidR="005352EC" w:rsidRPr="00EB58CE" w:rsidRDefault="005352EC" w:rsidP="00EB58CE">
          <w:pPr>
            <w:spacing w:line="240" w:lineRule="exact"/>
            <w:rPr>
              <w:rFonts w:ascii="Times New Roman"/>
            </w:rPr>
          </w:pPr>
          <w:r>
            <w:rPr>
              <w:rFonts w:ascii="Times New Roman"/>
            </w:rPr>
            <w:t>Original: English</w:t>
          </w:r>
        </w:p>
      </w:tc>
    </w:tr>
  </w:tbl>
  <w:p w:rsidR="005352EC" w:rsidRPr="00EB58CE" w:rsidRDefault="005352EC" w:rsidP="00EB58C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42480E1C"/>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48C14CB7"/>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59*"/>
    <w:docVar w:name="CreationDt" w:val="30/01/2014 13:59:22"/>
    <w:docVar w:name="DocCategory" w:val="Doc"/>
    <w:docVar w:name="DocType" w:val="Final"/>
    <w:docVar w:name="FooterJN" w:val="13-62159 (C)"/>
    <w:docVar w:name="jobn" w:val="13-62159 (C)"/>
    <w:docVar w:name="jobnDT" w:val="13-62159 (C)   300114"/>
    <w:docVar w:name="jobnDTDT" w:val="13-62159 (C)   300114   300114"/>
    <w:docVar w:name="JobNo" w:val="1362159C"/>
    <w:docVar w:name="OandT" w:val="yanghua"/>
    <w:docVar w:name="sss1" w:val="CEDAW/C/DNK/8"/>
    <w:docVar w:name="sss2" w:val="-"/>
    <w:docVar w:name="Symbol1" w:val="CEDAW/C/DNK/8"/>
    <w:docVar w:name="Symbol2" w:val="-"/>
  </w:docVars>
  <w:rsids>
    <w:rsidRoot w:val="003158BB"/>
    <w:rsid w:val="0000347C"/>
    <w:rsid w:val="000125BC"/>
    <w:rsid w:val="0001645E"/>
    <w:rsid w:val="00021A2B"/>
    <w:rsid w:val="00024E72"/>
    <w:rsid w:val="00034465"/>
    <w:rsid w:val="00036AA2"/>
    <w:rsid w:val="00036F1B"/>
    <w:rsid w:val="00037444"/>
    <w:rsid w:val="00037B39"/>
    <w:rsid w:val="00044CA4"/>
    <w:rsid w:val="00044EE9"/>
    <w:rsid w:val="00045EFE"/>
    <w:rsid w:val="00053537"/>
    <w:rsid w:val="0007337D"/>
    <w:rsid w:val="000758DF"/>
    <w:rsid w:val="00076EB8"/>
    <w:rsid w:val="000777FC"/>
    <w:rsid w:val="00077AEE"/>
    <w:rsid w:val="00082CCB"/>
    <w:rsid w:val="00083CAB"/>
    <w:rsid w:val="00095C67"/>
    <w:rsid w:val="00096188"/>
    <w:rsid w:val="000A31F9"/>
    <w:rsid w:val="000B218A"/>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345E0"/>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270F4"/>
    <w:rsid w:val="00231575"/>
    <w:rsid w:val="00241DB7"/>
    <w:rsid w:val="00247382"/>
    <w:rsid w:val="00252453"/>
    <w:rsid w:val="00252E35"/>
    <w:rsid w:val="00254858"/>
    <w:rsid w:val="00255FC4"/>
    <w:rsid w:val="00257053"/>
    <w:rsid w:val="00260C62"/>
    <w:rsid w:val="00260ED1"/>
    <w:rsid w:val="00263B7B"/>
    <w:rsid w:val="00266257"/>
    <w:rsid w:val="00271BE6"/>
    <w:rsid w:val="0027454D"/>
    <w:rsid w:val="00277AAE"/>
    <w:rsid w:val="00280671"/>
    <w:rsid w:val="002814F9"/>
    <w:rsid w:val="00282747"/>
    <w:rsid w:val="00282D17"/>
    <w:rsid w:val="00291403"/>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30FB"/>
    <w:rsid w:val="002E66D5"/>
    <w:rsid w:val="002F096E"/>
    <w:rsid w:val="002F41E2"/>
    <w:rsid w:val="003063F6"/>
    <w:rsid w:val="003158BB"/>
    <w:rsid w:val="00320C99"/>
    <w:rsid w:val="003274A9"/>
    <w:rsid w:val="00331221"/>
    <w:rsid w:val="003337AE"/>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3F3E78"/>
    <w:rsid w:val="00414423"/>
    <w:rsid w:val="00433853"/>
    <w:rsid w:val="00440B0D"/>
    <w:rsid w:val="004411AD"/>
    <w:rsid w:val="004424EF"/>
    <w:rsid w:val="00453BB0"/>
    <w:rsid w:val="00460162"/>
    <w:rsid w:val="004620A8"/>
    <w:rsid w:val="00466BB5"/>
    <w:rsid w:val="004700CF"/>
    <w:rsid w:val="004821D0"/>
    <w:rsid w:val="00487444"/>
    <w:rsid w:val="00490B71"/>
    <w:rsid w:val="00493C9C"/>
    <w:rsid w:val="004A06D1"/>
    <w:rsid w:val="004A11FC"/>
    <w:rsid w:val="004B2C67"/>
    <w:rsid w:val="004C0224"/>
    <w:rsid w:val="004C053E"/>
    <w:rsid w:val="004C3255"/>
    <w:rsid w:val="004D07E1"/>
    <w:rsid w:val="004D1C19"/>
    <w:rsid w:val="004E739A"/>
    <w:rsid w:val="004F29B8"/>
    <w:rsid w:val="004F5E26"/>
    <w:rsid w:val="0050413E"/>
    <w:rsid w:val="0051023B"/>
    <w:rsid w:val="00515657"/>
    <w:rsid w:val="00521275"/>
    <w:rsid w:val="0052216F"/>
    <w:rsid w:val="005232CA"/>
    <w:rsid w:val="00523636"/>
    <w:rsid w:val="00530CBB"/>
    <w:rsid w:val="0053111B"/>
    <w:rsid w:val="005335B9"/>
    <w:rsid w:val="005352EC"/>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1AFA"/>
    <w:rsid w:val="006432CB"/>
    <w:rsid w:val="006479F1"/>
    <w:rsid w:val="00650BEE"/>
    <w:rsid w:val="006520FA"/>
    <w:rsid w:val="0065377D"/>
    <w:rsid w:val="00666F57"/>
    <w:rsid w:val="006740A7"/>
    <w:rsid w:val="00674C4B"/>
    <w:rsid w:val="006767D5"/>
    <w:rsid w:val="00691524"/>
    <w:rsid w:val="006926DF"/>
    <w:rsid w:val="006A654B"/>
    <w:rsid w:val="006C4BB3"/>
    <w:rsid w:val="006D4A4D"/>
    <w:rsid w:val="006D67CB"/>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0E6D"/>
    <w:rsid w:val="00846462"/>
    <w:rsid w:val="00860742"/>
    <w:rsid w:val="0086691F"/>
    <w:rsid w:val="00872730"/>
    <w:rsid w:val="0088050C"/>
    <w:rsid w:val="00881F7D"/>
    <w:rsid w:val="00883DB0"/>
    <w:rsid w:val="00884C8F"/>
    <w:rsid w:val="00891CDF"/>
    <w:rsid w:val="00896D38"/>
    <w:rsid w:val="008A0216"/>
    <w:rsid w:val="008C076B"/>
    <w:rsid w:val="008C3296"/>
    <w:rsid w:val="008C3413"/>
    <w:rsid w:val="008E2D03"/>
    <w:rsid w:val="008E74BC"/>
    <w:rsid w:val="008E7BDF"/>
    <w:rsid w:val="008F2BB5"/>
    <w:rsid w:val="008F425D"/>
    <w:rsid w:val="008F5472"/>
    <w:rsid w:val="008F5D0F"/>
    <w:rsid w:val="009122E0"/>
    <w:rsid w:val="00913351"/>
    <w:rsid w:val="009303E0"/>
    <w:rsid w:val="00957134"/>
    <w:rsid w:val="0096193C"/>
    <w:rsid w:val="009769E1"/>
    <w:rsid w:val="00977E0D"/>
    <w:rsid w:val="00982D5C"/>
    <w:rsid w:val="00986132"/>
    <w:rsid w:val="00986C04"/>
    <w:rsid w:val="009932F9"/>
    <w:rsid w:val="009A11E3"/>
    <w:rsid w:val="009A2F76"/>
    <w:rsid w:val="009A559B"/>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6325"/>
    <w:rsid w:val="00A37345"/>
    <w:rsid w:val="00A40AAE"/>
    <w:rsid w:val="00A40EA9"/>
    <w:rsid w:val="00A4532A"/>
    <w:rsid w:val="00A5206D"/>
    <w:rsid w:val="00A55E9E"/>
    <w:rsid w:val="00A652D9"/>
    <w:rsid w:val="00A72E47"/>
    <w:rsid w:val="00A750A5"/>
    <w:rsid w:val="00A7681B"/>
    <w:rsid w:val="00A778F1"/>
    <w:rsid w:val="00A90956"/>
    <w:rsid w:val="00A95404"/>
    <w:rsid w:val="00A968C5"/>
    <w:rsid w:val="00AA3C28"/>
    <w:rsid w:val="00AA551C"/>
    <w:rsid w:val="00AA759D"/>
    <w:rsid w:val="00AB2786"/>
    <w:rsid w:val="00AC550F"/>
    <w:rsid w:val="00AD4308"/>
    <w:rsid w:val="00AE2EBC"/>
    <w:rsid w:val="00AE51F4"/>
    <w:rsid w:val="00AF2A33"/>
    <w:rsid w:val="00AF4C2D"/>
    <w:rsid w:val="00AF5FB9"/>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95F40"/>
    <w:rsid w:val="00BA369E"/>
    <w:rsid w:val="00BB23A4"/>
    <w:rsid w:val="00BB6332"/>
    <w:rsid w:val="00BC2276"/>
    <w:rsid w:val="00BD1B08"/>
    <w:rsid w:val="00BD1BFF"/>
    <w:rsid w:val="00BD2150"/>
    <w:rsid w:val="00BD566C"/>
    <w:rsid w:val="00BE1CC3"/>
    <w:rsid w:val="00BE365A"/>
    <w:rsid w:val="00BE47C4"/>
    <w:rsid w:val="00C052A2"/>
    <w:rsid w:val="00C06A4A"/>
    <w:rsid w:val="00C10BAF"/>
    <w:rsid w:val="00C1391A"/>
    <w:rsid w:val="00C14CE6"/>
    <w:rsid w:val="00C15218"/>
    <w:rsid w:val="00C22BB2"/>
    <w:rsid w:val="00C22F76"/>
    <w:rsid w:val="00C2725D"/>
    <w:rsid w:val="00C31E79"/>
    <w:rsid w:val="00C403C9"/>
    <w:rsid w:val="00C42033"/>
    <w:rsid w:val="00C447FE"/>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0634"/>
    <w:rsid w:val="00D177F1"/>
    <w:rsid w:val="00D25E6B"/>
    <w:rsid w:val="00D32015"/>
    <w:rsid w:val="00D323B5"/>
    <w:rsid w:val="00D40C0B"/>
    <w:rsid w:val="00D42ACC"/>
    <w:rsid w:val="00D51DC5"/>
    <w:rsid w:val="00D53FF1"/>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C4C76"/>
    <w:rsid w:val="00DD3D6B"/>
    <w:rsid w:val="00DD4467"/>
    <w:rsid w:val="00DD5418"/>
    <w:rsid w:val="00DD61C8"/>
    <w:rsid w:val="00DD772B"/>
    <w:rsid w:val="00DE2AA2"/>
    <w:rsid w:val="00DF742A"/>
    <w:rsid w:val="00E041F4"/>
    <w:rsid w:val="00E050BA"/>
    <w:rsid w:val="00E25442"/>
    <w:rsid w:val="00E25A1F"/>
    <w:rsid w:val="00E34E6A"/>
    <w:rsid w:val="00E35B72"/>
    <w:rsid w:val="00E37EEB"/>
    <w:rsid w:val="00E37EFB"/>
    <w:rsid w:val="00E5153D"/>
    <w:rsid w:val="00E62C5A"/>
    <w:rsid w:val="00E710FB"/>
    <w:rsid w:val="00E73CC9"/>
    <w:rsid w:val="00E75847"/>
    <w:rsid w:val="00E806D9"/>
    <w:rsid w:val="00E82CA2"/>
    <w:rsid w:val="00E94E5A"/>
    <w:rsid w:val="00E95594"/>
    <w:rsid w:val="00EA31C3"/>
    <w:rsid w:val="00EB33AC"/>
    <w:rsid w:val="00EB58CE"/>
    <w:rsid w:val="00EC669D"/>
    <w:rsid w:val="00EC6F21"/>
    <w:rsid w:val="00ED51BA"/>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A2D54"/>
    <w:rsid w:val="00FC1CE4"/>
    <w:rsid w:val="00FC5899"/>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SingleTxt"/>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paragraph" w:customStyle="1" w:styleId="GB23126">
    <w:name w:val="样式 (中文) 楷体_GB2312 六号 蓝色 右 段后: 6 磅 行距: 单倍行距"/>
    <w:basedOn w:val="Normal"/>
    <w:rsid w:val="00BD566C"/>
    <w:pPr>
      <w:spacing w:after="120" w:line="240" w:lineRule="auto"/>
      <w:jc w:val="right"/>
    </w:pPr>
    <w:rPr>
      <w:rFonts w:eastAsia="KaiTi_GB2312" w:cs="SimSun"/>
      <w:sz w:val="15"/>
    </w:rPr>
  </w:style>
  <w:style w:type="paragraph" w:customStyle="1" w:styleId="HCh6">
    <w:name w:val="样式 _ H _Ch + (中文) 宋体 段后: 6 磅"/>
    <w:basedOn w:val="HCh"/>
    <w:rsid w:val="00BD566C"/>
    <w:pPr>
      <w:spacing w:after="120"/>
      <w:jc w:val="left"/>
    </w:pPr>
    <w:rPr>
      <w:rFonts w:eastAsia="SimSun" w:cs="SimSun"/>
    </w:rPr>
  </w:style>
  <w:style w:type="paragraph" w:customStyle="1" w:styleId="SingleTxtG">
    <w:name w:val="_ Single Txt_G"/>
    <w:basedOn w:val="Normal"/>
    <w:rsid w:val="00DE2AA2"/>
    <w:pPr>
      <w:suppressAutoHyphens/>
      <w:spacing w:after="120" w:line="240" w:lineRule="atLeast"/>
      <w:ind w:left="1134" w:right="1134"/>
    </w:pPr>
    <w:rPr>
      <w:rFonts w:ascii="Times New Roman"/>
      <w:kern w:val="0"/>
      <w:sz w:val="20"/>
      <w:lang w:val="en-GB" w:eastAsia="en-US"/>
    </w:rPr>
  </w:style>
  <w:style w:type="paragraph" w:styleId="Date">
    <w:name w:val="Date"/>
    <w:basedOn w:val="Normal"/>
    <w:next w:val="Normal"/>
    <w:rsid w:val="00282747"/>
  </w:style>
</w:styles>
</file>

<file path=word/webSettings.xml><?xml version="1.0" encoding="utf-8"?>
<w:webSettings xmlns:r="http://schemas.openxmlformats.org/officeDocument/2006/relationships" xmlns:w="http://schemas.openxmlformats.org/wordprocessingml/2006/main">
  <w:divs>
    <w:div w:id="252857492">
      <w:bodyDiv w:val="1"/>
      <w:marLeft w:val="0"/>
      <w:marRight w:val="0"/>
      <w:marTop w:val="0"/>
      <w:marBottom w:val="0"/>
      <w:divBdr>
        <w:top w:val="none" w:sz="0" w:space="0" w:color="auto"/>
        <w:left w:val="none" w:sz="0" w:space="0" w:color="auto"/>
        <w:bottom w:val="none" w:sz="0" w:space="0" w:color="auto"/>
        <w:right w:val="none" w:sz="0" w:space="0" w:color="auto"/>
      </w:divBdr>
    </w:div>
    <w:div w:id="317808645">
      <w:bodyDiv w:val="1"/>
      <w:marLeft w:val="0"/>
      <w:marRight w:val="0"/>
      <w:marTop w:val="0"/>
      <w:marBottom w:val="0"/>
      <w:divBdr>
        <w:top w:val="none" w:sz="0" w:space="0" w:color="auto"/>
        <w:left w:val="none" w:sz="0" w:space="0" w:color="auto"/>
        <w:bottom w:val="none" w:sz="0" w:space="0" w:color="auto"/>
        <w:right w:val="none" w:sz="0" w:space="0" w:color="auto"/>
      </w:divBdr>
    </w:div>
    <w:div w:id="469056115">
      <w:bodyDiv w:val="1"/>
      <w:marLeft w:val="0"/>
      <w:marRight w:val="0"/>
      <w:marTop w:val="0"/>
      <w:marBottom w:val="0"/>
      <w:divBdr>
        <w:top w:val="none" w:sz="0" w:space="0" w:color="auto"/>
        <w:left w:val="none" w:sz="0" w:space="0" w:color="auto"/>
        <w:bottom w:val="none" w:sz="0" w:space="0" w:color="auto"/>
        <w:right w:val="none" w:sz="0" w:space="0" w:color="auto"/>
      </w:divBdr>
    </w:div>
    <w:div w:id="572933636">
      <w:bodyDiv w:val="1"/>
      <w:marLeft w:val="0"/>
      <w:marRight w:val="0"/>
      <w:marTop w:val="0"/>
      <w:marBottom w:val="0"/>
      <w:divBdr>
        <w:top w:val="none" w:sz="0" w:space="0" w:color="auto"/>
        <w:left w:val="none" w:sz="0" w:space="0" w:color="auto"/>
        <w:bottom w:val="none" w:sz="0" w:space="0" w:color="auto"/>
        <w:right w:val="none" w:sz="0" w:space="0" w:color="auto"/>
      </w:divBdr>
    </w:div>
    <w:div w:id="740951168">
      <w:bodyDiv w:val="1"/>
      <w:marLeft w:val="0"/>
      <w:marRight w:val="0"/>
      <w:marTop w:val="0"/>
      <w:marBottom w:val="0"/>
      <w:divBdr>
        <w:top w:val="none" w:sz="0" w:space="0" w:color="auto"/>
        <w:left w:val="none" w:sz="0" w:space="0" w:color="auto"/>
        <w:bottom w:val="none" w:sz="0" w:space="0" w:color="auto"/>
        <w:right w:val="none" w:sz="0" w:space="0" w:color="auto"/>
      </w:divBdr>
    </w:div>
    <w:div w:id="1079643397">
      <w:bodyDiv w:val="1"/>
      <w:marLeft w:val="0"/>
      <w:marRight w:val="0"/>
      <w:marTop w:val="0"/>
      <w:marBottom w:val="0"/>
      <w:divBdr>
        <w:top w:val="none" w:sz="0" w:space="0" w:color="auto"/>
        <w:left w:val="none" w:sz="0" w:space="0" w:color="auto"/>
        <w:bottom w:val="none" w:sz="0" w:space="0" w:color="auto"/>
        <w:right w:val="none" w:sz="0" w:space="0" w:color="auto"/>
      </w:divBdr>
    </w:div>
    <w:div w:id="1268736949">
      <w:bodyDiv w:val="1"/>
      <w:marLeft w:val="0"/>
      <w:marRight w:val="0"/>
      <w:marTop w:val="0"/>
      <w:marBottom w:val="0"/>
      <w:divBdr>
        <w:top w:val="none" w:sz="0" w:space="0" w:color="auto"/>
        <w:left w:val="none" w:sz="0" w:space="0" w:color="auto"/>
        <w:bottom w:val="none" w:sz="0" w:space="0" w:color="auto"/>
        <w:right w:val="none" w:sz="0" w:space="0" w:color="auto"/>
      </w:divBdr>
    </w:div>
    <w:div w:id="1278634763">
      <w:bodyDiv w:val="1"/>
      <w:marLeft w:val="0"/>
      <w:marRight w:val="0"/>
      <w:marTop w:val="0"/>
      <w:marBottom w:val="0"/>
      <w:divBdr>
        <w:top w:val="none" w:sz="0" w:space="0" w:color="auto"/>
        <w:left w:val="none" w:sz="0" w:space="0" w:color="auto"/>
        <w:bottom w:val="none" w:sz="0" w:space="0" w:color="auto"/>
        <w:right w:val="none" w:sz="0" w:space="0" w:color="auto"/>
      </w:divBdr>
    </w:div>
    <w:div w:id="1526211923">
      <w:bodyDiv w:val="1"/>
      <w:marLeft w:val="0"/>
      <w:marRight w:val="0"/>
      <w:marTop w:val="0"/>
      <w:marBottom w:val="0"/>
      <w:divBdr>
        <w:top w:val="none" w:sz="0" w:space="0" w:color="auto"/>
        <w:left w:val="none" w:sz="0" w:space="0" w:color="auto"/>
        <w:bottom w:val="none" w:sz="0" w:space="0" w:color="auto"/>
        <w:right w:val="none" w:sz="0" w:space="0" w:color="auto"/>
      </w:divBdr>
    </w:div>
    <w:div w:id="1706444315">
      <w:bodyDiv w:val="1"/>
      <w:marLeft w:val="0"/>
      <w:marRight w:val="0"/>
      <w:marTop w:val="0"/>
      <w:marBottom w:val="0"/>
      <w:divBdr>
        <w:top w:val="none" w:sz="0" w:space="0" w:color="auto"/>
        <w:left w:val="none" w:sz="0" w:space="0" w:color="auto"/>
        <w:bottom w:val="none" w:sz="0" w:space="0" w:color="auto"/>
        <w:right w:val="none" w:sz="0" w:space="0" w:color="auto"/>
      </w:divBdr>
    </w:div>
    <w:div w:id="1773745009">
      <w:bodyDiv w:val="1"/>
      <w:marLeft w:val="0"/>
      <w:marRight w:val="0"/>
      <w:marTop w:val="0"/>
      <w:marBottom w:val="0"/>
      <w:divBdr>
        <w:top w:val="none" w:sz="0" w:space="0" w:color="auto"/>
        <w:left w:val="none" w:sz="0" w:space="0" w:color="auto"/>
        <w:bottom w:val="none" w:sz="0" w:space="0" w:color="auto"/>
        <w:right w:val="none" w:sz="0" w:space="0" w:color="auto"/>
      </w:divBdr>
    </w:div>
    <w:div w:id="1809395036">
      <w:bodyDiv w:val="1"/>
      <w:marLeft w:val="0"/>
      <w:marRight w:val="0"/>
      <w:marTop w:val="0"/>
      <w:marBottom w:val="0"/>
      <w:divBdr>
        <w:top w:val="none" w:sz="0" w:space="0" w:color="auto"/>
        <w:left w:val="none" w:sz="0" w:space="0" w:color="auto"/>
        <w:bottom w:val="none" w:sz="0" w:space="0" w:color="auto"/>
        <w:right w:val="none" w:sz="0" w:space="0" w:color="auto"/>
      </w:divBdr>
    </w:div>
    <w:div w:id="2020620730">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m.dk/Publikationer/Sider/VisPublikation.aspx?Publication=704" TargetMode="External"/><Relationship Id="rId1" Type="http://schemas.openxmlformats.org/officeDocument/2006/relationships/hyperlink" Target="http://www.sm.dk/data/Dokumentertilnyheder/2011/Ung%20i%202011_rappor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348</TotalTime>
  <Pages>33</Pages>
  <Words>4242</Words>
  <Characters>24180</Characters>
  <Application>Microsoft Office Outlook</Application>
  <DocSecurity>4</DocSecurity>
  <Lines>201</Lines>
  <Paragraphs>56</Paragraphs>
  <ScaleCrop>false</ScaleCrop>
  <Company>United Nations</Company>
  <LinksUpToDate>false</LinksUpToDate>
  <CharactersWithSpaces>28366</CharactersWithSpaces>
  <SharedDoc>false</SharedDoc>
  <HLinks>
    <vt:vector size="12" baseType="variant">
      <vt:variant>
        <vt:i4>4194368</vt:i4>
      </vt:variant>
      <vt:variant>
        <vt:i4>3</vt:i4>
      </vt:variant>
      <vt:variant>
        <vt:i4>0</vt:i4>
      </vt:variant>
      <vt:variant>
        <vt:i4>5</vt:i4>
      </vt:variant>
      <vt:variant>
        <vt:lpwstr>http://www.sm.dk/Publikationer/Sider/VisPublikation.aspx?Publication=704</vt:lpwstr>
      </vt:variant>
      <vt:variant>
        <vt:lpwstr/>
      </vt:variant>
      <vt:variant>
        <vt:i4>7209054</vt:i4>
      </vt:variant>
      <vt:variant>
        <vt:i4>0</vt:i4>
      </vt:variant>
      <vt:variant>
        <vt:i4>0</vt:i4>
      </vt:variant>
      <vt:variant>
        <vt:i4>5</vt:i4>
      </vt:variant>
      <vt:variant>
        <vt:lpwstr>http://www.sm.dk/data/Dokumentertilnyheder/2011/Ung i 2011_rapport.pdf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ctpu1</cp:lastModifiedBy>
  <cp:revision>48</cp:revision>
  <cp:lastPrinted>2014-01-31T12:05:00Z</cp:lastPrinted>
  <dcterms:created xsi:type="dcterms:W3CDTF">2014-01-30T12:57:00Z</dcterms:created>
  <dcterms:modified xsi:type="dcterms:W3CDTF">2014-03-07T13:03:00Z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1362159</vt:lpwstr>
  </property>
  <property fmtid="{D5CDD505-2E9C-101B-9397-08002B2CF9AE}" pid="3" name="Symbol1">
    <vt:lpwstr>CEDAW/C/DNK/8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