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11B" w:rsidRDefault="00CF011B" w:rsidP="00CF011B">
      <w:pPr>
        <w:spacing w:line="60" w:lineRule="exact"/>
        <w:rPr>
          <w:sz w:val="6"/>
        </w:rPr>
        <w:sectPr w:rsidR="00CF011B" w:rsidSect="00CF011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CF011B" w:rsidRDefault="00CF011B" w:rsidP="00CF011B">
      <w:pPr>
        <w:spacing w:line="60" w:lineRule="exact"/>
        <w:rPr>
          <w:sz w:val="6"/>
        </w:rPr>
      </w:pPr>
    </w:p>
    <w:p w:rsidR="001A3AD4" w:rsidRDefault="001A3AD4" w:rsidP="001A3A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Lines="30" w:after="72"/>
        <w:ind w:left="1267" w:right="1260" w:hanging="1267"/>
        <w:rPr>
          <w:rFonts w:hint="eastAsia"/>
        </w:rPr>
      </w:pPr>
      <w:r>
        <w:rPr>
          <w:rFonts w:hint="eastAsia"/>
        </w:rPr>
        <w:t>消除对妇女歧视委员会</w:t>
      </w:r>
    </w:p>
    <w:p w:rsidR="001A3AD4" w:rsidRPr="001A3AD4" w:rsidRDefault="001A3AD4" w:rsidP="001A3AD4">
      <w:pPr>
        <w:pStyle w:val="SingleTxt"/>
        <w:spacing w:afterLines="30" w:after="72"/>
        <w:ind w:left="0"/>
        <w:rPr>
          <w:rFonts w:ascii="SimHei" w:eastAsia="SimHei" w:hint="eastAsia"/>
          <w:color w:val="FF0000"/>
        </w:rPr>
      </w:pPr>
      <w:r w:rsidRPr="001A3AD4">
        <w:rPr>
          <w:rFonts w:ascii="SimHei" w:eastAsia="SimHei" w:hint="eastAsia"/>
          <w:color w:val="FF0000"/>
        </w:rPr>
        <w:t>会前工作组</w:t>
      </w:r>
    </w:p>
    <w:p w:rsidR="001A3AD4" w:rsidRPr="001A3AD4" w:rsidRDefault="001A3AD4" w:rsidP="001A3AD4">
      <w:pPr>
        <w:pStyle w:val="SingleTxt"/>
        <w:spacing w:afterLines="30" w:after="72"/>
        <w:ind w:left="0"/>
        <w:rPr>
          <w:rFonts w:ascii="SimHei" w:eastAsia="SimHei" w:hint="eastAsia"/>
          <w:color w:val="FF0000"/>
        </w:rPr>
      </w:pPr>
      <w:r w:rsidRPr="001A3AD4">
        <w:rPr>
          <w:rFonts w:ascii="SimHei" w:eastAsia="SimHei" w:hint="eastAsia"/>
          <w:color w:val="FF0000"/>
        </w:rPr>
        <w:t>第三十七届会议</w:t>
      </w:r>
    </w:p>
    <w:p w:rsidR="001A3AD4" w:rsidRDefault="001A3AD4" w:rsidP="001A3AD4">
      <w:pPr>
        <w:pStyle w:val="SingleTxt"/>
        <w:spacing w:afterLines="30" w:after="72"/>
        <w:ind w:left="0"/>
        <w:rPr>
          <w:rFonts w:hint="eastAsia"/>
        </w:rPr>
      </w:pPr>
      <w:r>
        <w:rPr>
          <w:rFonts w:hint="eastAsia"/>
        </w:rPr>
        <w:t>2007年1月15日至2月2日</w:t>
      </w:r>
    </w:p>
    <w:p w:rsidR="001A3AD4" w:rsidRPr="001A3AD4" w:rsidRDefault="001A3AD4" w:rsidP="001A3AD4">
      <w:pPr>
        <w:pStyle w:val="SingleTxt"/>
        <w:spacing w:after="0" w:line="120" w:lineRule="exact"/>
        <w:rPr>
          <w:rFonts w:hint="eastAsia"/>
          <w:sz w:val="10"/>
        </w:rPr>
      </w:pPr>
    </w:p>
    <w:p w:rsidR="001A3AD4" w:rsidRPr="001A3AD4" w:rsidRDefault="001A3AD4" w:rsidP="001A3AD4">
      <w:pPr>
        <w:pStyle w:val="SingleTxt"/>
        <w:spacing w:after="0" w:line="120" w:lineRule="exact"/>
        <w:rPr>
          <w:rFonts w:hint="eastAsia"/>
          <w:sz w:val="10"/>
        </w:rPr>
      </w:pPr>
    </w:p>
    <w:p w:rsidR="001A3AD4" w:rsidRDefault="001A3AD4" w:rsidP="001A3AD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就审议定期报告提出的事项和问题清单</w:t>
      </w:r>
    </w:p>
    <w:p w:rsidR="001A3AD4" w:rsidRPr="001A3AD4" w:rsidRDefault="001A3AD4" w:rsidP="001A3AD4">
      <w:pPr>
        <w:pStyle w:val="SingleTxt"/>
        <w:spacing w:after="0" w:line="120" w:lineRule="exact"/>
        <w:rPr>
          <w:rFonts w:hint="eastAsia"/>
          <w:sz w:val="10"/>
        </w:rPr>
      </w:pPr>
    </w:p>
    <w:p w:rsidR="001A3AD4" w:rsidRPr="001A3AD4" w:rsidRDefault="001A3AD4" w:rsidP="001A3AD4">
      <w:pPr>
        <w:pStyle w:val="SingleTxt"/>
        <w:spacing w:after="0" w:line="120" w:lineRule="exact"/>
        <w:rPr>
          <w:rFonts w:hint="eastAsia"/>
          <w:sz w:val="10"/>
        </w:rPr>
      </w:pPr>
    </w:p>
    <w:p w:rsidR="001A3AD4" w:rsidRDefault="001A3AD4" w:rsidP="001A3A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塔吉克斯坦</w:t>
      </w:r>
    </w:p>
    <w:p w:rsidR="001A3AD4" w:rsidRPr="001A3AD4" w:rsidRDefault="001A3AD4" w:rsidP="001A3AD4">
      <w:pPr>
        <w:pStyle w:val="SingleTxt"/>
        <w:spacing w:after="0" w:line="120" w:lineRule="exact"/>
        <w:rPr>
          <w:rFonts w:hint="eastAsia"/>
          <w:sz w:val="10"/>
        </w:rPr>
      </w:pPr>
    </w:p>
    <w:p w:rsidR="001A3AD4" w:rsidRPr="001A3AD4" w:rsidRDefault="001A3AD4" w:rsidP="001A3AD4">
      <w:pPr>
        <w:pStyle w:val="SingleTxt"/>
        <w:spacing w:after="0" w:line="120" w:lineRule="exact"/>
        <w:rPr>
          <w:rFonts w:hint="eastAsia"/>
          <w:sz w:val="10"/>
        </w:rPr>
      </w:pPr>
    </w:p>
    <w:p w:rsidR="001A3AD4" w:rsidRDefault="001A3AD4" w:rsidP="001A3AD4">
      <w:pPr>
        <w:pStyle w:val="SingleTxt"/>
        <w:rPr>
          <w:rFonts w:hint="eastAsia"/>
        </w:rPr>
      </w:pPr>
      <w:r>
        <w:rPr>
          <w:rFonts w:hint="eastAsia"/>
        </w:rPr>
        <w:tab/>
        <w:t>会前工作组审查了塔吉克斯坦的初次、第二次和第三次合并定期报告(CEDAW/C/TJK/1-3)。</w:t>
      </w:r>
    </w:p>
    <w:p w:rsidR="001A3AD4" w:rsidRPr="001A3AD4" w:rsidRDefault="001A3AD4" w:rsidP="001A3AD4">
      <w:pPr>
        <w:pStyle w:val="SingleTxt"/>
        <w:spacing w:after="0" w:line="120" w:lineRule="exact"/>
        <w:rPr>
          <w:rFonts w:hint="eastAsia"/>
          <w:sz w:val="10"/>
        </w:rPr>
      </w:pPr>
    </w:p>
    <w:p w:rsidR="001A3AD4" w:rsidRPr="001A3AD4" w:rsidRDefault="001A3AD4" w:rsidP="001A3AD4">
      <w:pPr>
        <w:pStyle w:val="SingleTxt"/>
        <w:rPr>
          <w:rFonts w:ascii="SimHei" w:eastAsia="SimHei" w:hint="eastAsia"/>
          <w:color w:val="FF0000"/>
        </w:rPr>
      </w:pPr>
      <w:r w:rsidRPr="001A3AD4">
        <w:rPr>
          <w:rFonts w:ascii="SimHei" w:eastAsia="SimHei" w:hint="eastAsia"/>
          <w:color w:val="FF0000"/>
        </w:rPr>
        <w:t>概述</w:t>
      </w:r>
    </w:p>
    <w:p w:rsidR="001A3AD4" w:rsidRPr="001A3AD4" w:rsidRDefault="001A3AD4" w:rsidP="001A3AD4">
      <w:pPr>
        <w:pStyle w:val="SingleTxt"/>
        <w:spacing w:after="0" w:line="120" w:lineRule="exact"/>
        <w:rPr>
          <w:rFonts w:hint="eastAsia"/>
          <w:sz w:val="10"/>
        </w:rPr>
      </w:pPr>
    </w:p>
    <w:p w:rsidR="001A3AD4" w:rsidRDefault="001A3AD4" w:rsidP="001A3AD4">
      <w:pPr>
        <w:pStyle w:val="SingleTxt"/>
        <w:rPr>
          <w:rFonts w:hint="eastAsia"/>
        </w:rPr>
      </w:pPr>
      <w:r>
        <w:rPr>
          <w:rFonts w:hint="eastAsia"/>
        </w:rPr>
        <w:t>1.</w:t>
      </w:r>
      <w:r>
        <w:rPr>
          <w:rFonts w:hint="eastAsia"/>
        </w:rPr>
        <w:tab/>
        <w:t>塔吉克斯坦的核心文件（HRI/CORE/1/Add.128)说，政府的确保实施塔吉克斯坦国际人权义务委员会和儿童权利委员会是负责准备关于塔吉克斯坦人权状况国家报告的机构，这两个机构在起草报告时吸收有关部委、司局和地方当局以及其他官方来源提供的信息。请详细说明，在按照《消除对妇女一切形式歧视公约》第</w:t>
      </w:r>
      <w:r w:rsidR="00AF50CE">
        <w:rPr>
          <w:rFonts w:hint="eastAsia"/>
        </w:rPr>
        <w:t>十八</w:t>
      </w:r>
      <w:r>
        <w:rPr>
          <w:rFonts w:hint="eastAsia"/>
        </w:rPr>
        <w:t xml:space="preserve">条撰写第一、第二和第三次合并定期报告过程中，具体有哪些部委和其他政府机构参与；妇女和家庭委员会在起草报告过程中所起的作用；在多大程度上同非政府组织进行了协商；政府是否通过了报告并提交给议会。 </w:t>
      </w:r>
    </w:p>
    <w:p w:rsidR="001A3AD4" w:rsidRPr="001A3AD4" w:rsidRDefault="001A3AD4" w:rsidP="001A3AD4">
      <w:pPr>
        <w:pStyle w:val="SingleTxt"/>
        <w:rPr>
          <w:rFonts w:ascii="SimHei" w:eastAsia="SimHei" w:hint="eastAsia"/>
          <w:color w:val="FF0000"/>
        </w:rPr>
      </w:pPr>
      <w:r w:rsidRPr="001A3AD4">
        <w:rPr>
          <w:rFonts w:ascii="SimHei" w:eastAsia="SimHei" w:hint="eastAsia"/>
          <w:color w:val="FF0000"/>
        </w:rPr>
        <w:t>第1和第2条</w:t>
      </w:r>
    </w:p>
    <w:p w:rsidR="001A3AD4" w:rsidRDefault="001A3AD4" w:rsidP="001A3AD4">
      <w:pPr>
        <w:pStyle w:val="SingleTxt"/>
        <w:rPr>
          <w:rFonts w:hint="eastAsia"/>
        </w:rPr>
      </w:pPr>
      <w:r>
        <w:rPr>
          <w:rFonts w:hint="eastAsia"/>
        </w:rPr>
        <w:t>2.</w:t>
      </w:r>
      <w:r>
        <w:rPr>
          <w:rFonts w:hint="eastAsia"/>
        </w:rPr>
        <w:tab/>
        <w:t>因为《公约》是塔吉克斯坦法律系统的组成部分，并且可被直接援引和使用，请提供资料说明，按照《公约》第1条以及塔吉克斯坦2005年法律《保障男女平等权利和行使这些权利的平等机会》第1条的规定，实施有关直接和非直接歧视原则的情况。答复中应包括说明，除了关于暴力、卖淫和贩卖剥削之外的报告，是否有受到歧视的妇女向法庭提出了任何涉及《公约》或上述法律的诉讼。请说明指控的歧视形式以及法律诉讼的结果，包括根据塔吉克斯坦法律制度所提供的补偿和赔偿。</w:t>
      </w:r>
    </w:p>
    <w:p w:rsidR="001A3AD4" w:rsidRDefault="001A3AD4" w:rsidP="001A3AD4">
      <w:pPr>
        <w:pStyle w:val="SingleTxt"/>
        <w:rPr>
          <w:rFonts w:hint="eastAsia"/>
        </w:rPr>
      </w:pPr>
      <w:r>
        <w:rPr>
          <w:rFonts w:hint="eastAsia"/>
        </w:rPr>
        <w:t>3.</w:t>
      </w:r>
      <w:r>
        <w:rPr>
          <w:rFonts w:hint="eastAsia"/>
        </w:rPr>
        <w:tab/>
        <w:t>2005年3月通过的《保障男女平等权利和行使这些权利的平等机会</w:t>
      </w:r>
      <w:r w:rsidR="00AF50CE">
        <w:rPr>
          <w:rFonts w:hint="eastAsia"/>
        </w:rPr>
        <w:t>法</w:t>
      </w:r>
      <w:r>
        <w:rPr>
          <w:rFonts w:hint="eastAsia"/>
        </w:rPr>
        <w:t>》是一项十分重要的法律成就，法官和律师独立性问题特别报告员在其2006年的报告中也表示了同样的看法（E/CN.4/2006/52/Add.4）。政府采取了何种措施来制定有关机制，以有效实施上述法律所载的各项保障，包括确保：妇女平等参与政府所有部门；在教育和科学领域的平等机会；在实施选举法方面以及在选举委员会；在国家事务方面；在社会和经济领域以及监测法律，包括对公务员进行两性平等教育？</w:t>
      </w:r>
    </w:p>
    <w:p w:rsidR="001A3AD4" w:rsidRDefault="001A3AD4" w:rsidP="001A3AD4">
      <w:pPr>
        <w:pStyle w:val="SingleTxt"/>
        <w:rPr>
          <w:rFonts w:hint="eastAsia"/>
        </w:rPr>
      </w:pPr>
      <w:r w:rsidRPr="001A3AD4">
        <w:rPr>
          <w:rFonts w:ascii="SimHei" w:eastAsia="SimHei" w:hint="eastAsia"/>
          <w:color w:val="FF0000"/>
        </w:rPr>
        <w:t>第3条</w:t>
      </w:r>
    </w:p>
    <w:p w:rsidR="001A3AD4" w:rsidRDefault="001A3AD4" w:rsidP="001A3AD4">
      <w:pPr>
        <w:pStyle w:val="SingleTxt"/>
        <w:rPr>
          <w:rFonts w:hint="eastAsia"/>
        </w:rPr>
      </w:pPr>
      <w:r>
        <w:rPr>
          <w:rFonts w:hint="eastAsia"/>
        </w:rPr>
        <w:t>4.</w:t>
      </w:r>
      <w:r>
        <w:rPr>
          <w:rFonts w:hint="eastAsia"/>
        </w:rPr>
        <w:tab/>
        <w:t>请说明《塔吉克斯坦共和国提高妇女地位和加强妇女作用全国行动计划》（1998-2005)以及1999年12月3日关于加强妇女在社会中作用的总统令的结果。还请提供《2001-2010年期间塔吉克斯坦共和国保证男女平权的国家政策指导方针》以及2004年通过塔吉克斯坦共和国《生殖保健战略计划》的任何初步成果。还请在答复中说明在实施上述计划和政策措施时曾遇到或正在遇到的任何障碍。</w:t>
      </w:r>
    </w:p>
    <w:p w:rsidR="001A3AD4" w:rsidRDefault="001A3AD4" w:rsidP="001A3AD4">
      <w:pPr>
        <w:pStyle w:val="SingleTxt"/>
        <w:rPr>
          <w:rFonts w:hint="eastAsia"/>
        </w:rPr>
      </w:pPr>
      <w:r>
        <w:rPr>
          <w:rFonts w:hint="eastAsia"/>
        </w:rPr>
        <w:t>5.</w:t>
      </w:r>
      <w:r>
        <w:rPr>
          <w:rFonts w:hint="eastAsia"/>
        </w:rPr>
        <w:tab/>
        <w:t>请确切说明妇女和家庭委员会的任务规定和权威，其在政府中的地位、其组成及其人力资源和预算。还请说明在所有国家部委是否都有与委员会联系的两性平等问题协调中心。</w:t>
      </w:r>
    </w:p>
    <w:p w:rsidR="001A3AD4" w:rsidRDefault="001A3AD4" w:rsidP="001A3AD4">
      <w:pPr>
        <w:pStyle w:val="SingleTxt"/>
        <w:rPr>
          <w:rFonts w:hint="eastAsia"/>
        </w:rPr>
      </w:pPr>
      <w:r>
        <w:rPr>
          <w:rFonts w:hint="eastAsia"/>
        </w:rPr>
        <w:t>6.</w:t>
      </w:r>
      <w:r>
        <w:rPr>
          <w:rFonts w:hint="eastAsia"/>
        </w:rPr>
        <w:tab/>
        <w:t>请说明国内现有各项国家发展计划或减贫战略，包括旨在实现《千年发展目标》的发展计划和减贫战略是否符合《公约》的框架并包含两性平等内容。还请说明妇女和家庭委员会是否在制定和监测这些战略以及有关资源方面发挥作用。</w:t>
      </w:r>
    </w:p>
    <w:p w:rsidR="001A3AD4" w:rsidRDefault="001A3AD4" w:rsidP="001A3AD4">
      <w:pPr>
        <w:pStyle w:val="SingleTxt"/>
        <w:rPr>
          <w:rFonts w:hint="eastAsia"/>
        </w:rPr>
      </w:pPr>
      <w:r w:rsidRPr="001A3AD4">
        <w:rPr>
          <w:rFonts w:ascii="SimHei" w:eastAsia="SimHei" w:hint="eastAsia"/>
          <w:color w:val="FF0000"/>
        </w:rPr>
        <w:t>第5条</w:t>
      </w:r>
    </w:p>
    <w:p w:rsidR="001A3AD4" w:rsidRDefault="001A3AD4" w:rsidP="001A3AD4">
      <w:pPr>
        <w:pStyle w:val="SingleTxt"/>
        <w:rPr>
          <w:rFonts w:hint="eastAsia"/>
        </w:rPr>
      </w:pPr>
      <w:r>
        <w:rPr>
          <w:rFonts w:hint="eastAsia"/>
        </w:rPr>
        <w:t>7.</w:t>
      </w:r>
      <w:r>
        <w:rPr>
          <w:rFonts w:hint="eastAsia"/>
        </w:rPr>
        <w:tab/>
        <w:t>请说明关于废除父系社会性别定性角色的各种国家方案和行动计划的结果以及依据《刑法》第143条（违反公民平等权利）提出的任何关于性别歧视的法律诉讼的结果。</w:t>
      </w:r>
    </w:p>
    <w:p w:rsidR="001A3AD4" w:rsidRDefault="001A3AD4" w:rsidP="001A3AD4">
      <w:pPr>
        <w:pStyle w:val="SingleTxt"/>
        <w:rPr>
          <w:rFonts w:hint="eastAsia"/>
        </w:rPr>
      </w:pPr>
      <w:r w:rsidRPr="001A3AD4">
        <w:rPr>
          <w:rFonts w:ascii="SimHei" w:eastAsia="SimHei" w:hint="eastAsia"/>
          <w:color w:val="FF0000"/>
        </w:rPr>
        <w:t>对妇女的暴力</w:t>
      </w:r>
    </w:p>
    <w:p w:rsidR="001A3AD4" w:rsidRDefault="001A3AD4" w:rsidP="001A3AD4">
      <w:pPr>
        <w:pStyle w:val="SingleTxt"/>
        <w:rPr>
          <w:rFonts w:hint="eastAsia"/>
        </w:rPr>
      </w:pPr>
      <w:r>
        <w:rPr>
          <w:rFonts w:hint="eastAsia"/>
        </w:rPr>
        <w:t>8.</w:t>
      </w:r>
      <w:r>
        <w:rPr>
          <w:rFonts w:hint="eastAsia"/>
        </w:rPr>
        <w:tab/>
        <w:t>对妇女的家庭暴力特别是非一夫一妻制婚姻或未登记的一夫一妻制婚姻中看来很普遍，报告也指出了这一点；特别报告员在关于对妇女暴力问题、其原因和后果的报告中（E/CN.4/2003/75/Add.1，第1202段）以及人权委员会的结论意见中都指出了这一点（CCPR/CO/84/TJK）。在实施报告所述的各种国家方案方面取得了何种进展，其重点是消除所有形式的对妇女暴力，具体措施包括：加强现有法律措施；通过关于暴力问题的法律；受害者康复措施；建立国家分析中心；改进统计；培训警官、医务人员和记者；提高公众认识并进行人权培训，保护妇女，使其免遭家庭暴力。</w:t>
      </w:r>
    </w:p>
    <w:p w:rsidR="001A3AD4" w:rsidRDefault="001A3AD4" w:rsidP="001A3AD4">
      <w:pPr>
        <w:pStyle w:val="SingleTxt"/>
        <w:rPr>
          <w:rFonts w:hint="eastAsia"/>
        </w:rPr>
      </w:pPr>
      <w:r w:rsidRPr="001A3AD4">
        <w:rPr>
          <w:rFonts w:ascii="SimHei" w:eastAsia="SimHei" w:hint="eastAsia"/>
          <w:color w:val="FF0000"/>
        </w:rPr>
        <w:t>第6条</w:t>
      </w:r>
    </w:p>
    <w:p w:rsidR="001A3AD4" w:rsidRDefault="001A3AD4" w:rsidP="001A3AD4">
      <w:pPr>
        <w:pStyle w:val="SingleTxt"/>
        <w:rPr>
          <w:rFonts w:hint="eastAsia"/>
        </w:rPr>
      </w:pPr>
      <w:r>
        <w:rPr>
          <w:rFonts w:hint="eastAsia"/>
        </w:rPr>
        <w:t>9.</w:t>
      </w:r>
      <w:r>
        <w:rPr>
          <w:rFonts w:hint="eastAsia"/>
        </w:rPr>
        <w:tab/>
        <w:t>报告说，在塔吉克斯坦，卖淫和使他人卖淫系犯罪行为。正在考虑采取何种措施阻止嫖妓，对已受到行政处罚的妓女采取何种措施使之能够从事其他有收入的活动？</w:t>
      </w:r>
    </w:p>
    <w:p w:rsidR="001A3AD4" w:rsidRDefault="001A3AD4" w:rsidP="001A3AD4">
      <w:pPr>
        <w:pStyle w:val="SingleTxt"/>
        <w:rPr>
          <w:rFonts w:hint="eastAsia"/>
        </w:rPr>
      </w:pPr>
      <w:r>
        <w:rPr>
          <w:rFonts w:hint="eastAsia"/>
        </w:rPr>
        <w:t>10.</w:t>
      </w:r>
      <w:r>
        <w:rPr>
          <w:rFonts w:hint="eastAsia"/>
        </w:rPr>
        <w:tab/>
        <w:t>塔吉克斯坦直接适用的许多国际法以及《刑法》第167条禁止贩卖人口，但报告仅说明了有关贩卖未成年者的法律诉讼案件，没有提及未成年者的性别。是否有任何打击贩卖人口的国家计划？如有这类计划，请作详细介绍，并且说明这类计划是否包括对政府机构的监督措施，以确保国家人员不参与贩卖人口。请提供告到法院的贩卖妇女和女孩案件的数目，并说明这些案件的审判结果。在刑事诉讼期间和之后，政府是否对被贩卖者、特别是被贩卖的妇女和女童提供任何保护支助？</w:t>
      </w:r>
    </w:p>
    <w:p w:rsidR="001A3AD4" w:rsidRDefault="001A3AD4" w:rsidP="001A3AD4">
      <w:pPr>
        <w:pStyle w:val="SingleTxt"/>
        <w:rPr>
          <w:rFonts w:hint="eastAsia"/>
        </w:rPr>
      </w:pPr>
      <w:r w:rsidRPr="001A3AD4">
        <w:rPr>
          <w:rFonts w:ascii="SimHei" w:eastAsia="SimHei" w:hint="eastAsia"/>
          <w:color w:val="FF0000"/>
        </w:rPr>
        <w:t>第7和第8条</w:t>
      </w:r>
    </w:p>
    <w:p w:rsidR="001A3AD4" w:rsidRDefault="001A3AD4" w:rsidP="001A3AD4">
      <w:pPr>
        <w:pStyle w:val="SingleTxt"/>
        <w:rPr>
          <w:rFonts w:hint="eastAsia"/>
        </w:rPr>
      </w:pPr>
      <w:r>
        <w:rPr>
          <w:rFonts w:hint="eastAsia"/>
        </w:rPr>
        <w:t>11.</w:t>
      </w:r>
      <w:r>
        <w:rPr>
          <w:rFonts w:hint="eastAsia"/>
        </w:rPr>
        <w:tab/>
        <w:t>2000年的一项题为“指导方针”的国家方案提出了旨在实现立法、行政和司法部门妇女占30</w:t>
      </w:r>
      <w:r w:rsidR="00CE07CC">
        <w:rPr>
          <w:rFonts w:hint="eastAsia"/>
        </w:rPr>
        <w:t>％</w:t>
      </w:r>
      <w:r>
        <w:rPr>
          <w:rFonts w:hint="eastAsia"/>
        </w:rPr>
        <w:t>的最低目标的若干机制。请说明在上述政府部门，包括外交部门，实施这些措施的程度和结果，特别是使用“软配额”的情况。还请说明是否正在审议修订现有法律，例如：《选举基本法》、《保障男女平等权利和行使这些权利的平等机会》或关于国家公务员和外交人员的法律，从而按照《公约》第</w:t>
      </w:r>
      <w:r w:rsidR="00AF50CE">
        <w:rPr>
          <w:rFonts w:hint="eastAsia"/>
        </w:rPr>
        <w:t>四</w:t>
      </w:r>
      <w:r>
        <w:rPr>
          <w:rFonts w:hint="eastAsia"/>
        </w:rPr>
        <w:t>条第1款以及委员会的一般性建议23和25，通过配额制等办法使妇女在这些领域得到优惠待遇。</w:t>
      </w:r>
    </w:p>
    <w:p w:rsidR="001A3AD4" w:rsidRDefault="001A3AD4" w:rsidP="001A3AD4">
      <w:pPr>
        <w:pStyle w:val="SingleTxt"/>
        <w:rPr>
          <w:rFonts w:hint="eastAsia"/>
        </w:rPr>
      </w:pPr>
      <w:r>
        <w:rPr>
          <w:rFonts w:hint="eastAsia"/>
        </w:rPr>
        <w:t>12.</w:t>
      </w:r>
      <w:r>
        <w:rPr>
          <w:rFonts w:hint="eastAsia"/>
        </w:rPr>
        <w:tab/>
        <w:t>据报告所述，所谓的家庭投票，即一名家庭成员在选举中代表整个家庭投票，是2000年选举中的一个严重问题，这一问题在农村地区尤为普遍。请说明自那时以来，是否采取了任何措施，以提高特别是农村妇女的意识，并使她们了解其按自己的想法而不受任何歧视或外部压力进行投票的权利。</w:t>
      </w:r>
    </w:p>
    <w:p w:rsidR="001A3AD4" w:rsidRDefault="001A3AD4" w:rsidP="001A3AD4">
      <w:pPr>
        <w:pStyle w:val="SingleTxt"/>
        <w:rPr>
          <w:rFonts w:hint="eastAsia"/>
        </w:rPr>
      </w:pPr>
      <w:r w:rsidRPr="001A3AD4">
        <w:rPr>
          <w:rFonts w:ascii="SimHei" w:eastAsia="SimHei" w:hint="eastAsia"/>
          <w:color w:val="FF0000"/>
        </w:rPr>
        <w:t>第10条</w:t>
      </w:r>
    </w:p>
    <w:p w:rsidR="001A3AD4" w:rsidRDefault="001A3AD4" w:rsidP="001A3AD4">
      <w:pPr>
        <w:pStyle w:val="SingleTxt"/>
        <w:rPr>
          <w:rFonts w:hint="eastAsia"/>
        </w:rPr>
      </w:pPr>
      <w:r>
        <w:rPr>
          <w:rFonts w:hint="eastAsia"/>
        </w:rPr>
        <w:t>13.</w:t>
      </w:r>
      <w:r>
        <w:rPr>
          <w:rFonts w:hint="eastAsia"/>
        </w:rPr>
        <w:tab/>
        <w:t>报告承认，上学率、特别是女童的上学率降低，农村地区情况更为严重。报告指出，这方面的原因包括：贫穷、教育开支、缺乏教师以及对妇女价值和作用的顽固的定型角色观念。请提供各级教育机构的女孩和妇女的退学率数据。按照《保障男女平等权利和行使这些权利的平等机会》第6条采取了何种措施来提高和支持女孩的上学率？答复中应说明是否正在根据法律为因上述原因停学但愿意返校的女孩制定任何特别方案。</w:t>
      </w:r>
    </w:p>
    <w:p w:rsidR="001A3AD4" w:rsidRDefault="001A3AD4" w:rsidP="001A3AD4">
      <w:pPr>
        <w:pStyle w:val="SingleTxt"/>
        <w:rPr>
          <w:rFonts w:hint="eastAsia"/>
        </w:rPr>
      </w:pPr>
      <w:r>
        <w:rPr>
          <w:rFonts w:hint="eastAsia"/>
        </w:rPr>
        <w:t>14.</w:t>
      </w:r>
      <w:r>
        <w:rPr>
          <w:rFonts w:hint="eastAsia"/>
        </w:rPr>
        <w:tab/>
        <w:t>《保障男女平等权利和行使这些权利的平等机会法》就非歧视性教育方案和教材以及将关于两性平等的特别课程纳入教学大纲作了规定。但报告说，没有从传统性别角色的观点来分析塔吉克斯坦的教学方案，并且女孩和男孩的教学课程有差别。请说明在具体的一段时间内是否作出任何努力，从两性平等、改变教科书中性别角色等方面来分析教育方案，如果有这样的努力，请具体说明，并鼓励女孩选择包括信息技术在内的非传统科目，同时确保她们有这样的选择并能够负担这样的选择。</w:t>
      </w:r>
    </w:p>
    <w:p w:rsidR="001A3AD4" w:rsidRDefault="001A3AD4" w:rsidP="001A3AD4">
      <w:pPr>
        <w:pStyle w:val="SingleTxt"/>
        <w:rPr>
          <w:rFonts w:hint="eastAsia"/>
        </w:rPr>
      </w:pPr>
      <w:r>
        <w:rPr>
          <w:rFonts w:hint="eastAsia"/>
        </w:rPr>
        <w:t>15.</w:t>
      </w:r>
      <w:r>
        <w:rPr>
          <w:rFonts w:hint="eastAsia"/>
        </w:rPr>
        <w:tab/>
        <w:t>报告提到，为解决缺乏教师这一问题，以配有制录取女孩进入高校，然而2004年教师队伍中的女性几乎占50</w:t>
      </w:r>
      <w:r w:rsidR="00CE07CC">
        <w:rPr>
          <w:rFonts w:hint="eastAsia"/>
        </w:rPr>
        <w:t>％</w:t>
      </w:r>
      <w:r>
        <w:rPr>
          <w:rFonts w:hint="eastAsia"/>
        </w:rPr>
        <w:t>。请说明对农村女孩是否也有同样的配额，并说明使用这种配额的时限，以及是否存在特别是增加决策层女教师数量的目标和机制。</w:t>
      </w:r>
    </w:p>
    <w:p w:rsidR="001A3AD4" w:rsidRDefault="001A3AD4" w:rsidP="001A3AD4">
      <w:pPr>
        <w:pStyle w:val="SingleTxt"/>
        <w:rPr>
          <w:rFonts w:hint="eastAsia"/>
        </w:rPr>
      </w:pPr>
      <w:r w:rsidRPr="001A3AD4">
        <w:rPr>
          <w:rFonts w:ascii="SimHei" w:eastAsia="SimHei" w:hint="eastAsia"/>
          <w:color w:val="FF0000"/>
        </w:rPr>
        <w:t>第11条</w:t>
      </w:r>
    </w:p>
    <w:p w:rsidR="001A3AD4" w:rsidRDefault="001A3AD4" w:rsidP="001A3AD4">
      <w:pPr>
        <w:pStyle w:val="SingleTxt"/>
        <w:rPr>
          <w:rFonts w:hint="eastAsia"/>
        </w:rPr>
      </w:pPr>
      <w:r>
        <w:rPr>
          <w:rFonts w:hint="eastAsia"/>
        </w:rPr>
        <w:t>16.</w:t>
      </w:r>
      <w:r>
        <w:rPr>
          <w:rFonts w:hint="eastAsia"/>
        </w:rPr>
        <w:tab/>
        <w:t>请详细说明妇女占大多数（或在经济过渡之前妇女占大多数）的公共和私营就业部门，包括同男子占大多数的部门的工资和薪资水平作比较</w:t>
      </w:r>
      <w:r w:rsidR="00CE07CC">
        <w:t>(</w:t>
      </w:r>
      <w:r>
        <w:rPr>
          <w:rFonts w:hint="eastAsia"/>
        </w:rPr>
        <w:t>d)。</w:t>
      </w:r>
    </w:p>
    <w:p w:rsidR="001A3AD4" w:rsidRDefault="001A3AD4" w:rsidP="001A3AD4">
      <w:pPr>
        <w:pStyle w:val="SingleTxt"/>
      </w:pPr>
      <w:r>
        <w:rPr>
          <w:rFonts w:hint="eastAsia"/>
        </w:rPr>
        <w:t>17.</w:t>
      </w:r>
      <w:r>
        <w:rPr>
          <w:rFonts w:hint="eastAsia"/>
        </w:rPr>
        <w:tab/>
        <w:t>请详细说明《2003-2005年期间塔吉克斯坦共和国促进公众就业方案》所设想的旨在促进妇女就业并消除劳动力市场男女不平等状况的措施，并说明这些措施的作用以及监测其结果的方法。</w:t>
      </w:r>
    </w:p>
    <w:p w:rsidR="001A3AD4" w:rsidRDefault="001A3AD4" w:rsidP="001A3AD4">
      <w:pPr>
        <w:pStyle w:val="SingleTxt"/>
      </w:pPr>
      <w:r>
        <w:rPr>
          <w:rFonts w:hint="eastAsia"/>
        </w:rPr>
        <w:t>18.</w:t>
      </w:r>
      <w:r>
        <w:rPr>
          <w:rFonts w:hint="eastAsia"/>
        </w:rPr>
        <w:tab/>
        <w:t>请详细介绍《1998</w:t>
      </w:r>
      <w:r w:rsidR="00CE07CC">
        <w:t>-</w:t>
      </w:r>
      <w:r>
        <w:rPr>
          <w:rFonts w:hint="eastAsia"/>
        </w:rPr>
        <w:t>2005年期间提高妇女作用和地位全国行动计划》在2001和2002年对塔吉克斯坦一些地区的妇女创收能力以及对给予妇女小额信贷方面所产生的结果，并请介绍库尔干-秋别市妇女劳务交流的努力是否在塔吉克斯坦的其他城市和地区得到推广。</w:t>
      </w:r>
    </w:p>
    <w:p w:rsidR="001A3AD4" w:rsidRDefault="001A3AD4" w:rsidP="001A3AD4">
      <w:pPr>
        <w:pStyle w:val="SingleTxt"/>
        <w:rPr>
          <w:rFonts w:hint="eastAsia"/>
        </w:rPr>
      </w:pPr>
      <w:r>
        <w:rPr>
          <w:rFonts w:hint="eastAsia"/>
        </w:rPr>
        <w:t>19.</w:t>
      </w:r>
      <w:r>
        <w:rPr>
          <w:rFonts w:hint="eastAsia"/>
        </w:rPr>
        <w:tab/>
        <w:t>《保障男女平等权利和行使这些权利的平等机会法》第14条规定，业主有责任证明其没有性别歧视的意图。请提供资料说明按照《宪法》和上述法律的第1条，现行的关于歧视案作证责任的法律规定，或就业中的非直接歧视问题。</w:t>
      </w:r>
    </w:p>
    <w:p w:rsidR="001A3AD4" w:rsidRDefault="001A3AD4" w:rsidP="001A3AD4">
      <w:pPr>
        <w:pStyle w:val="SingleTxt"/>
        <w:rPr>
          <w:rFonts w:hint="eastAsia"/>
        </w:rPr>
      </w:pPr>
      <w:r w:rsidRPr="001A3AD4">
        <w:rPr>
          <w:rFonts w:ascii="SimHei" w:eastAsia="SimHei" w:hint="eastAsia"/>
          <w:color w:val="FF0000"/>
        </w:rPr>
        <w:t>第12条</w:t>
      </w:r>
    </w:p>
    <w:p w:rsidR="001A3AD4" w:rsidRDefault="001A3AD4" w:rsidP="001A3AD4">
      <w:pPr>
        <w:pStyle w:val="SingleTxt"/>
        <w:rPr>
          <w:rFonts w:hint="eastAsia"/>
        </w:rPr>
      </w:pPr>
      <w:r>
        <w:rPr>
          <w:rFonts w:hint="eastAsia"/>
        </w:rPr>
        <w:t>20.</w:t>
      </w:r>
      <w:r>
        <w:rPr>
          <w:rFonts w:hint="eastAsia"/>
        </w:rPr>
        <w:tab/>
        <w:t>请说明政府为改善妇女不良健康状况以及防止报告中所述的产孕妇死亡最主要原因的产后大出血、严重妊娠中毒和其他怀孕并发症作出的努力及其成果。</w:t>
      </w:r>
    </w:p>
    <w:p w:rsidR="001A3AD4" w:rsidRDefault="001A3AD4" w:rsidP="001A3AD4">
      <w:pPr>
        <w:pStyle w:val="SingleTxt"/>
      </w:pPr>
      <w:r>
        <w:rPr>
          <w:rFonts w:hint="eastAsia"/>
        </w:rPr>
        <w:t>21.</w:t>
      </w:r>
      <w:r>
        <w:rPr>
          <w:rFonts w:hint="eastAsia"/>
        </w:rPr>
        <w:tab/>
        <w:t>报告说，“堕胎仍然是控制生育率的普遍办法”。报告还说，“能够使用现代节育法的人不多”。自2002年以来采取的措施产生了何种结果？这些措施包括：确保尤其是农村地区妇女和男子，包括青少年，能够获得关于生殖保健和家庭计划的信息，并能够利用负担得起的避孕方法。</w:t>
      </w:r>
    </w:p>
    <w:p w:rsidR="001A3AD4" w:rsidRDefault="001A3AD4" w:rsidP="001A3AD4">
      <w:pPr>
        <w:pStyle w:val="SingleTxt"/>
      </w:pPr>
      <w:r>
        <w:rPr>
          <w:rFonts w:hint="eastAsia"/>
        </w:rPr>
        <w:t>22.</w:t>
      </w:r>
      <w:r>
        <w:rPr>
          <w:rFonts w:hint="eastAsia"/>
        </w:rPr>
        <w:tab/>
        <w:t>按照2004年通过的旨在降低特别是农村地区婴儿死亡率的生殖保健战略计划采取了何种具体措施，产生了什么结果？</w:t>
      </w:r>
    </w:p>
    <w:p w:rsidR="001A3AD4" w:rsidRDefault="001A3AD4" w:rsidP="001A3AD4">
      <w:pPr>
        <w:pStyle w:val="SingleTxt"/>
        <w:rPr>
          <w:rFonts w:hint="eastAsia"/>
        </w:rPr>
      </w:pPr>
      <w:r>
        <w:rPr>
          <w:rFonts w:hint="eastAsia"/>
        </w:rPr>
        <w:t>23.</w:t>
      </w:r>
      <w:r>
        <w:rPr>
          <w:rFonts w:hint="eastAsia"/>
        </w:rPr>
        <w:tab/>
        <w:t>报告主要就生殖保健和艾滋病毒/艾滋病提供数据和说明所做的努力。请另外提供除生殖保健以外妇女最常见疾病的数据，包括精神健康，并介绍在这些领域的保健工作。</w:t>
      </w:r>
    </w:p>
    <w:p w:rsidR="001A3AD4" w:rsidRDefault="001A3AD4" w:rsidP="001A3AD4">
      <w:pPr>
        <w:pStyle w:val="SingleTxt"/>
        <w:rPr>
          <w:rFonts w:hint="eastAsia"/>
        </w:rPr>
      </w:pPr>
      <w:r w:rsidRPr="001A3AD4">
        <w:rPr>
          <w:rFonts w:ascii="SimHei" w:eastAsia="SimHei" w:hint="eastAsia"/>
          <w:color w:val="FF0000"/>
        </w:rPr>
        <w:t>第14条</w:t>
      </w:r>
    </w:p>
    <w:p w:rsidR="001A3AD4" w:rsidRDefault="001A3AD4" w:rsidP="001A3AD4">
      <w:pPr>
        <w:pStyle w:val="SingleTxt"/>
      </w:pPr>
      <w:r>
        <w:rPr>
          <w:rFonts w:hint="eastAsia"/>
        </w:rPr>
        <w:t>24.</w:t>
      </w:r>
      <w:r>
        <w:rPr>
          <w:rFonts w:hint="eastAsia"/>
        </w:rPr>
        <w:tab/>
        <w:t>73.5</w:t>
      </w:r>
      <w:r w:rsidR="00CE07CC">
        <w:rPr>
          <w:rFonts w:hint="eastAsia"/>
        </w:rPr>
        <w:t>％</w:t>
      </w:r>
      <w:r>
        <w:rPr>
          <w:rFonts w:hint="eastAsia"/>
        </w:rPr>
        <w:t>的人口住在农村地区，其中大部分是妇女，战争使其中许多妇女成为寡妇，儿童变成孤儿，并且由于男子外出寻找工作，妇女成为一家之主，在一些农村地区，这种家庭占80</w:t>
      </w:r>
      <w:r w:rsidR="00CE07CC">
        <w:rPr>
          <w:rFonts w:hint="eastAsia"/>
        </w:rPr>
        <w:t>％</w:t>
      </w:r>
      <w:r>
        <w:rPr>
          <w:rFonts w:hint="eastAsia"/>
        </w:rPr>
        <w:t>，考虑到这些情况，请说明是否存在任何专门针对农村妇女，特别是作为户主的农村妇女的保健、教育、财产拥有、生计和就业的国家计划。</w:t>
      </w:r>
    </w:p>
    <w:p w:rsidR="001A3AD4" w:rsidRDefault="001A3AD4" w:rsidP="001A3AD4">
      <w:pPr>
        <w:pStyle w:val="SingleTxt"/>
        <w:rPr>
          <w:rFonts w:hint="eastAsia"/>
        </w:rPr>
      </w:pPr>
      <w:r>
        <w:rPr>
          <w:rFonts w:hint="eastAsia"/>
        </w:rPr>
        <w:t>25.</w:t>
      </w:r>
      <w:r>
        <w:rPr>
          <w:rFonts w:hint="eastAsia"/>
        </w:rPr>
        <w:tab/>
        <w:t>妇女在塔吉克斯坦的农业工人中占60</w:t>
      </w:r>
      <w:r w:rsidR="00CE07CC">
        <w:rPr>
          <w:rFonts w:hint="eastAsia"/>
        </w:rPr>
        <w:t>％</w:t>
      </w:r>
      <w:r>
        <w:rPr>
          <w:rFonts w:hint="eastAsia"/>
        </w:rPr>
        <w:t>至70</w:t>
      </w:r>
      <w:r w:rsidR="00CE07CC">
        <w:rPr>
          <w:rFonts w:hint="eastAsia"/>
        </w:rPr>
        <w:t>％</w:t>
      </w:r>
      <w:r>
        <w:rPr>
          <w:rFonts w:hint="eastAsia"/>
        </w:rPr>
        <w:t>，但98</w:t>
      </w:r>
      <w:r w:rsidR="00CE07CC">
        <w:rPr>
          <w:rFonts w:hint="eastAsia"/>
        </w:rPr>
        <w:t>％</w:t>
      </w:r>
      <w:r>
        <w:rPr>
          <w:rFonts w:hint="eastAsia"/>
        </w:rPr>
        <w:t>的个体农场主为男子。缔约国准备采取何种措施来提高妇女对其财产权和继承权的认识，增加女农场主人数，并为她们进行所需的培训？目前存在何种措施来克服妇女在寻找生计中遇到的障碍？</w:t>
      </w:r>
    </w:p>
    <w:p w:rsidR="001A3AD4" w:rsidRDefault="001A3AD4" w:rsidP="001A3AD4">
      <w:pPr>
        <w:pStyle w:val="SingleTxt"/>
        <w:rPr>
          <w:rFonts w:hint="eastAsia"/>
        </w:rPr>
      </w:pPr>
      <w:r>
        <w:rPr>
          <w:rFonts w:hint="eastAsia"/>
        </w:rPr>
        <w:t>26.</w:t>
      </w:r>
      <w:r>
        <w:rPr>
          <w:rFonts w:hint="eastAsia"/>
        </w:rPr>
        <w:tab/>
        <w:t>请说明缔约国是否打算不仅按性别、而且按城市和农村地区分别列出教育数据，从而能够评估和计算农村女孩退学率。</w:t>
      </w:r>
    </w:p>
    <w:p w:rsidR="001A3AD4" w:rsidRDefault="001A3AD4" w:rsidP="001A3AD4">
      <w:pPr>
        <w:pStyle w:val="SingleTxt"/>
        <w:rPr>
          <w:rFonts w:hint="eastAsia"/>
        </w:rPr>
      </w:pPr>
      <w:r w:rsidRPr="001A3AD4">
        <w:rPr>
          <w:rFonts w:ascii="SimHei" w:eastAsia="SimHei" w:hint="eastAsia"/>
          <w:color w:val="FF0000"/>
        </w:rPr>
        <w:t>第15和第16条</w:t>
      </w:r>
    </w:p>
    <w:p w:rsidR="001A3AD4" w:rsidRDefault="001A3AD4" w:rsidP="001A3AD4">
      <w:pPr>
        <w:pStyle w:val="SingleTxt"/>
        <w:rPr>
          <w:rFonts w:hint="eastAsia"/>
        </w:rPr>
      </w:pPr>
      <w:r>
        <w:rPr>
          <w:rFonts w:hint="eastAsia"/>
        </w:rPr>
        <w:t>27.</w:t>
      </w:r>
      <w:r>
        <w:rPr>
          <w:rFonts w:hint="eastAsia"/>
        </w:rPr>
        <w:tab/>
        <w:t>尽管《宪法》和《家庭法》赋予夫妻平等权利，但报告也承认，“重婚和多偶现象常见”，虽然这可以受到法律惩处（《刑法》第170条），并且虽然国家不承认宗教婚姻，但这种婚姻很普遍（见报告第11、12和64段）。缔约国是否有这类婚姻的具体数字，包括妇女在未到婚姻年龄结婚的数字，国家是否计划实施一项综合战略，纠正这种情况，包括推行有关法律，提高公众和宗教领袖的认识并加强妇女要求其权利的能力？</w:t>
      </w:r>
    </w:p>
    <w:p w:rsidR="001A3AD4" w:rsidRDefault="001A3AD4" w:rsidP="001A3AD4">
      <w:pPr>
        <w:pStyle w:val="SingleTxt"/>
        <w:rPr>
          <w:rFonts w:hint="eastAsia"/>
        </w:rPr>
      </w:pPr>
      <w:r>
        <w:rPr>
          <w:rFonts w:hint="eastAsia"/>
        </w:rPr>
        <w:t>28.</w:t>
      </w:r>
      <w:r>
        <w:rPr>
          <w:rFonts w:hint="eastAsia"/>
        </w:rPr>
        <w:tab/>
        <w:t>请说明纳入家庭法的“婚姻协议”的要素，并说明城市和农村妇女在何种程度上了解“婚姻协议”的存在并可以加以利用。</w:t>
      </w:r>
    </w:p>
    <w:p w:rsidR="001A3AD4" w:rsidRDefault="001A3AD4" w:rsidP="001A3AD4">
      <w:pPr>
        <w:pStyle w:val="SingleTxt"/>
        <w:rPr>
          <w:rFonts w:hint="eastAsia"/>
        </w:rPr>
      </w:pPr>
      <w:r w:rsidRPr="001A3AD4">
        <w:rPr>
          <w:rFonts w:ascii="SimHei" w:eastAsia="SimHei" w:hint="eastAsia"/>
          <w:color w:val="FF0000"/>
        </w:rPr>
        <w:t>任择议定书</w:t>
      </w:r>
    </w:p>
    <w:p w:rsidR="00EA31C3" w:rsidRDefault="001A3AD4" w:rsidP="001A3AD4">
      <w:pPr>
        <w:pStyle w:val="SingleTxt"/>
        <w:rPr>
          <w:rFonts w:hint="eastAsia"/>
        </w:rPr>
      </w:pPr>
      <w:r>
        <w:rPr>
          <w:rFonts w:hint="eastAsia"/>
        </w:rPr>
        <w:t>29.</w:t>
      </w:r>
      <w:r>
        <w:rPr>
          <w:rFonts w:hint="eastAsia"/>
        </w:rPr>
        <w:tab/>
        <w:t>塔吉克斯坦于2000年9月7日签署了《消除对妇女一切形式歧视公约任择议定书》。请说明批准该议定书方面的进展。</w:t>
      </w:r>
    </w:p>
    <w:p w:rsidR="001A3AD4" w:rsidRPr="001A3AD4" w:rsidRDefault="001A3AD4" w:rsidP="001A3AD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1A3AD4" w:rsidRPr="001A3AD4" w:rsidSect="00CF011B">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1T09:22:00Z" w:initials="Start">
    <w:p w:rsidR="002D30BC" w:rsidRDefault="002D30B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NO&gt;&gt;N0646732C&lt;&lt;ODS JOB NO&gt;&gt;</w:t>
      </w:r>
    </w:p>
    <w:p w:rsidR="002D30BC" w:rsidRDefault="002D30BC">
      <w:pPr>
        <w:pStyle w:val="CommentText"/>
      </w:pPr>
      <w:r>
        <w:t>&lt;&lt;ODS DOC SYMBOL1&gt;&gt;CEDAW/C/TJK/Q/3&lt;&lt;ODS DOC SYMBOL1&gt;&gt;</w:t>
      </w:r>
    </w:p>
    <w:p w:rsidR="002D30BC" w:rsidRDefault="002D30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813" w:rsidRDefault="00D67813">
      <w:r>
        <w:separator/>
      </w:r>
    </w:p>
  </w:endnote>
  <w:endnote w:type="continuationSeparator" w:id="0">
    <w:p w:rsidR="00D67813" w:rsidRDefault="00D67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D30BC" w:rsidTr="00CF011B">
      <w:tblPrEx>
        <w:tblCellMar>
          <w:top w:w="0" w:type="dxa"/>
          <w:bottom w:w="0" w:type="dxa"/>
        </w:tblCellMar>
      </w:tblPrEx>
      <w:tc>
        <w:tcPr>
          <w:tcW w:w="5033" w:type="dxa"/>
          <w:shd w:val="clear" w:color="auto" w:fill="auto"/>
          <w:vAlign w:val="bottom"/>
        </w:tcPr>
        <w:p w:rsidR="002D30BC" w:rsidRPr="00CF011B" w:rsidRDefault="002D30BC" w:rsidP="00CF011B">
          <w:pPr>
            <w:pStyle w:val="Footer"/>
            <w:jc w:val="left"/>
          </w:pPr>
          <w:r>
            <w:fldChar w:fldCharType="begin"/>
          </w:r>
          <w:r>
            <w:instrText xml:space="preserve"> PAGE  \* MERGEFORMAT </w:instrText>
          </w:r>
          <w:r>
            <w:fldChar w:fldCharType="separate"/>
          </w:r>
          <w:r w:rsidR="00C55EB2">
            <w:t>2</w:t>
          </w:r>
          <w:r>
            <w:fldChar w:fldCharType="end"/>
          </w:r>
        </w:p>
      </w:tc>
      <w:tc>
        <w:tcPr>
          <w:tcW w:w="5033" w:type="dxa"/>
          <w:shd w:val="clear" w:color="auto" w:fill="auto"/>
          <w:vAlign w:val="bottom"/>
        </w:tcPr>
        <w:p w:rsidR="002D30BC" w:rsidRPr="00CF011B" w:rsidRDefault="002D30BC" w:rsidP="00CF011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55EB2">
            <w:rPr>
              <w:b w:val="0"/>
              <w:sz w:val="14"/>
            </w:rPr>
            <w:t>06-46732</w:t>
          </w:r>
          <w:r>
            <w:rPr>
              <w:b w:val="0"/>
              <w:sz w:val="14"/>
            </w:rPr>
            <w:fldChar w:fldCharType="end"/>
          </w:r>
        </w:p>
      </w:tc>
    </w:tr>
  </w:tbl>
  <w:p w:rsidR="002D30BC" w:rsidRPr="00CF011B" w:rsidRDefault="002D30BC" w:rsidP="00CF01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D30BC" w:rsidTr="00CF011B">
      <w:tblPrEx>
        <w:tblCellMar>
          <w:top w:w="0" w:type="dxa"/>
          <w:bottom w:w="0" w:type="dxa"/>
        </w:tblCellMar>
      </w:tblPrEx>
      <w:tc>
        <w:tcPr>
          <w:tcW w:w="5033" w:type="dxa"/>
          <w:shd w:val="clear" w:color="auto" w:fill="auto"/>
          <w:vAlign w:val="bottom"/>
        </w:tcPr>
        <w:p w:rsidR="002D30BC" w:rsidRPr="00CF011B" w:rsidRDefault="002D30BC" w:rsidP="00CF011B">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55EB2">
            <w:rPr>
              <w:b w:val="0"/>
              <w:sz w:val="14"/>
            </w:rPr>
            <w:t>06-46732</w:t>
          </w:r>
          <w:r>
            <w:rPr>
              <w:b w:val="0"/>
              <w:sz w:val="14"/>
            </w:rPr>
            <w:fldChar w:fldCharType="end"/>
          </w:r>
        </w:p>
      </w:tc>
      <w:tc>
        <w:tcPr>
          <w:tcW w:w="5033" w:type="dxa"/>
          <w:shd w:val="clear" w:color="auto" w:fill="auto"/>
          <w:vAlign w:val="bottom"/>
        </w:tcPr>
        <w:p w:rsidR="002D30BC" w:rsidRPr="00CF011B" w:rsidRDefault="002D30BC" w:rsidP="00CF011B">
          <w:pPr>
            <w:pStyle w:val="Footer"/>
            <w:jc w:val="right"/>
          </w:pPr>
          <w:r>
            <w:fldChar w:fldCharType="begin"/>
          </w:r>
          <w:r>
            <w:instrText xml:space="preserve"> PAGE  \* MERGEFORMAT </w:instrText>
          </w:r>
          <w:r>
            <w:fldChar w:fldCharType="separate"/>
          </w:r>
          <w:r w:rsidR="00C55EB2">
            <w:t>5</w:t>
          </w:r>
          <w:r>
            <w:fldChar w:fldCharType="end"/>
          </w:r>
        </w:p>
      </w:tc>
    </w:tr>
  </w:tbl>
  <w:p w:rsidR="002D30BC" w:rsidRPr="00CF011B" w:rsidRDefault="002D30BC" w:rsidP="00CF01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0BC" w:rsidRDefault="002D30BC" w:rsidP="00CF011B">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C55EB2">
      <w:rPr>
        <w:b w:val="0"/>
        <w:sz w:val="21"/>
      </w:rPr>
      <w:t>06-46732 (C)</w:t>
    </w:r>
    <w:r>
      <w:rPr>
        <w:b w:val="0"/>
        <w:sz w:val="21"/>
      </w:rPr>
      <w:fldChar w:fldCharType="end"/>
    </w:r>
    <w:r>
      <w:rPr>
        <w:b w:val="0"/>
        <w:sz w:val="21"/>
      </w:rPr>
      <w:t xml:space="preserve">    </w:t>
    </w:r>
    <w:r w:rsidR="00C55EB2">
      <w:rPr>
        <w:rFonts w:hint="eastAsia"/>
        <w:b w:val="0"/>
        <w:sz w:val="21"/>
      </w:rPr>
      <w:t>07</w:t>
    </w:r>
    <w:r>
      <w:rPr>
        <w:b w:val="0"/>
        <w:sz w:val="21"/>
      </w:rPr>
      <w:t>0906    110906</w:t>
    </w:r>
  </w:p>
  <w:p w:rsidR="002D30BC" w:rsidRPr="00CF011B" w:rsidRDefault="002D30BC" w:rsidP="00CF011B">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C55EB2">
      <w:rPr>
        <w:rFonts w:ascii="Barcode 3 of 9 by request" w:hAnsi="Barcode 3 of 9 by request"/>
        <w:sz w:val="24"/>
      </w:rPr>
      <w:t>*0646732*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813" w:rsidRDefault="00D67813">
      <w:r>
        <w:separator/>
      </w:r>
    </w:p>
  </w:footnote>
  <w:footnote w:type="continuationSeparator" w:id="0">
    <w:p w:rsidR="00D67813" w:rsidRDefault="00D67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D30BC" w:rsidTr="00CF011B">
      <w:tblPrEx>
        <w:tblCellMar>
          <w:top w:w="0" w:type="dxa"/>
          <w:bottom w:w="0" w:type="dxa"/>
        </w:tblCellMar>
      </w:tblPrEx>
      <w:trPr>
        <w:trHeight w:hRule="exact" w:val="864"/>
      </w:trPr>
      <w:tc>
        <w:tcPr>
          <w:tcW w:w="4838" w:type="dxa"/>
          <w:shd w:val="clear" w:color="auto" w:fill="auto"/>
          <w:vAlign w:val="bottom"/>
        </w:tcPr>
        <w:p w:rsidR="002D30BC" w:rsidRPr="00CF011B" w:rsidRDefault="002D30BC" w:rsidP="00CF011B">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55EB2">
            <w:rPr>
              <w:b/>
              <w:sz w:val="17"/>
            </w:rPr>
            <w:t>CEDAW/C/TJK/Q/3</w:t>
          </w:r>
          <w:r>
            <w:rPr>
              <w:b/>
              <w:sz w:val="17"/>
            </w:rPr>
            <w:fldChar w:fldCharType="end"/>
          </w:r>
        </w:p>
      </w:tc>
      <w:tc>
        <w:tcPr>
          <w:tcW w:w="5033" w:type="dxa"/>
          <w:shd w:val="clear" w:color="auto" w:fill="auto"/>
          <w:vAlign w:val="bottom"/>
        </w:tcPr>
        <w:p w:rsidR="002D30BC" w:rsidRDefault="002D30BC" w:rsidP="00CF011B">
          <w:pPr>
            <w:pStyle w:val="Header"/>
          </w:pPr>
        </w:p>
      </w:tc>
    </w:tr>
  </w:tbl>
  <w:p w:rsidR="002D30BC" w:rsidRPr="00CF011B" w:rsidRDefault="002D30BC" w:rsidP="00CF01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D30BC" w:rsidTr="00CF011B">
      <w:tblPrEx>
        <w:tblCellMar>
          <w:top w:w="0" w:type="dxa"/>
          <w:bottom w:w="0" w:type="dxa"/>
        </w:tblCellMar>
      </w:tblPrEx>
      <w:trPr>
        <w:trHeight w:hRule="exact" w:val="864"/>
      </w:trPr>
      <w:tc>
        <w:tcPr>
          <w:tcW w:w="4838" w:type="dxa"/>
          <w:shd w:val="clear" w:color="auto" w:fill="auto"/>
          <w:vAlign w:val="bottom"/>
        </w:tcPr>
        <w:p w:rsidR="002D30BC" w:rsidRDefault="002D30BC" w:rsidP="00CF011B">
          <w:pPr>
            <w:pStyle w:val="Header"/>
          </w:pPr>
        </w:p>
      </w:tc>
      <w:tc>
        <w:tcPr>
          <w:tcW w:w="5033" w:type="dxa"/>
          <w:shd w:val="clear" w:color="auto" w:fill="auto"/>
          <w:vAlign w:val="bottom"/>
        </w:tcPr>
        <w:p w:rsidR="002D30BC" w:rsidRPr="00CF011B" w:rsidRDefault="002D30BC" w:rsidP="00CF011B">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55EB2">
            <w:rPr>
              <w:b/>
              <w:sz w:val="17"/>
            </w:rPr>
            <w:t>CEDAW/C/TJK/Q/3</w:t>
          </w:r>
          <w:r>
            <w:rPr>
              <w:b/>
              <w:sz w:val="17"/>
            </w:rPr>
            <w:fldChar w:fldCharType="end"/>
          </w:r>
        </w:p>
      </w:tc>
    </w:tr>
  </w:tbl>
  <w:p w:rsidR="002D30BC" w:rsidRPr="00CF011B" w:rsidRDefault="002D30BC" w:rsidP="00CF01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D30BC" w:rsidTr="00CF011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30BC" w:rsidRDefault="002D30BC" w:rsidP="00CF011B">
          <w:pPr>
            <w:pStyle w:val="Header"/>
            <w:spacing w:after="120"/>
          </w:pPr>
        </w:p>
      </w:tc>
      <w:tc>
        <w:tcPr>
          <w:tcW w:w="1872" w:type="dxa"/>
          <w:tcBorders>
            <w:bottom w:val="single" w:sz="4" w:space="0" w:color="auto"/>
          </w:tcBorders>
          <w:shd w:val="clear" w:color="auto" w:fill="auto"/>
          <w:vAlign w:val="bottom"/>
        </w:tcPr>
        <w:p w:rsidR="002D30BC" w:rsidRPr="00CF011B" w:rsidRDefault="002D30BC" w:rsidP="00CF011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D30BC" w:rsidRDefault="002D30BC" w:rsidP="00CF011B">
          <w:pPr>
            <w:pStyle w:val="Header"/>
            <w:spacing w:after="120"/>
          </w:pPr>
        </w:p>
      </w:tc>
      <w:tc>
        <w:tcPr>
          <w:tcW w:w="6523" w:type="dxa"/>
          <w:gridSpan w:val="3"/>
          <w:tcBorders>
            <w:bottom w:val="single" w:sz="4" w:space="0" w:color="auto"/>
          </w:tcBorders>
          <w:shd w:val="clear" w:color="auto" w:fill="auto"/>
          <w:vAlign w:val="bottom"/>
        </w:tcPr>
        <w:p w:rsidR="002D30BC" w:rsidRPr="00CF011B" w:rsidRDefault="002D30BC" w:rsidP="00CF011B">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/C/TJK/Q/3</w:t>
          </w:r>
        </w:p>
      </w:tc>
    </w:tr>
    <w:tr w:rsidR="002D30BC" w:rsidRPr="00CF011B" w:rsidTr="00CF011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30BC" w:rsidRDefault="002D30BC" w:rsidP="00CF011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D30BC" w:rsidRPr="00CF011B" w:rsidRDefault="002D30BC" w:rsidP="00CF011B">
          <w:pPr>
            <w:pStyle w:val="Header"/>
            <w:spacing w:before="109"/>
            <w:ind w:left="-72"/>
          </w:pPr>
        </w:p>
      </w:tc>
      <w:tc>
        <w:tcPr>
          <w:tcW w:w="5227" w:type="dxa"/>
          <w:gridSpan w:val="3"/>
          <w:tcBorders>
            <w:top w:val="single" w:sz="4" w:space="0" w:color="auto"/>
            <w:bottom w:val="single" w:sz="12" w:space="0" w:color="auto"/>
          </w:tcBorders>
          <w:shd w:val="clear" w:color="auto" w:fill="auto"/>
        </w:tcPr>
        <w:p w:rsidR="002D30BC" w:rsidRPr="00CF011B" w:rsidRDefault="002D30BC" w:rsidP="00CF011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D30BC" w:rsidRPr="00CF011B" w:rsidRDefault="002D30BC" w:rsidP="00CF011B">
          <w:pPr>
            <w:pStyle w:val="Header"/>
            <w:spacing w:before="109"/>
          </w:pPr>
        </w:p>
      </w:tc>
      <w:tc>
        <w:tcPr>
          <w:tcW w:w="3180" w:type="dxa"/>
          <w:gridSpan w:val="2"/>
          <w:tcBorders>
            <w:top w:val="single" w:sz="4" w:space="0" w:color="auto"/>
            <w:bottom w:val="single" w:sz="12" w:space="0" w:color="auto"/>
          </w:tcBorders>
          <w:shd w:val="clear" w:color="auto" w:fill="auto"/>
        </w:tcPr>
        <w:p w:rsidR="002D30BC" w:rsidRDefault="002D30BC" w:rsidP="00CF011B">
          <w:pPr>
            <w:spacing w:before="240" w:line="240" w:lineRule="exact"/>
            <w:rPr>
              <w:rFonts w:ascii="Times New Roman"/>
            </w:rPr>
          </w:pPr>
          <w:r>
            <w:rPr>
              <w:rFonts w:ascii="Times New Roman"/>
            </w:rPr>
            <w:t>Distr.: General</w:t>
          </w:r>
        </w:p>
        <w:p w:rsidR="002D30BC" w:rsidRDefault="002D30BC" w:rsidP="00CF011B">
          <w:pPr>
            <w:spacing w:line="240" w:lineRule="exact"/>
            <w:rPr>
              <w:rFonts w:ascii="Times New Roman"/>
            </w:rPr>
          </w:pPr>
          <w:r>
            <w:rPr>
              <w:rFonts w:ascii="Times New Roman"/>
            </w:rPr>
            <w:t>8 August 2006</w:t>
          </w:r>
        </w:p>
        <w:p w:rsidR="002D30BC" w:rsidRDefault="002D30BC" w:rsidP="00CF011B">
          <w:pPr>
            <w:spacing w:line="240" w:lineRule="exact"/>
            <w:rPr>
              <w:rFonts w:ascii="Times New Roman"/>
            </w:rPr>
          </w:pPr>
          <w:r>
            <w:rPr>
              <w:rFonts w:ascii="Times New Roman"/>
            </w:rPr>
            <w:t>Chinese</w:t>
          </w:r>
        </w:p>
        <w:p w:rsidR="002D30BC" w:rsidRPr="00CF011B" w:rsidRDefault="002D30BC" w:rsidP="00CF011B">
          <w:pPr>
            <w:spacing w:line="240" w:lineRule="exact"/>
            <w:rPr>
              <w:rFonts w:ascii="Times New Roman"/>
            </w:rPr>
          </w:pPr>
          <w:r>
            <w:rPr>
              <w:rFonts w:ascii="Times New Roman"/>
            </w:rPr>
            <w:t>Original: English</w:t>
          </w:r>
        </w:p>
      </w:tc>
    </w:tr>
  </w:tbl>
  <w:p w:rsidR="002D30BC" w:rsidRPr="00CF011B" w:rsidRDefault="002D30BC" w:rsidP="00CF011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32*"/>
    <w:docVar w:name="CreationDt" w:val="11/09/2006 09:12:29"/>
    <w:docVar w:name="DocCategory" w:val="Doc"/>
    <w:docVar w:name="DocType" w:val="Final"/>
    <w:docVar w:name="FooterJN" w:val="06-46732"/>
    <w:docVar w:name="jobn" w:val="06-46732 (C)"/>
    <w:docVar w:name="jobnDT" w:val="06-46732 (C)   110906"/>
    <w:docVar w:name="jobnDTDT" w:val="06-46732 (C)   110906   110906"/>
    <w:docVar w:name="JobNo" w:val="0646732C"/>
    <w:docVar w:name="OandT" w:val="Wang xq"/>
    <w:docVar w:name="sss1" w:val="CEDAW/C/TJK/Q/3"/>
    <w:docVar w:name="sss2" w:val="-"/>
    <w:docVar w:name="Symbol1" w:val="CEDAW/C/TJK/Q/3"/>
    <w:docVar w:name="Symbol2" w:val="-"/>
  </w:docVars>
  <w:rsids>
    <w:rsidRoot w:val="00351AFA"/>
    <w:rsid w:val="00037B39"/>
    <w:rsid w:val="00044CA4"/>
    <w:rsid w:val="000A31F9"/>
    <w:rsid w:val="000C1786"/>
    <w:rsid w:val="000F1058"/>
    <w:rsid w:val="00141322"/>
    <w:rsid w:val="0017506F"/>
    <w:rsid w:val="001A3AD4"/>
    <w:rsid w:val="001E5A51"/>
    <w:rsid w:val="00252E35"/>
    <w:rsid w:val="00282D17"/>
    <w:rsid w:val="002B305F"/>
    <w:rsid w:val="002D30BC"/>
    <w:rsid w:val="00351AFA"/>
    <w:rsid w:val="00371BC6"/>
    <w:rsid w:val="003A3070"/>
    <w:rsid w:val="004535B2"/>
    <w:rsid w:val="005034DE"/>
    <w:rsid w:val="00521275"/>
    <w:rsid w:val="0052216F"/>
    <w:rsid w:val="005541E4"/>
    <w:rsid w:val="0058302A"/>
    <w:rsid w:val="005F3273"/>
    <w:rsid w:val="00620D24"/>
    <w:rsid w:val="007F2278"/>
    <w:rsid w:val="00824C19"/>
    <w:rsid w:val="008378D1"/>
    <w:rsid w:val="008E529B"/>
    <w:rsid w:val="008F5472"/>
    <w:rsid w:val="00956531"/>
    <w:rsid w:val="0096193C"/>
    <w:rsid w:val="009A2F76"/>
    <w:rsid w:val="00AF50CE"/>
    <w:rsid w:val="00B60D11"/>
    <w:rsid w:val="00C55EB2"/>
    <w:rsid w:val="00C9059A"/>
    <w:rsid w:val="00CE07CC"/>
    <w:rsid w:val="00CF011B"/>
    <w:rsid w:val="00CF7718"/>
    <w:rsid w:val="00D67813"/>
    <w:rsid w:val="00DC2506"/>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625</Words>
  <Characters>3566</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Ctpu</vt:lpstr>
    </vt:vector>
  </TitlesOfParts>
  <Company>United Nations</Company>
  <LinksUpToDate>false</LinksUpToDate>
  <CharactersWithSpaces>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Xiuqin.Wang</dc:creator>
  <cp:keywords/>
  <dc:description/>
  <cp:lastModifiedBy>ctpu2</cp:lastModifiedBy>
  <cp:revision>16</cp:revision>
  <cp:lastPrinted>2006-09-11T14:38:00Z</cp:lastPrinted>
  <dcterms:created xsi:type="dcterms:W3CDTF">2006-09-11T07:11:00Z</dcterms:created>
  <dcterms:modified xsi:type="dcterms:W3CDTF">2006-09-11T14:38:00Z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0646732</vt:lpwstr>
  </property>
  <property fmtid="{D5CDD505-2E9C-101B-9397-08002B2CF9AE}" pid="3" name="Symbol1">
    <vt:lpwstr>CEDAW/C/TJK/Q/3</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