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4B5E1E85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095D916" w14:textId="77777777" w:rsidR="002D5AAC" w:rsidRDefault="002D5AAC" w:rsidP="0005295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FB5FDFA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3DD499F" w14:textId="06130DC6" w:rsidR="002D5AAC" w:rsidRDefault="00052955" w:rsidP="00052955">
            <w:pPr>
              <w:jc w:val="right"/>
            </w:pPr>
            <w:r w:rsidRPr="00052955">
              <w:rPr>
                <w:sz w:val="40"/>
              </w:rPr>
              <w:t>E</w:t>
            </w:r>
            <w:r>
              <w:t>/C.12/ZWE/CO/2</w:t>
            </w:r>
          </w:p>
        </w:tc>
      </w:tr>
      <w:tr w:rsidR="002D5AAC" w:rsidRPr="00447B11" w14:paraId="2E78FD68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4C5B246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CB84018" wp14:editId="037FAA2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F551F17" w14:textId="77777777" w:rsidR="002D5AAC" w:rsidRPr="00033EE1" w:rsidRDefault="00640F49" w:rsidP="009F1700">
            <w:pPr>
              <w:spacing w:before="120" w:line="44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2469C375" w14:textId="77777777" w:rsidR="002D5AAC" w:rsidRDefault="00052955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A678D4F" w14:textId="77777777" w:rsidR="00052955" w:rsidRDefault="00052955" w:rsidP="0005295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31 October 2025</w:t>
            </w:r>
          </w:p>
          <w:p w14:paraId="5D1E82E6" w14:textId="77777777" w:rsidR="00052955" w:rsidRDefault="00052955" w:rsidP="0005295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F969257" w14:textId="2445DC16" w:rsidR="00052955" w:rsidRPr="00D62A45" w:rsidRDefault="00052955" w:rsidP="0005295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58B66B3" w14:textId="77777777" w:rsidR="00052955" w:rsidRPr="0006752B" w:rsidRDefault="00052955" w:rsidP="00052955">
      <w:pPr>
        <w:spacing w:before="120"/>
        <w:rPr>
          <w:b/>
          <w:sz w:val="24"/>
          <w:szCs w:val="24"/>
        </w:rPr>
      </w:pPr>
      <w:r w:rsidRPr="0006752B">
        <w:rPr>
          <w:b/>
          <w:bCs/>
          <w:sz w:val="24"/>
          <w:szCs w:val="24"/>
        </w:rPr>
        <w:t xml:space="preserve">Комитет по экономическим, социальным </w:t>
      </w:r>
      <w:r w:rsidRPr="00B6620C">
        <w:rPr>
          <w:b/>
          <w:bCs/>
          <w:sz w:val="24"/>
          <w:szCs w:val="24"/>
        </w:rPr>
        <w:br/>
      </w:r>
      <w:r w:rsidRPr="0006752B">
        <w:rPr>
          <w:b/>
          <w:bCs/>
          <w:sz w:val="24"/>
          <w:szCs w:val="24"/>
        </w:rPr>
        <w:t>и культурным правам</w:t>
      </w:r>
    </w:p>
    <w:p w14:paraId="6FEFA835" w14:textId="77777777" w:rsidR="00052955" w:rsidRPr="00294636" w:rsidRDefault="00052955" w:rsidP="00052955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второму периодическому докладу Зимбабве</w:t>
      </w:r>
      <w:r w:rsidRPr="00BF700F">
        <w:rPr>
          <w:rStyle w:val="a8"/>
          <w:b w:val="0"/>
          <w:sz w:val="20"/>
          <w:vertAlign w:val="baseline"/>
        </w:rPr>
        <w:footnoteReference w:customMarkFollows="1" w:id="1"/>
        <w:t>*</w:t>
      </w:r>
    </w:p>
    <w:p w14:paraId="5814E885" w14:textId="620EA22D" w:rsidR="00052955" w:rsidRPr="00294636" w:rsidRDefault="00052955" w:rsidP="00052955">
      <w:pPr>
        <w:pStyle w:val="SingleTxtG"/>
        <w:tabs>
          <w:tab w:val="left" w:pos="3402"/>
        </w:tabs>
      </w:pPr>
      <w:r>
        <w:t>1.</w:t>
      </w:r>
      <w:r>
        <w:tab/>
        <w:t>Комитет рассмотрел второй периодический доклад Зимбабве</w:t>
      </w:r>
      <w:r w:rsidR="008178FE" w:rsidRPr="00D6169F">
        <w:rPr>
          <w:rStyle w:val="a8"/>
        </w:rPr>
        <w:footnoteReference w:id="2"/>
      </w:r>
      <w:r>
        <w:t xml:space="preserve"> на своих 44-м и 45-м заседаниях</w:t>
      </w:r>
      <w:r w:rsidR="00C82ADC" w:rsidRPr="00D6169F">
        <w:rPr>
          <w:rStyle w:val="a8"/>
        </w:rPr>
        <w:footnoteReference w:id="3"/>
      </w:r>
      <w:r>
        <w:t>, состоявшихся 17 и 18 сентября 2025 года, и принял настоящие заключительные замечания на своем 58-м заседании, состоявшемся 26 сентября 2025</w:t>
      </w:r>
      <w:r>
        <w:rPr>
          <w:lang w:val="en-US"/>
        </w:rPr>
        <w:t> </w:t>
      </w:r>
      <w:r>
        <w:t>года.</w:t>
      </w:r>
    </w:p>
    <w:p w14:paraId="35292C7B" w14:textId="77777777" w:rsidR="00052955" w:rsidRPr="00EE4F1F" w:rsidRDefault="00052955" w:rsidP="00EE4F1F">
      <w:pPr>
        <w:pStyle w:val="H1G"/>
      </w:pPr>
      <w:r w:rsidRPr="00EE4F1F">
        <w:tab/>
        <w:t>A.</w:t>
      </w:r>
      <w:r w:rsidRPr="00EE4F1F">
        <w:tab/>
        <w:t>Введение</w:t>
      </w:r>
    </w:p>
    <w:p w14:paraId="079C2F52" w14:textId="77777777" w:rsidR="00052955" w:rsidRPr="00294636" w:rsidRDefault="00052955" w:rsidP="00052955">
      <w:pPr>
        <w:pStyle w:val="SingleTxtG"/>
        <w:tabs>
          <w:tab w:val="left" w:pos="3402"/>
        </w:tabs>
        <w:rPr>
          <w:rFonts w:asciiTheme="majorBidi" w:hAnsiTheme="majorBidi" w:cstheme="majorBidi"/>
        </w:rPr>
      </w:pPr>
      <w:r>
        <w:t>2.</w:t>
      </w:r>
      <w:r>
        <w:tab/>
        <w:t>Комитет приветствует представление государством-участником второго периодического доклада и дополнительную информацию, содержащуюся в ответах на перечень вопросов</w:t>
      </w:r>
      <w:r w:rsidRPr="00D6169F">
        <w:rPr>
          <w:rStyle w:val="a8"/>
        </w:rPr>
        <w:footnoteReference w:id="4"/>
      </w:r>
      <w:r>
        <w:t>. Комитет высоко оценивает конструктивный диалог, состоявшийся с делегацией высокого уровня государства-участника.</w:t>
      </w:r>
    </w:p>
    <w:p w14:paraId="0DD01EF4" w14:textId="77777777" w:rsidR="00052955" w:rsidRPr="00EE4F1F" w:rsidRDefault="00052955" w:rsidP="00EE4F1F">
      <w:pPr>
        <w:pStyle w:val="H1G"/>
      </w:pPr>
      <w:r w:rsidRPr="00EE4F1F">
        <w:tab/>
        <w:t>B.</w:t>
      </w:r>
      <w:r w:rsidRPr="00EE4F1F">
        <w:tab/>
        <w:t>Позитивные аспекты</w:t>
      </w:r>
    </w:p>
    <w:p w14:paraId="04403908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3.</w:t>
      </w:r>
      <w:r>
        <w:tab/>
        <w:t>Комитет приветствует законодательные, административные и политические меры, принятые государством-участником для укрепления защиты экономических, социальных и культурных прав, включая его присоединение к Международной конвенции о защите прав всех трудящихся-мигрантов и членов их семей в 2024 году и Конвенции о правах инвалидов и Факультативному протоколу к ней в 2013 году, а</w:t>
      </w:r>
      <w:r>
        <w:rPr>
          <w:lang w:val="en-US"/>
        </w:rPr>
        <w:t> </w:t>
      </w:r>
      <w:r>
        <w:t>также принятие Закона о труде (с поправками, внесенными в 2019 году), Национальной стратегии развития на 2021</w:t>
      </w:r>
      <w:r w:rsidRPr="005120BD">
        <w:t>–</w:t>
      </w:r>
      <w:r>
        <w:t>2025 годы и других мер, упомянутых в настоящих заключительных замечаниях.</w:t>
      </w:r>
    </w:p>
    <w:p w14:paraId="2ED898D6" w14:textId="77777777" w:rsidR="00052955" w:rsidRPr="00EE4F1F" w:rsidRDefault="00052955" w:rsidP="00EE4F1F">
      <w:pPr>
        <w:pStyle w:val="H1G"/>
      </w:pPr>
      <w:r w:rsidRPr="00EE4F1F">
        <w:tab/>
        <w:t>C.</w:t>
      </w:r>
      <w:r w:rsidRPr="00EE4F1F">
        <w:tab/>
        <w:t>Основные вопросы, вызывающие обеспокоенность, и рекомендации</w:t>
      </w:r>
    </w:p>
    <w:p w14:paraId="466C14AC" w14:textId="1176309F" w:rsidR="00052955" w:rsidRPr="00EE4F1F" w:rsidRDefault="00052955" w:rsidP="00EE4F1F">
      <w:pPr>
        <w:pStyle w:val="H23G"/>
      </w:pPr>
      <w:r w:rsidRPr="00EE4F1F">
        <w:tab/>
      </w:r>
      <w:r w:rsidR="00EE4F1F" w:rsidRPr="008178FE">
        <w:tab/>
      </w:r>
      <w:r w:rsidR="00EE4F1F" w:rsidRPr="008178FE">
        <w:tab/>
      </w:r>
      <w:r w:rsidRPr="00EE4F1F">
        <w:t>Применение Пакта во внутреннем праве</w:t>
      </w:r>
    </w:p>
    <w:p w14:paraId="3B61D68A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4.</w:t>
      </w:r>
      <w:r>
        <w:tab/>
        <w:t xml:space="preserve">Комитет обеспокоен отсутствием информации о делах, в которых Пакт упоминался или непосредственно применялся национальными судами, а также отсутствием специальной подготовки по Пакту и возможности защиты экономических, социальных и культурных прав в судебном порядке. Комитет сожалеет, что в 2021 году Верховный суд постановил, что конституционное </w:t>
      </w:r>
      <w:r>
        <w:lastRenderedPageBreak/>
        <w:t>положение о праве на жилище носит рекомендательный характер и поэтому не имеет юридической силы (ст. 2 (1)).</w:t>
      </w:r>
    </w:p>
    <w:p w14:paraId="33702D9F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5.</w:t>
      </w:r>
      <w:r>
        <w:tab/>
      </w:r>
      <w:r w:rsidRPr="00C81C24">
        <w:rPr>
          <w:b/>
          <w:bCs/>
        </w:rPr>
        <w:t>Ссылаясь на свое замечание общего порядка № 9 (1998) о применении Пакта во внутреннем праве, Комитет рекомендует государству-участнику принять законодательные меры, необходимые для полного инкорпорирования Пакта во внутреннее законодательство и обеспечения применимости всех прав, закрепленных в Пакте, во внутренних судах.</w:t>
      </w:r>
      <w:r>
        <w:t xml:space="preserve"> </w:t>
      </w:r>
      <w:r>
        <w:rPr>
          <w:b/>
          <w:bCs/>
        </w:rPr>
        <w:t>Он также рекомендует государству-участнику активизировать свои усилия по ознакомлению судей, юристов, публичных должностных лиц, организаций гражданского общества и широкой общественности с Пактом и возможностью защиты в судебном порядке закрепленных в нем прав.</w:t>
      </w:r>
    </w:p>
    <w:p w14:paraId="7192FD28" w14:textId="77777777" w:rsidR="00052955" w:rsidRPr="00366D1B" w:rsidRDefault="00052955" w:rsidP="00366D1B">
      <w:pPr>
        <w:pStyle w:val="H23G"/>
      </w:pPr>
      <w:r w:rsidRPr="00366D1B">
        <w:tab/>
      </w:r>
      <w:r w:rsidRPr="00366D1B">
        <w:tab/>
        <w:t>Национальное правозащитное учреждение</w:t>
      </w:r>
    </w:p>
    <w:p w14:paraId="2F06E3EA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6.</w:t>
      </w:r>
      <w:r>
        <w:tab/>
        <w:t>Комитет обеспокоен вызовами, с которыми сталкивается Комиссия по правам человека Зимбабве и которые не позволяют ей эффективно и независимо выполнять свой мандат, включая ограниченность ее людских и финансовых ресурсов, ее финансовую и оперативную зависимость от исполнительной власти и отсутствие прозрачности в процедуре назначения старших руководителей Комиссии (ст. 2 (1)).</w:t>
      </w:r>
    </w:p>
    <w:p w14:paraId="36624F91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обеспечить достаточные ресурсы и независимость Комиссию по правам человека Зимбабве, чтобы она могла эффективно выполнять свой мандат в соответствии с принципами, касающимися статуса национальных учреждений, занимающихся поощрением и защитой прав человека (Парижские принципы), включая финансовую и оперативную самостоятельность и прямую подотчетность перед парламентом.</w:t>
      </w:r>
      <w:r>
        <w:t xml:space="preserve"> </w:t>
      </w:r>
      <w:r>
        <w:rPr>
          <w:b/>
          <w:bCs/>
        </w:rPr>
        <w:t>Он также рекомендует государству-участнику обеспечить прозрачный, основанный на широком участии и заслугах процесс назначения старших руководителей Комиссии.</w:t>
      </w:r>
    </w:p>
    <w:p w14:paraId="7493330E" w14:textId="77777777" w:rsidR="00052955" w:rsidRPr="00366D1B" w:rsidRDefault="00052955" w:rsidP="00366D1B">
      <w:pPr>
        <w:pStyle w:val="H23G"/>
      </w:pPr>
      <w:r w:rsidRPr="00366D1B">
        <w:tab/>
      </w:r>
      <w:r w:rsidRPr="00366D1B">
        <w:tab/>
        <w:t>Правозащитники</w:t>
      </w:r>
    </w:p>
    <w:p w14:paraId="4E1AA7EE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8.</w:t>
      </w:r>
      <w:r>
        <w:tab/>
        <w:t>Комитет обеспокоен сообщениями об угрозах в адрес журналистов и правозащитников, включая активистов борьбы с коррупцией и защитников экономических, социальных, культурных, экологических и земельных прав, а также о преследованиях, запугивании и нападениях на них в течение отчетного периода. Он</w:t>
      </w:r>
      <w:r>
        <w:rPr>
          <w:lang w:val="en-US"/>
        </w:rPr>
        <w:t> </w:t>
      </w:r>
      <w:r>
        <w:t>далее обеспокоен отсутствием адекватных мер по защите правозащитников и сохраняющейся безнаказанностью и отсутствием возмещения ущерба в таких случаях.</w:t>
      </w:r>
    </w:p>
    <w:p w14:paraId="6FA93B70" w14:textId="32BE1D8F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9.</w:t>
      </w:r>
      <w:r>
        <w:tab/>
      </w:r>
      <w:r>
        <w:rPr>
          <w:b/>
          <w:bCs/>
        </w:rPr>
        <w:t>Ссылаясь на свое заявление о правозащитниках и экономических, социальных и культурных правах</w:t>
      </w:r>
      <w:r w:rsidRPr="00D6169F">
        <w:rPr>
          <w:rStyle w:val="a8"/>
        </w:rPr>
        <w:footnoteReference w:id="5"/>
      </w:r>
      <w:r w:rsidR="001763CF">
        <w:rPr>
          <w:b/>
          <w:bCs/>
        </w:rPr>
        <w:t xml:space="preserve">, </w:t>
      </w:r>
      <w:r>
        <w:rPr>
          <w:b/>
          <w:bCs/>
        </w:rPr>
        <w:t>Комитет рекомендует государству-участнику:</w:t>
      </w:r>
    </w:p>
    <w:p w14:paraId="4A5A19B2" w14:textId="6FC1925B" w:rsidR="00052955" w:rsidRPr="005F735F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 w:rsidRPr="005F735F">
        <w:rPr>
          <w:b/>
          <w:bCs/>
        </w:rPr>
        <w:t>a)</w:t>
      </w:r>
      <w:r w:rsidRPr="005F735F">
        <w:rPr>
          <w:b/>
          <w:bCs/>
        </w:rPr>
        <w:tab/>
        <w:t>принять все необходимые меры для оперативного, беспристрастного и тщательного расследования нападений на правозащитников, обеспечить, чтобы виновные получили наказания, соразмерные тяжести их деяний, и</w:t>
      </w:r>
      <w:r w:rsidR="001C0566">
        <w:rPr>
          <w:b/>
          <w:bCs/>
          <w:lang w:val="en-US"/>
        </w:rPr>
        <w:t> </w:t>
      </w:r>
      <w:r w:rsidRPr="005F735F">
        <w:rPr>
          <w:b/>
          <w:bCs/>
        </w:rPr>
        <w:t>гарантировать жертвам доступ к правосудию и эффективным средствам правовой защиты;</w:t>
      </w:r>
    </w:p>
    <w:p w14:paraId="7D988B9D" w14:textId="77777777" w:rsidR="00052955" w:rsidRPr="005F735F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 w:rsidRPr="005F735F">
        <w:rPr>
          <w:b/>
          <w:bCs/>
        </w:rPr>
        <w:t>b)</w:t>
      </w:r>
      <w:r w:rsidRPr="005F735F">
        <w:rPr>
          <w:b/>
          <w:bCs/>
        </w:rPr>
        <w:tab/>
        <w:t xml:space="preserve">принять четкую нормативно-правовую базу для обеспечения безопасности правозащитников в соответствии с международными стандартами, обеспечив участие гражданского общества и самих правозащитников в ее разработке и применении на практике. </w:t>
      </w:r>
    </w:p>
    <w:p w14:paraId="603110F3" w14:textId="77777777" w:rsidR="00052955" w:rsidRPr="002D0331" w:rsidRDefault="00052955" w:rsidP="002D0331">
      <w:pPr>
        <w:pStyle w:val="H23G"/>
      </w:pPr>
      <w:r w:rsidRPr="002D0331">
        <w:tab/>
      </w:r>
      <w:r w:rsidRPr="002D0331">
        <w:tab/>
        <w:t>Предпринимательская деятельность и права человека</w:t>
      </w:r>
    </w:p>
    <w:p w14:paraId="5564317D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10.</w:t>
      </w:r>
      <w:r>
        <w:tab/>
        <w:t xml:space="preserve">Комитет обеспокоен тем, что некоторые крупные проекты в области развития и деятельность некоторых коммерческих организаций, в том числе в добывающем секторе, негативно сказываются на осуществлении местными общинами экономических, социальных и культурных прав, в частности вызывая перемещение </w:t>
      </w:r>
      <w:r>
        <w:lastRenderedPageBreak/>
        <w:t>населения, принудительные выселения, загрязнение окружающей среды и эксплуатацию работников на основе небезопасных условий, заработной платы ниже минимальной и отсутствия официальных контрактов (ст. 2 (1) и 7).</w:t>
      </w:r>
    </w:p>
    <w:p w14:paraId="7FCB61DF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876A392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 w:rsidRPr="005F735F">
        <w:rPr>
          <w:b/>
          <w:bCs/>
        </w:rPr>
        <w:t>a)</w:t>
      </w:r>
      <w:r w:rsidRPr="005F735F">
        <w:rPr>
          <w:b/>
          <w:bCs/>
        </w:rPr>
        <w:tab/>
      </w:r>
      <w:r>
        <w:rPr>
          <w:b/>
          <w:bCs/>
        </w:rPr>
        <w:t>создать четкую нормативно-правовую базу для коммерческих организаций, действующих под его юрисдикцией, с целью проявления ими должной осмотрительности в вопросах прав человека, чтобы гарантировать, что их деятельность не оказывает негативного влияния на осуществление экономических, социальных и культурных прав;</w:t>
      </w:r>
    </w:p>
    <w:p w14:paraId="3A6DDFBF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 w:rsidRPr="005F735F">
        <w:rPr>
          <w:b/>
          <w:bCs/>
        </w:rPr>
        <w:t>b)</w:t>
      </w:r>
      <w:r w:rsidRPr="005F735F">
        <w:rPr>
          <w:b/>
          <w:bCs/>
        </w:rPr>
        <w:tab/>
      </w:r>
      <w:r>
        <w:rPr>
          <w:b/>
          <w:bCs/>
        </w:rPr>
        <w:t>активизировать усилия с целью принятия национального плана действий по вопросам предпринимательской деятельности и прав человека в консультации с гражданским обществом и с учетом Руководства по национальным планам действий в области предпринимательской деятельности и прав человека Рабочей группы по вопросу о правах человека и транснациональных корпорациях и других предприятиях;</w:t>
      </w:r>
    </w:p>
    <w:p w14:paraId="242D75B6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 w:rsidRPr="005F735F">
        <w:rPr>
          <w:b/>
          <w:bCs/>
        </w:rPr>
        <w:t>c)</w:t>
      </w:r>
      <w:r w:rsidRPr="005F735F">
        <w:rPr>
          <w:b/>
          <w:bCs/>
        </w:rPr>
        <w:tab/>
      </w:r>
      <w:r>
        <w:rPr>
          <w:b/>
          <w:bCs/>
        </w:rPr>
        <w:t>провести обзор нормативно-правовой базы и процессов лицензирования, чтобы обеспечить проведение комплексных, прозрачных, независимых и систематических оценок воздействия на окружающую среду и права человека в контексте проектов развития и предпринимательской деятельности, а также широких консультаций с активным участием затрагиваемых общин;</w:t>
      </w:r>
    </w:p>
    <w:p w14:paraId="7F0979FD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 w:rsidRPr="005F735F">
        <w:rPr>
          <w:b/>
          <w:bCs/>
        </w:rPr>
        <w:t>d)</w:t>
      </w:r>
      <w:r w:rsidRPr="005F735F">
        <w:rPr>
          <w:b/>
          <w:bCs/>
        </w:rPr>
        <w:tab/>
      </w:r>
      <w:r>
        <w:rPr>
          <w:b/>
          <w:bCs/>
        </w:rPr>
        <w:t>обеспечить привлечение коммерческих организаций к ответственности за нарушение экономических, социальных и культурных прав, уделяя особое внимание трудовым правам, правам, связанным с землей, воздействию на окружающую среду и экспроприации в контексте проектов по добыче полезных ископаемых, лесозаготовкам и развитию;</w:t>
      </w:r>
    </w:p>
    <w:p w14:paraId="2999EBED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 w:rsidRPr="005F735F">
        <w:rPr>
          <w:b/>
          <w:bCs/>
        </w:rPr>
        <w:t>e)</w:t>
      </w:r>
      <w:r>
        <w:tab/>
      </w:r>
      <w:r>
        <w:rPr>
          <w:b/>
          <w:bCs/>
        </w:rPr>
        <w:t>обеспечить, чтобы все инвестиции, в том числе связанные с эксплуатацией природных ресурсов, соответствовали обязательствам по Пакту, учитывая, что экономическое развитие не может осуществляться за счет прав человека или окружающей среды;</w:t>
      </w:r>
    </w:p>
    <w:p w14:paraId="10FCB73F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 w:rsidRPr="005F735F">
        <w:rPr>
          <w:b/>
          <w:bCs/>
        </w:rPr>
        <w:t>f)</w:t>
      </w:r>
      <w:r w:rsidRPr="005F735F">
        <w:rPr>
          <w:b/>
          <w:bCs/>
        </w:rPr>
        <w:tab/>
      </w:r>
      <w:r>
        <w:rPr>
          <w:b/>
          <w:bCs/>
        </w:rPr>
        <w:t>принять во внимание замечание общего порядка № 24 (2017) Комитета об обязательствах государств в рамках Пакта в контексте предпринимательской деятельности.</w:t>
      </w:r>
    </w:p>
    <w:p w14:paraId="4A0E9EB0" w14:textId="77777777" w:rsidR="00052955" w:rsidRPr="0055116B" w:rsidRDefault="00052955" w:rsidP="0055116B">
      <w:pPr>
        <w:pStyle w:val="H23G"/>
      </w:pPr>
      <w:r w:rsidRPr="0055116B">
        <w:tab/>
      </w:r>
      <w:r w:rsidRPr="0055116B">
        <w:tab/>
        <w:t>Коренные и племенные народы</w:t>
      </w:r>
    </w:p>
    <w:p w14:paraId="2DEAA59F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12.</w:t>
      </w:r>
      <w:r>
        <w:tab/>
        <w:t xml:space="preserve">Комитет обеспокоен сообщениями о лишении собственности, перемещении и переселении коренных и племенных народов, включая </w:t>
      </w:r>
      <w:proofErr w:type="spellStart"/>
      <w:r>
        <w:t>тшва</w:t>
      </w:r>
      <w:proofErr w:type="spellEnd"/>
      <w:r>
        <w:t>, дома и другие коренные и племенные народы, с их исконных земель и территорий в результате развития и проектов по эксплуатации природных ресурсов без проведения достаточных значимых консультаций или надлежащего соблюдения их права на свободное, предварительное и осознанное согласие (ст. 1 и 2).</w:t>
      </w:r>
    </w:p>
    <w:p w14:paraId="1DE09CE1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CEF2E97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 w:rsidRPr="005F735F">
        <w:rPr>
          <w:b/>
          <w:bCs/>
        </w:rPr>
        <w:t>a)</w:t>
      </w:r>
      <w:r w:rsidRPr="005F735F">
        <w:rPr>
          <w:b/>
          <w:bCs/>
        </w:rPr>
        <w:tab/>
      </w:r>
      <w:r>
        <w:rPr>
          <w:b/>
          <w:bCs/>
        </w:rPr>
        <w:t>обеспечить, чтобы коренные и племенные народы могли в полной мере осуществлять свои права на владение, использование, контроль и освоение земель, территорий и ресурсов, которыми они традиционно владели, занимали или иным образом использовали или приобретали;</w:t>
      </w:r>
    </w:p>
    <w:p w14:paraId="0EDB424E" w14:textId="028CDB64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 w:rsidRPr="005F735F">
        <w:rPr>
          <w:b/>
          <w:bCs/>
        </w:rPr>
        <w:t>b)</w:t>
      </w:r>
      <w:r w:rsidRPr="005F735F">
        <w:rPr>
          <w:b/>
          <w:bCs/>
        </w:rPr>
        <w:tab/>
      </w:r>
      <w:r>
        <w:rPr>
          <w:b/>
          <w:bCs/>
        </w:rPr>
        <w:t>установить систематические и прозрачные процедуры предварительных консультаций с целью получения свободного, предварительного и осознанного согласия коренных и племенных народов в контексте решений, которые могут их затронуть, в частности перед выдачей лицензий на проекты развития и предпринимательскую деятельность, включая добычу полезных ископаемых, на таких землях и территориях;</w:t>
      </w:r>
    </w:p>
    <w:p w14:paraId="0C8B6FF3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 w:rsidRPr="005F735F">
        <w:rPr>
          <w:b/>
          <w:bCs/>
        </w:rPr>
        <w:t>c)</w:t>
      </w:r>
      <w:r w:rsidRPr="005F735F">
        <w:rPr>
          <w:b/>
          <w:bCs/>
        </w:rPr>
        <w:tab/>
      </w:r>
      <w:r>
        <w:rPr>
          <w:b/>
          <w:bCs/>
        </w:rPr>
        <w:t>рассмотреть вопрос о ратификации Конвенции Международной организации труда 1989 года о коренных народах и народах, ведущих племенной образ жизни (№ 169).</w:t>
      </w:r>
    </w:p>
    <w:p w14:paraId="5C5266F0" w14:textId="77777777" w:rsidR="00052955" w:rsidRPr="00254407" w:rsidRDefault="00052955" w:rsidP="00254407">
      <w:pPr>
        <w:pStyle w:val="H23G"/>
      </w:pPr>
      <w:r w:rsidRPr="00254407">
        <w:tab/>
      </w:r>
      <w:r w:rsidRPr="00254407">
        <w:tab/>
        <w:t>Предотвращение изменения климата</w:t>
      </w:r>
    </w:p>
    <w:p w14:paraId="6043DEBA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14.</w:t>
      </w:r>
      <w:r>
        <w:tab/>
        <w:t>Приветствуя представленную государством-участником информацию о разработке национальных планов и стратегий по сокращению выбросов парниковых газов, Комитет обеспокоен тем, что нынешняя промышленная и энергетическая политика государства-участника, включая проекты по добыче ископаемого топлива, может оказаться недостаточной для реализации его определенного на национальном уровне вклада в рамках Парижского соглашения, особенно с учетом того, что его в значительной степени обусловленные цели по сокращению выбросов зависят от колебаний объема международной помощи (ст. 2 (1)).</w:t>
      </w:r>
    </w:p>
    <w:p w14:paraId="26C461BC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15.</w:t>
      </w:r>
      <w:r>
        <w:tab/>
      </w:r>
      <w:r>
        <w:rPr>
          <w:b/>
          <w:bCs/>
        </w:rPr>
        <w:t>Ссылаясь на свое заявление по вопросу об изменении климата и Пакте</w:t>
      </w:r>
      <w:r w:rsidRPr="00D6169F">
        <w:rPr>
          <w:rStyle w:val="a8"/>
        </w:rPr>
        <w:footnoteReference w:id="6"/>
      </w:r>
      <w:r>
        <w:rPr>
          <w:b/>
          <w:bCs/>
        </w:rPr>
        <w:t>, Комитет рекомендует государству-участнику принять все необходимые меры в том плане, чтобы:</w:t>
      </w:r>
    </w:p>
    <w:p w14:paraId="56E62CCE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a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реализовать свой определяемый на национальном уровне вклад в рамках Парижского соглашения и ускорить усилия с целью осуществления своих национальных планов и стратегий по сокращению выбросов парниковых газов;</w:t>
      </w:r>
    </w:p>
    <w:p w14:paraId="5751CDED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b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активизировать усилия по получению международной поддержки, включая финансовую и техническую помощь, для обеспечения финансирования достижения целей по сокращению выбросов.</w:t>
      </w:r>
    </w:p>
    <w:p w14:paraId="7855D6EF" w14:textId="77777777" w:rsidR="00052955" w:rsidRPr="00294636" w:rsidRDefault="00052955" w:rsidP="00254407">
      <w:pPr>
        <w:pStyle w:val="H23G"/>
      </w:pPr>
      <w:r>
        <w:tab/>
      </w:r>
      <w:r>
        <w:tab/>
      </w:r>
      <w:r>
        <w:rPr>
          <w:bCs/>
        </w:rPr>
        <w:t>Максимальные пределы имеющихся ресурсов</w:t>
      </w:r>
    </w:p>
    <w:p w14:paraId="102386DD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16.</w:t>
      </w:r>
      <w:r>
        <w:tab/>
        <w:t>Комитет отмечает выделение значительных ресурсов на обслуживание долга и выражает обеспокоенность тем, что государственные расходы на постепенное осуществление экономических, социальных и культурных прав остаются на низком уровне. Комитет также отмечает, что продолжающаяся зависимость от регрессивной налоговой политики подрывает усилия по сокращению нищеты и ограничивает возможности государства-участника по справедливому перераспределению богатства и доходов с помощью своей фискальной политики (ст. 2 (1)).</w:t>
      </w:r>
    </w:p>
    <w:p w14:paraId="3DF97F76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79BAE08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a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координировать с международными финансовыми учреждениями и другими кредиторами надлежащие действия для обеспечения того, чтобы государственный долг и его обслуживание не ограничивали фискальное пространство, необходимое для выполнения обязательств по Пакту, и не отвлекали ресурсы, необходимые для этой цели;</w:t>
      </w:r>
    </w:p>
    <w:p w14:paraId="1A702C6B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b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оценить влияние налоговых и бюджетных корректировок на осуществление прав, предусмотренных Пактом, и принять меры по смягчению любых негативных последствий, в том числе путем увеличения социальных расходов в процентном отношении к валовому внутреннему продукту с акцентом на социальное обеспечение, жилье, здравоохранение и образование, и уделить особое внимание обездоленным и маргинализированным лицам и регионам с высоким уровнем бедности;</w:t>
      </w:r>
    </w:p>
    <w:p w14:paraId="5C64D199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 w:rsidRPr="005F735F">
        <w:rPr>
          <w:b/>
          <w:bCs/>
        </w:rPr>
        <w:t>c)</w:t>
      </w:r>
      <w:r w:rsidRPr="005F735F">
        <w:rPr>
          <w:b/>
          <w:bCs/>
        </w:rPr>
        <w:tab/>
      </w:r>
      <w:r>
        <w:rPr>
          <w:b/>
          <w:bCs/>
        </w:rPr>
        <w:t>пересмотреть налоговую и фискальную политику, чтобы сделать ее более эффективной, прогрессивной и справедливой, активизировать усилия по мобилизации внутренних ресурсов для реализации экономических, социальных и культурных прав и усилить перераспределение выгод от экономического роста;</w:t>
      </w:r>
    </w:p>
    <w:p w14:paraId="22C9B46C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 w:rsidRPr="00FC491E">
        <w:rPr>
          <w:b/>
          <w:bCs/>
        </w:rPr>
        <w:t>d)</w:t>
      </w:r>
      <w:r w:rsidRPr="00FC491E">
        <w:rPr>
          <w:b/>
          <w:bCs/>
        </w:rPr>
        <w:tab/>
      </w:r>
      <w:r>
        <w:rPr>
          <w:b/>
          <w:bCs/>
        </w:rPr>
        <w:t>принять во внимание заявления Комитета о государственном долге, мерах строгой экономии и Пакте</w:t>
      </w:r>
      <w:r w:rsidRPr="00FC491E">
        <w:rPr>
          <w:rStyle w:val="a8"/>
        </w:rPr>
        <w:footnoteReference w:id="7"/>
      </w:r>
      <w:r>
        <w:rPr>
          <w:b/>
          <w:bCs/>
        </w:rPr>
        <w:t>, а также о налоговой политике и Пакте</w:t>
      </w:r>
      <w:r w:rsidRPr="00FC491E">
        <w:rPr>
          <w:rStyle w:val="a8"/>
        </w:rPr>
        <w:footnoteReference w:id="8"/>
      </w:r>
      <w:r>
        <w:rPr>
          <w:b/>
          <w:bCs/>
        </w:rPr>
        <w:t>.</w:t>
      </w:r>
    </w:p>
    <w:p w14:paraId="2F1B64E8" w14:textId="77777777" w:rsidR="00052955" w:rsidRPr="00294636" w:rsidRDefault="00052955" w:rsidP="00254407">
      <w:pPr>
        <w:pStyle w:val="H23G"/>
      </w:pPr>
      <w:r>
        <w:tab/>
      </w:r>
      <w:r>
        <w:tab/>
      </w:r>
      <w:r>
        <w:rPr>
          <w:bCs/>
        </w:rPr>
        <w:t>Коррупция</w:t>
      </w:r>
    </w:p>
    <w:p w14:paraId="48FAF1AC" w14:textId="6FD8EE49" w:rsidR="00052955" w:rsidRPr="00294636" w:rsidRDefault="00052955" w:rsidP="00052955">
      <w:pPr>
        <w:pStyle w:val="SingleTxtG"/>
        <w:tabs>
          <w:tab w:val="left" w:pos="3402"/>
        </w:tabs>
      </w:pPr>
      <w:r>
        <w:t>18.</w:t>
      </w:r>
      <w:r>
        <w:tab/>
        <w:t>Приветствуя меры, предпринятые для борьбы с коррупцией, такие как принятие Национальной стратегии борьбы с коррупцией (2020–2024 годы), Комитет обеспокоен сохранением коррупции, затрагивающей как государственный, так и частный сектор, в том числе в сфере государственных закупок и предоставления лицензий и прав на добычу полезных ископаемых в добывающем секторе. Он также обеспокоен распространенностью мелкой коррупции, вымогательства и взяточничества, которые затрудняют доступ к государственным услугам. Он далее с обеспокоенностью отмечает ограниченную прозрачность и подотчетность в управлении государственными средствами и поступлениями от освоения природных ресурсов, неадекватное применение антикоррупционных законов, а также ограниченный потенциал и независимость антикоррупционных органов и надзорных учреждений (ст.</w:t>
      </w:r>
      <w:r>
        <w:rPr>
          <w:lang w:val="en-US"/>
        </w:rPr>
        <w:t> </w:t>
      </w:r>
      <w:r>
        <w:t>2 (1)).</w:t>
      </w:r>
    </w:p>
    <w:p w14:paraId="5E1621B5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2180EDF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a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активизировать усилия по борьбе с коррупцией и принять меры по обеспечению прозрачности и подотчетности в сфере государственного управления, уделяя особое внимание процессам государственных закупок и предоставлению лицензий и прав на добычу полезных ископаемых в добывающем секторе;</w:t>
      </w:r>
    </w:p>
    <w:p w14:paraId="3FFF4CFD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b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обеспечить тщательное и независимое расследование, судебное преследование и наказание по факту всех случаев коррупции, включая случаи, связанные с высокопоставленными должностными лицами, с назначением мер наказания, соразмерных тяжести преступления;</w:t>
      </w:r>
    </w:p>
    <w:p w14:paraId="403966CB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c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укрепить полномочия, независимость и ресурсы антикоррупционных органов и надзорных учреждений, включая Комиссию по борьбе с коррупцией Зимбабве, Национальную прокуратуру и специализированные антикоррупционные суды, чтобы они могли эффективно и независимо выполнять свой мандат;</w:t>
      </w:r>
    </w:p>
    <w:p w14:paraId="75294E43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d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принять все необходимые меры для защиты антикоррупционных активистов, разоблачителей, свидетелей и журналистов, сообщающих о фактах коррупции, и обеспечить безопасные и доступные каналы для сообщений о коррупции;</w:t>
      </w:r>
    </w:p>
    <w:p w14:paraId="4CAC5C59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e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повысить осведомленность политиков, парламентариев, правительственных должностных лиц и общественности об экономических и социальных издержках коррупции.</w:t>
      </w:r>
    </w:p>
    <w:p w14:paraId="0B5F8D7D" w14:textId="77777777" w:rsidR="00052955" w:rsidRPr="00294636" w:rsidRDefault="00052955" w:rsidP="00254407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6BC3AF00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20.</w:t>
      </w:r>
      <w:r>
        <w:tab/>
        <w:t>Признавая, что Конституция государства-участника запрещает дискриминацию, Комитет обеспокоен тем, что:</w:t>
      </w:r>
    </w:p>
    <w:p w14:paraId="4D1D94DA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</w:pPr>
      <w:r>
        <w:t>a)</w:t>
      </w:r>
      <w:r>
        <w:tab/>
        <w:t>в государстве-участнике отсутствует всеобъемлющее антидискриминационное законодательство, запрещающее все формы дискриминации по всем запрещенным признакам;</w:t>
      </w:r>
    </w:p>
    <w:p w14:paraId="02E440CC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</w:pPr>
      <w:r>
        <w:t>b)</w:t>
      </w:r>
      <w:r>
        <w:tab/>
        <w:t>несмотря на усилия по реализации Национальной политики в отношении инвалидности, инвалиды продолжают подвергаться прямой, косвенной и множественной дискриминации, препятствующей их равноправному участию в экономической и социальной жизни и доступу к государственным услугам;</w:t>
      </w:r>
    </w:p>
    <w:p w14:paraId="09967E2C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</w:pPr>
      <w:r>
        <w:t>c)</w:t>
      </w:r>
      <w:r>
        <w:tab/>
        <w:t>коренные народы и племенные народы продолжают сталкиваться с системной дискриминацией при осуществлении своих экономических, социальных и культурных прав, что выражается в непропорционально высоком уровне бедности и ограниченном доступе к качественному образованию и здравоохранению;</w:t>
      </w:r>
    </w:p>
    <w:p w14:paraId="6D7309F8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</w:pPr>
      <w:r>
        <w:t>d)</w:t>
      </w:r>
      <w:r>
        <w:tab/>
        <w:t>дискриминация, социальная стигма и предрассудки сохраняются на основании действительной или предполагаемой сексуальной ориентации и гендерной идентичности людей, а также ВИЧ-статуса, препятствуя их доступу к занятости, социальным услугам, жилью, образованию и здравоохранению, в свете сообщений об издевательствах, насилии и отчуждении в школах, выселениях и отказе в медицинской помощи (ст. 2 (2) и 9</w:t>
      </w:r>
      <w:r w:rsidRPr="006B0F1E">
        <w:t>–</w:t>
      </w:r>
      <w:r>
        <w:t>14).</w:t>
      </w:r>
    </w:p>
    <w:p w14:paraId="71525176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E0C1FD0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a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принять всеобъемлющее антидискриминационное законодательство, обеспечивающее полную и эффективную защиту от дискриминации в государственной и частной сферах и прямо охватывающее все запрещенные основания для дискриминации;</w:t>
      </w:r>
      <w:r w:rsidRPr="005F735F">
        <w:rPr>
          <w:b/>
          <w:bCs/>
        </w:rPr>
        <w:t xml:space="preserve"> </w:t>
      </w:r>
    </w:p>
    <w:p w14:paraId="322D69D2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b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укрепить усилия по обеспечению инвалидам равного доступа к занятости, социальным услугам, жилью, образованию и здравоохранению, выделяя достаточные людские, технические и финансовые ресурсы на реализацию Национальной политики в отношении инвалидности и регулярно проводя мониторинг и оценку усилий по ее реализации совместно с организациями инвалидов и соответствующими социальными партнерами;</w:t>
      </w:r>
    </w:p>
    <w:p w14:paraId="13416F7D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c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принять меры для эффективного предотвращения и пресечения дискриминации и социально-экономического отчуждения коренных и племенных народов с целью обеспечения их экономических, социальных и культурных прав наравне с другими;</w:t>
      </w:r>
    </w:p>
    <w:p w14:paraId="505ECBDA" w14:textId="5BA40F6F" w:rsidR="00052955" w:rsidRPr="00AE4F11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d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принять эффективные меры, включая законодательные меры, для борьбы с дискриминацией, социальной стигмой и предрассудками в отношении лиц на основании их фактической или предполагаемой сексуальной ориентации, гендерной идентичности или ВИЧ-статуса</w:t>
      </w:r>
      <w:r w:rsidR="00AE4F11" w:rsidRPr="00AE4F11">
        <w:rPr>
          <w:b/>
          <w:bCs/>
        </w:rPr>
        <w:t>;</w:t>
      </w:r>
    </w:p>
    <w:p w14:paraId="5FBF41EF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e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принять во внимание замечание общего порядка № 20 (2009) Комитета о недискриминации в сфере экономических, социальных и культурных прав.</w:t>
      </w:r>
    </w:p>
    <w:p w14:paraId="47516290" w14:textId="77777777" w:rsidR="00052955" w:rsidRPr="00294636" w:rsidRDefault="00052955" w:rsidP="00254407">
      <w:pPr>
        <w:pStyle w:val="H23G"/>
      </w:pPr>
      <w:r>
        <w:tab/>
      </w:r>
      <w:r>
        <w:tab/>
      </w:r>
      <w:r>
        <w:rPr>
          <w:bCs/>
        </w:rPr>
        <w:t>Равенство между мужчинами и женщинами</w:t>
      </w:r>
    </w:p>
    <w:p w14:paraId="183F0801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22.</w:t>
      </w:r>
      <w:r>
        <w:tab/>
        <w:t xml:space="preserve">Комитет обеспокоен препятствиями на пути расширения экономических и социальных прав и возможностей женщин, в том числе: сохраняющимся гендерным разрывом в оплате труда и пенсионном обеспечении, обусловленным вертикальной и горизонтальной гендерной сегрегацией на рынке труда; </w:t>
      </w:r>
      <w:proofErr w:type="spellStart"/>
      <w:r>
        <w:t>недопредставленностью</w:t>
      </w:r>
      <w:proofErr w:type="spellEnd"/>
      <w:r>
        <w:t xml:space="preserve"> женщин на директивных должностях в государственном и частном секторах; непропорционально высокой концентрацией женщин в неформальной экономике и натуральном сельском хозяйстве при ограниченной поддержке для повышения их производительности и доходов; их ограниченным доступом к земле и другим важнейшим экономическим ресурсам и владением ими; и их неадекватным доступом к благам науки и техники и участием в технологических инновациях (ст. 3, 7, 9, 13 и</w:t>
      </w:r>
      <w:r>
        <w:rPr>
          <w:lang w:val="en-US"/>
        </w:rPr>
        <w:t> </w:t>
      </w:r>
      <w:r>
        <w:t>15).</w:t>
      </w:r>
    </w:p>
    <w:p w14:paraId="4522D219" w14:textId="77777777" w:rsidR="00052955" w:rsidRPr="00294636" w:rsidRDefault="00052955" w:rsidP="00C541A5">
      <w:pPr>
        <w:pStyle w:val="SingleTxtG"/>
        <w:tabs>
          <w:tab w:val="left" w:pos="3402"/>
        </w:tabs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3E2EAB6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 w:rsidRPr="005F735F">
        <w:rPr>
          <w:b/>
          <w:bCs/>
        </w:rPr>
        <w:t>a)</w:t>
      </w:r>
      <w:r w:rsidRPr="005F735F">
        <w:rPr>
          <w:b/>
          <w:bCs/>
        </w:rPr>
        <w:tab/>
      </w:r>
      <w:r>
        <w:rPr>
          <w:b/>
          <w:bCs/>
        </w:rPr>
        <w:t>принять и реализовать комплексные стратегии по устранению гендерного разрыва в оплате труда и пенсионном обеспечении, включая принятие мер по сокращению профессиональной сегрегации и содействию расширению экономических и социальных прав и возможностей женщин во всех секторах экономики;</w:t>
      </w:r>
    </w:p>
    <w:p w14:paraId="13533BF6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b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создать условия для эффективного представительства женщин на директивных должностях в государственном и частном секторах;</w:t>
      </w:r>
    </w:p>
    <w:p w14:paraId="7B2FF8CC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c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ускорить переход женщин на официальную работу и оказать адресную поддержку женщинам, занятым в неформальной экономике и натуральном сельском хозяйстве, например обеспечить доступ к местным рынкам, кредитам, обучению и социальному обеспечению;</w:t>
      </w:r>
    </w:p>
    <w:p w14:paraId="7A689F4B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d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принять позитивные меры для облегчения доступа женщин к земле и другим важнейшим экономическим ресурсам;</w:t>
      </w:r>
    </w:p>
    <w:p w14:paraId="1AB403BF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e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наращивать усилия по расширению доступа женщин к благам науки и техники, в том числе путем повышения уровня цифровой грамотности, и</w:t>
      </w:r>
      <w:r>
        <w:rPr>
          <w:b/>
          <w:bCs/>
          <w:lang w:val="en-US"/>
        </w:rPr>
        <w:t> </w:t>
      </w:r>
      <w:r>
        <w:rPr>
          <w:b/>
          <w:bCs/>
        </w:rPr>
        <w:t>содействовать их участию в областях науки, техники, инженерного дела и математики путем расширения возможностей для образования, исследований, подготовки и профессионального развития;</w:t>
      </w:r>
    </w:p>
    <w:p w14:paraId="070087D6" w14:textId="7FA37851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f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принять во внимание замечание общего порядка № 16 (2005) Комитета о равном для мужчин и женщин праве пользования всеми экономическими, социальными и культурными правами.</w:t>
      </w:r>
    </w:p>
    <w:p w14:paraId="3A67E13A" w14:textId="77777777" w:rsidR="00052955" w:rsidRPr="00294636" w:rsidRDefault="00052955" w:rsidP="00254407">
      <w:pPr>
        <w:pStyle w:val="H23G"/>
      </w:pPr>
      <w:r>
        <w:tab/>
      </w:r>
      <w:r>
        <w:tab/>
      </w:r>
      <w:r>
        <w:rPr>
          <w:bCs/>
        </w:rPr>
        <w:t>Право на труд</w:t>
      </w:r>
    </w:p>
    <w:p w14:paraId="3E3848A9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24.</w:t>
      </w:r>
      <w:r>
        <w:tab/>
        <w:t>Комитет обеспокоен сохраняющимися высокими показателями безработицы и неполной занятости, которые непропорционально сильно сказываются на молодежи, женщинах и инвалидах (ст. 6).</w:t>
      </w:r>
    </w:p>
    <w:p w14:paraId="10484607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FB32AB9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 w:rsidRPr="009B4E04">
        <w:rPr>
          <w:b/>
          <w:bCs/>
        </w:rPr>
        <w:t>a)</w:t>
      </w:r>
      <w:r w:rsidRPr="009B4E04">
        <w:rPr>
          <w:b/>
          <w:bCs/>
        </w:rPr>
        <w:tab/>
      </w:r>
      <w:r>
        <w:rPr>
          <w:b/>
          <w:bCs/>
        </w:rPr>
        <w:t>активизировать усилия по сокращению безработицы и неполной занятости в сотрудничестве с социальными партнерами, в том числе путем принятия политики создания рабочих мест и целевых стратегий и программ для молодежи, женщин и инвалидов;</w:t>
      </w:r>
    </w:p>
    <w:p w14:paraId="577ACD2D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b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укрепить усилия по организации профессионально-технического обучения, чтобы способствовать приобретению навыков, необходимых на рынке труда;</w:t>
      </w:r>
    </w:p>
    <w:p w14:paraId="1D1E2C9D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 w:rsidRPr="005F735F">
        <w:rPr>
          <w:b/>
          <w:bCs/>
        </w:rPr>
        <w:t>c)</w:t>
      </w:r>
      <w:r w:rsidRPr="005F735F">
        <w:rPr>
          <w:b/>
          <w:bCs/>
        </w:rPr>
        <w:tab/>
      </w:r>
      <w:r>
        <w:rPr>
          <w:b/>
          <w:bCs/>
        </w:rPr>
        <w:t>усовершенствовать систему сбора дезагрегированных данных о занятости, неполной занятости и безработице и представить обновленные дезагрегированные данные в своем следующем периодическом докладе;</w:t>
      </w:r>
    </w:p>
    <w:p w14:paraId="29A240C7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d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принять во внимание замечание общего порядка № 18 (2005) Комитета о праве на труд.</w:t>
      </w:r>
    </w:p>
    <w:p w14:paraId="509BDF8B" w14:textId="77777777" w:rsidR="00052955" w:rsidRPr="00386CFE" w:rsidRDefault="00052955" w:rsidP="00254407">
      <w:pPr>
        <w:pStyle w:val="H23G"/>
      </w:pPr>
      <w:r w:rsidRPr="00386CFE">
        <w:tab/>
      </w:r>
      <w:r w:rsidRPr="00386CFE">
        <w:tab/>
        <w:t>Неформальная экономика</w:t>
      </w:r>
    </w:p>
    <w:p w14:paraId="06DBBBC1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26.</w:t>
      </w:r>
      <w:r>
        <w:tab/>
        <w:t>Комитет обеспокоен непропорционально большой долей населения, занятого в неформальной экономике, часто получающего низкую заработную плату и работающего без официальных контрактов, в результате чего на практике не имеющего доступа к защите трудовых прав или социальному обеспечению (ст. 6, 7 и</w:t>
      </w:r>
      <w:r>
        <w:rPr>
          <w:lang w:val="en-US"/>
        </w:rPr>
        <w:t> </w:t>
      </w:r>
      <w:r>
        <w:t>9).</w:t>
      </w:r>
    </w:p>
    <w:p w14:paraId="36BE8FF0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 усилить правовую защиту работников неформального сектора экономики и активизировать правоприменительные меры для постепенного обеспечения осуществления их трудовых прав и доступа к социальному обеспечению.</w:t>
      </w:r>
      <w:r>
        <w:t xml:space="preserve"> </w:t>
      </w:r>
      <w:r>
        <w:rPr>
          <w:b/>
          <w:bCs/>
        </w:rPr>
        <w:t>Он также рекомендует государству-участнику принять эффективные меры, необходимые для постепенной формализации положения работников неформальной экономики, принимая во внимание Рекомендацию Международной организации труда о переходе от неформальной к формальной экономике 2015 года (№ 204).</w:t>
      </w:r>
    </w:p>
    <w:p w14:paraId="47A4C633" w14:textId="77777777" w:rsidR="00052955" w:rsidRPr="00294636" w:rsidRDefault="00052955" w:rsidP="00254407">
      <w:pPr>
        <w:pStyle w:val="H23G"/>
      </w:pPr>
      <w:r>
        <w:tab/>
      </w:r>
      <w:r>
        <w:tab/>
      </w:r>
      <w:r>
        <w:rPr>
          <w:bCs/>
        </w:rPr>
        <w:t>Право на справедливые и благоприятные условия труда</w:t>
      </w:r>
    </w:p>
    <w:p w14:paraId="17546E78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28.</w:t>
      </w:r>
      <w:r>
        <w:tab/>
        <w:t>Комитет с обеспокоенностью отмечает:</w:t>
      </w:r>
    </w:p>
    <w:p w14:paraId="1D1EA034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</w:pPr>
      <w:r>
        <w:t>a)</w:t>
      </w:r>
      <w:r>
        <w:tab/>
        <w:t>сообщения о плохих условиях труда в формальном и неформальном секторах, включая образование, здравоохранение, сферу услуг, строительство, горнодобывающую промышленность и сельское хозяйство, в частности в связи с чрезмерной продолжительностью рабочего дня и неадекватной заработной платой;</w:t>
      </w:r>
    </w:p>
    <w:p w14:paraId="3AF49D9E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</w:pPr>
      <w:r>
        <w:t>b)</w:t>
      </w:r>
      <w:r>
        <w:tab/>
        <w:t>недостаточную защиту трудовых прав работников, занимающихся индивидуальной трудовой деятельностью, занятых в неформальном секторе или работающих в рамках неопределенных трудовых отношений без официальных контрактов, поскольку они не имеют доступа к правовой защите в соответствии с Законом о труде;</w:t>
      </w:r>
    </w:p>
    <w:p w14:paraId="554F8F1D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</w:pPr>
      <w:r>
        <w:t>c)</w:t>
      </w:r>
      <w:r>
        <w:tab/>
        <w:t>сообщения о том, что с работниками секторов повышенного риска, таких как строительство и горнодобывающая промышленность, по-прежнему происходят несчастные случаи на производстве из-за небезопасных условий, которые приводят к травмам и смертельным исходам; и сообщения о том, что многие работники сельского хозяйства и горнодобывающей промышленности подвергаются воздействию опасных веществ, которые, как сообщается, вызывают респираторные заболевания и представляют собой другие долгосрочные риски для здоровья на производстве (ст. 7).</w:t>
      </w:r>
    </w:p>
    <w:p w14:paraId="683227C5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72CA168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a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принять меры по обеспечению эффективной защиты в соответствии с Законом о труде во всех секторах экономики, гарантируя справедливые и благоприятные условия труда для всех работников, в том числе путем четкого регулирования продолжительности рабочего дня и времени отдыха;</w:t>
      </w:r>
    </w:p>
    <w:p w14:paraId="363901C0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b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активизировать усилия по снижению уровня профессиональных заболеваний, производственного травматизма и смертности, уделяя особое внимание секторам, в которых вероятность несчастных случаев на производстве и профессиональных заболеваний выше, в том числе путем ускорения принятия и реализации законопроекта о безопасности и гигиене труда, повышения осведомленности работодателей и работников о безопасности на рабочем месте и обеспечения принятия усиленных мер защиты на рабочем месте;</w:t>
      </w:r>
    </w:p>
    <w:p w14:paraId="4404FCF7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c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проводить регулярные оценки рисков в области безопасности и здоровья и укреплять механизмы трудовых инспекций, предоставляя им достаточные людские, технические и финансовые ресурсы для эффективного и систематического мониторинга условий труда во всех секторах экономики;</w:t>
      </w:r>
    </w:p>
    <w:p w14:paraId="0E695DE2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d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обеспечить доступные механизмы исправления ситуации, позволяющие работникам безопасно и без запугивания подавать жалобы на нарушения трудовых прав;</w:t>
      </w:r>
      <w:r w:rsidRPr="005F735F">
        <w:rPr>
          <w:b/>
          <w:bCs/>
        </w:rPr>
        <w:t xml:space="preserve"> </w:t>
      </w:r>
      <w:r>
        <w:rPr>
          <w:b/>
          <w:bCs/>
        </w:rPr>
        <w:t>и принимать эффективные меры в отношении работодателей и предприятий, уличенных в нарушении трудовых прав, в том числе путем применения сдерживающих санкций;</w:t>
      </w:r>
    </w:p>
    <w:p w14:paraId="7B436BE2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e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принять во внимание замечание общего порядка № 23 (2016) Комитета о праве на справедливые и благоприятные условия труда;</w:t>
      </w:r>
    </w:p>
    <w:p w14:paraId="648EB390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f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рассмотреть возможность ратификации Конвенции 2006 года об основах, содействующих безопасности и гигиене труда (№ 187), Протокола 2002</w:t>
      </w:r>
      <w:r>
        <w:rPr>
          <w:b/>
          <w:bCs/>
          <w:lang w:val="en-US"/>
        </w:rPr>
        <w:t> </w:t>
      </w:r>
      <w:r>
        <w:rPr>
          <w:b/>
          <w:bCs/>
        </w:rPr>
        <w:t>года к Конвенции 1981 года о безопасности и гигиене труда (№ 155), Конвенции 2011 года о домашних работниках (№ 189) и Конвенции 2019 года о насилии и домогательствах (№ 190) Международной организации труда.</w:t>
      </w:r>
    </w:p>
    <w:p w14:paraId="518B7BE5" w14:textId="77777777" w:rsidR="00052955" w:rsidRPr="00294636" w:rsidRDefault="00052955" w:rsidP="00254407">
      <w:pPr>
        <w:pStyle w:val="H23G"/>
      </w:pPr>
      <w:r>
        <w:tab/>
      </w:r>
      <w:r>
        <w:tab/>
      </w:r>
      <w:r>
        <w:rPr>
          <w:bCs/>
        </w:rPr>
        <w:t>Минимальная заработная плата</w:t>
      </w:r>
    </w:p>
    <w:p w14:paraId="6F1CDF33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30.</w:t>
      </w:r>
      <w:r>
        <w:tab/>
        <w:t>Приветствуя тот факт, что государство-участник установило минимальную заработную плату в соответствии с Постановлением о трудовых отношениях (определение минимальной заработной платы) (поправка) от 2024 года, Комитет, тем не менее, обеспокоен тем, что домашние и сельскохозяйственные работники исключены из сферы его действия и поэтому могут получать заработную плату ниже минимальной. Комитет также обеспокоен тем, что минимальная заработная плата недостаточна для обеспечения достойной жизни трудящихся и их семей в свете роста стоимости жизни, усугубляемого высокой инфляцией (ст. 7).</w:t>
      </w:r>
    </w:p>
    <w:p w14:paraId="41AB8DA8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 установить минимальную заработную плату, применимую ко всем работникам во всех секторах, включая домашний труд и сельское хозяйство, и обеспечить ее периодический пересмотр в консультации с социальными партнерами и индексацию с учетом стоимости жизни, с тем чтобы гарантировать всем работникам и их семьям достойный уровень жизни.</w:t>
      </w:r>
    </w:p>
    <w:p w14:paraId="6D662FAF" w14:textId="77777777" w:rsidR="00052955" w:rsidRPr="00294636" w:rsidRDefault="00052955" w:rsidP="00254407">
      <w:pPr>
        <w:pStyle w:val="H23G"/>
      </w:pPr>
      <w:r>
        <w:tab/>
      </w:r>
      <w:r>
        <w:tab/>
      </w:r>
      <w:r>
        <w:rPr>
          <w:bCs/>
        </w:rPr>
        <w:t>Профсоюзные права</w:t>
      </w:r>
    </w:p>
    <w:p w14:paraId="04403B9F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32.</w:t>
      </w:r>
      <w:r>
        <w:tab/>
        <w:t xml:space="preserve">Комитет обеспокоен сообщениями о преследованиях, похищениях, насильственных исчезновениях и других случаях насилия в отношении профсоюзных лидеров и членов профсоюзов за отчетный период. Он также обеспокоен сообщениями о чрезмерных ограничениях на осуществление профсоюзных прав работниками государственного сектора, включая положения Закона о внесении поправок в Закон о медицинских услугах и Законопроекта о внесении поправок в Уголовное законодательство (кодификация и реформа), которые криминализируют право на забастовку для работников здравоохранения, предусматривая наказание в виде тюремного заключения сроком до шести месяцев. Он далее обеспокоен тем, что законодательство государства-участника не устанавливает официальный перечень </w:t>
      </w:r>
      <w:r w:rsidRPr="003977FA">
        <w:t xml:space="preserve">жизненно важные </w:t>
      </w:r>
      <w:r>
        <w:t xml:space="preserve">услуг, в секторе которых право на забастовку ограничено, оставляя на усмотрение министра государственной службы, труда и социального обеспечения определение того, какие услуги считаются </w:t>
      </w:r>
      <w:r w:rsidRPr="003977FA">
        <w:t>жизненно важны</w:t>
      </w:r>
      <w:r>
        <w:t>ми</w:t>
      </w:r>
      <w:r w:rsidRPr="003977FA">
        <w:t xml:space="preserve"> </w:t>
      </w:r>
      <w:r>
        <w:t>(ст. 8).</w:t>
      </w:r>
    </w:p>
    <w:p w14:paraId="2F3BFDBB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33.</w:t>
      </w:r>
      <w:r>
        <w:tab/>
      </w:r>
      <w:r>
        <w:rPr>
          <w:b/>
          <w:bCs/>
        </w:rPr>
        <w:t>Ссылаясь на свое совместное с Комитетом по правам человека заявление о свободе ассоциации, включая право создавать профсоюзы и вступать в них, Комитет рекомендует государству-участнику принять необходимые меры для обеспечения полного соблюдения профсоюзных прав трудящихся и для того, чтобы лидеры и члены профсоюзов могли осуществлять свою деятельность в условиях, свободных от запугивания, насилия, преследований и риска для их личной безопасности.</w:t>
      </w:r>
      <w:r>
        <w:t xml:space="preserve"> </w:t>
      </w:r>
      <w:r>
        <w:rPr>
          <w:b/>
          <w:bCs/>
        </w:rPr>
        <w:t xml:space="preserve">Он также рекомендует государству-участнику принять законодательные меры для установления законодательного перечня </w:t>
      </w:r>
      <w:r w:rsidRPr="003977FA">
        <w:rPr>
          <w:b/>
          <w:bCs/>
        </w:rPr>
        <w:t>жизненно важны</w:t>
      </w:r>
      <w:r>
        <w:rPr>
          <w:b/>
          <w:bCs/>
        </w:rPr>
        <w:t>х</w:t>
      </w:r>
      <w:r w:rsidRPr="003977FA">
        <w:rPr>
          <w:b/>
          <w:bCs/>
        </w:rPr>
        <w:t xml:space="preserve"> </w:t>
      </w:r>
      <w:r>
        <w:rPr>
          <w:b/>
          <w:bCs/>
        </w:rPr>
        <w:t xml:space="preserve">услуг, основанного на определении, которое гарантирует эффективное осуществление права на забастовку без необоснованных ограничений и обеспечивает государственным служащим, чьи услуги не могут обоснованно считаться </w:t>
      </w:r>
      <w:r w:rsidRPr="00C13D78">
        <w:rPr>
          <w:b/>
          <w:bCs/>
        </w:rPr>
        <w:t>жизненно важны</w:t>
      </w:r>
      <w:r>
        <w:rPr>
          <w:b/>
          <w:bCs/>
        </w:rPr>
        <w:t>ми, полное право на осуществление этого права.</w:t>
      </w:r>
    </w:p>
    <w:p w14:paraId="2B81C6E7" w14:textId="77777777" w:rsidR="00052955" w:rsidRPr="00294636" w:rsidRDefault="00052955" w:rsidP="00254407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</w:t>
      </w:r>
    </w:p>
    <w:p w14:paraId="2CB848D6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34.</w:t>
      </w:r>
      <w:r>
        <w:tab/>
        <w:t xml:space="preserve">Комитет обеспокоен постоянно недостаточными бюджетными ассигнованиями на социальное обеспечение </w:t>
      </w:r>
      <w:r w:rsidRPr="000E26E5">
        <w:t>—</w:t>
      </w:r>
      <w:r>
        <w:t xml:space="preserve"> отмечая, что фактические выплаты часто оказываются ниже выделенных сумм, </w:t>
      </w:r>
      <w:r w:rsidRPr="004436C7">
        <w:t>—</w:t>
      </w:r>
      <w:r>
        <w:t xml:space="preserve"> а также ограниченным охватом и низким уровнем пособий по социальному обеспечению, что в совокупности подрывает эффективность системы социального обеспечения в деле сокращения бедности. В частности, Комитет обеспокоен тем, что лишь очень небольшая часть рабочей силы охвачена социальным страхованием на основе взносов, что в значительной степени исключает работников неформального сектора экономики, и что пособия по социальной помощи остаются недостаточными в свете растущей стоимости жизни, усугубляемой высокой инфляцией (ст. 9).</w:t>
      </w:r>
    </w:p>
    <w:p w14:paraId="34CF0712" w14:textId="3B5465D0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35.</w:t>
      </w:r>
      <w:r>
        <w:tab/>
      </w:r>
      <w:r>
        <w:rPr>
          <w:b/>
          <w:bCs/>
        </w:rPr>
        <w:t>Ссылаясь на свое замечание общего порядка № 19 (2007) о праве на социальное обеспечение и свое заявление о минимальных уровнях социальной защиты как важнейшем элементе права на социальное обеспечение и Целей в области устойчивого развития</w:t>
      </w:r>
      <w:r w:rsidR="00C80124" w:rsidRPr="00D6169F">
        <w:rPr>
          <w:rStyle w:val="a8"/>
        </w:rPr>
        <w:footnoteReference w:id="9"/>
      </w:r>
      <w:r>
        <w:rPr>
          <w:b/>
          <w:bCs/>
        </w:rPr>
        <w:t>, Комитет рекомендует государству-участнику:</w:t>
      </w:r>
    </w:p>
    <w:p w14:paraId="054F0267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a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обновить Национальную политику социальной защиты и установить минимальный уровень социальной защиты, включающий базовые всеобщие социальные гарантии, удвоив усилия по развитию системы социального обеспечения, гарантирующей всеобщий охват и предоставляющей достаточные пособия всем людям, в особенности занятым в неформальном секторе экономики и принадлежащим к обездоленным и маргинализированным группам, чтобы обеспечить каждому достойный уровень жизни;</w:t>
      </w:r>
    </w:p>
    <w:p w14:paraId="431BDA1F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b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увеличить бюджетные ассигнования и выплаты на социальное обеспечение;</w:t>
      </w:r>
      <w:r w:rsidRPr="005F735F">
        <w:rPr>
          <w:b/>
          <w:bCs/>
        </w:rPr>
        <w:t xml:space="preserve"> </w:t>
      </w:r>
    </w:p>
    <w:p w14:paraId="1E8BB3A7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c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обеспечить регулярную индексацию социальных пособий исходя из стоимости жизни с помощью независимого и прозрачного механизма, чтобы обеспечить получателям адекватный уровень жизни, гарантируя защиту пособий от последствий инфляции.</w:t>
      </w:r>
      <w:r>
        <w:t xml:space="preserve"> </w:t>
      </w:r>
    </w:p>
    <w:p w14:paraId="7077BFB8" w14:textId="77777777" w:rsidR="00052955" w:rsidRPr="00294636" w:rsidRDefault="00052955" w:rsidP="00254407">
      <w:pPr>
        <w:pStyle w:val="H23G"/>
      </w:pPr>
      <w:r>
        <w:tab/>
      </w:r>
      <w:r>
        <w:tab/>
      </w:r>
      <w:r>
        <w:rPr>
          <w:bCs/>
        </w:rPr>
        <w:t>Родительский отпуск</w:t>
      </w:r>
    </w:p>
    <w:p w14:paraId="3D02DC92" w14:textId="28EA5D79" w:rsidR="00052955" w:rsidRPr="00D85B94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36.</w:t>
      </w:r>
      <w:r>
        <w:tab/>
        <w:t xml:space="preserve">Признавая законодательное положение о предоставлении работающим матерям полностью оплачиваемого отпуска по беременности и родам в соответствии </w:t>
      </w:r>
      <w:r w:rsidR="0084021D" w:rsidRPr="0084021D">
        <w:br/>
      </w:r>
      <w:r>
        <w:t>со статьей</w:t>
      </w:r>
      <w:r w:rsidR="0084021D" w:rsidRPr="0084021D">
        <w:t xml:space="preserve"> </w:t>
      </w:r>
      <w:r>
        <w:t>65 (7) Конституции, Комитет обеспокоен тем, что на практике многие женщины, особенно занятые на государственной службе и в неформальном секторе экономики, не могут в полной мере воспользоваться этим правом. Комитет также обеспокоен отсутствием законодательного положения об отпуске для отца по уходу за ребенком (ст. 2 (2), 3 и 10)</w:t>
      </w:r>
      <w:r w:rsidR="00D85B94" w:rsidRPr="00D85B94">
        <w:t>.</w:t>
      </w:r>
    </w:p>
    <w:p w14:paraId="31D4A814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 принять меры, гарантирующие законодательно закрепленное право на все отпуска по уходу за членами семьи, включая отпуск по уходу за ребенком, с тем чтобы содействовать справедливому распределению обязанностей по уходу между женщинами и мужчинами.</w:t>
      </w:r>
      <w:r>
        <w:t xml:space="preserve"> </w:t>
      </w:r>
      <w:r>
        <w:rPr>
          <w:b/>
          <w:bCs/>
        </w:rPr>
        <w:t>Он также рекомендует государству-участнику принять все необходимые меры для обеспечения того, чтобы работающие родители во всех секторах могли в полной мере осуществлять свои права.</w:t>
      </w:r>
    </w:p>
    <w:p w14:paraId="4640D557" w14:textId="77777777" w:rsidR="00052955" w:rsidRPr="00294636" w:rsidRDefault="00052955" w:rsidP="00254407">
      <w:pPr>
        <w:pStyle w:val="H23G"/>
      </w:pPr>
      <w:r>
        <w:tab/>
      </w:r>
      <w:r>
        <w:tab/>
      </w:r>
      <w:r>
        <w:rPr>
          <w:bCs/>
        </w:rPr>
        <w:t>Защита семьи и детей</w:t>
      </w:r>
    </w:p>
    <w:p w14:paraId="40454EC9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38.</w:t>
      </w:r>
      <w:r>
        <w:tab/>
        <w:t>Приветствуя поправки к Закону о труде, увеличивающие наказание за принудительный и детский труд с 2 до 10 лет тюремного заключения, Комитет по</w:t>
      </w:r>
      <w:r w:rsidRPr="00206637">
        <w:noBreakHyphen/>
      </w:r>
      <w:r>
        <w:t>прежнему обеспокоен распространенностью детского труда, в том числе в сельском хозяйстве и горнодобывающей промышленности, особенно на кустарных и мелкомасштабных шахтах, а также коммерческой сексуальной эксплуатацией. Особую озабоченность вызывают сообщения о том, что большое количество детей занято на производстве чая, табака, хлопка и сахарного тростника, а также в опасной горнодобывающей деятельности, где они подвергаются воздействию опасных химических веществ, таких как цианид и ртуть. Комитет далее обеспокоен сохраняющейся высокой распространенностью детских браков (ст. 7 и 10).</w:t>
      </w:r>
    </w:p>
    <w:p w14:paraId="3DEC493D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CC2894B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a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принять срочные меры по искоренению наихудших форм детского труда на основе комплексного подхода, направленного на устранение его коренных причин, включая бедность, материальные лишения и социальное отчуждение;</w:t>
      </w:r>
      <w:r w:rsidRPr="005F735F">
        <w:rPr>
          <w:b/>
          <w:bCs/>
        </w:rPr>
        <w:t xml:space="preserve"> </w:t>
      </w:r>
      <w:r>
        <w:rPr>
          <w:b/>
          <w:bCs/>
        </w:rPr>
        <w:t>укреплять механизмы трудовых инспекций, которые занимаются конкретно детским трудом, уделяя особое внимание сельскому хозяйству, горнодобывающей промышленности и коммерческой сексуальной эксплуатации;</w:t>
      </w:r>
      <w:r w:rsidRPr="005F735F">
        <w:rPr>
          <w:b/>
          <w:bCs/>
        </w:rPr>
        <w:t xml:space="preserve"> </w:t>
      </w:r>
      <w:r>
        <w:rPr>
          <w:b/>
          <w:bCs/>
        </w:rPr>
        <w:t>применять эффективные административные и уголовные санкции к нарушителям;</w:t>
      </w:r>
      <w:r w:rsidRPr="005F735F">
        <w:rPr>
          <w:b/>
          <w:bCs/>
        </w:rPr>
        <w:t xml:space="preserve"> </w:t>
      </w:r>
      <w:r>
        <w:rPr>
          <w:b/>
          <w:bCs/>
        </w:rPr>
        <w:t>и обеспечить неукоснительное соблюдение законов и нормативных актов о детском труде как в формальной, так и в неформальной экономике;</w:t>
      </w:r>
    </w:p>
    <w:p w14:paraId="3E19DDCF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b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активизировать усилия по искоренению детских браков путем обеспечения соблюдения законодательства и принятия комплексного подхода, направленного на устранение коренных причин детских браков, в том числе путем предоставления социальных пособий для борьбы с бедностью, обеспечения доступа к образованию и его продолжения, повышения уровня продовольственной безопасности, повышения осведомленности о соответствующей правовой базе и проведения широких просветительских кампаний в обществе о вредных последствиях ранних браков.</w:t>
      </w:r>
    </w:p>
    <w:p w14:paraId="015F26B2" w14:textId="77777777" w:rsidR="00052955" w:rsidRPr="00294636" w:rsidRDefault="00052955" w:rsidP="00254407">
      <w:pPr>
        <w:pStyle w:val="H23G"/>
      </w:pPr>
      <w:r>
        <w:tab/>
      </w:r>
      <w:r>
        <w:tab/>
      </w:r>
      <w:r>
        <w:rPr>
          <w:bCs/>
        </w:rPr>
        <w:t>Бедность</w:t>
      </w:r>
    </w:p>
    <w:p w14:paraId="3A5C1BA2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40.</w:t>
      </w:r>
      <w:r>
        <w:tab/>
        <w:t>Принимая к сведению информацию о негативном воздействии высокой инфляции, пандемии коронавирусной инфекции (COVID-19) и периодических засух на усилия по сокращению масштабов бедности, Комитет по-прежнему обеспокоен сохраняющимися высокими показателями бедности и крайней бедности в государстве-участнике (ст. 9 и 11).</w:t>
      </w:r>
    </w:p>
    <w:p w14:paraId="7A9CECB1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41.</w:t>
      </w:r>
      <w:r>
        <w:tab/>
      </w:r>
      <w:r>
        <w:rPr>
          <w:b/>
          <w:bCs/>
        </w:rPr>
        <w:t>Ссылаясь на свое заявление по вопросу о нищете и Пакте</w:t>
      </w:r>
      <w:r w:rsidRPr="00D6169F">
        <w:rPr>
          <w:rStyle w:val="a8"/>
        </w:rPr>
        <w:footnoteReference w:id="10"/>
      </w:r>
      <w:r>
        <w:rPr>
          <w:b/>
          <w:bCs/>
        </w:rPr>
        <w:t>, Комитет рекомендует государству-участнику:</w:t>
      </w:r>
    </w:p>
    <w:p w14:paraId="71313B9B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 w:rsidRPr="005F735F">
        <w:rPr>
          <w:b/>
          <w:bCs/>
        </w:rPr>
        <w:t>a)</w:t>
      </w:r>
      <w:r w:rsidRPr="005F735F">
        <w:rPr>
          <w:b/>
          <w:bCs/>
        </w:rPr>
        <w:tab/>
      </w:r>
      <w:r>
        <w:rPr>
          <w:b/>
          <w:bCs/>
        </w:rPr>
        <w:t>принять всеобъемлющий многоаспектный план действий по искоренению бедности, в котором установлены четкие и измеримые цели, рассмотрены коренные причины бедности и обеспечено выделение достаточных ресурсов для его эффективной реализации и мониторинга;</w:t>
      </w:r>
    </w:p>
    <w:p w14:paraId="08C8AC83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 w:rsidRPr="005F735F">
        <w:rPr>
          <w:b/>
          <w:bCs/>
        </w:rPr>
        <w:t>b)</w:t>
      </w:r>
      <w:r w:rsidRPr="005F735F">
        <w:rPr>
          <w:b/>
          <w:bCs/>
        </w:rPr>
        <w:tab/>
      </w:r>
      <w:r>
        <w:rPr>
          <w:b/>
          <w:bCs/>
        </w:rPr>
        <w:t>в рамках этого плана действий эффективно реагировать на потребности групп населения, несоразмерно затронутых бедностью, включая детей, женщин, инвалидов, коренные и племенные народы, а также лиц, проживающих в сельских, отдаленных или неблагополучных городских районах.</w:t>
      </w:r>
    </w:p>
    <w:p w14:paraId="158ED32B" w14:textId="77777777" w:rsidR="00052955" w:rsidRPr="00294636" w:rsidRDefault="00052955" w:rsidP="00254407">
      <w:pPr>
        <w:pStyle w:val="H23G"/>
      </w:pPr>
      <w:r>
        <w:tab/>
      </w:r>
      <w:r>
        <w:tab/>
      </w:r>
      <w:r>
        <w:rPr>
          <w:bCs/>
        </w:rPr>
        <w:t>Право на питание</w:t>
      </w:r>
    </w:p>
    <w:p w14:paraId="2347C73B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42.</w:t>
      </w:r>
      <w:r>
        <w:tab/>
        <w:t>Принимая к сведению информацию об усилиях государства-участника по решению проблемы отсутствия продовольственной безопасности, включая меры по поддержке фермеров, Комитет, тем не менее, обеспокоен широким распространением проблемы отсутствия продовольственной безопасности и сохраняющимися высокими показателями низкорослости, которая, по сообщениям, затрагивает четверть детей, а</w:t>
      </w:r>
      <w:r>
        <w:rPr>
          <w:lang w:val="en-US"/>
        </w:rPr>
        <w:t> </w:t>
      </w:r>
      <w:r>
        <w:t>также растущими показателями истощения. Он также выражает обеспокоенность тем, что изменение климата негативно сказывается на сельскохозяйственном производстве и доходах фермеров, поскольку периодически повторяющиеся климатические бедствия, включая циклоны, наводнения и последующие экстремальные засухи, в сочетании с экономической нестабильностью приводят к тому, что значительная часть населения не имеет надежного доступа к полноценному питанию (ст.</w:t>
      </w:r>
      <w:r>
        <w:rPr>
          <w:lang w:val="en-US"/>
        </w:rPr>
        <w:t> </w:t>
      </w:r>
      <w:r>
        <w:t>11).</w:t>
      </w:r>
    </w:p>
    <w:p w14:paraId="13B2D52A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EA85E9C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a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принять всеобъемлющую национальную стратегию защиты и поощрения права на достаточное питание, разработанную в консультации с соответствующими заинтересованными сторонами, которая направлена на решение проблем отсутствия продовольственной безопасности и всех форм недостаточности питания, устанавливает четкие и подлежащие достижению в конкретные сроки цели и предусматривает эффективные механизмы мониторинга и оценки прогресса;</w:t>
      </w:r>
    </w:p>
    <w:p w14:paraId="2C4262E9" w14:textId="23010AFD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b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активизировать усилия по повышению продовольственной безопасности в регионах и общинах, наиболее затронутых проблемой голода и недостаточности питания, в том числе путем расширения доступа к разнообразному рациону питания за счет развития жизнестойких и чувствительных к потребностям питания продовольственных систем;</w:t>
      </w:r>
      <w:r w:rsidRPr="005F735F">
        <w:rPr>
          <w:b/>
          <w:bCs/>
        </w:rPr>
        <w:t xml:space="preserve"> </w:t>
      </w:r>
      <w:r>
        <w:rPr>
          <w:b/>
          <w:bCs/>
        </w:rPr>
        <w:t>инвестирования в местное сельскохозяйственное производство и оказания целевой поддержки, например в виде предоставления семян, теплиц и скота;</w:t>
      </w:r>
      <w:r w:rsidRPr="005F735F">
        <w:rPr>
          <w:b/>
          <w:bCs/>
        </w:rPr>
        <w:t xml:space="preserve"> </w:t>
      </w:r>
      <w:r>
        <w:rPr>
          <w:b/>
          <w:bCs/>
        </w:rPr>
        <w:t>и</w:t>
      </w:r>
      <w:r>
        <w:rPr>
          <w:b/>
          <w:bCs/>
          <w:lang w:val="en-US"/>
        </w:rPr>
        <w:t> </w:t>
      </w:r>
      <w:r>
        <w:rPr>
          <w:b/>
          <w:bCs/>
        </w:rPr>
        <w:t>повышения жизнестойкости фермеров, ведущих натуральное хозяйство, и</w:t>
      </w:r>
      <w:r>
        <w:rPr>
          <w:b/>
          <w:bCs/>
          <w:lang w:val="en-US"/>
        </w:rPr>
        <w:t> </w:t>
      </w:r>
      <w:r>
        <w:rPr>
          <w:b/>
          <w:bCs/>
        </w:rPr>
        <w:t>домохозяйств, возглавляемых женщинами, за счет диверсификации доходов и мер по обеспечению готовности к стихийным бедствиям;</w:t>
      </w:r>
    </w:p>
    <w:p w14:paraId="09D94F20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c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принять во внимание замечание общего порядка № 12 (1999) Комитета о праве на достаточное питание и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безопасности.</w:t>
      </w:r>
    </w:p>
    <w:p w14:paraId="70BD473A" w14:textId="77777777" w:rsidR="00052955" w:rsidRPr="00294636" w:rsidRDefault="00052955" w:rsidP="00254407">
      <w:pPr>
        <w:pStyle w:val="H23G"/>
      </w:pPr>
      <w:r>
        <w:tab/>
      </w:r>
      <w:r>
        <w:tab/>
      </w:r>
      <w:r>
        <w:rPr>
          <w:bCs/>
        </w:rPr>
        <w:t>Право на достаточное жилище</w:t>
      </w:r>
    </w:p>
    <w:p w14:paraId="28627CA6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44.</w:t>
      </w:r>
      <w:r>
        <w:tab/>
        <w:t>Комитет обеспокоен сообщениями о неадекватных жилищных условиях в сельских, отдаленных и бедных городских районах, включая перенаселенность и недостаточный доступ к безопасной воде, санитарии и электричеству. Комитет также обеспокоен сообщениями о массовых принудительных выселениях за отчетный период, которые проводились без предварительных консультаций с затронутыми общинами и без предоставления достаточной компенсации или альтернативного жилья (ст. 11).</w:t>
      </w:r>
    </w:p>
    <w:p w14:paraId="6554BA74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45.</w:t>
      </w:r>
      <w:r>
        <w:tab/>
      </w:r>
      <w:r>
        <w:rPr>
          <w:b/>
          <w:bCs/>
        </w:rPr>
        <w:t>Ссылаясь на свои замечания общего порядка № 4 (1991) о праве на достаточное жилище и № 7 (1997) о принудительных выселениях, Комитет рекомендует государству-участнику активизировать свои усилия по увеличению предложения жилья и улучшению жилищных условий, уделяя особое внимание потребностям обездоленных и маргинализированных общин.</w:t>
      </w:r>
      <w:r>
        <w:t xml:space="preserve"> </w:t>
      </w:r>
      <w:r>
        <w:rPr>
          <w:b/>
          <w:bCs/>
        </w:rPr>
        <w:t>Он также рекомендует государству-участнику принять законодательные и административные меры для обеспечения правовых гарантий против произвольных принудительных выселений, включив в эти гарантии положения о компенсации и альтернативном жилье, и обеспечить, чтобы снос домов и принудительные выселения использовались только в качестве крайней меры.</w:t>
      </w:r>
      <w:r>
        <w:t xml:space="preserve"> </w:t>
      </w:r>
    </w:p>
    <w:p w14:paraId="7E81DF49" w14:textId="77777777" w:rsidR="00052955" w:rsidRPr="00294636" w:rsidRDefault="00052955" w:rsidP="00254407">
      <w:pPr>
        <w:pStyle w:val="H23G"/>
      </w:pPr>
      <w:r>
        <w:tab/>
      </w:r>
      <w:r>
        <w:tab/>
      </w:r>
      <w:r>
        <w:rPr>
          <w:bCs/>
        </w:rPr>
        <w:t>Права на воду и санитарию</w:t>
      </w:r>
    </w:p>
    <w:p w14:paraId="575FE9FB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46.</w:t>
      </w:r>
      <w:r>
        <w:tab/>
        <w:t>Комитет обеспокоен тем, что многие общины по-прежнему сталкиваются с серьезными трудностями в доступе к безопасной воде и адекватным средствам санитарии, по сообщениям, в значительной степени полагаясь на незащищенные источники для бытовых нужд, что подвергает их риску заболеваний, передающихся через воду, и имея ограниченный доступ к основным санитарным сооружениям (ст.</w:t>
      </w:r>
      <w:r>
        <w:rPr>
          <w:lang w:val="en-US"/>
        </w:rPr>
        <w:t> </w:t>
      </w:r>
      <w:r>
        <w:t>11).</w:t>
      </w:r>
    </w:p>
    <w:p w14:paraId="15A022C5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47.</w:t>
      </w:r>
      <w:r>
        <w:tab/>
      </w:r>
      <w:r>
        <w:rPr>
          <w:b/>
          <w:bCs/>
        </w:rPr>
        <w:t>Ссылаясь на свое замечание общего порядка № 15 (2002) о праве на воду, Комитет рекомендует государству-участнику активизировать свои усилия, в том числе путем ускорения принятия и эффективного осуществления Национальной политики в области водоснабжения (2013 год) и Политики в области санитарии и гигиены (2024 год), в целях расширения доступа к безопасной, приемлемой по цене воде для бытового использования и обеспечения доступа к улучшенным санитарным услугам для всех, в том числе в неформальных поселениях, бедных городских и сельских районах, школах и медицинских учреждениях.</w:t>
      </w:r>
    </w:p>
    <w:p w14:paraId="3B629836" w14:textId="77777777" w:rsidR="00052955" w:rsidRPr="00294636" w:rsidRDefault="00052955" w:rsidP="00254407">
      <w:pPr>
        <w:pStyle w:val="H23G"/>
      </w:pPr>
      <w:r>
        <w:tab/>
      </w:r>
      <w:r>
        <w:tab/>
      </w:r>
      <w:r>
        <w:rPr>
          <w:bCs/>
        </w:rPr>
        <w:t>Адаптация к изменению климата</w:t>
      </w:r>
    </w:p>
    <w:p w14:paraId="507635BE" w14:textId="215D9479" w:rsidR="00052955" w:rsidRPr="00294636" w:rsidRDefault="00052955" w:rsidP="00052955">
      <w:pPr>
        <w:pStyle w:val="SingleTxtG"/>
        <w:tabs>
          <w:tab w:val="left" w:pos="3402"/>
        </w:tabs>
      </w:pPr>
      <w:r>
        <w:t>48.</w:t>
      </w:r>
      <w:r>
        <w:tab/>
        <w:t>Комитет обеспокоен тем, что существующих мер по адаптации недостаточно для решения проблемы усиливающегося негативного воздействия изменения климата на осуществление экономических, социальных и культурных прав в государстве-участнике, в том числе в результате утраты средств к существованию, перемещений и отсутствия продовольственной безопасности после периодов сильных дождей и наводнений, продолжительных засух и деградации почв (ст. 11).</w:t>
      </w:r>
    </w:p>
    <w:p w14:paraId="61F8A9F7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49.</w:t>
      </w:r>
      <w:r>
        <w:tab/>
      </w:r>
      <w:r w:rsidRPr="00CE7A7C">
        <w:rPr>
          <w:b/>
          <w:bCs/>
        </w:rPr>
        <w:t>Ссылаясь на свое заявление по вопросу об изменении климата и Пакте</w:t>
      </w:r>
      <w:r w:rsidRPr="00E60E9D">
        <w:rPr>
          <w:rStyle w:val="a8"/>
        </w:rPr>
        <w:footnoteReference w:id="11"/>
      </w:r>
      <w:r w:rsidRPr="00CE7A7C">
        <w:rPr>
          <w:b/>
          <w:bCs/>
        </w:rPr>
        <w:t>,</w:t>
      </w:r>
      <w:r w:rsidRPr="00E60E9D">
        <w:rPr>
          <w:b/>
          <w:bCs/>
        </w:rPr>
        <w:t xml:space="preserve"> </w:t>
      </w:r>
      <w:r w:rsidRPr="00CE7A7C">
        <w:rPr>
          <w:b/>
          <w:bCs/>
        </w:rPr>
        <w:t>Комитет рекомендует государству-участнику активизировать свои национальные усилия по адаптации к изменению климата для решения проблемы неблагоприятного воздействия изменения климата на экономические, социальные и культурные права, усилив меры по борьбе с бедствиями и выделив на это достаточные людские, технические и финансовые ресурсы.</w:t>
      </w:r>
      <w:r>
        <w:t xml:space="preserve"> </w:t>
      </w:r>
      <w:r>
        <w:rPr>
          <w:b/>
          <w:bCs/>
        </w:rPr>
        <w:t>Он</w:t>
      </w:r>
      <w:r>
        <w:rPr>
          <w:b/>
          <w:bCs/>
          <w:lang w:val="en-US"/>
        </w:rPr>
        <w:t> </w:t>
      </w:r>
      <w:r>
        <w:rPr>
          <w:b/>
          <w:bCs/>
        </w:rPr>
        <w:t>рекомендует также государству-участнику продолжать принимать меры по укреплению жизнестойкости своей экономики и общества перед лицом экологических потрясений и долгосрочных последствий изменения климата.</w:t>
      </w:r>
    </w:p>
    <w:p w14:paraId="1B9D50CF" w14:textId="77777777" w:rsidR="00052955" w:rsidRPr="00294636" w:rsidRDefault="00052955" w:rsidP="00254407">
      <w:pPr>
        <w:pStyle w:val="H23G"/>
      </w:pPr>
      <w:r>
        <w:tab/>
      </w:r>
      <w:r>
        <w:tab/>
      </w:r>
      <w:r>
        <w:rPr>
          <w:bCs/>
        </w:rPr>
        <w:t>Право на физическое и психическое здоровье</w:t>
      </w:r>
    </w:p>
    <w:p w14:paraId="7D31D423" w14:textId="35F7BD0B" w:rsidR="00052955" w:rsidRPr="00294636" w:rsidRDefault="00052955" w:rsidP="00052955">
      <w:pPr>
        <w:pStyle w:val="SingleTxtG"/>
        <w:tabs>
          <w:tab w:val="left" w:pos="3402"/>
        </w:tabs>
      </w:pPr>
      <w:r>
        <w:t>50.</w:t>
      </w:r>
      <w:r>
        <w:tab/>
        <w:t xml:space="preserve">Комитет обеспокоен эмиграцией медицинских работников из-за низкой заработной платы и плохих условий труда, постоянным недофинансированием здравоохранения и медицинских услуг, а также зависимостью </w:t>
      </w:r>
      <w:r w:rsidR="003E2E82" w:rsidRPr="00FF6FF4">
        <w:t>—</w:t>
      </w:r>
      <w:r>
        <w:t xml:space="preserve"> хотя в последнее время и уменьшившейся </w:t>
      </w:r>
      <w:r w:rsidRPr="00A21507">
        <w:t>—</w:t>
      </w:r>
      <w:r>
        <w:t xml:space="preserve"> от взносов доноров для финансирования медицинских услуг, отмечая сообщения о нехватке основных лекарств и медицинского оборудования (ст.</w:t>
      </w:r>
      <w:r>
        <w:rPr>
          <w:lang w:val="en-US"/>
        </w:rPr>
        <w:t> </w:t>
      </w:r>
      <w:r>
        <w:t>12).</w:t>
      </w:r>
    </w:p>
    <w:p w14:paraId="7BA432BB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51.</w:t>
      </w:r>
      <w:r>
        <w:tab/>
      </w:r>
      <w:r>
        <w:rPr>
          <w:b/>
          <w:bCs/>
        </w:rPr>
        <w:t>Ссылаясь на свое замечание общего порядка № 14 (2000) о праве на наивысший достижимый уровень здоровья, Комитет рекомендует государству-участнику принять срочные меры по укреплению системы здравоохранения путем увеличения ассигнований из государственного бюджета на здравоохранение и медицинские услуги, увеличения числа медицинских работников и улучшения условий труда для их удержания, а также обеспечения наличия основных лекарств и медицинского оборудования.</w:t>
      </w:r>
    </w:p>
    <w:p w14:paraId="653B1F0D" w14:textId="77777777" w:rsidR="00052955" w:rsidRPr="00294636" w:rsidRDefault="00052955" w:rsidP="00254407">
      <w:pPr>
        <w:pStyle w:val="H23G"/>
      </w:pPr>
      <w:r>
        <w:tab/>
      </w:r>
      <w:r>
        <w:tab/>
      </w:r>
      <w:r>
        <w:rPr>
          <w:bCs/>
        </w:rPr>
        <w:t>Люди, живущие с ВИЧ/СПИДо</w:t>
      </w:r>
      <w:r>
        <w:t>м</w:t>
      </w:r>
    </w:p>
    <w:p w14:paraId="28231DF3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52.</w:t>
      </w:r>
      <w:r>
        <w:tab/>
        <w:t>Приветствуя усилия по мобилизации государственных ресурсов через Национальный целевой фонд по борьбе со СПИДом, Комитет по-прежнему обеспокоен тем, что ограниченное финансирование, в том числе в результате сокращения донорских взносов, привело к тому, что многие программы по борьбе с ВИЧ/СПИДом стали неэффективными или прекратили свое существование, создав значительные пробелы в защите и обслуживании. Он также выражает обеспокоенность тем, что, несмотря на профилактические меры и расширение доступа к антиретровирусной терапии, распространенность ВИЧ/СПИДа остается высокой, а</w:t>
      </w:r>
      <w:r>
        <w:rPr>
          <w:lang w:val="en-US"/>
        </w:rPr>
        <w:t> </w:t>
      </w:r>
      <w:r>
        <w:t>люди, живущие с ВИЧ, продолжают сталкиваться с постоянной стигмой и дискриминацией (ст. 2 (2) и 12).</w:t>
      </w:r>
    </w:p>
    <w:p w14:paraId="6640C027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активизировать свои усилия в том плане, чтобы:</w:t>
      </w:r>
    </w:p>
    <w:p w14:paraId="5D187FF1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 w:rsidRPr="005F735F">
        <w:rPr>
          <w:b/>
          <w:bCs/>
        </w:rPr>
        <w:t>a)</w:t>
      </w:r>
      <w:r w:rsidRPr="005F735F">
        <w:rPr>
          <w:b/>
          <w:bCs/>
        </w:rPr>
        <w:tab/>
      </w:r>
      <w:r>
        <w:rPr>
          <w:b/>
          <w:bCs/>
        </w:rPr>
        <w:t>выделять достаточные ресурсы на профилактику и лечение ВИЧ/СПИДа, чтобы нехватка средств не препятствовала доступу к лечению и уходу для людей, живущих с ВИЧ/СПИДом;</w:t>
      </w:r>
    </w:p>
    <w:p w14:paraId="0FF13059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b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усилить меры по профилактике новых случаев ВИЧ-инфекции;</w:t>
      </w:r>
    </w:p>
    <w:p w14:paraId="32D87A1C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c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расширить тестирование на ВИЧ и обеспечить своевременное начало антиретровирусной терапии;</w:t>
      </w:r>
      <w:r w:rsidRPr="005F735F">
        <w:rPr>
          <w:b/>
          <w:bCs/>
        </w:rPr>
        <w:t xml:space="preserve"> </w:t>
      </w:r>
    </w:p>
    <w:p w14:paraId="35D14B5B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d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бороться со стигмой и дискриминацией в отношении людей, живущих с ВИЧ/СПИДом;</w:t>
      </w:r>
      <w:r w:rsidRPr="005F735F">
        <w:rPr>
          <w:b/>
          <w:bCs/>
        </w:rPr>
        <w:t xml:space="preserve"> </w:t>
      </w:r>
    </w:p>
    <w:p w14:paraId="3944AAF7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e</w:t>
      </w:r>
      <w:r w:rsidRPr="005F735F">
        <w:rPr>
          <w:b/>
          <w:bCs/>
        </w:rPr>
        <w:t>)</w:t>
      </w:r>
      <w:r>
        <w:tab/>
      </w:r>
      <w:r>
        <w:rPr>
          <w:b/>
          <w:bCs/>
        </w:rPr>
        <w:t>обеспечить полное соблюдение медицинскими работниками конфиденциальности информации, связанной с ВИЧ.</w:t>
      </w:r>
    </w:p>
    <w:p w14:paraId="1A5F9575" w14:textId="77777777" w:rsidR="00052955" w:rsidRPr="00294636" w:rsidRDefault="00052955" w:rsidP="00254407">
      <w:pPr>
        <w:pStyle w:val="H23G"/>
      </w:pPr>
      <w:r>
        <w:tab/>
      </w:r>
      <w:r>
        <w:tab/>
      </w:r>
      <w:r>
        <w:rPr>
          <w:bCs/>
        </w:rPr>
        <w:t>Политика в отношении наркотиков</w:t>
      </w:r>
    </w:p>
    <w:p w14:paraId="5FF5672B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54.</w:t>
      </w:r>
      <w:r>
        <w:tab/>
        <w:t>Комитет обеспокоен негативным воздействием карательного подхода государства-участника к употреблению наркотиков на право на здоровье, отмечая ограниченное наличие и доступность программ снижения вреда и реабилитации, что еще больше способствует продолжению передачи ВИЧ и гепатита С среди лиц, употребляющих наркотики (ст. 12).</w:t>
      </w:r>
    </w:p>
    <w:p w14:paraId="6483C944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 пересмотреть свою законодательную базу с целью принятия основанного на правах человека подхода к проблеме употребления наркотиков, в том числе путем:</w:t>
      </w:r>
    </w:p>
    <w:p w14:paraId="2ECD1E14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a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проведения профилактической информационной работы о серьезных рисках для здоровья, связанных со злоупотреблением наркотиками, особенно среди молодежи;</w:t>
      </w:r>
    </w:p>
    <w:p w14:paraId="0E07C015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 w:rsidRPr="005F735F">
        <w:rPr>
          <w:b/>
          <w:bCs/>
        </w:rPr>
        <w:t>b)</w:t>
      </w:r>
      <w:r w:rsidRPr="005F735F">
        <w:rPr>
          <w:b/>
          <w:bCs/>
        </w:rPr>
        <w:tab/>
      </w:r>
      <w:r>
        <w:rPr>
          <w:b/>
          <w:bCs/>
        </w:rPr>
        <w:t>обеспечения лечения наркомании и предоставления лицам, употребляющим наркотики, медицинской помощи, психологической поддержки, реабилитационных услуг и доступа к программам снижения вреда, а также рассмотрения возможности внедрения альтернатив карательному подходу и уголовным наказаниям за употребление наркотиков.</w:t>
      </w:r>
    </w:p>
    <w:p w14:paraId="5A609ECC" w14:textId="77777777" w:rsidR="00052955" w:rsidRPr="00294636" w:rsidRDefault="00052955" w:rsidP="00254407">
      <w:pPr>
        <w:pStyle w:val="H23G"/>
      </w:pPr>
      <w:r>
        <w:tab/>
      </w:r>
      <w:r>
        <w:tab/>
      </w:r>
      <w:r>
        <w:rPr>
          <w:bCs/>
        </w:rPr>
        <w:t>Право на сексуальное и репродуктивное здоровье</w:t>
      </w:r>
    </w:p>
    <w:p w14:paraId="47B8E8A7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56.</w:t>
      </w:r>
      <w:r>
        <w:tab/>
        <w:t>Комитет приветствует решение Верховного суда от 2024 года, касающееся статьи 2 (1) Закона о прерывании беременности, согласно которому отказ в доступе к безопасным и легальным услугам по прерыванию беременности в случаях изнасилования в браке и сексуального насилия над детьми является неконституционным. Тем не менее Комитет по-прежнему обеспокоен тем, что распространенность сексуального и гендерного насилия и вредной практики в сочетании со стигматизацией, высокими прямыми и косвенными затратами и ограниченной доступностью услуг по охране сексуального и репродуктивного здоровья в сельских и неблагополучных городских районах по-прежнему подрывает сексуальное и репродуктивное здоровье женщин и девочек. Комитет также обеспокоен сообщениями о распространенности небезопасных абортов и сохраняющихся высоких показателях подростковой беременности и инфекций, передаваемых половым путем (ст.</w:t>
      </w:r>
      <w:r>
        <w:rPr>
          <w:lang w:val="en-US"/>
        </w:rPr>
        <w:t> </w:t>
      </w:r>
      <w:r>
        <w:t>12).</w:t>
      </w:r>
    </w:p>
    <w:p w14:paraId="1BC221C4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обеспечения полной реализации права женщин и девочек на сексуальное и репродуктивное здоровье, в том числе путем:</w:t>
      </w:r>
    </w:p>
    <w:p w14:paraId="0196208B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a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пересмотра законодательства о прерывании беременности в свете решения Верховного суда от 2024 года с целью приведения его в соответствие с правом женщин на жизнь и здоровье;</w:t>
      </w:r>
    </w:p>
    <w:p w14:paraId="776B1AC8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b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расширения наличия и доступности качественных услуг по охране сексуального и репродуктивного здоровья и улучшения доступа к недорогим, безопасным и эффективным методам контрацепции и средствам экстренной контрацепции;</w:t>
      </w:r>
    </w:p>
    <w:p w14:paraId="62EF63E4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c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обеспечения всестороннего, недискриминационного, научно обоснованного и соответствующего возрасту образования по вопросам сексуального поведения и репродуктивных функций;</w:t>
      </w:r>
    </w:p>
    <w:p w14:paraId="14D8032A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d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разработки комплексных программ, направленных на устранение коренных причин сексуального и гендерного насилия и вредных практик в отношении женщин и девочек, а также на снижение высокой распространенности нежелательной беременности, подростковой беременности и инфекций, передаваемых половым путем, и далее обеспечивая, чтобы эти программы были направлены на борьбу со стигмой и вредными гендерными стереотипами;</w:t>
      </w:r>
    </w:p>
    <w:p w14:paraId="3DFE13DC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e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принятия во внимание замечания общего порядка № 22 (2016) Комитета о праве на сексуальное и репродуктивное здоровье.</w:t>
      </w:r>
    </w:p>
    <w:p w14:paraId="574CC233" w14:textId="77777777" w:rsidR="00052955" w:rsidRPr="00294636" w:rsidRDefault="00052955" w:rsidP="00254407">
      <w:pPr>
        <w:pStyle w:val="H23G"/>
      </w:pPr>
      <w:r>
        <w:tab/>
      </w:r>
      <w:r>
        <w:tab/>
      </w:r>
      <w:r>
        <w:rPr>
          <w:bCs/>
        </w:rPr>
        <w:t>Право на образование</w:t>
      </w:r>
    </w:p>
    <w:p w14:paraId="36C31238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58.</w:t>
      </w:r>
      <w:r>
        <w:tab/>
        <w:t>Комитет обеспокоен высокими показателями отсева из школ, обусловленными главным образом бедностью, детским трудом, детскими браками и подростковой беременностью, особенно в сельских районах, а также серьезно ограниченным доступом к образованию для детей-инвалидов. Он также обеспокоен значительным недофинансированием образования в рамках национального бюджета, эмиграцией учителей из-за низкой зарплаты, переполненными классами и неадекватной школьной инфраструктурой, включая ненадежный доступ к электричеству, воде и санитарным удобствам. Комитет далее обеспокоен низким качеством образования, поскольку школы, как сообщается, не имеют достаточного финансирования для приобретения основных предметов учебного назначения, таких как парты, стулья и учебники. Комитет обеспокоен сообщениями о том, что в течение отчетного периода учащихся и преподавателей принуждали участвовать в политических митингах и что школьные помещения использовались в политических целях (ст. 2 (2), 13 и 14).</w:t>
      </w:r>
    </w:p>
    <w:p w14:paraId="749EB333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59.</w:t>
      </w:r>
      <w:r>
        <w:tab/>
      </w:r>
      <w:r>
        <w:rPr>
          <w:b/>
          <w:bCs/>
        </w:rPr>
        <w:t>Комитет рекомендует государству-участнику принять эффективные меры в том плане, чтобы:</w:t>
      </w:r>
    </w:p>
    <w:p w14:paraId="074DA8F6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a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обеспечить доступ к инклюзивному и качественному образованию для всех детей, включая детей-инвалидов, путем увеличения государственных инвестиций в образование, улучшения школьной инфраструктуры и доступа к электричеству, воде и санитарии, а также предоставления адекватных учебных материалов;</w:t>
      </w:r>
    </w:p>
    <w:p w14:paraId="49579B8A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b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решить проблему нехватки учителей и эмиграции путем повышения заработной платы и улучшения условий труда;</w:t>
      </w:r>
    </w:p>
    <w:p w14:paraId="40F6E37C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c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устранить коренные причины отсева, в том числе путем расширения программ школьного питания, обеспечения бесплатного школьного транспорта и разработки политики повторного приема в школу для обеспечения права на образование беременных и воспитывающих детей учащихся;</w:t>
      </w:r>
    </w:p>
    <w:p w14:paraId="5A81EA88" w14:textId="77777777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>
        <w:rPr>
          <w:b/>
          <w:bCs/>
        </w:rPr>
        <w:t>d</w:t>
      </w:r>
      <w:r w:rsidRPr="005F735F">
        <w:rPr>
          <w:b/>
          <w:bCs/>
        </w:rPr>
        <w:t>)</w:t>
      </w:r>
      <w:r w:rsidRPr="005F735F">
        <w:rPr>
          <w:b/>
          <w:bCs/>
        </w:rPr>
        <w:tab/>
      </w:r>
      <w:r>
        <w:rPr>
          <w:b/>
          <w:bCs/>
        </w:rPr>
        <w:t>не допускать использования школы в политических или военных целях и обеспечить выполнение постановления Высокого суда Зимбабве от 2018</w:t>
      </w:r>
      <w:r>
        <w:rPr>
          <w:b/>
          <w:bCs/>
          <w:lang w:val="en-US"/>
        </w:rPr>
        <w:t> </w:t>
      </w:r>
      <w:r>
        <w:rPr>
          <w:b/>
          <w:bCs/>
        </w:rPr>
        <w:t>года, запрещающего поощрять или принуждать школьников или учителей к участию в политических митингах, а также использовать школьные помещения или оборудование для проведения политических мероприятий;</w:t>
      </w:r>
    </w:p>
    <w:p w14:paraId="450F3F1E" w14:textId="7FD67EB2" w:rsidR="00052955" w:rsidRPr="00294636" w:rsidRDefault="00052955" w:rsidP="00052955">
      <w:pPr>
        <w:pStyle w:val="SingleTxtG"/>
        <w:tabs>
          <w:tab w:val="left" w:pos="3402"/>
        </w:tabs>
        <w:ind w:firstLine="567"/>
        <w:rPr>
          <w:b/>
          <w:bCs/>
        </w:rPr>
      </w:pPr>
      <w:r w:rsidRPr="005F735F">
        <w:rPr>
          <w:b/>
          <w:bCs/>
        </w:rPr>
        <w:t>e)</w:t>
      </w:r>
      <w:r w:rsidRPr="005F735F">
        <w:rPr>
          <w:b/>
          <w:bCs/>
        </w:rPr>
        <w:tab/>
      </w:r>
      <w:r>
        <w:rPr>
          <w:b/>
          <w:bCs/>
        </w:rPr>
        <w:t>принять во внимание замечание общего порядка № 1</w:t>
      </w:r>
      <w:r w:rsidR="0064659B" w:rsidRPr="00FF6182">
        <w:rPr>
          <w:b/>
          <w:bCs/>
        </w:rPr>
        <w:t>3</w:t>
      </w:r>
      <w:r>
        <w:rPr>
          <w:b/>
          <w:bCs/>
        </w:rPr>
        <w:t xml:space="preserve"> (</w:t>
      </w:r>
      <w:r w:rsidR="00FF6182" w:rsidRPr="00FF6182">
        <w:rPr>
          <w:b/>
          <w:bCs/>
        </w:rPr>
        <w:t>1999</w:t>
      </w:r>
      <w:r>
        <w:rPr>
          <w:b/>
          <w:bCs/>
        </w:rPr>
        <w:t xml:space="preserve">) </w:t>
      </w:r>
      <w:r w:rsidR="008E21E0">
        <w:rPr>
          <w:b/>
          <w:bCs/>
        </w:rPr>
        <w:t xml:space="preserve">Комитета </w:t>
      </w:r>
      <w:r>
        <w:rPr>
          <w:b/>
          <w:bCs/>
        </w:rPr>
        <w:t>о праве на образование.</w:t>
      </w:r>
    </w:p>
    <w:p w14:paraId="74F54853" w14:textId="77777777" w:rsidR="00052955" w:rsidRPr="00294636" w:rsidRDefault="00052955" w:rsidP="00254407">
      <w:pPr>
        <w:pStyle w:val="H23G"/>
      </w:pPr>
      <w:r>
        <w:tab/>
      </w:r>
      <w:r>
        <w:tab/>
      </w:r>
      <w:r>
        <w:rPr>
          <w:bCs/>
        </w:rPr>
        <w:t>Культурные права</w:t>
      </w:r>
    </w:p>
    <w:p w14:paraId="00E47D9C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60.</w:t>
      </w:r>
      <w:r>
        <w:tab/>
        <w:t xml:space="preserve">Приветствуя официальное одобрение государством-участником Декларации Организации Объединенных Наций о правах коренных народов, Комитет выражает обеспокоенность тем, что коренные и племенные народы, включая </w:t>
      </w:r>
      <w:proofErr w:type="spellStart"/>
      <w:r>
        <w:t>тшва</w:t>
      </w:r>
      <w:proofErr w:type="spellEnd"/>
      <w:r>
        <w:t>, дома и другие коренные и племенные народы, а также группы меньшинств, официально не признаны и, следовательно, не пользуются никакими правовыми или политическими рамками, которые защищают их культурные права или позволяют им сохранять свою культуру, образ жизни и традиционные средства к существованию. Комитет далее обеспокоен тем, что, несмотря на преподавание в школах всех 16 официальных языков, дети из числа коренных народов и племен, а также дети из групп меньшинств на практике не имеют возможности получать образование на своем родном языке (ст. 2 (2) и 15).</w:t>
      </w:r>
    </w:p>
    <w:p w14:paraId="58B37B0C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61.</w:t>
      </w:r>
      <w:r>
        <w:tab/>
      </w:r>
      <w:r>
        <w:rPr>
          <w:b/>
          <w:bCs/>
        </w:rPr>
        <w:t>Комитет рекомендует государству-участнику создать законодательную и политическую базу, которая признает и защищает правовой статус и права общин, относящих себя к коренным и племенным народам или меньшинствам, позволяя им сохранять, развивать, выражать и распространять свою самобытность, историю, культуру, языки, традиции и обычаи, а также поддерживать свою духовную связь со своими землями, территориями и ресурсами.</w:t>
      </w:r>
      <w:r>
        <w:t xml:space="preserve"> </w:t>
      </w:r>
      <w:r>
        <w:rPr>
          <w:b/>
          <w:bCs/>
        </w:rPr>
        <w:t>Комитет также рекомендует государству-участнику принять необходимые меры для облегчения доступа детей из числа коренных народов и племен, а также детей из групп меньшинств к образованию на их родном языке, в том числе путем разработки соответствующих культурным и языковым особенностям учебных программ, подготовки преподавателей и учебных материалов на родных языках детей.</w:t>
      </w:r>
    </w:p>
    <w:p w14:paraId="78847018" w14:textId="77777777" w:rsidR="00052955" w:rsidRPr="00294636" w:rsidRDefault="00052955" w:rsidP="00254407">
      <w:pPr>
        <w:pStyle w:val="H23G"/>
      </w:pPr>
      <w:r>
        <w:tab/>
      </w:r>
      <w:r>
        <w:tab/>
      </w:r>
      <w:r>
        <w:rPr>
          <w:bCs/>
        </w:rPr>
        <w:t>Право на пользование результатами научного прогресса и их практического применения</w:t>
      </w:r>
    </w:p>
    <w:p w14:paraId="0BCD543D" w14:textId="77777777" w:rsidR="00052955" w:rsidRPr="00294636" w:rsidRDefault="00052955" w:rsidP="00052955">
      <w:pPr>
        <w:pStyle w:val="SingleTxtG"/>
        <w:tabs>
          <w:tab w:val="left" w:pos="3402"/>
        </w:tabs>
      </w:pPr>
      <w:r>
        <w:t>62.</w:t>
      </w:r>
      <w:r>
        <w:tab/>
        <w:t>Комитет обеспокоен тем, что число пользователей Интернета остается низким из-за высокой стоимости, ограниченной инфраструктуры и плохой связи в сельских районах. Комитет также обеспокоен тем, что многие люди, особенно живущие в сельских районах, из домашних хозяйств с низким уровнем дохода и инвалиды, не обладают цифровыми навыками, необходимыми для использования информационно-коммуникационных технологий, что усугубляет цифровой разрыв и ограничивает доступ к жизненно важным услугам и экономическим возможностям (ст. 15).</w:t>
      </w:r>
    </w:p>
    <w:p w14:paraId="5F256407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63.</w:t>
      </w:r>
      <w:r>
        <w:tab/>
      </w:r>
      <w:r>
        <w:rPr>
          <w:b/>
          <w:bCs/>
        </w:rPr>
        <w:t>Ссылаясь на свое замечание общего порядка № 25 (2020) о науке и экономических, социальных и культурных правах, Комитет рекомендует государству-участнику принять меры для преодоления цифрового разрыва путем расширения приемлемого по цене и высококачественного доступа к Интернету, особенно в сельских районах, и улучшения цифровой инфраструктуры в масштабах всей страны.</w:t>
      </w:r>
      <w:r>
        <w:t xml:space="preserve"> </w:t>
      </w:r>
      <w:r>
        <w:rPr>
          <w:b/>
          <w:bCs/>
        </w:rPr>
        <w:t xml:space="preserve">Комитет также рекомендует государству-участнику поощрять цифровую грамотность и развитие цифровых навыков, уделяя особое внимание маргинализированным и обездоленным общинам, для обеспечения того, чтобы все люди могли в полной мере пользоваться информационно-коммуникационными технологиями и иметь доступ к </w:t>
      </w:r>
      <w:r w:rsidRPr="001762B2">
        <w:rPr>
          <w:b/>
          <w:bCs/>
        </w:rPr>
        <w:t>жизненно важным</w:t>
      </w:r>
      <w:r>
        <w:rPr>
          <w:b/>
          <w:bCs/>
        </w:rPr>
        <w:t xml:space="preserve"> услугам и экономическим возможностям.</w:t>
      </w:r>
    </w:p>
    <w:p w14:paraId="387B3F67" w14:textId="77777777" w:rsidR="00052955" w:rsidRPr="00254407" w:rsidRDefault="00052955" w:rsidP="00254407">
      <w:pPr>
        <w:pStyle w:val="H1G"/>
      </w:pPr>
      <w:r w:rsidRPr="00254407">
        <w:tab/>
        <w:t>D.</w:t>
      </w:r>
      <w:r w:rsidRPr="00254407">
        <w:tab/>
        <w:t>Другие рекомендации</w:t>
      </w:r>
    </w:p>
    <w:p w14:paraId="6B3C2A9B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64.</w:t>
      </w:r>
      <w:r>
        <w:tab/>
      </w:r>
      <w:r>
        <w:rPr>
          <w:b/>
          <w:bCs/>
        </w:rPr>
        <w:t>Комитет призывает государство-участник присоединиться к Факультативному протоколу к Международному пакту об экономических, социальных и культурных правах.</w:t>
      </w:r>
    </w:p>
    <w:p w14:paraId="7E3B747D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65.</w:t>
      </w:r>
      <w:r>
        <w:tab/>
      </w:r>
      <w:r>
        <w:rPr>
          <w:b/>
          <w:bCs/>
        </w:rPr>
        <w:t>Комитет рекомендует государству-участнику рассмотреть вопрос о присоединении к основным договорам по правам человека, участником которых оно еще не является, а именно к Конвенции против пыток и других жестоких, бесчеловечных или унижающих достоинство видов обращения и наказания и к Международной конвенции для защиты всех лиц от насильственных исчезновений.</w:t>
      </w:r>
    </w:p>
    <w:p w14:paraId="49F0ED19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66.</w:t>
      </w:r>
      <w:r>
        <w:tab/>
      </w:r>
      <w:r>
        <w:rPr>
          <w:b/>
          <w:bCs/>
        </w:rPr>
        <w:t>Комитет рекомендует также государству-участнику в полной мере учитывать свои обязательства в соответствии с Пактом и обеспечивать полное осуществление закрепленных в нем прав при реализации на национальном уровне Повестки дня в области устойчивого развития на период до 2030 года, в</w:t>
      </w:r>
      <w:r>
        <w:rPr>
          <w:b/>
          <w:bCs/>
          <w:lang w:val="en-US"/>
        </w:rPr>
        <w:t> </w:t>
      </w:r>
      <w:r>
        <w:rPr>
          <w:b/>
          <w:bCs/>
        </w:rPr>
        <w:t>том числе в ходе восстановления после пандемии COVID-19, в рамках международной помощи и сотрудничества в случае возникновения такой необходимости.</w:t>
      </w:r>
      <w:r>
        <w:t xml:space="preserve"> </w:t>
      </w:r>
      <w:r>
        <w:rPr>
          <w:b/>
          <w:bCs/>
        </w:rPr>
        <w:t>Достижению целей в области устойчивого развития будут в значительной степени способствовать создание государством-участником независимых механизмов отслеживания прогресса и отношение к получателям помощи по линии государственных программ как к носителям прав, которые могут претендовать на причитающиеся им льготы.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 подключиться к общей инициативе мирового сообщества в рамках десятилетия действий по достижению Целей в области устойчивого развития.</w:t>
      </w:r>
      <w:r>
        <w:t xml:space="preserve"> </w:t>
      </w:r>
      <w:r>
        <w:rPr>
          <w:b/>
          <w:bCs/>
        </w:rPr>
        <w:t>Достижение Целей в области устойчивого развития на основе принципов участия, подотчетности и недискриминации будет способствовать обеспечению того, чтобы никто не был оставлен без внимания.</w:t>
      </w:r>
      <w:r>
        <w:t xml:space="preserve"> </w:t>
      </w:r>
      <w:r>
        <w:rPr>
          <w:b/>
          <w:bCs/>
        </w:rPr>
        <w:t>В</w:t>
      </w:r>
      <w:r>
        <w:rPr>
          <w:b/>
          <w:bCs/>
          <w:lang w:val="en-US"/>
        </w:rPr>
        <w:t> </w:t>
      </w:r>
      <w:r>
        <w:rPr>
          <w:b/>
          <w:bCs/>
        </w:rPr>
        <w:t>этой связи Комитет обращает внимание государства-участника на свое заявление об обязательстве никого не забыть</w:t>
      </w:r>
      <w:r w:rsidRPr="00D6169F">
        <w:rPr>
          <w:rStyle w:val="a8"/>
        </w:rPr>
        <w:footnoteReference w:id="12"/>
      </w:r>
      <w:r>
        <w:rPr>
          <w:b/>
          <w:bCs/>
        </w:rPr>
        <w:t>.</w:t>
      </w:r>
    </w:p>
    <w:p w14:paraId="3AC4C481" w14:textId="77777777" w:rsidR="00052955" w:rsidRPr="00634432" w:rsidRDefault="00052955" w:rsidP="00052955">
      <w:pPr>
        <w:pStyle w:val="SingleTxtG"/>
        <w:tabs>
          <w:tab w:val="left" w:pos="3402"/>
        </w:tabs>
      </w:pPr>
      <w:r>
        <w:t>67.</w:t>
      </w:r>
      <w:r>
        <w:tab/>
      </w:r>
      <w:r>
        <w:rPr>
          <w:b/>
          <w:bCs/>
        </w:rPr>
        <w:t>Кроме того, Комитет рекомендует государству-участнику принять меры по постепенной разработке и применению соответствующих показателей осуществления экономических, социальных и культурных прав, с тем чтобы облегчить оценку прогресса, достигнутого государством-участником в выполнении своих обязательств по Пакту для различных слоев населения.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государства-участника, в частности, на</w:t>
      </w:r>
      <w:r>
        <w:rPr>
          <w:b/>
          <w:bCs/>
          <w:lang w:val="en-US"/>
        </w:rPr>
        <w:t> </w:t>
      </w:r>
      <w:r>
        <w:rPr>
          <w:b/>
          <w:bCs/>
        </w:rPr>
        <w:t>концептуальные и методологические рамки определения правозащитных показателей, разработанные Управлением Верховного комиссара Организации Объединенных Наций по правам человека</w:t>
      </w:r>
      <w:r w:rsidRPr="00D6169F">
        <w:rPr>
          <w:rStyle w:val="a8"/>
        </w:rPr>
        <w:footnoteReference w:id="13"/>
      </w:r>
      <w:r>
        <w:rPr>
          <w:b/>
          <w:bCs/>
        </w:rPr>
        <w:t>.</w:t>
      </w:r>
    </w:p>
    <w:p w14:paraId="29B35C56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68.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общества, в том числе на национальном, провинциальном и местном уровнях, в частности среди парламентариев, государственных должностных лиц и судебных органов, и в своем следующем периодическом докладе проинформировать Комитет о шагах, предпринятых для их осуществления.</w:t>
      </w:r>
      <w:r>
        <w:t xml:space="preserve"> </w:t>
      </w:r>
      <w:r>
        <w:rPr>
          <w:b/>
          <w:bCs/>
        </w:rPr>
        <w:t>Комитет подчеркивает важнейшую роль парламента в выполнении рекомендаций, сформулированных в настоящих заключительных замечаниях, и призывает государство-участник обеспечить его участие в будущих процедурах представления докладов и последующей деятельности.</w:t>
      </w:r>
      <w:r>
        <w:t xml:space="preserve"> </w:t>
      </w:r>
      <w:r>
        <w:rPr>
          <w:b/>
          <w:bCs/>
        </w:rPr>
        <w:t>Комитет призывает государство-участник взаимодействовать с Комиссией по правам человека Зимбабве и с неправительственными организациями и другими членами гражданского общества в ходе последующей деятельности по реализации настоящих заключительных замечаний и в процессе консультаций на национальном уровне до представления его следующего периодического доклада.</w:t>
      </w:r>
    </w:p>
    <w:p w14:paraId="60EA100E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</w:rPr>
      </w:pPr>
      <w:r>
        <w:t>69.</w:t>
      </w:r>
      <w:r>
        <w:tab/>
      </w:r>
      <w:r>
        <w:rPr>
          <w:b/>
          <w:bCs/>
        </w:rPr>
        <w:t>В соответствии с процедурой последующих действий в связи с заключительными замечаниями, принятой Комитетом, государству-участнику предлагается представить в течение 24 месяцев с момента принятия настоящих заключительных замечаний (30 сентября 2027 года) информацию о выполнении рекомендаций, содержащихся в пунктах</w:t>
      </w:r>
      <w:r>
        <w:rPr>
          <w:b/>
          <w:bCs/>
          <w:lang w:val="en-US"/>
        </w:rPr>
        <w:t> </w:t>
      </w:r>
      <w:r>
        <w:rPr>
          <w:b/>
          <w:bCs/>
        </w:rPr>
        <w:t>17</w:t>
      </w:r>
      <w:r>
        <w:rPr>
          <w:b/>
          <w:bCs/>
          <w:lang w:val="en-US"/>
        </w:rPr>
        <w:t> </w:t>
      </w:r>
      <w:r>
        <w:rPr>
          <w:b/>
          <w:bCs/>
        </w:rPr>
        <w:t>b) (максимальные пределы имеющихся ресурсов), 41 a) (бедность) и 43 a) (право на питание) выше.</w:t>
      </w:r>
      <w:bookmarkStart w:id="0" w:name="_Hlk154052285"/>
      <w:bookmarkEnd w:id="0"/>
    </w:p>
    <w:p w14:paraId="0E76C780" w14:textId="77777777" w:rsidR="00052955" w:rsidRPr="00294636" w:rsidRDefault="00052955" w:rsidP="00052955">
      <w:pPr>
        <w:pStyle w:val="SingleTxtG"/>
        <w:tabs>
          <w:tab w:val="left" w:pos="3402"/>
        </w:tabs>
        <w:rPr>
          <w:b/>
          <w:bCs/>
          <w:i/>
          <w:iCs/>
        </w:rPr>
      </w:pPr>
      <w:r>
        <w:t>70.</w:t>
      </w:r>
      <w:r>
        <w:tab/>
      </w:r>
      <w:r>
        <w:rPr>
          <w:b/>
          <w:bCs/>
        </w:rPr>
        <w:t>Комитет просит государство-участник представить свой третий периодический доклад, который должен быть подготовлен в соответствии со статьей 16 Пакта, к 30 сентября 2030 года, если в результате изменения цикла обзора ему не поступит иного уведомления.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21 200 слов.</w:t>
      </w:r>
    </w:p>
    <w:p w14:paraId="7DD027E1" w14:textId="77777777" w:rsidR="00052955" w:rsidRPr="00294636" w:rsidRDefault="00052955" w:rsidP="00052955">
      <w:pPr>
        <w:jc w:val="center"/>
        <w:rPr>
          <w:u w:val="single"/>
        </w:rPr>
      </w:pPr>
      <w:r w:rsidRPr="00294636">
        <w:rPr>
          <w:u w:val="single"/>
        </w:rPr>
        <w:tab/>
      </w:r>
      <w:r w:rsidRPr="00294636">
        <w:rPr>
          <w:u w:val="single"/>
        </w:rPr>
        <w:tab/>
      </w:r>
      <w:r w:rsidRPr="00294636">
        <w:rPr>
          <w:u w:val="single"/>
        </w:rPr>
        <w:tab/>
      </w:r>
    </w:p>
    <w:sectPr w:rsidR="00052955" w:rsidRPr="00294636" w:rsidSect="0005295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69710" w14:textId="77777777" w:rsidR="002E52D4" w:rsidRPr="00A312BC" w:rsidRDefault="002E52D4" w:rsidP="00A312BC"/>
  </w:endnote>
  <w:endnote w:type="continuationSeparator" w:id="0">
    <w:p w14:paraId="78A202C7" w14:textId="77777777" w:rsidR="002E52D4" w:rsidRPr="00A312BC" w:rsidRDefault="002E52D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5B90C" w14:textId="630321EF" w:rsidR="00052955" w:rsidRPr="00052955" w:rsidRDefault="00052955">
    <w:pPr>
      <w:pStyle w:val="aa"/>
    </w:pPr>
    <w:r w:rsidRPr="00052955">
      <w:rPr>
        <w:b/>
        <w:sz w:val="18"/>
      </w:rPr>
      <w:fldChar w:fldCharType="begin"/>
    </w:r>
    <w:r w:rsidRPr="00052955">
      <w:rPr>
        <w:b/>
        <w:sz w:val="18"/>
      </w:rPr>
      <w:instrText xml:space="preserve"> PAGE  \* MERGEFORMAT </w:instrText>
    </w:r>
    <w:r w:rsidRPr="00052955">
      <w:rPr>
        <w:b/>
        <w:sz w:val="18"/>
      </w:rPr>
      <w:fldChar w:fldCharType="separate"/>
    </w:r>
    <w:r w:rsidRPr="00052955">
      <w:rPr>
        <w:b/>
        <w:noProof/>
        <w:sz w:val="18"/>
      </w:rPr>
      <w:t>2</w:t>
    </w:r>
    <w:r w:rsidRPr="00052955">
      <w:rPr>
        <w:b/>
        <w:sz w:val="18"/>
      </w:rPr>
      <w:fldChar w:fldCharType="end"/>
    </w:r>
    <w:r>
      <w:rPr>
        <w:b/>
        <w:sz w:val="18"/>
      </w:rPr>
      <w:tab/>
    </w:r>
    <w:r>
      <w:t>GE.25-15849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8818F" w14:textId="7D6CF291" w:rsidR="00052955" w:rsidRPr="00052955" w:rsidRDefault="00052955" w:rsidP="00052955">
    <w:pPr>
      <w:pStyle w:val="aa"/>
      <w:tabs>
        <w:tab w:val="clear" w:pos="9639"/>
        <w:tab w:val="right" w:pos="9638"/>
      </w:tabs>
      <w:rPr>
        <w:b/>
        <w:sz w:val="18"/>
      </w:rPr>
    </w:pPr>
    <w:r>
      <w:t>GE.25-15849</w:t>
    </w:r>
    <w:r>
      <w:tab/>
    </w:r>
    <w:r w:rsidRPr="00052955">
      <w:rPr>
        <w:b/>
        <w:sz w:val="18"/>
      </w:rPr>
      <w:fldChar w:fldCharType="begin"/>
    </w:r>
    <w:r w:rsidRPr="00052955">
      <w:rPr>
        <w:b/>
        <w:sz w:val="18"/>
      </w:rPr>
      <w:instrText xml:space="preserve"> PAGE  \* MERGEFORMAT </w:instrText>
    </w:r>
    <w:r w:rsidRPr="00052955">
      <w:rPr>
        <w:b/>
        <w:sz w:val="18"/>
      </w:rPr>
      <w:fldChar w:fldCharType="separate"/>
    </w:r>
    <w:r w:rsidRPr="00052955">
      <w:rPr>
        <w:b/>
        <w:noProof/>
        <w:sz w:val="18"/>
      </w:rPr>
      <w:t>3</w:t>
    </w:r>
    <w:r w:rsidRPr="0005295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4028A" w14:textId="0942E8E2" w:rsidR="00042B72" w:rsidRPr="00052955" w:rsidRDefault="00052955" w:rsidP="0005295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DB2DF40" wp14:editId="71BBFF7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</w:t>
    </w:r>
    <w:proofErr w:type="gramStart"/>
    <w:r>
      <w:t>15849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FD622B6" wp14:editId="7DE338C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191125  201125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CDFE66" w14:textId="77777777" w:rsidR="002E52D4" w:rsidRPr="001075E9" w:rsidRDefault="002E52D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76E651D" w14:textId="77777777" w:rsidR="002E52D4" w:rsidRDefault="002E52D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596CD4A" w14:textId="77777777" w:rsidR="00052955" w:rsidRPr="00294636" w:rsidRDefault="00052955" w:rsidP="00052955">
      <w:pPr>
        <w:pStyle w:val="af"/>
        <w:spacing w:line="240" w:lineRule="exact"/>
        <w:ind w:left="1138" w:right="1138" w:hanging="1138"/>
      </w:pPr>
      <w:r w:rsidRPr="00BF700F">
        <w:rPr>
          <w:rStyle w:val="a8"/>
          <w:sz w:val="20"/>
          <w:vertAlign w:val="baseline"/>
        </w:rPr>
        <w:tab/>
        <w:t>*</w:t>
      </w:r>
      <w:r w:rsidRPr="00BF700F">
        <w:rPr>
          <w:rStyle w:val="a8"/>
          <w:sz w:val="20"/>
          <w:vertAlign w:val="baseline"/>
        </w:rPr>
        <w:tab/>
      </w:r>
      <w:r>
        <w:t>Приняты Комитетом на его семьдесят восьмой сессии (8–26 сентября 2025 года).</w:t>
      </w:r>
    </w:p>
  </w:footnote>
  <w:footnote w:id="2">
    <w:p w14:paraId="5514B0EB" w14:textId="77777777" w:rsidR="008178FE" w:rsidRPr="00294636" w:rsidRDefault="008178FE" w:rsidP="00243783">
      <w:pPr>
        <w:pStyle w:val="af"/>
        <w:rPr>
          <w:lang w:val="de-CH"/>
        </w:rPr>
      </w:pPr>
      <w:r>
        <w:tab/>
      </w:r>
      <w:r w:rsidRPr="00837686">
        <w:rPr>
          <w:rStyle w:val="a8"/>
        </w:rPr>
        <w:footnoteRef/>
      </w:r>
      <w:r w:rsidRPr="00294636">
        <w:rPr>
          <w:lang w:val="de-CH"/>
        </w:rPr>
        <w:t xml:space="preserve"> </w:t>
      </w:r>
      <w:r w:rsidRPr="00294636">
        <w:rPr>
          <w:lang w:val="de-CH"/>
        </w:rPr>
        <w:tab/>
      </w:r>
      <w:hyperlink r:id="rId1" w:history="1">
        <w:r w:rsidRPr="00805BB2">
          <w:rPr>
            <w:rStyle w:val="a7"/>
            <w:lang w:val="de-CH"/>
          </w:rPr>
          <w:t>E/C.12/ZWE/2</w:t>
        </w:r>
      </w:hyperlink>
      <w:r w:rsidRPr="00294636">
        <w:rPr>
          <w:lang w:val="de-CH"/>
        </w:rPr>
        <w:t>.</w:t>
      </w:r>
      <w:hyperlink r:id="rId2" w:history="1"/>
    </w:p>
  </w:footnote>
  <w:footnote w:id="3">
    <w:p w14:paraId="7A52B447" w14:textId="77777777" w:rsidR="00C82ADC" w:rsidRPr="00294636" w:rsidRDefault="00C82ADC" w:rsidP="00243783">
      <w:pPr>
        <w:pStyle w:val="af"/>
        <w:rPr>
          <w:lang w:val="de-CH"/>
        </w:rPr>
      </w:pPr>
      <w:r w:rsidRPr="00294636">
        <w:rPr>
          <w:lang w:val="de-CH"/>
        </w:rPr>
        <w:tab/>
      </w:r>
      <w:r w:rsidRPr="00837686">
        <w:rPr>
          <w:rStyle w:val="a8"/>
        </w:rPr>
        <w:footnoteRef/>
      </w:r>
      <w:r w:rsidRPr="00294636">
        <w:rPr>
          <w:lang w:val="de-CH"/>
        </w:rPr>
        <w:t xml:space="preserve"> </w:t>
      </w:r>
      <w:r w:rsidRPr="00294636">
        <w:rPr>
          <w:lang w:val="de-CH"/>
        </w:rPr>
        <w:tab/>
      </w:r>
      <w:r>
        <w:t>См</w:t>
      </w:r>
      <w:r w:rsidRPr="00294636">
        <w:rPr>
          <w:lang w:val="de-CH"/>
        </w:rPr>
        <w:t xml:space="preserve">. </w:t>
      </w:r>
      <w:hyperlink r:id="rId3" w:history="1">
        <w:r w:rsidRPr="00805BB2">
          <w:rPr>
            <w:rStyle w:val="a7"/>
            <w:lang w:val="de-CH"/>
          </w:rPr>
          <w:t>E/C.12/2025/SR.44</w:t>
        </w:r>
      </w:hyperlink>
      <w:r w:rsidRPr="00294636">
        <w:rPr>
          <w:lang w:val="de-CH"/>
        </w:rPr>
        <w:t xml:space="preserve"> </w:t>
      </w:r>
      <w:r>
        <w:t>и</w:t>
      </w:r>
      <w:r w:rsidRPr="00294636">
        <w:rPr>
          <w:lang w:val="de-CH"/>
        </w:rPr>
        <w:t xml:space="preserve"> </w:t>
      </w:r>
      <w:hyperlink r:id="rId4" w:history="1">
        <w:r w:rsidRPr="00805BB2">
          <w:rPr>
            <w:rStyle w:val="a7"/>
            <w:lang w:val="de-CH"/>
          </w:rPr>
          <w:t>E/C.12/2025/SR.45</w:t>
        </w:r>
      </w:hyperlink>
      <w:r w:rsidRPr="00294636">
        <w:rPr>
          <w:lang w:val="de-CH"/>
        </w:rPr>
        <w:t>.</w:t>
      </w:r>
      <w:hyperlink r:id="rId5" w:history="1"/>
      <w:hyperlink r:id="rId6" w:history="1"/>
    </w:p>
  </w:footnote>
  <w:footnote w:id="4">
    <w:p w14:paraId="3F753BA4" w14:textId="77777777" w:rsidR="00052955" w:rsidRPr="00294636" w:rsidRDefault="00052955" w:rsidP="00243783">
      <w:pPr>
        <w:pStyle w:val="af"/>
        <w:rPr>
          <w:lang w:val="de-CH"/>
        </w:rPr>
      </w:pPr>
      <w:r w:rsidRPr="00294636">
        <w:rPr>
          <w:lang w:val="de-CH"/>
        </w:rPr>
        <w:tab/>
      </w:r>
      <w:r w:rsidRPr="00837686">
        <w:rPr>
          <w:rStyle w:val="a8"/>
        </w:rPr>
        <w:footnoteRef/>
      </w:r>
      <w:r w:rsidRPr="00294636">
        <w:rPr>
          <w:lang w:val="de-CH"/>
        </w:rPr>
        <w:t xml:space="preserve"> </w:t>
      </w:r>
      <w:r w:rsidRPr="00294636">
        <w:rPr>
          <w:lang w:val="de-CH"/>
        </w:rPr>
        <w:tab/>
      </w:r>
      <w:r>
        <w:fldChar w:fldCharType="begin"/>
      </w:r>
      <w:r w:rsidRPr="00DA2C9C">
        <w:rPr>
          <w:lang w:val="fr-CH"/>
        </w:rPr>
        <w:instrText>HYPERLINK "https://docs.un.org/ru/E/C.12/ZWE/RQ/2"</w:instrText>
      </w:r>
      <w:r>
        <w:fldChar w:fldCharType="separate"/>
      </w:r>
      <w:r w:rsidRPr="00805BB2">
        <w:rPr>
          <w:rStyle w:val="a7"/>
          <w:lang w:val="de-CH"/>
        </w:rPr>
        <w:t>E/C.12/ZWE/RQ/2</w:t>
      </w:r>
      <w:r>
        <w:fldChar w:fldCharType="end"/>
      </w:r>
      <w:r w:rsidRPr="00294636">
        <w:rPr>
          <w:lang w:val="de-CH"/>
        </w:rPr>
        <w:t>.</w:t>
      </w:r>
      <w:hyperlink r:id="rId7" w:history="1"/>
    </w:p>
  </w:footnote>
  <w:footnote w:id="5">
    <w:p w14:paraId="0F7DCAF6" w14:textId="77777777" w:rsidR="00052955" w:rsidRPr="00294636" w:rsidRDefault="00052955" w:rsidP="00243783">
      <w:pPr>
        <w:pStyle w:val="af"/>
        <w:rPr>
          <w:lang w:val="de-CH"/>
        </w:rPr>
      </w:pPr>
      <w:r w:rsidRPr="00294636">
        <w:rPr>
          <w:lang w:val="de-CH"/>
        </w:rPr>
        <w:tab/>
      </w:r>
      <w:r w:rsidRPr="00837686">
        <w:rPr>
          <w:rStyle w:val="a8"/>
        </w:rPr>
        <w:footnoteRef/>
      </w:r>
      <w:r w:rsidRPr="00294636">
        <w:rPr>
          <w:lang w:val="de-CH"/>
        </w:rPr>
        <w:t xml:space="preserve"> </w:t>
      </w:r>
      <w:r w:rsidRPr="00294636">
        <w:rPr>
          <w:lang w:val="de-CH"/>
        </w:rPr>
        <w:tab/>
      </w:r>
      <w:r>
        <w:fldChar w:fldCharType="begin"/>
      </w:r>
      <w:r w:rsidRPr="00DA2C9C">
        <w:rPr>
          <w:lang w:val="fr-CH"/>
        </w:rPr>
        <w:instrText>HYPERLINK "https://docs.un.org/ru/E/C.12/2016/2"</w:instrText>
      </w:r>
      <w:r>
        <w:fldChar w:fldCharType="separate"/>
      </w:r>
      <w:r w:rsidRPr="00E15393">
        <w:rPr>
          <w:rStyle w:val="a7"/>
          <w:lang w:val="de-CH"/>
        </w:rPr>
        <w:t>E/C.12/2016/2</w:t>
      </w:r>
      <w:r>
        <w:fldChar w:fldCharType="end"/>
      </w:r>
      <w:r w:rsidRPr="00294636">
        <w:rPr>
          <w:lang w:val="de-CH"/>
        </w:rPr>
        <w:t>.</w:t>
      </w:r>
      <w:hyperlink r:id="rId8" w:history="1"/>
    </w:p>
  </w:footnote>
  <w:footnote w:id="6">
    <w:p w14:paraId="67E004AC" w14:textId="77777777" w:rsidR="00052955" w:rsidRPr="00294636" w:rsidRDefault="00052955" w:rsidP="00243783">
      <w:pPr>
        <w:pStyle w:val="af"/>
        <w:rPr>
          <w:lang w:val="de-CH"/>
        </w:rPr>
      </w:pPr>
      <w:r w:rsidRPr="00294636">
        <w:rPr>
          <w:lang w:val="de-CH"/>
        </w:rPr>
        <w:tab/>
      </w:r>
      <w:r w:rsidRPr="00837686">
        <w:rPr>
          <w:rStyle w:val="a8"/>
        </w:rPr>
        <w:footnoteRef/>
      </w:r>
      <w:r w:rsidRPr="00294636">
        <w:rPr>
          <w:lang w:val="de-CH"/>
        </w:rPr>
        <w:t xml:space="preserve"> </w:t>
      </w:r>
      <w:r w:rsidRPr="00294636">
        <w:rPr>
          <w:lang w:val="de-CH"/>
        </w:rPr>
        <w:tab/>
      </w:r>
      <w:hyperlink r:id="rId9" w:history="1">
        <w:r w:rsidRPr="00B60CFF">
          <w:rPr>
            <w:rStyle w:val="a7"/>
            <w:lang w:val="de-CH"/>
          </w:rPr>
          <w:t>E/C.12/2018/1</w:t>
        </w:r>
      </w:hyperlink>
      <w:r w:rsidRPr="00294636">
        <w:rPr>
          <w:lang w:val="de-CH"/>
        </w:rPr>
        <w:t>.</w:t>
      </w:r>
      <w:hyperlink r:id="rId10" w:history="1"/>
    </w:p>
  </w:footnote>
  <w:footnote w:id="7">
    <w:p w14:paraId="18203B5D" w14:textId="77777777" w:rsidR="00052955" w:rsidRPr="00091AE7" w:rsidRDefault="00052955" w:rsidP="00243783">
      <w:pPr>
        <w:pStyle w:val="af"/>
        <w:rPr>
          <w:lang w:val="fr-CH"/>
        </w:rPr>
      </w:pPr>
      <w:r w:rsidRPr="00294636">
        <w:rPr>
          <w:lang w:val="de-CH"/>
        </w:rPr>
        <w:tab/>
      </w:r>
      <w:r w:rsidRPr="00837686">
        <w:rPr>
          <w:rStyle w:val="a8"/>
        </w:rPr>
        <w:footnoteRef/>
      </w:r>
      <w:r w:rsidRPr="00091AE7">
        <w:rPr>
          <w:lang w:val="fr-CH"/>
        </w:rPr>
        <w:tab/>
      </w:r>
      <w:r>
        <w:fldChar w:fldCharType="begin"/>
      </w:r>
      <w:r w:rsidRPr="00DA2C9C">
        <w:rPr>
          <w:lang w:val="fr-CH"/>
        </w:rPr>
        <w:instrText>HYPERLINK "https://docs.un.org/ru/E/C.12/2016/1"</w:instrText>
      </w:r>
      <w:r>
        <w:fldChar w:fldCharType="separate"/>
      </w:r>
      <w:r w:rsidRPr="00B60CFF">
        <w:rPr>
          <w:rStyle w:val="a7"/>
          <w:lang w:val="fr-CH"/>
        </w:rPr>
        <w:t>E/C.12/2016/1</w:t>
      </w:r>
      <w:r>
        <w:fldChar w:fldCharType="end"/>
      </w:r>
      <w:r w:rsidRPr="00091AE7">
        <w:rPr>
          <w:lang w:val="fr-CH"/>
        </w:rPr>
        <w:t>.</w:t>
      </w:r>
      <w:hyperlink r:id="rId11" w:history="1"/>
    </w:p>
  </w:footnote>
  <w:footnote w:id="8">
    <w:p w14:paraId="27922272" w14:textId="77777777" w:rsidR="00052955" w:rsidRPr="00091AE7" w:rsidRDefault="00052955" w:rsidP="00243783">
      <w:pPr>
        <w:pStyle w:val="af"/>
        <w:rPr>
          <w:lang w:val="fr-CH"/>
        </w:rPr>
      </w:pPr>
      <w:r w:rsidRPr="00091AE7">
        <w:rPr>
          <w:lang w:val="fr-CH"/>
        </w:rPr>
        <w:tab/>
      </w:r>
      <w:r w:rsidRPr="00837686">
        <w:rPr>
          <w:rStyle w:val="a8"/>
        </w:rPr>
        <w:footnoteRef/>
      </w:r>
      <w:r w:rsidRPr="00091AE7">
        <w:rPr>
          <w:lang w:val="fr-CH"/>
        </w:rPr>
        <w:t xml:space="preserve"> </w:t>
      </w:r>
      <w:r w:rsidRPr="00091AE7">
        <w:rPr>
          <w:lang w:val="fr-CH"/>
        </w:rPr>
        <w:tab/>
      </w:r>
      <w:r>
        <w:fldChar w:fldCharType="begin"/>
      </w:r>
      <w:r w:rsidRPr="00DA2C9C">
        <w:rPr>
          <w:lang w:val="fr-CH"/>
        </w:rPr>
        <w:instrText>HYPERLINK "https://docs.un.org/ru/E/C.12/2025/1"</w:instrText>
      </w:r>
      <w:r>
        <w:fldChar w:fldCharType="separate"/>
      </w:r>
      <w:r w:rsidRPr="00B60CFF">
        <w:rPr>
          <w:rStyle w:val="a7"/>
          <w:lang w:val="fr-CH"/>
        </w:rPr>
        <w:t>E/C.12/2025/1</w:t>
      </w:r>
      <w:r>
        <w:fldChar w:fldCharType="end"/>
      </w:r>
      <w:r w:rsidRPr="00091AE7">
        <w:rPr>
          <w:lang w:val="fr-CH"/>
        </w:rPr>
        <w:t>.</w:t>
      </w:r>
      <w:hyperlink r:id="rId12" w:history="1"/>
    </w:p>
  </w:footnote>
  <w:footnote w:id="9">
    <w:p w14:paraId="2FD2BF18" w14:textId="77777777" w:rsidR="00C80124" w:rsidRPr="00091AE7" w:rsidRDefault="00C80124" w:rsidP="00243783">
      <w:pPr>
        <w:pStyle w:val="af"/>
        <w:tabs>
          <w:tab w:val="clear" w:pos="1021"/>
          <w:tab w:val="right" w:pos="1020"/>
        </w:tabs>
        <w:rPr>
          <w:lang w:val="fr-CH"/>
        </w:rPr>
      </w:pPr>
      <w:r w:rsidRPr="00091AE7">
        <w:rPr>
          <w:lang w:val="fr-CH"/>
        </w:rPr>
        <w:tab/>
      </w:r>
      <w:r>
        <w:rPr>
          <w:rStyle w:val="a8"/>
        </w:rPr>
        <w:footnoteRef/>
      </w:r>
      <w:r w:rsidRPr="00091AE7">
        <w:rPr>
          <w:lang w:val="fr-CH"/>
        </w:rPr>
        <w:tab/>
      </w:r>
      <w:r>
        <w:fldChar w:fldCharType="begin"/>
      </w:r>
      <w:r w:rsidRPr="00DA2C9C">
        <w:rPr>
          <w:lang w:val="fr-CH"/>
        </w:rPr>
        <w:instrText>HYPERLINK "https://docs.un.org/ru/E/C.12/2015/1"</w:instrText>
      </w:r>
      <w:r>
        <w:fldChar w:fldCharType="separate"/>
      </w:r>
      <w:r w:rsidRPr="003B4E3B">
        <w:rPr>
          <w:rStyle w:val="a7"/>
          <w:lang w:val="fr-CH"/>
        </w:rPr>
        <w:t>E/C.12/2015/1</w:t>
      </w:r>
      <w:r>
        <w:fldChar w:fldCharType="end"/>
      </w:r>
      <w:r w:rsidRPr="00091AE7">
        <w:rPr>
          <w:lang w:val="fr-CH"/>
        </w:rPr>
        <w:t>.</w:t>
      </w:r>
      <w:hyperlink r:id="rId13" w:history="1"/>
    </w:p>
  </w:footnote>
  <w:footnote w:id="10">
    <w:p w14:paraId="3966B2DD" w14:textId="77777777" w:rsidR="00052955" w:rsidRPr="00091AE7" w:rsidRDefault="00052955" w:rsidP="00243783">
      <w:pPr>
        <w:pStyle w:val="af"/>
        <w:rPr>
          <w:lang w:val="fr-CH"/>
        </w:rPr>
      </w:pPr>
      <w:r w:rsidRPr="00091AE7">
        <w:rPr>
          <w:lang w:val="fr-CH"/>
        </w:rPr>
        <w:tab/>
      </w:r>
      <w:r w:rsidRPr="00837686">
        <w:rPr>
          <w:rStyle w:val="a8"/>
        </w:rPr>
        <w:footnoteRef/>
      </w:r>
      <w:r w:rsidRPr="00091AE7">
        <w:rPr>
          <w:lang w:val="fr-CH"/>
        </w:rPr>
        <w:t xml:space="preserve"> </w:t>
      </w:r>
      <w:r w:rsidRPr="00091AE7">
        <w:rPr>
          <w:lang w:val="fr-CH"/>
        </w:rPr>
        <w:tab/>
      </w:r>
      <w:r>
        <w:fldChar w:fldCharType="begin"/>
      </w:r>
      <w:r w:rsidRPr="00DA2C9C">
        <w:rPr>
          <w:lang w:val="fr-CH"/>
        </w:rPr>
        <w:instrText>HYPERLINK "https://docs.un.org/ru/E/C.12/2001/10"</w:instrText>
      </w:r>
      <w:r>
        <w:fldChar w:fldCharType="separate"/>
      </w:r>
      <w:r w:rsidRPr="00F06351">
        <w:rPr>
          <w:rStyle w:val="a7"/>
          <w:lang w:val="fr-CH"/>
        </w:rPr>
        <w:t>E/C.12/2001/10</w:t>
      </w:r>
      <w:r>
        <w:fldChar w:fldCharType="end"/>
      </w:r>
      <w:r w:rsidRPr="00091AE7">
        <w:rPr>
          <w:lang w:val="fr-CH"/>
        </w:rPr>
        <w:t>.</w:t>
      </w:r>
      <w:hyperlink r:id="rId14" w:history="1"/>
    </w:p>
  </w:footnote>
  <w:footnote w:id="11">
    <w:p w14:paraId="33E89AB5" w14:textId="77777777" w:rsidR="00052955" w:rsidRPr="00091AE7" w:rsidRDefault="00052955" w:rsidP="00243783">
      <w:pPr>
        <w:pStyle w:val="af"/>
        <w:rPr>
          <w:lang w:val="fr-CH"/>
        </w:rPr>
      </w:pPr>
      <w:r w:rsidRPr="00091AE7">
        <w:rPr>
          <w:lang w:val="fr-CH"/>
        </w:rPr>
        <w:tab/>
      </w:r>
      <w:r w:rsidRPr="00837686">
        <w:rPr>
          <w:rStyle w:val="a8"/>
        </w:rPr>
        <w:footnoteRef/>
      </w:r>
      <w:r w:rsidRPr="00091AE7">
        <w:rPr>
          <w:lang w:val="fr-CH"/>
        </w:rPr>
        <w:t xml:space="preserve"> </w:t>
      </w:r>
      <w:r w:rsidRPr="00091AE7">
        <w:rPr>
          <w:lang w:val="fr-CH"/>
        </w:rPr>
        <w:tab/>
      </w:r>
      <w:hyperlink r:id="rId15" w:history="1">
        <w:r w:rsidRPr="008633F0">
          <w:rPr>
            <w:rStyle w:val="a7"/>
            <w:lang w:val="fr-CH"/>
          </w:rPr>
          <w:t>E/C.12/2018/1</w:t>
        </w:r>
      </w:hyperlink>
      <w:r w:rsidRPr="00091AE7">
        <w:rPr>
          <w:lang w:val="fr-CH"/>
        </w:rPr>
        <w:t>.</w:t>
      </w:r>
      <w:hyperlink r:id="rId16" w:history="1"/>
    </w:p>
  </w:footnote>
  <w:footnote w:id="12">
    <w:p w14:paraId="7D83E419" w14:textId="77777777" w:rsidR="00052955" w:rsidRPr="003C1889" w:rsidRDefault="00052955" w:rsidP="00243783">
      <w:pPr>
        <w:pStyle w:val="af"/>
        <w:tabs>
          <w:tab w:val="clear" w:pos="1021"/>
          <w:tab w:val="right" w:pos="1020"/>
        </w:tabs>
        <w:rPr>
          <w:lang w:val="fr-CH"/>
        </w:rPr>
      </w:pPr>
      <w:r w:rsidRPr="00091AE7">
        <w:rPr>
          <w:lang w:val="fr-CH"/>
        </w:rPr>
        <w:tab/>
      </w:r>
      <w:r w:rsidRPr="00837686">
        <w:rPr>
          <w:rStyle w:val="a8"/>
        </w:rPr>
        <w:footnoteRef/>
      </w:r>
      <w:r w:rsidRPr="003C1889">
        <w:rPr>
          <w:lang w:val="fr-CH"/>
        </w:rPr>
        <w:tab/>
      </w:r>
      <w:hyperlink r:id="rId17" w:history="1">
        <w:r w:rsidRPr="003C1889">
          <w:rPr>
            <w:rStyle w:val="a7"/>
            <w:lang w:val="fr-CH"/>
          </w:rPr>
          <w:t>E/C.12/2019/1</w:t>
        </w:r>
      </w:hyperlink>
      <w:r w:rsidRPr="003C1889">
        <w:rPr>
          <w:lang w:val="fr-CH"/>
        </w:rPr>
        <w:t>.</w:t>
      </w:r>
      <w:hyperlink r:id="rId18" w:history="1"/>
    </w:p>
  </w:footnote>
  <w:footnote w:id="13">
    <w:p w14:paraId="47D284D3" w14:textId="77777777" w:rsidR="00052955" w:rsidRPr="003C1889" w:rsidRDefault="00052955" w:rsidP="00243783">
      <w:pPr>
        <w:pStyle w:val="af"/>
        <w:tabs>
          <w:tab w:val="clear" w:pos="1021"/>
          <w:tab w:val="right" w:pos="1020"/>
        </w:tabs>
        <w:rPr>
          <w:lang w:val="fr-CH"/>
        </w:rPr>
      </w:pPr>
      <w:r w:rsidRPr="003C1889">
        <w:rPr>
          <w:lang w:val="fr-CH"/>
        </w:rPr>
        <w:tab/>
      </w:r>
      <w:r w:rsidRPr="00837686">
        <w:rPr>
          <w:rStyle w:val="a8"/>
        </w:rPr>
        <w:footnoteRef/>
      </w:r>
      <w:r w:rsidRPr="003C1889">
        <w:rPr>
          <w:lang w:val="fr-CH"/>
        </w:rPr>
        <w:tab/>
      </w:r>
      <w:hyperlink r:id="rId19" w:history="1">
        <w:r w:rsidRPr="003C1889">
          <w:rPr>
            <w:rStyle w:val="a7"/>
            <w:lang w:val="fr-CH"/>
          </w:rPr>
          <w:t>HRI/MC/2008/3</w:t>
        </w:r>
      </w:hyperlink>
      <w:r w:rsidRPr="003C1889">
        <w:rPr>
          <w:lang w:val="fr-CH"/>
        </w:rPr>
        <w:t xml:space="preserve">. </w:t>
      </w:r>
      <w:hyperlink r:id="rId20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9D9DF" w14:textId="453AA51C" w:rsidR="00052955" w:rsidRPr="00052955" w:rsidRDefault="00052955">
    <w:pPr>
      <w:pStyle w:val="a5"/>
    </w:pPr>
    <w:fldSimple w:instr=" TITLE  \* MERGEFORMAT ">
      <w:r>
        <w:t>E/C.12/ZWE/CO/2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AA646" w14:textId="721A59AF" w:rsidR="00052955" w:rsidRPr="00052955" w:rsidRDefault="00052955" w:rsidP="00052955">
    <w:pPr>
      <w:pStyle w:val="a5"/>
      <w:jc w:val="right"/>
    </w:pPr>
    <w:fldSimple w:instr=" TITLE  \* MERGEFORMAT ">
      <w:r>
        <w:t>E/C.12/ZWE/CO/2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5657C" w14:textId="77777777" w:rsidR="00052955" w:rsidRDefault="00052955" w:rsidP="00052955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2D4"/>
    <w:rsid w:val="000041D5"/>
    <w:rsid w:val="000050BA"/>
    <w:rsid w:val="00026B5D"/>
    <w:rsid w:val="00033EE1"/>
    <w:rsid w:val="00042B72"/>
    <w:rsid w:val="00043B08"/>
    <w:rsid w:val="00052955"/>
    <w:rsid w:val="000558BD"/>
    <w:rsid w:val="000857D2"/>
    <w:rsid w:val="0008673B"/>
    <w:rsid w:val="000B57E7"/>
    <w:rsid w:val="000B6373"/>
    <w:rsid w:val="000F09DF"/>
    <w:rsid w:val="000F3230"/>
    <w:rsid w:val="000F61B2"/>
    <w:rsid w:val="001075E9"/>
    <w:rsid w:val="001169BF"/>
    <w:rsid w:val="001253D8"/>
    <w:rsid w:val="0014152F"/>
    <w:rsid w:val="00142F5E"/>
    <w:rsid w:val="0015521C"/>
    <w:rsid w:val="001763CF"/>
    <w:rsid w:val="00180183"/>
    <w:rsid w:val="0018024D"/>
    <w:rsid w:val="0018649F"/>
    <w:rsid w:val="00196389"/>
    <w:rsid w:val="001B3EF6"/>
    <w:rsid w:val="001C0566"/>
    <w:rsid w:val="001C7A89"/>
    <w:rsid w:val="001D5C5A"/>
    <w:rsid w:val="001F5277"/>
    <w:rsid w:val="00203065"/>
    <w:rsid w:val="00243783"/>
    <w:rsid w:val="00254407"/>
    <w:rsid w:val="002979E2"/>
    <w:rsid w:val="002A2EFC"/>
    <w:rsid w:val="002B74B1"/>
    <w:rsid w:val="002C0E18"/>
    <w:rsid w:val="002D0331"/>
    <w:rsid w:val="002D5AAC"/>
    <w:rsid w:val="002E5067"/>
    <w:rsid w:val="002E52D4"/>
    <w:rsid w:val="002F405F"/>
    <w:rsid w:val="002F7011"/>
    <w:rsid w:val="002F7EEC"/>
    <w:rsid w:val="00301299"/>
    <w:rsid w:val="00305C08"/>
    <w:rsid w:val="00307FB6"/>
    <w:rsid w:val="00317339"/>
    <w:rsid w:val="00322004"/>
    <w:rsid w:val="003335D1"/>
    <w:rsid w:val="003402C2"/>
    <w:rsid w:val="00366D1B"/>
    <w:rsid w:val="00381C24"/>
    <w:rsid w:val="00392B19"/>
    <w:rsid w:val="003958D0"/>
    <w:rsid w:val="003A0D43"/>
    <w:rsid w:val="003A5F47"/>
    <w:rsid w:val="003B00E5"/>
    <w:rsid w:val="003D1DC3"/>
    <w:rsid w:val="003D4FC9"/>
    <w:rsid w:val="003D6B66"/>
    <w:rsid w:val="003E2E82"/>
    <w:rsid w:val="00407B78"/>
    <w:rsid w:val="00424203"/>
    <w:rsid w:val="0042551A"/>
    <w:rsid w:val="00447B11"/>
    <w:rsid w:val="00452493"/>
    <w:rsid w:val="00453318"/>
    <w:rsid w:val="00454E07"/>
    <w:rsid w:val="00472C5C"/>
    <w:rsid w:val="004B39D3"/>
    <w:rsid w:val="0050108D"/>
    <w:rsid w:val="00513081"/>
    <w:rsid w:val="00517901"/>
    <w:rsid w:val="00526683"/>
    <w:rsid w:val="00532882"/>
    <w:rsid w:val="0055116B"/>
    <w:rsid w:val="005709E0"/>
    <w:rsid w:val="00572E19"/>
    <w:rsid w:val="005961C8"/>
    <w:rsid w:val="005966F1"/>
    <w:rsid w:val="005B2F86"/>
    <w:rsid w:val="005D4957"/>
    <w:rsid w:val="005D7914"/>
    <w:rsid w:val="005E2B41"/>
    <w:rsid w:val="005F0B42"/>
    <w:rsid w:val="005F1707"/>
    <w:rsid w:val="00634432"/>
    <w:rsid w:val="00640F49"/>
    <w:rsid w:val="0064659B"/>
    <w:rsid w:val="006647FD"/>
    <w:rsid w:val="00681A10"/>
    <w:rsid w:val="006A16E3"/>
    <w:rsid w:val="006A1ED8"/>
    <w:rsid w:val="006C2031"/>
    <w:rsid w:val="006D461A"/>
    <w:rsid w:val="006F35EE"/>
    <w:rsid w:val="006F6B98"/>
    <w:rsid w:val="007021FF"/>
    <w:rsid w:val="00712895"/>
    <w:rsid w:val="00734ACB"/>
    <w:rsid w:val="00757357"/>
    <w:rsid w:val="00766590"/>
    <w:rsid w:val="00792497"/>
    <w:rsid w:val="00806737"/>
    <w:rsid w:val="00811570"/>
    <w:rsid w:val="008178FE"/>
    <w:rsid w:val="00825F8D"/>
    <w:rsid w:val="00834B71"/>
    <w:rsid w:val="0084021D"/>
    <w:rsid w:val="008549EE"/>
    <w:rsid w:val="0086445C"/>
    <w:rsid w:val="00881771"/>
    <w:rsid w:val="00882333"/>
    <w:rsid w:val="00894693"/>
    <w:rsid w:val="00896BA2"/>
    <w:rsid w:val="008A08D7"/>
    <w:rsid w:val="008A2A07"/>
    <w:rsid w:val="008B6909"/>
    <w:rsid w:val="008C30BC"/>
    <w:rsid w:val="008E21E0"/>
    <w:rsid w:val="00906890"/>
    <w:rsid w:val="00911BE4"/>
    <w:rsid w:val="00951972"/>
    <w:rsid w:val="009534C7"/>
    <w:rsid w:val="009608F3"/>
    <w:rsid w:val="009A24AC"/>
    <w:rsid w:val="009B4E04"/>
    <w:rsid w:val="009F1700"/>
    <w:rsid w:val="00A14DA8"/>
    <w:rsid w:val="00A21F00"/>
    <w:rsid w:val="00A312BC"/>
    <w:rsid w:val="00A37427"/>
    <w:rsid w:val="00A84021"/>
    <w:rsid w:val="00A84D35"/>
    <w:rsid w:val="00A878B6"/>
    <w:rsid w:val="00A917B3"/>
    <w:rsid w:val="00AB2DBD"/>
    <w:rsid w:val="00AB4B51"/>
    <w:rsid w:val="00AC3430"/>
    <w:rsid w:val="00AE4F11"/>
    <w:rsid w:val="00B10CC7"/>
    <w:rsid w:val="00B36DF7"/>
    <w:rsid w:val="00B520D9"/>
    <w:rsid w:val="00B539E7"/>
    <w:rsid w:val="00B62458"/>
    <w:rsid w:val="00BC18B2"/>
    <w:rsid w:val="00BD33EE"/>
    <w:rsid w:val="00BF21E1"/>
    <w:rsid w:val="00BF700F"/>
    <w:rsid w:val="00C106D6"/>
    <w:rsid w:val="00C541A5"/>
    <w:rsid w:val="00C56FC6"/>
    <w:rsid w:val="00C5775D"/>
    <w:rsid w:val="00C60F0C"/>
    <w:rsid w:val="00C80124"/>
    <w:rsid w:val="00C805C9"/>
    <w:rsid w:val="00C82ADC"/>
    <w:rsid w:val="00C92939"/>
    <w:rsid w:val="00CA1679"/>
    <w:rsid w:val="00CB151C"/>
    <w:rsid w:val="00CE5A1A"/>
    <w:rsid w:val="00CF55F6"/>
    <w:rsid w:val="00D1565E"/>
    <w:rsid w:val="00D245C7"/>
    <w:rsid w:val="00D33D63"/>
    <w:rsid w:val="00D34308"/>
    <w:rsid w:val="00D5253A"/>
    <w:rsid w:val="00D62A45"/>
    <w:rsid w:val="00D8434D"/>
    <w:rsid w:val="00D85B94"/>
    <w:rsid w:val="00D90028"/>
    <w:rsid w:val="00D90138"/>
    <w:rsid w:val="00DA2C9C"/>
    <w:rsid w:val="00DD1D1E"/>
    <w:rsid w:val="00DD44B1"/>
    <w:rsid w:val="00DD758C"/>
    <w:rsid w:val="00DD78D1"/>
    <w:rsid w:val="00DE32CD"/>
    <w:rsid w:val="00DE7456"/>
    <w:rsid w:val="00DF71B9"/>
    <w:rsid w:val="00E17124"/>
    <w:rsid w:val="00E522A4"/>
    <w:rsid w:val="00E73F76"/>
    <w:rsid w:val="00E77A26"/>
    <w:rsid w:val="00E90403"/>
    <w:rsid w:val="00EA2C9F"/>
    <w:rsid w:val="00EA420E"/>
    <w:rsid w:val="00EB0964"/>
    <w:rsid w:val="00ED0BDA"/>
    <w:rsid w:val="00EE142A"/>
    <w:rsid w:val="00EE4F1F"/>
    <w:rsid w:val="00EF1360"/>
    <w:rsid w:val="00EF3220"/>
    <w:rsid w:val="00F31787"/>
    <w:rsid w:val="00F43903"/>
    <w:rsid w:val="00F94155"/>
    <w:rsid w:val="00F9783F"/>
    <w:rsid w:val="00FA3602"/>
    <w:rsid w:val="00FD2EF7"/>
    <w:rsid w:val="00FE447E"/>
    <w:rsid w:val="00FE520E"/>
    <w:rsid w:val="00FF163D"/>
    <w:rsid w:val="00FF6182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01CD46"/>
  <w15:docId w15:val="{DE0F6B8C-BABA-4A41-ABA7-368D13AEC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052955"/>
    <w:rPr>
      <w:lang w:val="ru-RU" w:eastAsia="en-US"/>
    </w:rPr>
  </w:style>
  <w:style w:type="character" w:customStyle="1" w:styleId="H1GChar">
    <w:name w:val="_ H_1_G Char"/>
    <w:link w:val="H1G"/>
    <w:locked/>
    <w:rsid w:val="00052955"/>
    <w:rPr>
      <w:b/>
      <w:sz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E/C.12/2016/2" TargetMode="External"/><Relationship Id="rId13" Type="http://schemas.openxmlformats.org/officeDocument/2006/relationships/hyperlink" Target="https://docs.un.org/en/E/C.12/2015/1" TargetMode="External"/><Relationship Id="rId18" Type="http://schemas.openxmlformats.org/officeDocument/2006/relationships/hyperlink" Target="https://docs.un.org/en/E/C.12/2019/1" TargetMode="External"/><Relationship Id="rId3" Type="http://schemas.openxmlformats.org/officeDocument/2006/relationships/hyperlink" Target="https://docs.un.org/ru/E/C.12/2025/SR.44" TargetMode="External"/><Relationship Id="rId7" Type="http://schemas.openxmlformats.org/officeDocument/2006/relationships/hyperlink" Target="https://docs.un.org/en/E/C.12/ZWE/RQ/2" TargetMode="External"/><Relationship Id="rId12" Type="http://schemas.openxmlformats.org/officeDocument/2006/relationships/hyperlink" Target="http://undocs.org/E/C.12/2025/1" TargetMode="External"/><Relationship Id="rId17" Type="http://schemas.openxmlformats.org/officeDocument/2006/relationships/hyperlink" Target="https://docs.un.org/ru/E/C.12/2019/1" TargetMode="External"/><Relationship Id="rId2" Type="http://schemas.openxmlformats.org/officeDocument/2006/relationships/hyperlink" Target="https://docs.un.org/en/E/C.12/ZWE/2" TargetMode="External"/><Relationship Id="rId16" Type="http://schemas.openxmlformats.org/officeDocument/2006/relationships/hyperlink" Target="https://docs.un.org/en/E/C.12/2018/1" TargetMode="External"/><Relationship Id="rId20" Type="http://schemas.openxmlformats.org/officeDocument/2006/relationships/hyperlink" Target="https://docs.un.org/en/HRI/MC/2008/3" TargetMode="External"/><Relationship Id="rId1" Type="http://schemas.openxmlformats.org/officeDocument/2006/relationships/hyperlink" Target="https://docs.un.org/ru/E/C.12/ZWE/2" TargetMode="External"/><Relationship Id="rId6" Type="http://schemas.openxmlformats.org/officeDocument/2006/relationships/hyperlink" Target="https://docs.un.org/en/E/C.12/2025/SR.45" TargetMode="External"/><Relationship Id="rId11" Type="http://schemas.openxmlformats.org/officeDocument/2006/relationships/hyperlink" Target="http://undocs.org/E/C.12/2016/1" TargetMode="External"/><Relationship Id="rId5" Type="http://schemas.openxmlformats.org/officeDocument/2006/relationships/hyperlink" Target="https://docs.un.org/en/E/C.12/2025/SR.44" TargetMode="External"/><Relationship Id="rId15" Type="http://schemas.openxmlformats.org/officeDocument/2006/relationships/hyperlink" Target="https://docs.un.org/ru/E/C.12/2018/1" TargetMode="External"/><Relationship Id="rId10" Type="http://schemas.openxmlformats.org/officeDocument/2006/relationships/hyperlink" Target="https://docs.un.org/en/E/C.12/2018/1" TargetMode="External"/><Relationship Id="rId19" Type="http://schemas.openxmlformats.org/officeDocument/2006/relationships/hyperlink" Target="https://docs.un.org/ru/HRI/MC/2008/3" TargetMode="External"/><Relationship Id="rId4" Type="http://schemas.openxmlformats.org/officeDocument/2006/relationships/hyperlink" Target="https://docs.un.org/ru/E/C.12/2025/SR.45" TargetMode="External"/><Relationship Id="rId9" Type="http://schemas.openxmlformats.org/officeDocument/2006/relationships/hyperlink" Target="https://docs.un.org/ru/E/C.12/2018/1" TargetMode="External"/><Relationship Id="rId14" Type="http://schemas.openxmlformats.org/officeDocument/2006/relationships/hyperlink" Target="https://docs.un.org/en/E/C.12/2001/1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64A0F-29FC-4122-AFAB-2377C3E8282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5</TotalTime>
  <Pages>17</Pages>
  <Words>6909</Words>
  <Characters>44982</Characters>
  <Application>Microsoft Office Word</Application>
  <DocSecurity>0</DocSecurity>
  <Lines>899</Lines>
  <Paragraphs>402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51489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E/C.12/ZWE/CO/2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2025-11-20T14:36:00Z</dcterms:created>
  <dcterms:modified xsi:type="dcterms:W3CDTF">2025-11-20T14:36:00Z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