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9FB5513" w14:textId="77777777" w:rsidTr="008F3CA0">
        <w:trPr>
          <w:trHeight w:hRule="exact" w:val="851"/>
        </w:trPr>
        <w:tc>
          <w:tcPr>
            <w:tcW w:w="1276" w:type="dxa"/>
            <w:tcBorders>
              <w:bottom w:val="single" w:sz="4" w:space="0" w:color="auto"/>
            </w:tcBorders>
          </w:tcPr>
          <w:p w14:paraId="3ADF158E" w14:textId="77777777" w:rsidR="000354E9" w:rsidRPr="00DB58B5" w:rsidRDefault="000354E9" w:rsidP="009B42D7"/>
        </w:tc>
        <w:tc>
          <w:tcPr>
            <w:tcW w:w="2268" w:type="dxa"/>
            <w:tcBorders>
              <w:bottom w:val="single" w:sz="4" w:space="0" w:color="auto"/>
            </w:tcBorders>
            <w:vAlign w:val="bottom"/>
          </w:tcPr>
          <w:p w14:paraId="1B4AB23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BA4BD35" w14:textId="59E36299" w:rsidR="000354E9" w:rsidRPr="00DB58B5" w:rsidRDefault="009B42D7" w:rsidP="009B42D7">
            <w:pPr>
              <w:jc w:val="right"/>
            </w:pPr>
            <w:r w:rsidRPr="009B42D7">
              <w:rPr>
                <w:sz w:val="40"/>
              </w:rPr>
              <w:t>CRC</w:t>
            </w:r>
            <w:r>
              <w:t>/C/90/D/93/2019</w:t>
            </w:r>
          </w:p>
        </w:tc>
      </w:tr>
      <w:tr w:rsidR="000354E9" w:rsidRPr="00DB58B5" w14:paraId="19377388" w14:textId="77777777" w:rsidTr="008F3CA0">
        <w:trPr>
          <w:trHeight w:hRule="exact" w:val="2835"/>
        </w:trPr>
        <w:tc>
          <w:tcPr>
            <w:tcW w:w="1276" w:type="dxa"/>
            <w:tcBorders>
              <w:top w:val="single" w:sz="4" w:space="0" w:color="auto"/>
              <w:bottom w:val="single" w:sz="12" w:space="0" w:color="auto"/>
            </w:tcBorders>
          </w:tcPr>
          <w:p w14:paraId="59FB83EE" w14:textId="77777777" w:rsidR="000354E9" w:rsidRPr="00DB58B5" w:rsidRDefault="000354E9" w:rsidP="008F3CA0">
            <w:pPr>
              <w:spacing w:before="120"/>
              <w:jc w:val="center"/>
            </w:pPr>
            <w:r>
              <w:rPr>
                <w:noProof/>
                <w:lang w:eastAsia="fr-CH"/>
              </w:rPr>
              <w:drawing>
                <wp:inline distT="0" distB="0" distL="0" distR="0" wp14:anchorId="150A754A" wp14:editId="4D42471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012CFC" w14:textId="042CC631"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9B42D7">
              <w:rPr>
                <w:b/>
                <w:sz w:val="40"/>
                <w:szCs w:val="40"/>
              </w:rPr>
              <w:t>’</w:t>
            </w:r>
            <w:r w:rsidRPr="00262665">
              <w:rPr>
                <w:b/>
                <w:sz w:val="40"/>
                <w:szCs w:val="40"/>
              </w:rPr>
              <w:t>enfant</w:t>
            </w:r>
          </w:p>
        </w:tc>
        <w:tc>
          <w:tcPr>
            <w:tcW w:w="2835" w:type="dxa"/>
            <w:tcBorders>
              <w:top w:val="single" w:sz="4" w:space="0" w:color="auto"/>
              <w:bottom w:val="single" w:sz="12" w:space="0" w:color="auto"/>
            </w:tcBorders>
          </w:tcPr>
          <w:p w14:paraId="2A9CCE61" w14:textId="77777777" w:rsidR="000354E9" w:rsidRDefault="009B42D7" w:rsidP="008F3CA0">
            <w:pPr>
              <w:spacing w:before="240"/>
            </w:pPr>
            <w:r>
              <w:t>Distr. générale</w:t>
            </w:r>
          </w:p>
          <w:p w14:paraId="1DBBBD99" w14:textId="77777777" w:rsidR="009B42D7" w:rsidRDefault="009B42D7" w:rsidP="009B42D7">
            <w:pPr>
              <w:spacing w:line="240" w:lineRule="exact"/>
            </w:pPr>
            <w:r>
              <w:t>13 juillet 2022</w:t>
            </w:r>
          </w:p>
          <w:p w14:paraId="00D43EA8" w14:textId="77777777" w:rsidR="009B42D7" w:rsidRDefault="009B42D7" w:rsidP="009B42D7">
            <w:pPr>
              <w:spacing w:line="240" w:lineRule="exact"/>
            </w:pPr>
            <w:r>
              <w:t>Français</w:t>
            </w:r>
          </w:p>
          <w:p w14:paraId="45278C20" w14:textId="3367A590" w:rsidR="009B42D7" w:rsidRPr="00DB58B5" w:rsidRDefault="009B42D7" w:rsidP="009B42D7">
            <w:pPr>
              <w:spacing w:line="240" w:lineRule="exact"/>
            </w:pPr>
            <w:r>
              <w:t>Original : anglais</w:t>
            </w:r>
          </w:p>
        </w:tc>
      </w:tr>
    </w:tbl>
    <w:p w14:paraId="7F57DBF4" w14:textId="7B9E9BB8" w:rsidR="002D14A3" w:rsidRDefault="002D14A3" w:rsidP="002D14A3">
      <w:pPr>
        <w:spacing w:before="120"/>
        <w:rPr>
          <w:b/>
          <w:sz w:val="24"/>
          <w:szCs w:val="24"/>
        </w:rPr>
      </w:pPr>
      <w:r w:rsidRPr="00DA3BE9">
        <w:rPr>
          <w:b/>
          <w:sz w:val="24"/>
          <w:szCs w:val="24"/>
        </w:rPr>
        <w:t>Comité des droits de l</w:t>
      </w:r>
      <w:r w:rsidR="009B42D7">
        <w:rPr>
          <w:b/>
          <w:sz w:val="24"/>
          <w:szCs w:val="24"/>
        </w:rPr>
        <w:t>’</w:t>
      </w:r>
      <w:r w:rsidRPr="00DA3BE9">
        <w:rPr>
          <w:b/>
          <w:sz w:val="24"/>
          <w:szCs w:val="24"/>
        </w:rPr>
        <w:t>enfant</w:t>
      </w:r>
    </w:p>
    <w:p w14:paraId="1F667997" w14:textId="6C8D422C" w:rsidR="009B42D7" w:rsidRPr="009B42D7" w:rsidRDefault="009B42D7" w:rsidP="009B42D7">
      <w:pPr>
        <w:pStyle w:val="HChG"/>
        <w:rPr>
          <w:spacing w:val="-2"/>
          <w:lang w:val="fr-FR"/>
        </w:rPr>
      </w:pPr>
      <w:r>
        <w:rPr>
          <w:lang w:val="fr-FR"/>
        </w:rPr>
        <w:tab/>
      </w:r>
      <w:r>
        <w:rPr>
          <w:lang w:val="fr-FR"/>
        </w:rPr>
        <w:tab/>
      </w:r>
      <w:r w:rsidRPr="009B42D7">
        <w:rPr>
          <w:spacing w:val="-2"/>
          <w:lang w:val="fr-FR"/>
        </w:rPr>
        <w:t>Décision adoptée par le Comité au titre du Protocole facultatif à la Convention relative aux droits de l</w:t>
      </w:r>
      <w:r>
        <w:rPr>
          <w:spacing w:val="-2"/>
          <w:lang w:val="fr-FR"/>
        </w:rPr>
        <w:t>’</w:t>
      </w:r>
      <w:r w:rsidRPr="009B42D7">
        <w:rPr>
          <w:spacing w:val="-2"/>
          <w:lang w:val="fr-FR"/>
        </w:rPr>
        <w:t>enfant établissant une</w:t>
      </w:r>
      <w:r>
        <w:rPr>
          <w:spacing w:val="-2"/>
          <w:lang w:val="fr-FR"/>
        </w:rPr>
        <w:t> </w:t>
      </w:r>
      <w:r w:rsidRPr="009B42D7">
        <w:rPr>
          <w:spacing w:val="-2"/>
          <w:lang w:val="fr-FR"/>
        </w:rPr>
        <w:t>procédure de présentation de communications, concernant la communication n</w:t>
      </w:r>
      <w:r w:rsidRPr="009B42D7">
        <w:rPr>
          <w:spacing w:val="-2"/>
          <w:vertAlign w:val="superscript"/>
          <w:lang w:val="fr-FR"/>
        </w:rPr>
        <w:t>o</w:t>
      </w:r>
      <w:r w:rsidRPr="009B42D7">
        <w:rPr>
          <w:spacing w:val="-2"/>
          <w:lang w:val="fr-FR"/>
        </w:rPr>
        <w:t> 93/201</w:t>
      </w:r>
      <w:r w:rsidR="00BF674C">
        <w:rPr>
          <w:spacing w:val="-2"/>
          <w:lang w:val="fr-FR"/>
        </w:rPr>
        <w:t>9</w:t>
      </w:r>
      <w:r w:rsidRPr="009B42D7">
        <w:rPr>
          <w:rStyle w:val="Appelnotedebasdep"/>
          <w:b w:val="0"/>
          <w:bCs/>
          <w:spacing w:val="-2"/>
          <w:sz w:val="20"/>
          <w:vertAlign w:val="baseline"/>
        </w:rPr>
        <w:footnoteReference w:customMarkFollows="1" w:id="2"/>
        <w:t>*</w:t>
      </w:r>
      <w:r w:rsidRPr="009B42D7">
        <w:rPr>
          <w:b w:val="0"/>
          <w:bCs/>
          <w:spacing w:val="-2"/>
          <w:sz w:val="20"/>
          <w:vertAlign w:val="superscript"/>
          <w:lang w:val="fr-FR"/>
        </w:rPr>
        <w:t xml:space="preserve">, </w:t>
      </w:r>
      <w:r w:rsidRPr="009B42D7">
        <w:rPr>
          <w:rStyle w:val="Appelnotedebasdep"/>
          <w:b w:val="0"/>
          <w:bCs/>
          <w:spacing w:val="-2"/>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9B42D7" w14:paraId="481CF74E" w14:textId="77777777">
        <w:tc>
          <w:tcPr>
            <w:tcW w:w="2552" w:type="dxa"/>
          </w:tcPr>
          <w:p w14:paraId="55918530" w14:textId="77777777" w:rsidR="009B42D7" w:rsidRDefault="009B42D7">
            <w:pPr>
              <w:pStyle w:val="SingleTxtG"/>
              <w:ind w:left="0" w:right="0"/>
              <w:jc w:val="left"/>
              <w:rPr>
                <w:i/>
              </w:rPr>
            </w:pPr>
            <w:r>
              <w:rPr>
                <w:i/>
              </w:rPr>
              <w:t>Communication présentée par</w:t>
            </w:r>
            <w:r>
              <w:t> :</w:t>
            </w:r>
          </w:p>
        </w:tc>
        <w:tc>
          <w:tcPr>
            <w:tcW w:w="4253" w:type="dxa"/>
          </w:tcPr>
          <w:p w14:paraId="4AAF74B4" w14:textId="2B8414F6" w:rsidR="009B42D7" w:rsidRDefault="009B42D7">
            <w:pPr>
              <w:pStyle w:val="SingleTxtG"/>
              <w:ind w:left="0" w:right="0"/>
              <w:jc w:val="left"/>
            </w:pPr>
            <w:r>
              <w:rPr>
                <w:lang w:val="fr-FR"/>
              </w:rPr>
              <w:t>F.A. (représentée par la Ligue des droits de l’homme)</w:t>
            </w:r>
          </w:p>
        </w:tc>
      </w:tr>
      <w:tr w:rsidR="009B42D7" w14:paraId="6CD177F4" w14:textId="77777777">
        <w:tc>
          <w:tcPr>
            <w:tcW w:w="2552" w:type="dxa"/>
          </w:tcPr>
          <w:p w14:paraId="1A4843FB" w14:textId="2AA70E2A" w:rsidR="009B42D7" w:rsidRDefault="009B42D7">
            <w:pPr>
              <w:pStyle w:val="SingleTxtG"/>
              <w:ind w:left="0" w:right="0"/>
              <w:jc w:val="left"/>
              <w:rPr>
                <w:i/>
              </w:rPr>
            </w:pPr>
            <w:r w:rsidRPr="00D200DE">
              <w:rPr>
                <w:i/>
                <w:iCs/>
                <w:lang w:val="fr-FR"/>
              </w:rPr>
              <w:t>Victime(s) présumée(s)</w:t>
            </w:r>
            <w:r>
              <w:t> :</w:t>
            </w:r>
          </w:p>
        </w:tc>
        <w:tc>
          <w:tcPr>
            <w:tcW w:w="4253" w:type="dxa"/>
          </w:tcPr>
          <w:p w14:paraId="6164A316" w14:textId="7E4D2BFF" w:rsidR="009B42D7" w:rsidRDefault="009B42D7">
            <w:pPr>
              <w:pStyle w:val="SingleTxtG"/>
              <w:ind w:left="0" w:right="0"/>
              <w:jc w:val="left"/>
            </w:pPr>
            <w:r>
              <w:rPr>
                <w:lang w:val="fr-FR"/>
              </w:rPr>
              <w:t>A.R.A., S.A., M.A. et A.S.A.</w:t>
            </w:r>
          </w:p>
        </w:tc>
      </w:tr>
      <w:tr w:rsidR="009B42D7" w14:paraId="3042DD2A" w14:textId="77777777">
        <w:tc>
          <w:tcPr>
            <w:tcW w:w="2552" w:type="dxa"/>
          </w:tcPr>
          <w:p w14:paraId="3AF3BA3C" w14:textId="77777777" w:rsidR="009B42D7" w:rsidRDefault="009B42D7">
            <w:pPr>
              <w:pStyle w:val="SingleTxtG"/>
              <w:ind w:left="0" w:right="0"/>
              <w:jc w:val="left"/>
              <w:rPr>
                <w:i/>
              </w:rPr>
            </w:pPr>
            <w:r>
              <w:rPr>
                <w:i/>
              </w:rPr>
              <w:t>État partie</w:t>
            </w:r>
            <w:r>
              <w:t> :</w:t>
            </w:r>
          </w:p>
        </w:tc>
        <w:tc>
          <w:tcPr>
            <w:tcW w:w="4253" w:type="dxa"/>
          </w:tcPr>
          <w:p w14:paraId="333C6D89" w14:textId="2C39AA38" w:rsidR="009B42D7" w:rsidRDefault="009B42D7">
            <w:pPr>
              <w:pStyle w:val="SingleTxtG"/>
              <w:ind w:left="0" w:right="0"/>
              <w:jc w:val="left"/>
            </w:pPr>
            <w:r>
              <w:rPr>
                <w:lang w:val="fr-FR"/>
              </w:rPr>
              <w:t>Slovaquie</w:t>
            </w:r>
          </w:p>
        </w:tc>
      </w:tr>
      <w:tr w:rsidR="009B42D7" w14:paraId="69B2E0F5" w14:textId="77777777">
        <w:tc>
          <w:tcPr>
            <w:tcW w:w="2552" w:type="dxa"/>
          </w:tcPr>
          <w:p w14:paraId="102B572C" w14:textId="2C47500A" w:rsidR="009B42D7" w:rsidRDefault="009B42D7">
            <w:pPr>
              <w:pStyle w:val="SingleTxtG"/>
              <w:ind w:left="0" w:right="0"/>
              <w:jc w:val="left"/>
              <w:rPr>
                <w:i/>
              </w:rPr>
            </w:pPr>
            <w:r>
              <w:rPr>
                <w:i/>
              </w:rPr>
              <w:t xml:space="preserve">Date de la </w:t>
            </w:r>
            <w:r>
              <w:rPr>
                <w:i/>
                <w:iCs/>
                <w:lang w:val="fr-FR"/>
              </w:rPr>
              <w:t>communication</w:t>
            </w:r>
            <w:r>
              <w:t> :</w:t>
            </w:r>
          </w:p>
        </w:tc>
        <w:tc>
          <w:tcPr>
            <w:tcW w:w="4253" w:type="dxa"/>
          </w:tcPr>
          <w:p w14:paraId="69BBEE53" w14:textId="32D86D3D" w:rsidR="009B42D7" w:rsidRDefault="009B42D7">
            <w:pPr>
              <w:pStyle w:val="SingleTxtG"/>
              <w:ind w:left="0" w:right="0"/>
              <w:jc w:val="left"/>
            </w:pPr>
            <w:r>
              <w:rPr>
                <w:lang w:val="fr-FR"/>
              </w:rPr>
              <w:t>14 août 2019 (date de la lettre initiale)</w:t>
            </w:r>
          </w:p>
        </w:tc>
      </w:tr>
      <w:tr w:rsidR="009B42D7" w14:paraId="5ECA8568" w14:textId="77777777">
        <w:tc>
          <w:tcPr>
            <w:tcW w:w="2552" w:type="dxa"/>
          </w:tcPr>
          <w:p w14:paraId="693D39FC" w14:textId="77777777" w:rsidR="009B42D7" w:rsidRDefault="009B42D7">
            <w:pPr>
              <w:pStyle w:val="SingleTxtG"/>
              <w:ind w:left="0" w:right="0"/>
              <w:jc w:val="left"/>
            </w:pPr>
            <w:r>
              <w:rPr>
                <w:i/>
              </w:rPr>
              <w:t>Objet</w:t>
            </w:r>
            <w:r>
              <w:t> :</w:t>
            </w:r>
          </w:p>
        </w:tc>
        <w:tc>
          <w:tcPr>
            <w:tcW w:w="4253" w:type="dxa"/>
            <w:vAlign w:val="bottom"/>
          </w:tcPr>
          <w:p w14:paraId="6CE66C02" w14:textId="74FBA79B" w:rsidR="009B42D7" w:rsidRDefault="009B42D7">
            <w:pPr>
              <w:pStyle w:val="SingleTxtG"/>
              <w:ind w:left="0" w:right="0"/>
              <w:jc w:val="left"/>
            </w:pPr>
            <w:r>
              <w:rPr>
                <w:lang w:val="fr-FR"/>
              </w:rPr>
              <w:t>Expulsion vers les Pays-Bas en application du Règlement Dublin III</w:t>
            </w:r>
          </w:p>
        </w:tc>
      </w:tr>
      <w:tr w:rsidR="009B42D7" w14:paraId="2FB2803B" w14:textId="77777777">
        <w:tc>
          <w:tcPr>
            <w:tcW w:w="2552" w:type="dxa"/>
          </w:tcPr>
          <w:p w14:paraId="2DFE50A9" w14:textId="77777777" w:rsidR="009B42D7" w:rsidRDefault="009B42D7">
            <w:pPr>
              <w:pStyle w:val="SingleTxtG"/>
              <w:ind w:left="0" w:right="0"/>
              <w:jc w:val="left"/>
            </w:pPr>
            <w:r>
              <w:rPr>
                <w:i/>
              </w:rPr>
              <w:t>Questions de fond</w:t>
            </w:r>
            <w:r>
              <w:t> :</w:t>
            </w:r>
          </w:p>
        </w:tc>
        <w:tc>
          <w:tcPr>
            <w:tcW w:w="4253" w:type="dxa"/>
            <w:vAlign w:val="bottom"/>
          </w:tcPr>
          <w:p w14:paraId="106938BE" w14:textId="0F841F5D" w:rsidR="009B42D7" w:rsidRDefault="009B42D7">
            <w:pPr>
              <w:pStyle w:val="SingleTxtG"/>
              <w:ind w:left="0" w:right="0"/>
              <w:jc w:val="left"/>
            </w:pPr>
            <w:r>
              <w:rPr>
                <w:lang w:val="fr-FR"/>
              </w:rPr>
              <w:t>Non-refoulement ; droit à la vie ; intérêt supérieur de l’enfant ; torture et mauvais traitements ; immixtion dans la vie familiale ; séparation d’enfants d’avec leurs parents ; niveau de vie</w:t>
            </w:r>
          </w:p>
        </w:tc>
      </w:tr>
      <w:tr w:rsidR="009B42D7" w14:paraId="35AFF68B" w14:textId="77777777">
        <w:tc>
          <w:tcPr>
            <w:tcW w:w="2552" w:type="dxa"/>
          </w:tcPr>
          <w:p w14:paraId="6DEE1B8A" w14:textId="77777777" w:rsidR="009B42D7" w:rsidRDefault="009B42D7">
            <w:pPr>
              <w:pStyle w:val="SingleTxtG"/>
              <w:ind w:left="0" w:right="0"/>
              <w:jc w:val="left"/>
            </w:pPr>
            <w:r>
              <w:rPr>
                <w:i/>
              </w:rPr>
              <w:t>Article(s) de la Convention</w:t>
            </w:r>
            <w:r>
              <w:t> :</w:t>
            </w:r>
          </w:p>
        </w:tc>
        <w:tc>
          <w:tcPr>
            <w:tcW w:w="4253" w:type="dxa"/>
            <w:vAlign w:val="bottom"/>
          </w:tcPr>
          <w:p w14:paraId="62A3819B" w14:textId="19A1ED00" w:rsidR="009B42D7" w:rsidRDefault="009B42D7">
            <w:pPr>
              <w:pStyle w:val="SingleTxtG"/>
              <w:ind w:left="0" w:right="0"/>
              <w:jc w:val="left"/>
            </w:pPr>
            <w:r>
              <w:rPr>
                <w:lang w:val="fr-FR"/>
              </w:rPr>
              <w:t>3, 6, 9, 16, 18, 27 (par.</w:t>
            </w:r>
            <w:r w:rsidR="00BF674C">
              <w:rPr>
                <w:lang w:val="fr-FR"/>
              </w:rPr>
              <w:t> </w:t>
            </w:r>
            <w:r>
              <w:rPr>
                <w:lang w:val="fr-FR"/>
              </w:rPr>
              <w:t>1), 28 et 37</w:t>
            </w:r>
          </w:p>
        </w:tc>
      </w:tr>
    </w:tbl>
    <w:p w14:paraId="7110C013" w14:textId="7033ACD6" w:rsidR="009B42D7" w:rsidRPr="00D200DE" w:rsidRDefault="009B42D7" w:rsidP="009B42D7">
      <w:pPr>
        <w:pStyle w:val="SingleTxtG"/>
        <w:spacing w:before="240"/>
        <w:rPr>
          <w:lang w:val="fr-FR"/>
        </w:rPr>
      </w:pPr>
      <w:r>
        <w:rPr>
          <w:lang w:val="fr-FR"/>
        </w:rPr>
        <w:t>1.</w:t>
      </w:r>
      <w:r>
        <w:rPr>
          <w:lang w:val="fr-FR"/>
        </w:rPr>
        <w:tab/>
        <w:t>L’auteure de la communication est F.A., de nationalité afghane. Elle agit au nom de ses enfants, A.R.A., S.A., M.A. et A.S.A., également de nationalité afghane, qui étaient âgés de 16, 14, 9 et 2 ans au moment de la présentation de la communication. F.A. affirme que sa fille, A.S.A., serait victime d’une violation de l’article</w:t>
      </w:r>
      <w:r w:rsidR="00BF674C">
        <w:rPr>
          <w:lang w:val="fr-FR"/>
        </w:rPr>
        <w:t> </w:t>
      </w:r>
      <w:r>
        <w:rPr>
          <w:lang w:val="fr-FR"/>
        </w:rPr>
        <w:t>3, lu conjointement avec les articles</w:t>
      </w:r>
      <w:r w:rsidR="00BF674C">
        <w:rPr>
          <w:lang w:val="fr-FR"/>
        </w:rPr>
        <w:t> </w:t>
      </w:r>
      <w:r>
        <w:rPr>
          <w:lang w:val="fr-FR"/>
        </w:rPr>
        <w:t>6, 9, 16, 18, 27 (par.</w:t>
      </w:r>
      <w:r w:rsidR="00BF674C">
        <w:rPr>
          <w:lang w:val="fr-FR"/>
        </w:rPr>
        <w:t> </w:t>
      </w:r>
      <w:r>
        <w:rPr>
          <w:lang w:val="fr-FR"/>
        </w:rPr>
        <w:t>1), 28 et 37 de la Convention et que ses trois fils, A.R.A., S.A. et M.A., seraient victimes d’une violation de l’article</w:t>
      </w:r>
      <w:r w:rsidR="00BF674C">
        <w:rPr>
          <w:lang w:val="fr-FR"/>
        </w:rPr>
        <w:t> </w:t>
      </w:r>
      <w:r>
        <w:rPr>
          <w:lang w:val="fr-FR"/>
        </w:rPr>
        <w:t>4 du Protocole facultatif à la Convention relative aux droits de l’enfant, concernant l’implication d’enfants dans les conflits armés. Le</w:t>
      </w:r>
      <w:r w:rsidR="00BF674C">
        <w:rPr>
          <w:lang w:val="fr-FR"/>
        </w:rPr>
        <w:t> </w:t>
      </w:r>
      <w:r>
        <w:rPr>
          <w:lang w:val="fr-FR"/>
        </w:rPr>
        <w:t>Protocole facultatif établissant une procédure de présentation de communications est entré en vigueur pour l’État partie le 3 mars 2014.</w:t>
      </w:r>
    </w:p>
    <w:p w14:paraId="2AA59582" w14:textId="7463DDCD" w:rsidR="009B42D7" w:rsidRPr="00D200DE" w:rsidRDefault="009B42D7" w:rsidP="009B42D7">
      <w:pPr>
        <w:pStyle w:val="SingleTxtG"/>
        <w:rPr>
          <w:lang w:val="fr-FR"/>
        </w:rPr>
      </w:pPr>
      <w:r>
        <w:rPr>
          <w:lang w:val="fr-FR"/>
        </w:rPr>
        <w:t>2.</w:t>
      </w:r>
      <w:r>
        <w:rPr>
          <w:lang w:val="fr-FR"/>
        </w:rPr>
        <w:tab/>
        <w:t>Le père des enfants réside légalement dans l’État partie depuis 2010 et disposait, au moment de la présentation de la communication, d’un permis de séjour valable jusqu’en 2020. En 2016, F.A., A.R.A., S.A., M.A. et A.S.A. ont quitté l’Afghanistan car les Taliban avaient demandé à plusieurs reprises où se trouvait le père des enfants et menacé la famille de mort. L’aîné des enfants, A.R.A., craignait également d’être enlevé et enrôlé de force par les Taliban ou d’autres groupes terroristes.</w:t>
      </w:r>
    </w:p>
    <w:p w14:paraId="2D6578C4" w14:textId="1C46C9BD" w:rsidR="009B42D7" w:rsidRPr="00D200DE" w:rsidRDefault="009B42D7" w:rsidP="009B42D7">
      <w:pPr>
        <w:pStyle w:val="SingleTxtG"/>
        <w:rPr>
          <w:lang w:val="fr-FR"/>
        </w:rPr>
      </w:pPr>
      <w:r>
        <w:rPr>
          <w:lang w:val="fr-FR"/>
        </w:rPr>
        <w:lastRenderedPageBreak/>
        <w:t>3.</w:t>
      </w:r>
      <w:r>
        <w:rPr>
          <w:lang w:val="fr-FR"/>
        </w:rPr>
        <w:tab/>
        <w:t>Le 6 septembre 2018, F.A., A.R.A., S.A., M.A. et A.S.A. ont demandé l’asile dans l’État partie. Le 24 octobre 2018, l’Office des migrations a rejeté leur demande d’asile au motif qu’elle était irrecevable en application du Règlement Dublin III et a ordonné leur expulsion vers les Pays-Bas. F.A. a fait appel de cette décision auprès du tribunal régional de Košice qui, le 14 février 2019, a annulé la décision de l’Office des migrations. Le 14 juin 2019, l’Office des migrations a de nouveau rejeté la demande. La famille a déposé une demande d’effet suspensif des mesures d’expulsion auprès du tribunal régional de Bratislava, qui a rejeté leur demande le 1</w:t>
      </w:r>
      <w:r w:rsidRPr="007F0C03">
        <w:rPr>
          <w:vertAlign w:val="superscript"/>
          <w:lang w:val="fr-FR"/>
        </w:rPr>
        <w:t>er</w:t>
      </w:r>
      <w:r w:rsidR="009F4463">
        <w:rPr>
          <w:lang w:val="fr-FR"/>
        </w:rPr>
        <w:t> </w:t>
      </w:r>
      <w:r>
        <w:rPr>
          <w:lang w:val="fr-FR"/>
        </w:rPr>
        <w:t>août 2019 en ce qui concerne A.R.A., et le 7</w:t>
      </w:r>
      <w:r w:rsidR="009F4463">
        <w:rPr>
          <w:lang w:val="fr-FR"/>
        </w:rPr>
        <w:t> </w:t>
      </w:r>
      <w:r>
        <w:rPr>
          <w:lang w:val="fr-FR"/>
        </w:rPr>
        <w:t xml:space="preserve">août 2019 en ce qui concerne F.A., S.A., M.A. et A.S.A.. </w:t>
      </w:r>
    </w:p>
    <w:p w14:paraId="28D6B732" w14:textId="4039E5FF" w:rsidR="009B42D7" w:rsidRPr="00D200DE" w:rsidRDefault="009B42D7" w:rsidP="009B42D7">
      <w:pPr>
        <w:pStyle w:val="SingleTxtG"/>
        <w:rPr>
          <w:lang w:val="fr-FR"/>
        </w:rPr>
      </w:pPr>
      <w:r>
        <w:rPr>
          <w:lang w:val="fr-FR"/>
        </w:rPr>
        <w:t>4.</w:t>
      </w:r>
      <w:r>
        <w:rPr>
          <w:lang w:val="fr-FR"/>
        </w:rPr>
        <w:tab/>
        <w:t>L’auteure affirme que, s’ils étaient expulsés vers les Pays-Bas, A.R.A., S.A., M.A. et A.S.A. risqueraient d’être séparés de leur père et d’être soumis à un refoulement en chaîne vers l’Afghanistan, étant donné que les Pays-Bas ont déjà rejeté leur demande d’asile et la sienne.</w:t>
      </w:r>
    </w:p>
    <w:p w14:paraId="503EB149" w14:textId="19A23D64" w:rsidR="009B42D7" w:rsidRPr="00D200DE" w:rsidRDefault="009B42D7" w:rsidP="009B42D7">
      <w:pPr>
        <w:pStyle w:val="SingleTxtG"/>
        <w:rPr>
          <w:lang w:val="fr-FR"/>
        </w:rPr>
      </w:pPr>
      <w:r>
        <w:rPr>
          <w:lang w:val="fr-FR"/>
        </w:rPr>
        <w:t>5.</w:t>
      </w:r>
      <w:r>
        <w:rPr>
          <w:lang w:val="fr-FR"/>
        </w:rPr>
        <w:tab/>
        <w:t>Le 19 août 2019, le Groupe de travail des communications, agissant au nom du Comité et se fondant sur l’article 6 du Protocole facultatif, a demandé à l’État partie de prendre des mesures provisoires tendant à suspendre l’exécution de la décision d’expulsion de F.A., A.R.A., S.A., M.A. et A.S.A. tant que la communication serait à l’examen.</w:t>
      </w:r>
    </w:p>
    <w:p w14:paraId="1024193C" w14:textId="22A5198C" w:rsidR="009B42D7" w:rsidRPr="00D200DE" w:rsidRDefault="009B42D7" w:rsidP="009B42D7">
      <w:pPr>
        <w:pStyle w:val="SingleTxtG"/>
        <w:rPr>
          <w:lang w:val="fr-FR"/>
        </w:rPr>
      </w:pPr>
      <w:r>
        <w:rPr>
          <w:lang w:val="fr-FR"/>
        </w:rPr>
        <w:t>6.</w:t>
      </w:r>
      <w:r>
        <w:rPr>
          <w:lang w:val="fr-FR"/>
        </w:rPr>
        <w:tab/>
        <w:t>Le 18</w:t>
      </w:r>
      <w:r w:rsidR="007045BC">
        <w:rPr>
          <w:lang w:val="fr-FR"/>
        </w:rPr>
        <w:t> </w:t>
      </w:r>
      <w:r>
        <w:rPr>
          <w:lang w:val="fr-FR"/>
        </w:rPr>
        <w:t>octobre 2019, l’État partie a présenté ses observations sur la recevabilité de la communication, en demandant que la question de la recevabilité soit examinée séparément du fond. Le 17</w:t>
      </w:r>
      <w:r w:rsidR="009F4463">
        <w:rPr>
          <w:lang w:val="fr-FR"/>
        </w:rPr>
        <w:t> </w:t>
      </w:r>
      <w:r>
        <w:rPr>
          <w:lang w:val="fr-FR"/>
        </w:rPr>
        <w:t>novembre 2019, l’auteure a soumis ses commentaires sur les observations de l’État partie. Le 25</w:t>
      </w:r>
      <w:r w:rsidR="009F4463">
        <w:rPr>
          <w:lang w:val="fr-FR"/>
        </w:rPr>
        <w:t> </w:t>
      </w:r>
      <w:r>
        <w:rPr>
          <w:lang w:val="fr-FR"/>
        </w:rPr>
        <w:t>novembre 2019, le Comité a rejeté la demande de l’État partie tendant à ce que la recevabilité de la communication soit examinée séparément du fond. Le 19</w:t>
      </w:r>
      <w:r w:rsidR="007045BC">
        <w:rPr>
          <w:lang w:val="fr-FR"/>
        </w:rPr>
        <w:t> </w:t>
      </w:r>
      <w:r>
        <w:rPr>
          <w:lang w:val="fr-FR"/>
        </w:rPr>
        <w:t>mai 2020, l’État partie a indiqué qu’une procédure d’asile avait été engagée en faveur de F.A., A.R.A., S.A., M.A. et A.S.A. Le 8</w:t>
      </w:r>
      <w:r w:rsidR="009F4463">
        <w:rPr>
          <w:lang w:val="fr-FR"/>
        </w:rPr>
        <w:t> </w:t>
      </w:r>
      <w:r>
        <w:rPr>
          <w:lang w:val="fr-FR"/>
        </w:rPr>
        <w:t>décembre 2021, il a signalé qu’une protection internationale leur avait été accordée et a demandé qu’il soit mis fin à l’examen de la communication. Le 12</w:t>
      </w:r>
      <w:r w:rsidR="009F4463">
        <w:rPr>
          <w:lang w:val="fr-FR"/>
        </w:rPr>
        <w:t> </w:t>
      </w:r>
      <w:r>
        <w:rPr>
          <w:lang w:val="fr-FR"/>
        </w:rPr>
        <w:t xml:space="preserve">janvier 2022, l’auteure a accepté qu’il soit mis fin à l’examen de la communication. </w:t>
      </w:r>
    </w:p>
    <w:p w14:paraId="433BFC5C" w14:textId="7014D703" w:rsidR="007341B7" w:rsidRDefault="009B42D7" w:rsidP="009B42D7">
      <w:pPr>
        <w:pStyle w:val="SingleTxtG"/>
        <w:rPr>
          <w:lang w:val="fr-FR"/>
        </w:rPr>
      </w:pPr>
      <w:r>
        <w:rPr>
          <w:lang w:val="fr-FR"/>
        </w:rPr>
        <w:t>7.</w:t>
      </w:r>
      <w:r>
        <w:rPr>
          <w:lang w:val="fr-FR"/>
        </w:rPr>
        <w:tab/>
        <w:t>Ayant été informé que l’État partie avait accordé une protection internationale à F.A., A.R.A., S.A., M.A. et A.S.A., le Comité décide de mettre fin à l’examen de la communication n</w:t>
      </w:r>
      <w:r w:rsidR="009F4463">
        <w:rPr>
          <w:vertAlign w:val="superscript"/>
          <w:lang w:val="fr-FR"/>
        </w:rPr>
        <w:t>o</w:t>
      </w:r>
      <w:r w:rsidR="009F4463" w:rsidRPr="009F4463">
        <w:rPr>
          <w:lang w:val="fr-FR"/>
        </w:rPr>
        <w:t> </w:t>
      </w:r>
      <w:r>
        <w:rPr>
          <w:lang w:val="fr-FR"/>
        </w:rPr>
        <w:t>93/2019, au motif qu’elle est devenue sans objet, conformément à l’article</w:t>
      </w:r>
      <w:r w:rsidR="009F4463">
        <w:rPr>
          <w:lang w:val="fr-FR"/>
        </w:rPr>
        <w:t> </w:t>
      </w:r>
      <w:r>
        <w:rPr>
          <w:lang w:val="fr-FR"/>
        </w:rPr>
        <w:t>26 de son règlement intérieur relatif au Protocole facultatif concernant une procédure de communication.</w:t>
      </w:r>
    </w:p>
    <w:p w14:paraId="77A60BCF" w14:textId="3820091F" w:rsidR="009B42D7" w:rsidRPr="009B42D7" w:rsidRDefault="009B42D7" w:rsidP="009B42D7">
      <w:pPr>
        <w:pStyle w:val="SingleTxtG"/>
        <w:spacing w:before="240" w:after="0"/>
        <w:jc w:val="center"/>
        <w:rPr>
          <w:u w:val="single"/>
        </w:rPr>
      </w:pPr>
      <w:r>
        <w:rPr>
          <w:u w:val="single"/>
        </w:rPr>
        <w:tab/>
      </w:r>
      <w:r>
        <w:rPr>
          <w:u w:val="single"/>
        </w:rPr>
        <w:tab/>
      </w:r>
      <w:r>
        <w:rPr>
          <w:u w:val="single"/>
        </w:rPr>
        <w:tab/>
      </w:r>
    </w:p>
    <w:sectPr w:rsidR="009B42D7" w:rsidRPr="009B42D7" w:rsidSect="009B42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86D96" w14:textId="77777777" w:rsidR="00E9524B" w:rsidRDefault="00E9524B" w:rsidP="00F95C08">
      <w:pPr>
        <w:spacing w:line="240" w:lineRule="auto"/>
      </w:pPr>
    </w:p>
  </w:endnote>
  <w:endnote w:type="continuationSeparator" w:id="0">
    <w:p w14:paraId="58E175C7" w14:textId="77777777" w:rsidR="00E9524B" w:rsidRPr="00AC3823" w:rsidRDefault="00E9524B" w:rsidP="00AC3823">
      <w:pPr>
        <w:pStyle w:val="Pieddepage"/>
      </w:pPr>
    </w:p>
  </w:endnote>
  <w:endnote w:type="continuationNotice" w:id="1">
    <w:p w14:paraId="5560CFF4" w14:textId="77777777" w:rsidR="00E9524B" w:rsidRDefault="00E952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489B3" w14:textId="466CFC1D" w:rsidR="009B42D7" w:rsidRPr="009B42D7" w:rsidRDefault="009B42D7" w:rsidP="009B42D7">
    <w:pPr>
      <w:pStyle w:val="Pieddepage"/>
      <w:tabs>
        <w:tab w:val="right" w:pos="9638"/>
      </w:tabs>
    </w:pPr>
    <w:r w:rsidRPr="009B42D7">
      <w:rPr>
        <w:b/>
        <w:sz w:val="18"/>
      </w:rPr>
      <w:fldChar w:fldCharType="begin"/>
    </w:r>
    <w:r w:rsidRPr="009B42D7">
      <w:rPr>
        <w:b/>
        <w:sz w:val="18"/>
      </w:rPr>
      <w:instrText xml:space="preserve"> PAGE  \* MERGEFORMAT </w:instrText>
    </w:r>
    <w:r w:rsidRPr="009B42D7">
      <w:rPr>
        <w:b/>
        <w:sz w:val="18"/>
      </w:rPr>
      <w:fldChar w:fldCharType="separate"/>
    </w:r>
    <w:r w:rsidRPr="009B42D7">
      <w:rPr>
        <w:b/>
        <w:noProof/>
        <w:sz w:val="18"/>
      </w:rPr>
      <w:t>2</w:t>
    </w:r>
    <w:r w:rsidRPr="009B42D7">
      <w:rPr>
        <w:b/>
        <w:sz w:val="18"/>
      </w:rPr>
      <w:fldChar w:fldCharType="end"/>
    </w:r>
    <w:r>
      <w:rPr>
        <w:b/>
        <w:sz w:val="18"/>
      </w:rPr>
      <w:tab/>
    </w:r>
    <w:r>
      <w:t>GE.22-11016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D116F" w14:textId="5EB199EA" w:rsidR="009B42D7" w:rsidRPr="009B42D7" w:rsidRDefault="009B42D7" w:rsidP="009B42D7">
    <w:pPr>
      <w:pStyle w:val="Pieddepage"/>
      <w:tabs>
        <w:tab w:val="right" w:pos="9638"/>
      </w:tabs>
      <w:rPr>
        <w:b/>
        <w:sz w:val="18"/>
      </w:rPr>
    </w:pPr>
    <w:r>
      <w:t>GE.22-11016</w:t>
    </w:r>
    <w:r>
      <w:tab/>
    </w:r>
    <w:r w:rsidRPr="009B42D7">
      <w:rPr>
        <w:b/>
        <w:sz w:val="18"/>
      </w:rPr>
      <w:fldChar w:fldCharType="begin"/>
    </w:r>
    <w:r w:rsidRPr="009B42D7">
      <w:rPr>
        <w:b/>
        <w:sz w:val="18"/>
      </w:rPr>
      <w:instrText xml:space="preserve"> PAGE  \* MERGEFORMAT </w:instrText>
    </w:r>
    <w:r w:rsidRPr="009B42D7">
      <w:rPr>
        <w:b/>
        <w:sz w:val="18"/>
      </w:rPr>
      <w:fldChar w:fldCharType="separate"/>
    </w:r>
    <w:r w:rsidRPr="009B42D7">
      <w:rPr>
        <w:b/>
        <w:noProof/>
        <w:sz w:val="18"/>
      </w:rPr>
      <w:t>3</w:t>
    </w:r>
    <w:r w:rsidRPr="009B42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758FD" w14:textId="43D7DE0B" w:rsidR="002D14A3" w:rsidRPr="009B42D7" w:rsidRDefault="009B42D7" w:rsidP="009B42D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E02011F" wp14:editId="0A8B372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22-11016  (F)</w:t>
    </w:r>
    <w:r>
      <w:rPr>
        <w:noProof/>
        <w:sz w:val="20"/>
      </w:rPr>
      <w:drawing>
        <wp:anchor distT="0" distB="0" distL="114300" distR="114300" simplePos="0" relativeHeight="251660288" behindDoc="0" locked="0" layoutInCell="1" allowOverlap="1" wp14:anchorId="401F6FBC" wp14:editId="0FF88E3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150822    160822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E0178" w14:textId="77777777" w:rsidR="00E9524B" w:rsidRPr="00AC3823" w:rsidRDefault="00E9524B" w:rsidP="00AC3823">
      <w:pPr>
        <w:pStyle w:val="Pieddepage"/>
        <w:tabs>
          <w:tab w:val="right" w:pos="2155"/>
        </w:tabs>
        <w:spacing w:after="80" w:line="240" w:lineRule="atLeast"/>
        <w:ind w:left="680"/>
        <w:rPr>
          <w:u w:val="single"/>
        </w:rPr>
      </w:pPr>
      <w:r>
        <w:rPr>
          <w:u w:val="single"/>
        </w:rPr>
        <w:tab/>
      </w:r>
    </w:p>
  </w:footnote>
  <w:footnote w:type="continuationSeparator" w:id="0">
    <w:p w14:paraId="542EB8D7" w14:textId="77777777" w:rsidR="00E9524B" w:rsidRPr="00AC3823" w:rsidRDefault="00E9524B" w:rsidP="00AC3823">
      <w:pPr>
        <w:pStyle w:val="Pieddepage"/>
        <w:tabs>
          <w:tab w:val="right" w:pos="2155"/>
        </w:tabs>
        <w:spacing w:after="80" w:line="240" w:lineRule="atLeast"/>
        <w:ind w:left="680"/>
        <w:rPr>
          <w:u w:val="single"/>
        </w:rPr>
      </w:pPr>
      <w:r>
        <w:rPr>
          <w:u w:val="single"/>
        </w:rPr>
        <w:tab/>
      </w:r>
    </w:p>
  </w:footnote>
  <w:footnote w:type="continuationNotice" w:id="1">
    <w:p w14:paraId="0C48DBCF" w14:textId="77777777" w:rsidR="00E9524B" w:rsidRPr="00AC3823" w:rsidRDefault="00E9524B">
      <w:pPr>
        <w:spacing w:line="240" w:lineRule="auto"/>
        <w:rPr>
          <w:sz w:val="2"/>
          <w:szCs w:val="2"/>
        </w:rPr>
      </w:pPr>
    </w:p>
  </w:footnote>
  <w:footnote w:id="2">
    <w:p w14:paraId="59ACB213" w14:textId="780A370C" w:rsidR="009B42D7" w:rsidRPr="009B42D7" w:rsidRDefault="009B42D7">
      <w:pPr>
        <w:pStyle w:val="Notedebasdepage"/>
      </w:pPr>
      <w:r>
        <w:rPr>
          <w:rStyle w:val="Appelnotedebasdep"/>
        </w:rPr>
        <w:tab/>
      </w:r>
      <w:r w:rsidRPr="009B42D7">
        <w:rPr>
          <w:rStyle w:val="Appelnotedebasdep"/>
          <w:sz w:val="20"/>
          <w:vertAlign w:val="baseline"/>
        </w:rPr>
        <w:t>*</w:t>
      </w:r>
      <w:r>
        <w:rPr>
          <w:rStyle w:val="Appelnotedebasdep"/>
          <w:sz w:val="20"/>
          <w:vertAlign w:val="baseline"/>
        </w:rPr>
        <w:tab/>
      </w:r>
      <w:r>
        <w:rPr>
          <w:lang w:val="fr-FR"/>
        </w:rPr>
        <w:t>Adoptée par le Comité à sa quatre-vingt-dixième session (3 mai-3 juin 2022).</w:t>
      </w:r>
    </w:p>
  </w:footnote>
  <w:footnote w:id="3">
    <w:p w14:paraId="5C61FD5B" w14:textId="3C1D6040" w:rsidR="009B42D7" w:rsidRPr="009B42D7" w:rsidRDefault="009B42D7">
      <w:pPr>
        <w:pStyle w:val="Notedebasdepage"/>
      </w:pPr>
      <w:r>
        <w:rPr>
          <w:rStyle w:val="Appelnotedebasdep"/>
        </w:rPr>
        <w:tab/>
      </w:r>
      <w:r w:rsidRPr="009B42D7">
        <w:rPr>
          <w:rStyle w:val="Appelnotedebasdep"/>
          <w:sz w:val="20"/>
          <w:vertAlign w:val="baseline"/>
        </w:rPr>
        <w:t>**</w:t>
      </w:r>
      <w:r>
        <w:rPr>
          <w:rStyle w:val="Appelnotedebasdep"/>
          <w:sz w:val="20"/>
          <w:vertAlign w:val="baseline"/>
        </w:rPr>
        <w:tab/>
      </w:r>
      <w:r>
        <w:rPr>
          <w:lang w:val="fr-FR"/>
        </w:rPr>
        <w:t>Les membres du Comité dont le nom suit ont participé à l’examen de la communication : Suzanne</w:t>
      </w:r>
      <w:r w:rsidR="00BF674C">
        <w:rPr>
          <w:lang w:val="fr-FR"/>
        </w:rPr>
        <w:t> </w:t>
      </w:r>
      <w:r>
        <w:rPr>
          <w:lang w:val="fr-FR"/>
        </w:rPr>
        <w:t>Aho, Aïssatou Alassane Moulaye Sidikou, Hynd Ayoubi Idrissi, Bragi Gudbrandsson, Philip Jaffé, Sopio Kiladze, Gehad Madi, Faith Marshall-Harris, Benyam Dawit Mezmur, Clarence Nelson, Otani Mikiko, Luis Ernesto Pedernera Reyna, José Ángel Rodríguez Reyes, Ann Skelton, Velina Todorova, Benoit Van Keirsbilck et Ratou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07333" w14:textId="5A8535FE" w:rsidR="009B42D7" w:rsidRPr="009B42D7" w:rsidRDefault="00FE74F1">
    <w:pPr>
      <w:pStyle w:val="En-tte"/>
    </w:pPr>
    <w:r>
      <w:fldChar w:fldCharType="begin"/>
    </w:r>
    <w:r>
      <w:instrText xml:space="preserve"> TITLE  \* MERGEFORMAT </w:instrText>
    </w:r>
    <w:r>
      <w:fldChar w:fldCharType="separate"/>
    </w:r>
    <w:r w:rsidR="0074092B">
      <w:t>CRC/C/90/D/93/2019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F90A2" w14:textId="03652DCB" w:rsidR="009B42D7" w:rsidRPr="009B42D7" w:rsidRDefault="00FE74F1" w:rsidP="009B42D7">
    <w:pPr>
      <w:pStyle w:val="En-tte"/>
      <w:jc w:val="right"/>
    </w:pPr>
    <w:r>
      <w:fldChar w:fldCharType="begin"/>
    </w:r>
    <w:r>
      <w:instrText xml:space="preserve"> TITLE  \* MERGEFORMAT </w:instrText>
    </w:r>
    <w:r>
      <w:fldChar w:fldCharType="separate"/>
    </w:r>
    <w:r w:rsidR="0074092B">
      <w:t>CRC/C/90/D/93/2019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87737813">
    <w:abstractNumId w:val="12"/>
  </w:num>
  <w:num w:numId="2" w16cid:durableId="1469981473">
    <w:abstractNumId w:val="11"/>
  </w:num>
  <w:num w:numId="3" w16cid:durableId="252276807">
    <w:abstractNumId w:val="10"/>
  </w:num>
  <w:num w:numId="4" w16cid:durableId="1405180764">
    <w:abstractNumId w:val="8"/>
  </w:num>
  <w:num w:numId="5" w16cid:durableId="2129355550">
    <w:abstractNumId w:val="3"/>
  </w:num>
  <w:num w:numId="6" w16cid:durableId="1257713354">
    <w:abstractNumId w:val="2"/>
  </w:num>
  <w:num w:numId="7" w16cid:durableId="1965192302">
    <w:abstractNumId w:val="1"/>
  </w:num>
  <w:num w:numId="8" w16cid:durableId="1622540401">
    <w:abstractNumId w:val="0"/>
  </w:num>
  <w:num w:numId="9" w16cid:durableId="1540818870">
    <w:abstractNumId w:val="9"/>
  </w:num>
  <w:num w:numId="10" w16cid:durableId="383868793">
    <w:abstractNumId w:val="7"/>
  </w:num>
  <w:num w:numId="11" w16cid:durableId="1154566374">
    <w:abstractNumId w:val="6"/>
  </w:num>
  <w:num w:numId="12" w16cid:durableId="533033168">
    <w:abstractNumId w:val="5"/>
  </w:num>
  <w:num w:numId="13" w16cid:durableId="207373462">
    <w:abstractNumId w:val="4"/>
  </w:num>
  <w:num w:numId="14" w16cid:durableId="976226193">
    <w:abstractNumId w:val="12"/>
  </w:num>
  <w:num w:numId="15" w16cid:durableId="1887797201">
    <w:abstractNumId w:val="11"/>
  </w:num>
  <w:num w:numId="16" w16cid:durableId="529492104">
    <w:abstractNumId w:val="10"/>
  </w:num>
  <w:num w:numId="17" w16cid:durableId="681785975">
    <w:abstractNumId w:val="12"/>
  </w:num>
  <w:num w:numId="18" w16cid:durableId="1744255781">
    <w:abstractNumId w:val="11"/>
  </w:num>
  <w:num w:numId="19" w16cid:durableId="6624385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24B"/>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612A1A"/>
    <w:rsid w:val="007045BC"/>
    <w:rsid w:val="0071601D"/>
    <w:rsid w:val="007341B7"/>
    <w:rsid w:val="0074092B"/>
    <w:rsid w:val="00760CBC"/>
    <w:rsid w:val="007A62E6"/>
    <w:rsid w:val="007F61AD"/>
    <w:rsid w:val="0080684C"/>
    <w:rsid w:val="00840413"/>
    <w:rsid w:val="00871C75"/>
    <w:rsid w:val="008776DC"/>
    <w:rsid w:val="008C54BD"/>
    <w:rsid w:val="008F3CA0"/>
    <w:rsid w:val="009705C8"/>
    <w:rsid w:val="009B42D7"/>
    <w:rsid w:val="009F4463"/>
    <w:rsid w:val="00A30353"/>
    <w:rsid w:val="00AC3823"/>
    <w:rsid w:val="00AE323C"/>
    <w:rsid w:val="00B00181"/>
    <w:rsid w:val="00B24A9B"/>
    <w:rsid w:val="00B765F7"/>
    <w:rsid w:val="00BA0CA9"/>
    <w:rsid w:val="00BF52F9"/>
    <w:rsid w:val="00BF674C"/>
    <w:rsid w:val="00C02897"/>
    <w:rsid w:val="00D3439C"/>
    <w:rsid w:val="00DB1831"/>
    <w:rsid w:val="00DD3BFD"/>
    <w:rsid w:val="00DF6678"/>
    <w:rsid w:val="00E56F78"/>
    <w:rsid w:val="00E9524B"/>
    <w:rsid w:val="00F660DF"/>
    <w:rsid w:val="00F95C08"/>
    <w:rsid w:val="00FE74F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AAEBC"/>
  <w15:docId w15:val="{C1DAC73A-F6AB-4080-9D0C-DC040B509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B42D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724</Words>
  <Characters>4129</Characters>
  <Application>Microsoft Office Word</Application>
  <DocSecurity>0</DocSecurity>
  <Lines>34</Lines>
  <Paragraphs>9</Paragraphs>
  <ScaleCrop>false</ScaleCrop>
  <HeadingPairs>
    <vt:vector size="2" baseType="variant">
      <vt:variant>
        <vt:lpstr>Titre</vt:lpstr>
      </vt:variant>
      <vt:variant>
        <vt:i4>1</vt:i4>
      </vt:variant>
    </vt:vector>
  </HeadingPairs>
  <TitlesOfParts>
    <vt:vector size="1" baseType="lpstr">
      <vt:lpstr>CRC/C/90/D/93/2019</vt:lpstr>
    </vt:vector>
  </TitlesOfParts>
  <Company>DCM</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CRC/C/90/D/93/2019</dc:title>
  <dc:subject/>
  <dc:creator>Julien OKRZESIK</dc:creator>
  <cp:keywords/>
  <cp:lastModifiedBy>Julien Okrzesik</cp:lastModifiedBy>
  <cp:revision>3</cp:revision>
  <cp:lastPrinted>2022-08-16T07:00:00Z</cp:lastPrinted>
  <dcterms:created xsi:type="dcterms:W3CDTF">2022-08-16T07:00:00Z</dcterms:created>
  <dcterms:modified xsi:type="dcterms:W3CDTF">2022-08-16T07:31:00Z</dcterms:modified>
</cp:coreProperties>
</file>