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642-м заседании,</w:t>
      </w:r>
    </w:p>
    <w:p w:rsidR="00000000" w:rsidRDefault="00000000">
      <w:r>
        <w:t>состоявшемся в Центральных учреждениях, Нью-Йорк, в четверг, 22 января 2004 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г-жа Ачар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Сводные первоначальный и второй периодические доклады Кувейта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20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Сводные первоначальный и второй периодические доклады Кувейта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(CEDAW/C/KWT/1–2)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Кувейта зан</w:t>
      </w:r>
      <w:r>
        <w:t>и</w:t>
      </w:r>
      <w:r>
        <w:t>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Назар</w:t>
      </w:r>
      <w:r>
        <w:t xml:space="preserve"> (Кувейт), отвечая на вопрос об издании и распространении текста Конвенции, г</w:t>
      </w:r>
      <w:r>
        <w:t>о</w:t>
      </w:r>
      <w:r>
        <w:t>ворит, что о присоединении Кувейта к Конвенции сообщалось в официальном вестнике согласно ук</w:t>
      </w:r>
      <w:r>
        <w:t>а</w:t>
      </w:r>
      <w:r>
        <w:t>зу № 24 от 17 января 1994 года и что вестник был широко распространен среди государственных у</w:t>
      </w:r>
      <w:r>
        <w:t>ч</w:t>
      </w:r>
      <w:r>
        <w:t>реждений и библиотек для использования широкой общественностью.</w:t>
      </w:r>
    </w:p>
    <w:p w:rsidR="00000000" w:rsidRDefault="00000000">
      <w:pPr>
        <w:pStyle w:val="DualTxt"/>
      </w:pPr>
      <w:r>
        <w:t>3.</w:t>
      </w:r>
      <w:r>
        <w:tab/>
        <w:t>Оговорка Кувейта к статье 7(a) о праве голос</w:t>
      </w:r>
      <w:r>
        <w:t>о</w:t>
      </w:r>
      <w:r>
        <w:t>вать и избираться основана на том факте, что с</w:t>
      </w:r>
      <w:r>
        <w:t>о</w:t>
      </w:r>
      <w:r>
        <w:t>гласно закону № 35 1962 года с внесенными в него поправками в настоящий момент такое право имеют лишь кувейтские мужчины. Правительство намер</w:t>
      </w:r>
      <w:r>
        <w:t>е</w:t>
      </w:r>
      <w:r>
        <w:t>но снять свою оговорку к статье 7(a), как только примет новый закон, наделяющий женщин таким правом. Кроме того, оговорка к статье 9 Конвенции касается пункта 2 этой статьи и сделана в связи с тем, что соответствующее положение противоречит закону № 15 1959 года с внесенными в него попра</w:t>
      </w:r>
      <w:r>
        <w:t>в</w:t>
      </w:r>
      <w:r>
        <w:t>ками, который регулирует вопросы гражданства. Дети кувейтских женщин, состоящих в браке с ин</w:t>
      </w:r>
      <w:r>
        <w:t>о</w:t>
      </w:r>
      <w:r>
        <w:t>странцами, получают гражданство Кувейта лишь при особых обстоятельс</w:t>
      </w:r>
      <w:r>
        <w:t>т</w:t>
      </w:r>
      <w:r>
        <w:t>вах.</w:t>
      </w:r>
    </w:p>
    <w:p w:rsidR="00000000" w:rsidRDefault="00000000">
      <w:pPr>
        <w:pStyle w:val="DualTxt"/>
      </w:pPr>
      <w:r>
        <w:t>4.</w:t>
      </w:r>
      <w:r>
        <w:tab/>
        <w:t>В отношении оговорки Кувейта к статье 16(f) она говорит, что в Кувейте опекунство регулируется гражданским правом и законодательством, опред</w:t>
      </w:r>
      <w:r>
        <w:t>е</w:t>
      </w:r>
      <w:r>
        <w:t>ляющим права отдельных лиц на основе исламского шариата, которые не допускают систему усыновл</w:t>
      </w:r>
      <w:r>
        <w:t>е</w:t>
      </w:r>
      <w:r>
        <w:t>ния, предусмотренную стат</w:t>
      </w:r>
      <w:r>
        <w:t>ь</w:t>
      </w:r>
      <w:r>
        <w:t>ей 16 Конвенции.</w:t>
      </w:r>
    </w:p>
    <w:p w:rsidR="00000000" w:rsidRDefault="00000000">
      <w:pPr>
        <w:pStyle w:val="DualTxt"/>
      </w:pPr>
      <w:r>
        <w:t>5.</w:t>
      </w:r>
      <w:r>
        <w:tab/>
        <w:t>Со ссылкой на предложение Комитета в отн</w:t>
      </w:r>
      <w:r>
        <w:t>о</w:t>
      </w:r>
      <w:r>
        <w:t>шении снятия оговорок Кувейта она отмечает, что в соответствии с международным договорным правом государства-участники могут делать оговорки при присоединении к международным документам, за исключением тех случаев, когда документы соде</w:t>
      </w:r>
      <w:r>
        <w:t>р</w:t>
      </w:r>
      <w:r>
        <w:t>жат положения об обратном. Она кратко описывает процесс, на основе которого договора включаются во внутренние законодательства после их принятия согласно указу и опубликования в официальных в</w:t>
      </w:r>
      <w:r>
        <w:t>е</w:t>
      </w:r>
      <w:r>
        <w:t>дом</w:t>
      </w:r>
      <w:r>
        <w:t>о</w:t>
      </w:r>
      <w:r>
        <w:t>стях.</w:t>
      </w:r>
    </w:p>
    <w:p w:rsidR="00000000" w:rsidRDefault="00000000">
      <w:pPr>
        <w:pStyle w:val="DualTxt"/>
      </w:pPr>
      <w:r>
        <w:t>6.</w:t>
      </w:r>
      <w:r>
        <w:tab/>
        <w:t>Согласно министерству образования, системой образования, начиная от детского сада до старших классов средней школы, охвачено в общей сложн</w:t>
      </w:r>
      <w:r>
        <w:t>о</w:t>
      </w:r>
      <w:r>
        <w:t>сти 19 504 девочки и женщины, не имеющие гра</w:t>
      </w:r>
      <w:r>
        <w:t>ж</w:t>
      </w:r>
      <w:r>
        <w:t>данства Кувейта. Что касается защиты иностранных граждан в соответствии с Конституцией, она зав</w:t>
      </w:r>
      <w:r>
        <w:t>е</w:t>
      </w:r>
      <w:r>
        <w:t>ряет Комитет, что статья 29 Конституции Кувейта гарантирует равенство перед законом и защиту ч</w:t>
      </w:r>
      <w:r>
        <w:t>е</w:t>
      </w:r>
      <w:r>
        <w:t>ловеческого достоинства без различий по признаку пола, происхождения, языка или рел</w:t>
      </w:r>
      <w:r>
        <w:t>и</w:t>
      </w:r>
      <w:r>
        <w:t>гии.</w:t>
      </w:r>
    </w:p>
    <w:p w:rsidR="00000000" w:rsidRDefault="00000000">
      <w:pPr>
        <w:pStyle w:val="DualTxt"/>
      </w:pPr>
      <w:r>
        <w:t>7.</w:t>
      </w:r>
      <w:r>
        <w:tab/>
        <w:t>В плане разъяснения вопросов о средствах с</w:t>
      </w:r>
      <w:r>
        <w:t>у</w:t>
      </w:r>
      <w:r>
        <w:t>дебной защиты, имеющихся в распоряжении же</w:t>
      </w:r>
      <w:r>
        <w:t>н</w:t>
      </w:r>
      <w:r>
        <w:t>щин, она говорит, что в соответствии с Уголовным кодексом все сексуальные домогательства и склон</w:t>
      </w:r>
      <w:r>
        <w:t>е</w:t>
      </w:r>
      <w:r>
        <w:t>ние к проституции и развратным действиям счит</w:t>
      </w:r>
      <w:r>
        <w:t>а</w:t>
      </w:r>
      <w:r>
        <w:t>ются уголовными правонарушениями, и в случае их совершения предусмотрены соответствующие нак</w:t>
      </w:r>
      <w:r>
        <w:t>а</w:t>
      </w:r>
      <w:r>
        <w:t>зания. Что касается реакции общественности и средств массовой информации на отказ Национал</w:t>
      </w:r>
      <w:r>
        <w:t>ь</w:t>
      </w:r>
      <w:r>
        <w:t>ного совета предоставить политические права же</w:t>
      </w:r>
      <w:r>
        <w:t>н</w:t>
      </w:r>
      <w:r>
        <w:t>щинам, она говорит, что этот вопрос по-прежнему обсуждается и по нему будет представлена допо</w:t>
      </w:r>
      <w:r>
        <w:t>л</w:t>
      </w:r>
      <w:r>
        <w:t>нительная информ</w:t>
      </w:r>
      <w:r>
        <w:t>а</w:t>
      </w:r>
      <w:r>
        <w:t>ция.</w:t>
      </w:r>
    </w:p>
    <w:p w:rsidR="00000000" w:rsidRDefault="00000000">
      <w:pPr>
        <w:pStyle w:val="DualTxt"/>
      </w:pPr>
      <w:r>
        <w:t>8.</w:t>
      </w:r>
      <w:r>
        <w:tab/>
        <w:t>В отношении поднятых вопросов об отсутс</w:t>
      </w:r>
      <w:r>
        <w:t>т</w:t>
      </w:r>
      <w:r>
        <w:t>вии конкретной ссылки на женщин в Конституции оратор отмечает, что Конституция Кувейта гарант</w:t>
      </w:r>
      <w:r>
        <w:t>и</w:t>
      </w:r>
      <w:r>
        <w:t>рует мужчинам и женщинам равные права на осн</w:t>
      </w:r>
      <w:r>
        <w:t>о</w:t>
      </w:r>
      <w:r>
        <w:t>ве использования термина на арабском языке, кот</w:t>
      </w:r>
      <w:r>
        <w:t>о</w:t>
      </w:r>
      <w:r>
        <w:t>рый эквивалентен понятию «гражданин». Конст</w:t>
      </w:r>
      <w:r>
        <w:t>и</w:t>
      </w:r>
      <w:r>
        <w:t>туция включает общие положения; более детальные положения регулируются соответствующими зак</w:t>
      </w:r>
      <w:r>
        <w:t>о</w:t>
      </w:r>
      <w:r>
        <w:t>нами. В отношении женщин и семейной жизни она подчеркивает, что в статье 9 Конституции придае</w:t>
      </w:r>
      <w:r>
        <w:t>т</w:t>
      </w:r>
      <w:r>
        <w:t>ся особо важное значение единству семьи в качес</w:t>
      </w:r>
      <w:r>
        <w:t>т</w:t>
      </w:r>
      <w:r>
        <w:t>ве основной ячейки общества и что национальные законы направлены на укрепление этого констит</w:t>
      </w:r>
      <w:r>
        <w:t>у</w:t>
      </w:r>
      <w:r>
        <w:t>ционного положения на основе защиты прав матери и ребе</w:t>
      </w:r>
      <w:r>
        <w:t>н</w:t>
      </w:r>
      <w:r>
        <w:t>ка.</w:t>
      </w:r>
    </w:p>
    <w:p w:rsidR="00000000" w:rsidRDefault="00000000">
      <w:pPr>
        <w:pStyle w:val="DualTxt"/>
      </w:pPr>
      <w:r>
        <w:t>9.</w:t>
      </w:r>
      <w:r>
        <w:tab/>
        <w:t>В соответствии с Уголовным кодексом смер</w:t>
      </w:r>
      <w:r>
        <w:t>т</w:t>
      </w:r>
      <w:r>
        <w:t>ная казнь допускается как для мужчин, так и для женщин. Вместе с тем в статье 59 Кодекса допуск</w:t>
      </w:r>
      <w:r>
        <w:t>а</w:t>
      </w:r>
      <w:r>
        <w:t>ется замена такого наказания на пожизненное з</w:t>
      </w:r>
      <w:r>
        <w:t>а</w:t>
      </w:r>
      <w:r>
        <w:t>ключение для беременной женщины или женщины, р</w:t>
      </w:r>
      <w:r>
        <w:t>о</w:t>
      </w:r>
      <w:r>
        <w:t>дившей ребенка.</w:t>
      </w:r>
    </w:p>
    <w:p w:rsidR="00000000" w:rsidRDefault="00000000">
      <w:pPr>
        <w:pStyle w:val="DualTxt"/>
      </w:pPr>
      <w:r>
        <w:t>10.</w:t>
      </w:r>
      <w:r>
        <w:tab/>
        <w:t>В отношении высказанной обеспокоенности по поводу информированности о положениях ст</w:t>
      </w:r>
      <w:r>
        <w:t>а</w:t>
      </w:r>
      <w:r>
        <w:t>тьи 6 Конвенции она говорит, что проституция во всех ее проявлениях считается противоправным деянием. Она ссылается на статьи 200–204 Уголо</w:t>
      </w:r>
      <w:r>
        <w:t>в</w:t>
      </w:r>
      <w:r>
        <w:t>ного кодекса, которые предусматривают наказание за деятельность, поощряющую проституцию, пол</w:t>
      </w:r>
      <w:r>
        <w:t>у</w:t>
      </w:r>
      <w:r>
        <w:t>чение дохода от проституции и распространение порнографических матери</w:t>
      </w:r>
      <w:r>
        <w:t>а</w:t>
      </w:r>
      <w:r>
        <w:t>лов.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 Назар</w:t>
      </w:r>
      <w:r>
        <w:t xml:space="preserve"> (Кувейт) говорит, что законод</w:t>
      </w:r>
      <w:r>
        <w:t>а</w:t>
      </w:r>
      <w:r>
        <w:t>тельство Кувейта не содержит каких-либо конкре</w:t>
      </w:r>
      <w:r>
        <w:t>т</w:t>
      </w:r>
      <w:r>
        <w:t>ных положений, касающихся так называемых пр</w:t>
      </w:r>
      <w:r>
        <w:t>е</w:t>
      </w:r>
      <w:r>
        <w:t>ступлений в защиту чести. Вместе с тем в ряде ст</w:t>
      </w:r>
      <w:r>
        <w:t>а</w:t>
      </w:r>
      <w:r>
        <w:t>тей Уголовного кодекса № 16 1960 года (с внесе</w:t>
      </w:r>
      <w:r>
        <w:t>н</w:t>
      </w:r>
      <w:r>
        <w:t>ными в него поправками) затрагивается вопрос о преступлениях, совершаемых под предлогом защ</w:t>
      </w:r>
      <w:r>
        <w:t>и</w:t>
      </w:r>
      <w:r>
        <w:t>ты личной репутации. Например, статья 153 пред</w:t>
      </w:r>
      <w:r>
        <w:t>у</w:t>
      </w:r>
      <w:r>
        <w:t>сматривает, что для любого человека, который убил свою жену, дочь, мать или сестру на том основании, что застал их на месте преступления с мужчиной, не являющимся их мужем, предусмотрено наказ</w:t>
      </w:r>
      <w:r>
        <w:t>а</w:t>
      </w:r>
      <w:r>
        <w:t>ние в виде лишения свободы на срок до трех лет и/или штрафа в размере до 3000 рупий. Статья 195 предусматривает, что для любого состоящего в бр</w:t>
      </w:r>
      <w:r>
        <w:t>а</w:t>
      </w:r>
      <w:r>
        <w:t>ке лица, которое вступает в половые отношения по обоюдному согласию с лицом, не являющимся его/ее супругом, предусмотрено наказание в виде лишения свободы на срок до пяти лет и/или штрафа в размере 5000 рупий. Она отмечает, что судебное разбирательство в отношении супружеской измены может быть прекращено супругом/супругой пре</w:t>
      </w:r>
      <w:r>
        <w:t>д</w:t>
      </w:r>
      <w:r>
        <w:t>пол</w:t>
      </w:r>
      <w:r>
        <w:t>а</w:t>
      </w:r>
      <w:r>
        <w:t>гаемого нарушителя супружеской верности.</w:t>
      </w:r>
    </w:p>
    <w:p w:rsidR="00000000" w:rsidRDefault="00000000">
      <w:pPr>
        <w:pStyle w:val="DualTxt"/>
      </w:pPr>
      <w:r>
        <w:t>12.</w:t>
      </w:r>
      <w:r>
        <w:tab/>
        <w:t>Что касается дополнительных мер по пред</w:t>
      </w:r>
      <w:r>
        <w:t>у</w:t>
      </w:r>
      <w:r>
        <w:t>преждению насилия в отношении женщин, она и</w:t>
      </w:r>
      <w:r>
        <w:t>н</w:t>
      </w:r>
      <w:r>
        <w:t>формирует Комитет, что в этой области действуют лишь положения Уголовного кодекса № 16 1960 года (с внесенными в него попра</w:t>
      </w:r>
      <w:r>
        <w:t>в</w:t>
      </w:r>
      <w:r>
        <w:t>ками).</w:t>
      </w:r>
    </w:p>
    <w:p w:rsidR="00000000" w:rsidRDefault="00000000">
      <w:pPr>
        <w:pStyle w:val="DualTxt"/>
      </w:pPr>
      <w:r>
        <w:t>13.</w:t>
      </w:r>
      <w:r>
        <w:tab/>
        <w:t>В отношении поднятых вопросов по статье 7 Конвенции выступающая отмечает, что в настоящее время на государственной службе заняты около 416 000 гражданок Кувейта и 240 000 женщин из других стран. Законы, регулирующие дипломатич</w:t>
      </w:r>
      <w:r>
        <w:t>е</w:t>
      </w:r>
      <w:r>
        <w:t>ские и консульские отношения, не запрещают же</w:t>
      </w:r>
      <w:r>
        <w:t>н</w:t>
      </w:r>
      <w:r>
        <w:t>щинам занимать должности в этой конкретной о</w:t>
      </w:r>
      <w:r>
        <w:t>б</w:t>
      </w:r>
      <w:r>
        <w:t>ласти, и, как следствие, ряд женщин-дипломатов работают в посольствах Кувейта в разных странах мира.</w:t>
      </w:r>
    </w:p>
    <w:p w:rsidR="00000000" w:rsidRDefault="00000000">
      <w:pPr>
        <w:pStyle w:val="DualTxt"/>
      </w:pPr>
      <w:r>
        <w:t>14.</w:t>
      </w:r>
      <w:r>
        <w:tab/>
        <w:t>В отношении существования политических партий в Кувейте она говорит, что право на созд</w:t>
      </w:r>
      <w:r>
        <w:t>а</w:t>
      </w:r>
      <w:r>
        <w:t>ние ассоциаций закреплено в статье 43 Констит</w:t>
      </w:r>
      <w:r>
        <w:t>у</w:t>
      </w:r>
      <w:r>
        <w:t>ции, однако запрещается принуждать кого-либо к вступлению в ассоциацию или объединение. Таким образом, поскольку Конституция не поощряет и не запрещает создания политических партий, при н</w:t>
      </w:r>
      <w:r>
        <w:t>е</w:t>
      </w:r>
      <w:r>
        <w:t>обходимости они могут создаваться.</w:t>
      </w:r>
    </w:p>
    <w:p w:rsidR="00000000" w:rsidRDefault="00000000">
      <w:pPr>
        <w:pStyle w:val="DualTxt"/>
      </w:pPr>
      <w:r>
        <w:t>15.</w:t>
      </w:r>
      <w:r>
        <w:tab/>
        <w:t>Хотя некоторые женщины работают в Кувейте в качестве адвокатов, в настоящее время женщин среди членов судебного корпуса нет. Вместе с тем в будущем такое положение дел может изм</w:t>
      </w:r>
      <w:r>
        <w:t>е</w:t>
      </w:r>
      <w:r>
        <w:t>ниться.</w:t>
      </w:r>
    </w:p>
    <w:p w:rsidR="00000000" w:rsidRDefault="00000000">
      <w:pPr>
        <w:pStyle w:val="DualTxt"/>
      </w:pPr>
      <w:r>
        <w:t>16.</w:t>
      </w:r>
      <w:r>
        <w:tab/>
        <w:t>По вопросу о работе женщин в полиции она говорит, что указ № 221/2001 предусматривает со</w:t>
      </w:r>
      <w:r>
        <w:t>з</w:t>
      </w:r>
      <w:r>
        <w:t>дание в рамках министерства внутренних дел ко</w:t>
      </w:r>
      <w:r>
        <w:t>р</w:t>
      </w:r>
      <w:r>
        <w:t>пуса, в состав которого будут входить исключ</w:t>
      </w:r>
      <w:r>
        <w:t>и</w:t>
      </w:r>
      <w:r>
        <w:t>тельно женщины, которые будут считаться сотру</w:t>
      </w:r>
      <w:r>
        <w:t>д</w:t>
      </w:r>
      <w:r>
        <w:t>никами полиции. Что касается вооруженных сил, статья 6 министерского указа № 13 1998 года пр</w:t>
      </w:r>
      <w:r>
        <w:t>е</w:t>
      </w:r>
      <w:r>
        <w:t>дусматривает, что любой гражданин Кувейта или гражданин другой страны, который добровольно поступает на военную службу, может служить в вооруженных силах Кувейта, однако статья 18 того же указа предусматривает, что женщины не могут добровольно поступать на военную службу, за и</w:t>
      </w:r>
      <w:r>
        <w:t>с</w:t>
      </w:r>
      <w:r>
        <w:t>ключением тех случаев, когда такой запрет на з</w:t>
      </w:r>
      <w:r>
        <w:t>а</w:t>
      </w:r>
      <w:r>
        <w:t>числение на военную службу женщин противоречит развитию событий. Вместе с тем согласно мин</w:t>
      </w:r>
      <w:r>
        <w:t>и</w:t>
      </w:r>
      <w:r>
        <w:t>стерскому указу № 48 1998 года некоторым женщ</w:t>
      </w:r>
      <w:r>
        <w:t>и</w:t>
      </w:r>
      <w:r>
        <w:t>нам разрешено трудоустраиваться в вооруженные силы для выполнения работы, соответствующей их положению как женщины, а именно для выполн</w:t>
      </w:r>
      <w:r>
        <w:t>е</w:t>
      </w:r>
      <w:r>
        <w:t>ния административных функций. Отсутствие в нормах, регулирующих занятость в вооруженных силах, положения, касающегося, в частности, о</w:t>
      </w:r>
      <w:r>
        <w:t>т</w:t>
      </w:r>
      <w:r>
        <w:t>пуска по беременности и родам, означает, что набор женщин приостановлен, и в настоящее время ра</w:t>
      </w:r>
      <w:r>
        <w:t>с</w:t>
      </w:r>
      <w:r>
        <w:t>сматривается запрос Военного комитета в отнош</w:t>
      </w:r>
      <w:r>
        <w:t>е</w:t>
      </w:r>
      <w:r>
        <w:t>нии внесения поправки в закон 1967 года о воор</w:t>
      </w:r>
      <w:r>
        <w:t>у</w:t>
      </w:r>
      <w:r>
        <w:t>женных силах в целях изменения существующего положения.</w:t>
      </w:r>
    </w:p>
    <w:p w:rsidR="00000000" w:rsidRDefault="00000000">
      <w:pPr>
        <w:pStyle w:val="DualTxt"/>
      </w:pPr>
      <w:r>
        <w:t>17.</w:t>
      </w:r>
      <w:r>
        <w:tab/>
        <w:t>Что касается занятости женщин в неформал</w:t>
      </w:r>
      <w:r>
        <w:t>ь</w:t>
      </w:r>
      <w:r>
        <w:t>ном секторе, то в 2002 году в частном секторе были заняты около 50 000 женщин по сравнению с п</w:t>
      </w:r>
      <w:r>
        <w:t>о</w:t>
      </w:r>
      <w:r>
        <w:t>рядка 106 000 женщин в государственном секторе. В докладе отмечается число учреждений, в которых согласно министерскому указу № 58 1985 года женщинам разрешается работать в ночное время; это, в частности, касается аптек и гостиниц. Хара</w:t>
      </w:r>
      <w:r>
        <w:t>к</w:t>
      </w:r>
      <w:r>
        <w:t>тер деятельности в этих секторах обусловливает необходимость в найме женщин, поскольку клие</w:t>
      </w:r>
      <w:r>
        <w:t>н</w:t>
      </w:r>
      <w:r>
        <w:t>тами являются как мужчины, так и женщины. Раб</w:t>
      </w:r>
      <w:r>
        <w:t>о</w:t>
      </w:r>
      <w:r>
        <w:t>тодатели обязаны обеспечить транспортные услуги для женщин, р</w:t>
      </w:r>
      <w:r>
        <w:t>а</w:t>
      </w:r>
      <w:r>
        <w:t>ботающих в ночное время.</w:t>
      </w:r>
    </w:p>
    <w:p w:rsidR="00000000" w:rsidRDefault="00000000">
      <w:pPr>
        <w:pStyle w:val="DualTxt"/>
      </w:pPr>
      <w:r>
        <w:t>18.</w:t>
      </w:r>
      <w:r>
        <w:tab/>
        <w:t>В ответ на вопрос о разнице в зарплате же</w:t>
      </w:r>
      <w:r>
        <w:t>н</w:t>
      </w:r>
      <w:r>
        <w:t>щин и мужчин она отмечает, что в соответствии со статьей 27 закона № 38 1964 года о занятости в ч</w:t>
      </w:r>
      <w:r>
        <w:t>а</w:t>
      </w:r>
      <w:r>
        <w:t>стном секторе работающие женщины и мужчины имеют право на равное вознаграждение за труд ра</w:t>
      </w:r>
      <w:r>
        <w:t>в</w:t>
      </w:r>
      <w:r>
        <w:t>ной ценности.</w:t>
      </w:r>
    </w:p>
    <w:p w:rsidR="00000000" w:rsidRDefault="00000000">
      <w:pPr>
        <w:pStyle w:val="DualTxt"/>
      </w:pPr>
      <w:r>
        <w:t>19.</w:t>
      </w:r>
      <w:r>
        <w:tab/>
        <w:t>В отношении поднятых вопросов по статье 9 Конвенции она говорит, что закон № 15 1959 года о гражданстве с внесенными в него поправками рег</w:t>
      </w:r>
      <w:r>
        <w:t>у</w:t>
      </w:r>
      <w:r>
        <w:t>лирует право на гражданство для всех жителей К</w:t>
      </w:r>
      <w:r>
        <w:t>у</w:t>
      </w:r>
      <w:r>
        <w:t>вейта. Условием получения и сохранения кувей</w:t>
      </w:r>
      <w:r>
        <w:t>т</w:t>
      </w:r>
      <w:r>
        <w:t>ского гражданства является отказ от любого другого гражданства и несовершение какого</w:t>
      </w:r>
      <w:r>
        <w:noBreakHyphen/>
        <w:t>либо правон</w:t>
      </w:r>
      <w:r>
        <w:t>а</w:t>
      </w:r>
      <w:r>
        <w:t>рушения, указанного в статье 13 з</w:t>
      </w:r>
      <w:r>
        <w:t>а</w:t>
      </w:r>
      <w:r>
        <w:t>кона.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Аль-Тюркайт</w:t>
      </w:r>
      <w:r>
        <w:t xml:space="preserve"> (Кувейт) говорит, что к</w:t>
      </w:r>
      <w:r>
        <w:t>у</w:t>
      </w:r>
      <w:r>
        <w:t>вейтская женщина не имеет права передавать свое гражданство своим детям, за исключением случаев, когда она рожает ребенка, гражданство отца котор</w:t>
      </w:r>
      <w:r>
        <w:t>о</w:t>
      </w:r>
      <w:r>
        <w:t>го неизвестно. Вместе с тем женщина, которая р</w:t>
      </w:r>
      <w:r>
        <w:t>а</w:t>
      </w:r>
      <w:r>
        <w:t>нее отказалась от гражданства Кувейта, может вновь обрести его. Закон о гражданстве предусма</w:t>
      </w:r>
      <w:r>
        <w:t>т</w:t>
      </w:r>
      <w:r>
        <w:t>ривает приобретение гражданства не на основе места жительства, а на основе кровных уз. Таким образом, иностранные граждане могут приобрести гражданство Кувейта лишь на основе вступления в брак с гражданином Кувейта. Выступающая может подтвердить, что многие граждане Кувейта состоят в браке с иностранцами, однако не может предост</w:t>
      </w:r>
      <w:r>
        <w:t>а</w:t>
      </w:r>
      <w:r>
        <w:t>вить какие</w:t>
      </w:r>
      <w:r>
        <w:noBreakHyphen/>
        <w:t>либо точные статистические данные. Замужняя женщина в Кувейте не обязана получать разрешение мужа для того, чтобы работать, возбу</w:t>
      </w:r>
      <w:r>
        <w:t>ж</w:t>
      </w:r>
      <w:r>
        <w:t>дать дело в суде или управлять своей собственн</w:t>
      </w:r>
      <w:r>
        <w:t>о</w:t>
      </w:r>
      <w:r>
        <w:t>стью. Одинокие женщины также могут беспрепя</w:t>
      </w:r>
      <w:r>
        <w:t>т</w:t>
      </w:r>
      <w:r>
        <w:t>ственно осуществлять эти дейс</w:t>
      </w:r>
      <w:r>
        <w:t>т</w:t>
      </w:r>
      <w:r>
        <w:t>вия.</w:t>
      </w:r>
    </w:p>
    <w:p w:rsidR="00000000" w:rsidRDefault="00000000">
      <w:pPr>
        <w:pStyle w:val="DualTxt"/>
      </w:pPr>
      <w:r>
        <w:t>21.</w:t>
      </w:r>
      <w:r>
        <w:tab/>
        <w:t>По вопросу об образовании оратор говорит, что по лингвистическим соображениям положения закона об обязательном образовании не применяю</w:t>
      </w:r>
      <w:r>
        <w:t>т</w:t>
      </w:r>
      <w:r>
        <w:t>ся к лицам, не являющимся гражданами Кувейта. Тем не менее государство предоставляет бесплатное образование для всех государственных служащих, не являющихся гражданами Кувейта, и имеется ряд частных школ, обеспечивающих учебную подгото</w:t>
      </w:r>
      <w:r>
        <w:t>в</w:t>
      </w:r>
      <w:r>
        <w:t>ку с учетом потребностей культурных меньшинств.</w:t>
      </w:r>
    </w:p>
    <w:p w:rsidR="00000000" w:rsidRDefault="00000000">
      <w:pPr>
        <w:pStyle w:val="DualTxt"/>
      </w:pPr>
      <w:r>
        <w:t>22.</w:t>
      </w:r>
      <w:r>
        <w:tab/>
        <w:t>Что касается таблицы 2 на стр. 49 доклада, то показатели численности преподавательского сост</w:t>
      </w:r>
      <w:r>
        <w:t>а</w:t>
      </w:r>
      <w:r>
        <w:t>ва в 1996/97 учебном году разбиты по признаку п</w:t>
      </w:r>
      <w:r>
        <w:t>о</w:t>
      </w:r>
      <w:r>
        <w:t>ла и по предметам. Заголовки на английском языке “first class” и “second class” следует читать «первый семестр» и «второй семестр». Она признает, что большинство преподавателей высших учебных з</w:t>
      </w:r>
      <w:r>
        <w:t>а</w:t>
      </w:r>
      <w:r>
        <w:t>ведений составляют мужчины, однако показатели за 2003/2004 учебный год показывают, что из 23 522 школьных преподавателей около 19 000 с</w:t>
      </w:r>
      <w:r>
        <w:t>о</w:t>
      </w:r>
      <w:r>
        <w:t>ставляют женщины. Школьные учебники весьма позитивно отражают положение кувейтских же</w:t>
      </w:r>
      <w:r>
        <w:t>н</w:t>
      </w:r>
      <w:r>
        <w:t>щин: в них говорится, что они имеют такие же пр</w:t>
      </w:r>
      <w:r>
        <w:t>а</w:t>
      </w:r>
      <w:r>
        <w:t>ва и обязанности, как и мужчины и играют ценную роль в обществе.</w:t>
      </w:r>
    </w:p>
    <w:p w:rsidR="00000000" w:rsidRDefault="00000000">
      <w:pPr>
        <w:pStyle w:val="DualTxt"/>
      </w:pPr>
      <w:r>
        <w:t>23.</w:t>
      </w:r>
      <w:r>
        <w:tab/>
        <w:t>Что касается раздельного обучения мальчиков и девочек, то министерство образования поощряет женщин становиться преподавателями начальной школы для обучения мальчиков. Что касается к</w:t>
      </w:r>
      <w:r>
        <w:t>у</w:t>
      </w:r>
      <w:r>
        <w:t>вейтских студентов, обучающихся за рубежом, то выступающая приводит пример Соединенных Шт</w:t>
      </w:r>
      <w:r>
        <w:t>а</w:t>
      </w:r>
      <w:r>
        <w:t>тов Америки, где обучаются 1102 мужчины и 352 женщины. В области спорта женщины имеют право участвовать в спортивных соревнованиях и иметь свои клубы и команды. Кувейт направляет на международные соревнования смешанные к</w:t>
      </w:r>
      <w:r>
        <w:t>о</w:t>
      </w:r>
      <w:r>
        <w:t>манды.</w:t>
      </w:r>
    </w:p>
    <w:p w:rsidR="00000000" w:rsidRDefault="00000000">
      <w:pPr>
        <w:pStyle w:val="DualTxt"/>
      </w:pPr>
      <w:r>
        <w:t>24.</w:t>
      </w:r>
      <w:r>
        <w:tab/>
        <w:t>Что касается охраны здоровья, то оратор гов</w:t>
      </w:r>
      <w:r>
        <w:t>о</w:t>
      </w:r>
      <w:r>
        <w:t>рит, что различные статьи Конституции гарантир</w:t>
      </w:r>
      <w:r>
        <w:t>у</w:t>
      </w:r>
      <w:r>
        <w:t>ют равные права в области охраны здоровья для всех граждан, включая иностранных граждан и трудящихся. Согласно Конституции правительство обязано обеспечивать охрану здоровья населения и предупреждение и лечение болезней. Медицинские учреждения открыты для всех жителей страны. Женщины имеют право на специальное обслужив</w:t>
      </w:r>
      <w:r>
        <w:t>а</w:t>
      </w:r>
      <w:r>
        <w:t>ние, в частности в связи с беременностью; спец</w:t>
      </w:r>
      <w:r>
        <w:t>и</w:t>
      </w:r>
      <w:r>
        <w:t>альные службы медицинской помощи имеются та</w:t>
      </w:r>
      <w:r>
        <w:t>к</w:t>
      </w:r>
      <w:r>
        <w:t>же для детей. В ответ на запрос в отношении стат</w:t>
      </w:r>
      <w:r>
        <w:t>и</w:t>
      </w:r>
      <w:r>
        <w:t>стических данных об особых заболеваниях она г</w:t>
      </w:r>
      <w:r>
        <w:t>о</w:t>
      </w:r>
      <w:r>
        <w:t>ворит, что в настоящее время 1134 женщины, как граждане, так и иностранцы, страдают от инфекц</w:t>
      </w:r>
      <w:r>
        <w:t>и</w:t>
      </w:r>
      <w:r>
        <w:t>онных заболеваний, 12 женщин страдают от ВИЧ/СПИДа, при этом не зарегистрировано ни о</w:t>
      </w:r>
      <w:r>
        <w:t>д</w:t>
      </w:r>
      <w:r>
        <w:t>ного случая калечащих операций на женских пол</w:t>
      </w:r>
      <w:r>
        <w:t>о</w:t>
      </w:r>
      <w:r>
        <w:t>вых органах.</w:t>
      </w:r>
    </w:p>
    <w:p w:rsidR="00000000" w:rsidRDefault="00000000">
      <w:pPr>
        <w:pStyle w:val="DualTxt"/>
      </w:pPr>
      <w:r>
        <w:t>25.</w:t>
      </w:r>
      <w:r>
        <w:tab/>
        <w:t>Что касается вопроса о браке и разводе, то м</w:t>
      </w:r>
      <w:r>
        <w:t>и</w:t>
      </w:r>
      <w:r>
        <w:t>нимальный возраст вступления в брак для девочек составляет 15 лет, а для мальчиков — 17 лет. В тех случаях, когда девочка не достигла официального возраста вступления в брак, она может вступить в брак с согласия своего отца. Насилие в отношении женщин в семье осуждается Кораном и преследуе</w:t>
      </w:r>
      <w:r>
        <w:t>т</w:t>
      </w:r>
      <w:r>
        <w:t>ся по закону. В соответствии с исламским правом срок, необходимый для оформления развода, с</w:t>
      </w:r>
      <w:r>
        <w:t>о</w:t>
      </w:r>
      <w:r>
        <w:t>ставляет два года; он установлен для того, чтобы дать сторонам возможность примириться или уд</w:t>
      </w:r>
      <w:r>
        <w:t>о</w:t>
      </w:r>
      <w:r>
        <w:t>стовериться в том, что женщина не беременна. П</w:t>
      </w:r>
      <w:r>
        <w:t>е</w:t>
      </w:r>
      <w:r>
        <w:t>риод ожидания устанавливается также в тех случ</w:t>
      </w:r>
      <w:r>
        <w:t>а</w:t>
      </w:r>
      <w:r>
        <w:t>ях, когда, например, мужчина желает жениться на сестре своей жены. В соответствии с гражданским кодексом любой партнер может подать на развод, если невозможно продолжать брачные отношения или если у одного из партнеров имеется серьезный недостаток; в таких случаях развод дается при об</w:t>
      </w:r>
      <w:r>
        <w:t>о</w:t>
      </w:r>
      <w:r>
        <w:t>юдном согласии. Женщина имеет также право пр</w:t>
      </w:r>
      <w:r>
        <w:t>о</w:t>
      </w:r>
      <w:r>
        <w:t>сить расторгнуть брак, если мужчина не оказывает семье на</w:t>
      </w:r>
      <w:r>
        <w:t>д</w:t>
      </w:r>
      <w:r>
        <w:t>лежащей поддержки.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в соотве</w:t>
      </w:r>
      <w:r>
        <w:t>т</w:t>
      </w:r>
      <w:r>
        <w:t>ствии с руководящими принципами Комитета сл</w:t>
      </w:r>
      <w:r>
        <w:t>е</w:t>
      </w:r>
      <w:r>
        <w:t>дующий доклад должен включать оценку воздейс</w:t>
      </w:r>
      <w:r>
        <w:t>т</w:t>
      </w:r>
      <w:r>
        <w:t>вия оговорок государства-участника на положение женщин, например, в отношении гражданства д</w:t>
      </w:r>
      <w:r>
        <w:t>е</w:t>
      </w:r>
      <w:r>
        <w:t>тей, особенно с учетом значительного числа ин</w:t>
      </w:r>
      <w:r>
        <w:t>о</w:t>
      </w:r>
      <w:r>
        <w:t>странцев в Кувейте. Закон о гражданстве является неоднозначным, и его следует пересмотреть, что должно привести к снятию ог</w:t>
      </w:r>
      <w:r>
        <w:t>о</w:t>
      </w:r>
      <w:r>
        <w:t>ворки государства-участника к пункту 2 статьи 9 Конвенции. Прав</w:t>
      </w:r>
      <w:r>
        <w:t>и</w:t>
      </w:r>
      <w:r>
        <w:t>тельству следует также продолжать свои закон</w:t>
      </w:r>
      <w:r>
        <w:t>о</w:t>
      </w:r>
      <w:r>
        <w:t>творческие усилия для обеспечения права женщин участвовать в голосовании и занимать государс</w:t>
      </w:r>
      <w:r>
        <w:t>т</w:t>
      </w:r>
      <w:r>
        <w:t>венную должность и снять свою оговорку к ст</w:t>
      </w:r>
      <w:r>
        <w:t>а</w:t>
      </w:r>
      <w:r>
        <w:t>тье 7(a) Конвенции.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вновь задает вопрос о том, кто подготовил доклад государства-участника, к</w:t>
      </w:r>
      <w:r>
        <w:t>а</w:t>
      </w:r>
      <w:r>
        <w:t>кова была процедура и принимали ли участие в его подготовке неправительственные организации и другие заинтересованные стороны. Она интересуе</w:t>
      </w:r>
      <w:r>
        <w:t>т</w:t>
      </w:r>
      <w:r>
        <w:t>ся последствиями несоответствия положений Ко</w:t>
      </w:r>
      <w:r>
        <w:t>н</w:t>
      </w:r>
      <w:r>
        <w:t>венции и Конституции в том случае, если Конве</w:t>
      </w:r>
      <w:r>
        <w:t>н</w:t>
      </w:r>
      <w:r>
        <w:t>ция после ее включения во внутреннее законод</w:t>
      </w:r>
      <w:r>
        <w:t>а</w:t>
      </w:r>
      <w:r>
        <w:t>тельство будет иметь такой же статус, как и Конст</w:t>
      </w:r>
      <w:r>
        <w:t>и</w:t>
      </w:r>
      <w:r>
        <w:t>туция. Как представляется, оговорка государс</w:t>
      </w:r>
      <w:r>
        <w:t>т</w:t>
      </w:r>
      <w:r>
        <w:t>ва-участника к статье 7(a) и отказ в праве женщин уч</w:t>
      </w:r>
      <w:r>
        <w:t>а</w:t>
      </w:r>
      <w:r>
        <w:t>ствовать в голосовании и занимать государственные должности является нарушением конституционных гарантий равных прав мужчин и женщин. Она и</w:t>
      </w:r>
      <w:r>
        <w:t>н</w:t>
      </w:r>
      <w:r>
        <w:t>тересуется, рассматривает ли правительство во</w:t>
      </w:r>
      <w:r>
        <w:t>з</w:t>
      </w:r>
      <w:r>
        <w:t>можность обратиться к Конституционному суду с просьбой пересмотреть такое полож</w:t>
      </w:r>
      <w:r>
        <w:t>е</w:t>
      </w:r>
      <w:r>
        <w:t>ние дел.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интересуется характером посл</w:t>
      </w:r>
      <w:r>
        <w:t>е</w:t>
      </w:r>
      <w:r>
        <w:t>дующих действий по итогам рассмотрения доклада и диалога делегации с членами Комитета. Такой диалог должен способствовать тому, чтобы убедить парламент Кувейта предоставить женщинам право голоса, что позволит Кувейту использовать талант, образование и возможности кувейтских женщин. Она надеется, что в состав следующей делегации государства-участника будут входить женщины — члены парламе</w:t>
      </w:r>
      <w:r>
        <w:t>н</w:t>
      </w:r>
      <w:r>
        <w:t>та.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ее и</w:t>
      </w:r>
      <w:r>
        <w:t>н</w:t>
      </w:r>
      <w:r>
        <w:t>тересует вопрос о том, почему женщины не создают политических партий, несмотря на то, что в соо</w:t>
      </w:r>
      <w:r>
        <w:t>т</w:t>
      </w:r>
      <w:r>
        <w:t>ветствии с Конституцией женщины имеют равные права с мужчинами в отношении занятия государс</w:t>
      </w:r>
      <w:r>
        <w:t>т</w:t>
      </w:r>
      <w:r>
        <w:t>венных должностей и что женщины могут беспр</w:t>
      </w:r>
      <w:r>
        <w:t>е</w:t>
      </w:r>
      <w:r>
        <w:t>пятственно создавать ассоциации на благо общес</w:t>
      </w:r>
      <w:r>
        <w:t>т</w:t>
      </w:r>
      <w:r>
        <w:t>ва. Она подчеркивает, что кувейтские женщины должны иметь право голоса, претендовать на з</w:t>
      </w:r>
      <w:r>
        <w:t>а</w:t>
      </w:r>
      <w:r>
        <w:t>полнение соответствующих государственных дол</w:t>
      </w:r>
      <w:r>
        <w:t>ж</w:t>
      </w:r>
      <w:r>
        <w:t>ностей и создавать политические партии.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Назар</w:t>
      </w:r>
      <w:r>
        <w:t xml:space="preserve"> (Кувейт) говорит, что в подгото</w:t>
      </w:r>
      <w:r>
        <w:t>в</w:t>
      </w:r>
      <w:r>
        <w:t>ке доклада ее делегации участвовали государстве</w:t>
      </w:r>
      <w:r>
        <w:t>н</w:t>
      </w:r>
      <w:r>
        <w:t>ные органы, включая многочисленные министерс</w:t>
      </w:r>
      <w:r>
        <w:t>т</w:t>
      </w:r>
      <w:r>
        <w:t>ва, а также неправительственные организации. В отношении просьб представить дополнительные статистические данные и информацию выступа</w:t>
      </w:r>
      <w:r>
        <w:t>ю</w:t>
      </w:r>
      <w:r>
        <w:t>щая отмечает, что отделение ее делегации в Нью-Йорке представит Комитету любые имеющиеся подробные статистич</w:t>
      </w:r>
      <w:r>
        <w:t>е</w:t>
      </w:r>
      <w:r>
        <w:t>ские данные.</w:t>
      </w:r>
    </w:p>
    <w:p w:rsidR="00000000" w:rsidRDefault="00000000">
      <w:pPr>
        <w:pStyle w:val="DualTxt"/>
      </w:pPr>
      <w:r>
        <w:t>31.</w:t>
      </w:r>
      <w:r>
        <w:tab/>
        <w:t>Конституция Кувейта согласуется с полож</w:t>
      </w:r>
      <w:r>
        <w:t>е</w:t>
      </w:r>
      <w:r>
        <w:t>ниями Конвенции, однако каждое общество имеет свою собственную культуру, традиции и ценности. Кувейт стремится выполнять положения Конве</w:t>
      </w:r>
      <w:r>
        <w:t>н</w:t>
      </w:r>
      <w:r>
        <w:t>ции, не допуская противоречий с законом шариата. Будет подготовлен доклад с сопоставлением пол</w:t>
      </w:r>
      <w:r>
        <w:t>о</w:t>
      </w:r>
      <w:r>
        <w:t>жений Конституции и Конвенции для подтвержд</w:t>
      </w:r>
      <w:r>
        <w:t>е</w:t>
      </w:r>
      <w:r>
        <w:t>ния того, что противоречий между положениями этих двух документов нет.</w:t>
      </w:r>
    </w:p>
    <w:p w:rsidR="00000000" w:rsidRDefault="00000000">
      <w:pPr>
        <w:pStyle w:val="DualTxt"/>
      </w:pPr>
      <w:r>
        <w:t>32.</w:t>
      </w:r>
      <w:r>
        <w:tab/>
        <w:t>Выступающая подтверждает, что Конституция гарантирует мужчинам и женщинам равные пол</w:t>
      </w:r>
      <w:r>
        <w:t>и</w:t>
      </w:r>
      <w:r>
        <w:t>тические права, и, хотя в этой связи правительство выступило с конкретными инициативами, они еще не реализованы. Она отмечает, что в стране насч</w:t>
      </w:r>
      <w:r>
        <w:t>и</w:t>
      </w:r>
      <w:r>
        <w:t>тывается большое число ассоциаций, работающих на благо общества, включая женские ассоциации. В настоящее время политическая партия для женщин отсутствует, однако такая партия возможна, если правительство сочтет ее устав приемлемым с точки зрения закона. Она уверена, что парламент Кувейта продолжит свои усилия по укреплению роли же</w:t>
      </w:r>
      <w:r>
        <w:t>н</w:t>
      </w:r>
      <w:r>
        <w:t>щин и обеспечению полных политических прав к</w:t>
      </w:r>
      <w:r>
        <w:t>у</w:t>
      </w:r>
      <w:r>
        <w:t>вейтских женщин и что кувейтские женщины будут продолжать повышать свою представленность на национальном и международном уровнях. Она н</w:t>
      </w:r>
      <w:r>
        <w:t>а</w:t>
      </w:r>
      <w:r>
        <w:t>деется также, что в состав следующей делегации будут включены женщины — члены парламе</w:t>
      </w:r>
      <w:r>
        <w:t>н</w:t>
      </w:r>
      <w:r>
        <w:t>та.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 xml:space="preserve"> говорит, что Комитет надеется на конкретные проявления реальной политической воли Кувейта добиваться полного осуществления положений Конвенции и ликвидации дискримин</w:t>
      </w:r>
      <w:r>
        <w:t>а</w:t>
      </w:r>
      <w:r>
        <w:t>ции де-факто и де-юре в отношении женщин. Отм</w:t>
      </w:r>
      <w:r>
        <w:t>е</w:t>
      </w:r>
      <w:r>
        <w:t>чая широкий охват статей 2 и 5 Конвенции, она г</w:t>
      </w:r>
      <w:r>
        <w:t>о</w:t>
      </w:r>
      <w:r>
        <w:t>ворит, что помимо законодательных мер необход</w:t>
      </w:r>
      <w:r>
        <w:t>и</w:t>
      </w:r>
      <w:r>
        <w:t>мо делать все возможное для осуществления на н</w:t>
      </w:r>
      <w:r>
        <w:t>а</w:t>
      </w:r>
      <w:r>
        <w:t>циональном уровне принципов Конвенции, и пр</w:t>
      </w:r>
      <w:r>
        <w:t>и</w:t>
      </w:r>
      <w:r>
        <w:t>зывает проводить общественные кампании для п</w:t>
      </w:r>
      <w:r>
        <w:t>о</w:t>
      </w:r>
      <w:r>
        <w:t>вышения информированности представителей гр</w:t>
      </w:r>
      <w:r>
        <w:t>а</w:t>
      </w:r>
      <w:r>
        <w:t>жданского общества, государственных служащих, законодателей и представителей судебных органов по вопросу о правах женщин. Уже осуществляемые меры, включая предоставление женщинам права голоса, должны быть усилены в сотрудничестве с гражданским обществом и неправительственными организациями. В данном контексте она надеется, что следующий доклад будет подготовлен в тесной консультации с гражданским обществом. Следу</w:t>
      </w:r>
      <w:r>
        <w:t>ю</w:t>
      </w:r>
      <w:r>
        <w:t>щий доклад должен также включать дезагрегир</w:t>
      </w:r>
      <w:r>
        <w:t>о</w:t>
      </w:r>
      <w:r>
        <w:t>ванные по признаку пола всеобъемлющие статист</w:t>
      </w:r>
      <w:r>
        <w:t>и</w:t>
      </w:r>
      <w:r>
        <w:t>ческие данные о положении женщин, являющихся и не являющихся гражданами Кувейта.</w:t>
      </w:r>
    </w:p>
    <w:p w:rsidR="00000000" w:rsidRDefault="00000000">
      <w:pPr>
        <w:pStyle w:val="DualTxt"/>
      </w:pPr>
      <w:r>
        <w:t>34.</w:t>
      </w:r>
      <w:r>
        <w:tab/>
        <w:t>Признавая суверенное право государств делать оговорки к международным документам, она гов</w:t>
      </w:r>
      <w:r>
        <w:t>о</w:t>
      </w:r>
      <w:r>
        <w:t>рит, что обычно государства ратифицируют такие документы, для того чтобы в конечном счете в по</w:t>
      </w:r>
      <w:r>
        <w:t>л</w:t>
      </w:r>
      <w:r>
        <w:t>ном объеме выполнять их положения. В связи с этим она призывает государство-участник рассмо</w:t>
      </w:r>
      <w:r>
        <w:t>т</w:t>
      </w:r>
      <w:r>
        <w:t>реть возможность снятия оговорки к статье 7(a), внести соответствующие поправки в закон о праве женщин участвовать в голосовании и занимать г</w:t>
      </w:r>
      <w:r>
        <w:t>о</w:t>
      </w:r>
      <w:r>
        <w:t>сударственные должности и снять оговорки к пун</w:t>
      </w:r>
      <w:r>
        <w:t>к</w:t>
      </w:r>
      <w:r>
        <w:t>ту 2 статьи 9 и статье 16(f) Конвенции. Она приз</w:t>
      </w:r>
      <w:r>
        <w:t>ы</w:t>
      </w:r>
      <w:r>
        <w:t>вает также государство-участник ратифицировать Факультативный протокол к Конвенции, а также поправку к пункту 1 статьи 20.</w:t>
      </w:r>
    </w:p>
    <w:p w:rsidR="00000000" w:rsidRDefault="00000000">
      <w:pPr>
        <w:pStyle w:val="DualTxt"/>
      </w:pPr>
      <w:r>
        <w:t>35.</w:t>
      </w:r>
      <w:r>
        <w:tab/>
        <w:t>Конкретные рекомендации Комитета будут включены в заключительные замечания Комитета, которые будут представлены делегации. Выст</w:t>
      </w:r>
      <w:r>
        <w:t>у</w:t>
      </w:r>
      <w:r>
        <w:t>пающая надеется, что эти замечания будут широко распространены и послужат основой для деятел</w:t>
      </w:r>
      <w:r>
        <w:t>ь</w:t>
      </w:r>
      <w:r>
        <w:t>ности государства-участника по выполнению пол</w:t>
      </w:r>
      <w:r>
        <w:t>о</w:t>
      </w:r>
      <w:r>
        <w:t>жений Конвенции. Она благодарит делегацию за конструктивный диалог с Комитетом и говорит, что ожидает рассмотрения сводных третьего и четве</w:t>
      </w:r>
      <w:r>
        <w:t>р</w:t>
      </w:r>
      <w:r>
        <w:t>того периодических докладов Кувейта в 2007 году.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15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NO&gt;&gt;N0421636R&lt;&lt;ODS JOB NO&gt;&gt;</w:t>
      </w:r>
    </w:p>
    <w:p w:rsidR="00000000" w:rsidRDefault="00000000">
      <w:pPr>
        <w:pStyle w:val="CommentText"/>
      </w:pPr>
      <w:r>
        <w:t>&lt;&lt;ODS DOC SYMBOL1&gt;&gt;CEDAW/C/SR.642&lt;&lt;ODS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04-21636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*0421636*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/C/SR.642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8/2005 13:04:10"/>
    <w:docVar w:name="DocCategory" w:val="SROthers"/>
    <w:docVar w:name="DocType" w:val="Final"/>
    <w:docVar w:name="JobNo" w:val="0421636R"/>
    <w:docVar w:name="OandT" w:val=" "/>
    <w:docVar w:name="Symbol1" w:val="CEDAW/C/SR.64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2948</Words>
  <Characters>16804</Characters>
  <Application>Microsoft Office Word</Application>
  <DocSecurity>4</DocSecurity>
  <Lines>140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20636</CharactersWithSpaces>
  <SharedDoc>false</SharedDoc>
  <HLinks>
    <vt:vector size="6" baseType="variant">
      <vt:variant>
        <vt:i4>4522087</vt:i4>
      </vt:variant>
      <vt:variant>
        <vt:i4>42018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Tatyana Nikitina</dc:creator>
  <cp:keywords/>
  <dc:description/>
  <cp:lastModifiedBy>Irina.Savina</cp:lastModifiedBy>
  <cp:revision>4</cp:revision>
  <cp:lastPrinted>2005-08-06T16:33:00Z</cp:lastPrinted>
  <dcterms:created xsi:type="dcterms:W3CDTF">2005-08-06T16:33:00Z</dcterms:created>
  <dcterms:modified xsi:type="dcterms:W3CDTF">2005-08-06T16:37:00Z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0421636</vt:lpwstr>
  </property>
  <property fmtid="{D5CDD505-2E9C-101B-9397-08002B2CF9AE}" pid="3" name="Symbol1">
    <vt:lpwstr>CEDAW/C/SR.642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Savina</vt:lpwstr>
  </property>
</Properties>
</file>