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2D3" w:rsidRDefault="005052D3">
      <w:pPr>
        <w:spacing w:line="60" w:lineRule="exact"/>
        <w:rPr>
          <w:sz w:val="6"/>
        </w:rPr>
        <w:sectPr w:rsidR="005052D3">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5052D3" w:rsidRDefault="005052D3">
      <w:pPr>
        <w:spacing w:line="60" w:lineRule="exact"/>
        <w:rPr>
          <w:sz w:val="6"/>
        </w:rPr>
      </w:pPr>
    </w:p>
    <w:p w:rsidR="005052D3" w:rsidRDefault="005052D3">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5052D3" w:rsidRDefault="005052D3">
      <w:pPr>
        <w:pStyle w:val="SingleTxt"/>
      </w:pPr>
    </w:p>
    <w:p w:rsidR="005052D3" w:rsidRDefault="005052D3">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tab/>
      </w:r>
      <w:r>
        <w:tab/>
      </w:r>
      <w:r>
        <w:rPr>
          <w:rFonts w:hint="eastAsia"/>
        </w:rPr>
        <w:t>审议缔约国根据《消除对妇女一切形式歧视公约》第18条</w:t>
      </w:r>
      <w:r>
        <w:br/>
      </w:r>
      <w:r>
        <w:rPr>
          <w:rFonts w:hint="eastAsia"/>
        </w:rPr>
        <w:t>提交的报告</w:t>
      </w:r>
    </w:p>
    <w:p w:rsidR="005052D3" w:rsidRDefault="005052D3">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80"/>
        <w:ind w:left="1264" w:right="1264" w:hanging="1264"/>
        <w:jc w:val="both"/>
        <w:rPr>
          <w:rFonts w:hint="eastAsia"/>
        </w:rPr>
      </w:pPr>
      <w:r>
        <w:tab/>
      </w:r>
      <w:r>
        <w:tab/>
      </w:r>
      <w:r>
        <w:rPr>
          <w:rFonts w:hint="eastAsia"/>
        </w:rPr>
        <w:t>缔约国的第二、第三、第四和第五次合并定期报告</w:t>
      </w:r>
    </w:p>
    <w:p w:rsidR="005052D3" w:rsidRDefault="005052D3">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马拉维</w:t>
      </w:r>
      <w:r>
        <w:rPr>
          <w:rStyle w:val="FootnoteReference"/>
        </w:rPr>
        <w:footnoteReference w:customMarkFollows="1" w:id="1"/>
        <w:t>*</w:t>
      </w:r>
    </w:p>
    <w:p w:rsidR="005052D3" w:rsidRDefault="005052D3">
      <w:pPr>
        <w:spacing w:after="240" w:line="360" w:lineRule="atLeast"/>
        <w:rPr>
          <w:rFonts w:eastAsia="SimHei"/>
          <w:sz w:val="28"/>
        </w:rPr>
      </w:pPr>
      <w:r>
        <w:br w:type="page"/>
      </w:r>
    </w:p>
    <w:p w:rsidR="005052D3" w:rsidRDefault="005052D3">
      <w:pPr>
        <w:spacing w:after="240" w:line="360" w:lineRule="atLeast"/>
        <w:rPr>
          <w:rFonts w:eastAsia="SimHei"/>
          <w:sz w:val="28"/>
        </w:rPr>
      </w:pPr>
      <w:r>
        <w:rPr>
          <w:rFonts w:eastAsia="SimHei"/>
          <w:noProof/>
          <w:sz w:val="20"/>
        </w:rPr>
        <w:pict>
          <v:shapetype id="_x0000_t202" coordsize="21600,21600" o:spt="202" path="m,l,21600r21600,l21600,xe">
            <v:stroke joinstyle="miter"/>
            <v:path gradientshapeok="t" o:connecttype="rect"/>
          </v:shapetype>
          <v:shape id="_x0000_s2054" type="#_x0000_t202" style="position:absolute;margin-left:12pt;margin-top:-19.6pt;width:468pt;height:582.4pt;z-index:5" strokeweight="3pt">
            <v:shadow on="t"/>
            <v:textbox>
              <w:txbxContent>
                <w:p w:rsidR="005052D3" w:rsidRDefault="005052D3">
                  <w:pPr>
                    <w:spacing w:line="720" w:lineRule="auto"/>
                    <w:jc w:val="center"/>
                  </w:pPr>
                </w:p>
                <w:p w:rsidR="005052D3" w:rsidRDefault="005052D3">
                  <w:pPr>
                    <w:spacing w:line="720" w:lineRule="auto"/>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8.5pt;height:93.75pt">
                        <v:imagedata r:id="rId14" o:title=""/>
                      </v:shape>
                    </w:pict>
                  </w:r>
                </w:p>
                <w:p w:rsidR="005052D3" w:rsidRDefault="005052D3">
                  <w:pPr>
                    <w:spacing w:before="240"/>
                    <w:jc w:val="center"/>
                  </w:pPr>
                  <w:r>
                    <w:rPr>
                      <w:rFonts w:hint="eastAsia"/>
                    </w:rPr>
                    <w:t>马拉维共和国</w:t>
                  </w:r>
                </w:p>
                <w:p w:rsidR="005052D3" w:rsidRDefault="005052D3">
                  <w:pPr>
                    <w:spacing w:line="380" w:lineRule="exact"/>
                    <w:rPr>
                      <w:rFonts w:hint="eastAsia"/>
                    </w:rPr>
                  </w:pPr>
                </w:p>
                <w:p w:rsidR="005052D3" w:rsidRDefault="005052D3">
                  <w:pPr>
                    <w:spacing w:line="380" w:lineRule="exact"/>
                    <w:rPr>
                      <w:rFonts w:hint="eastAsia"/>
                    </w:rPr>
                  </w:pPr>
                </w:p>
                <w:p w:rsidR="005052D3" w:rsidRDefault="005052D3">
                  <w:pPr>
                    <w:spacing w:line="380" w:lineRule="exact"/>
                    <w:jc w:val="center"/>
                    <w:rPr>
                      <w:rFonts w:eastAsia="SimHei" w:hint="eastAsia"/>
                      <w:color w:val="FF0000"/>
                      <w:sz w:val="24"/>
                    </w:rPr>
                  </w:pPr>
                  <w:r>
                    <w:rPr>
                      <w:rFonts w:eastAsia="SimHei" w:hint="eastAsia"/>
                      <w:color w:val="FF0000"/>
                      <w:sz w:val="24"/>
                    </w:rPr>
                    <w:t>向消除对妇女歧视委员会提交的报告</w:t>
                  </w:r>
                  <w:r>
                    <w:rPr>
                      <w:rFonts w:eastAsia="SimHei"/>
                      <w:color w:val="FF0000"/>
                      <w:sz w:val="24"/>
                    </w:rPr>
                    <w:br/>
                  </w:r>
                  <w:r>
                    <w:rPr>
                      <w:rFonts w:eastAsia="SimHei" w:hint="eastAsia"/>
                      <w:color w:val="FF0000"/>
                      <w:sz w:val="24"/>
                    </w:rPr>
                    <w:t>包括第二、第三、第四和第五次报告</w:t>
                  </w:r>
                </w:p>
                <w:p w:rsidR="005052D3" w:rsidRDefault="005052D3">
                  <w:pPr>
                    <w:pStyle w:val="Date"/>
                    <w:spacing w:line="380" w:lineRule="exact"/>
                    <w:rPr>
                      <w:rFonts w:hint="eastAsia"/>
                    </w:rPr>
                  </w:pPr>
                </w:p>
                <w:p w:rsidR="005052D3" w:rsidRDefault="005052D3">
                  <w:pPr>
                    <w:spacing w:line="380" w:lineRule="exact"/>
                  </w:pPr>
                </w:p>
                <w:p w:rsidR="005052D3" w:rsidRDefault="005052D3">
                  <w:pPr>
                    <w:spacing w:line="380" w:lineRule="exact"/>
                  </w:pPr>
                </w:p>
                <w:p w:rsidR="005052D3" w:rsidRDefault="005052D3">
                  <w:pPr>
                    <w:spacing w:line="380" w:lineRule="exact"/>
                  </w:pPr>
                </w:p>
                <w:p w:rsidR="005052D3" w:rsidRDefault="005052D3">
                  <w:pPr>
                    <w:spacing w:line="380" w:lineRule="exact"/>
                  </w:pPr>
                </w:p>
                <w:p w:rsidR="005052D3" w:rsidRDefault="005052D3">
                  <w:pPr>
                    <w:spacing w:line="380" w:lineRule="exact"/>
                  </w:pPr>
                </w:p>
                <w:p w:rsidR="005052D3" w:rsidRDefault="005052D3">
                  <w:pPr>
                    <w:spacing w:line="380" w:lineRule="exact"/>
                  </w:pPr>
                </w:p>
                <w:p w:rsidR="005052D3" w:rsidRDefault="005052D3">
                  <w:pPr>
                    <w:spacing w:line="380" w:lineRule="exact"/>
                  </w:pPr>
                </w:p>
                <w:p w:rsidR="005052D3" w:rsidRDefault="005052D3">
                  <w:pPr>
                    <w:spacing w:line="380" w:lineRule="exact"/>
                  </w:pPr>
                </w:p>
                <w:p w:rsidR="005052D3" w:rsidRDefault="005052D3">
                  <w:pPr>
                    <w:spacing w:line="380" w:lineRule="exact"/>
                  </w:pPr>
                </w:p>
                <w:p w:rsidR="005052D3" w:rsidRDefault="005052D3">
                  <w:pPr>
                    <w:spacing w:line="380" w:lineRule="exact"/>
                    <w:rPr>
                      <w:rFonts w:hint="eastAsia"/>
                    </w:rPr>
                  </w:pPr>
                  <w:r>
                    <w:rPr>
                      <w:rFonts w:hint="eastAsia"/>
                    </w:rPr>
                    <w:t>马拉维利隆圭3号 性别和社区服务部</w:t>
                  </w:r>
                </w:p>
                <w:p w:rsidR="005052D3" w:rsidRDefault="005052D3">
                  <w:pPr>
                    <w:spacing w:line="380" w:lineRule="exact"/>
                  </w:pPr>
                  <w:r>
                    <w:rPr>
                      <w:rFonts w:hint="eastAsia"/>
                    </w:rPr>
                    <w:t>Private Bag 330</w:t>
                  </w:r>
                </w:p>
                <w:p w:rsidR="005052D3" w:rsidRDefault="005052D3">
                  <w:pPr>
                    <w:spacing w:line="380" w:lineRule="exact"/>
                  </w:pPr>
                </w:p>
                <w:p w:rsidR="005052D3" w:rsidRDefault="005052D3">
                  <w:pPr>
                    <w:spacing w:line="380" w:lineRule="exact"/>
                    <w:rPr>
                      <w:rFonts w:hint="eastAsia"/>
                    </w:rPr>
                  </w:pPr>
                  <w:r>
                    <w:rPr>
                      <w:rFonts w:hint="eastAsia"/>
                    </w:rPr>
                    <w:t>电话：265 1770411/772334/774105</w:t>
                  </w:r>
                </w:p>
                <w:p w:rsidR="005052D3" w:rsidRDefault="005052D3">
                  <w:pPr>
                    <w:spacing w:line="380" w:lineRule="exact"/>
                    <w:rPr>
                      <w:rFonts w:hint="eastAsia"/>
                    </w:rPr>
                  </w:pPr>
                  <w:r>
                    <w:rPr>
                      <w:rFonts w:hint="eastAsia"/>
                    </w:rPr>
                    <w:t>传真：265 1770826/774105</w:t>
                  </w:r>
                </w:p>
                <w:p w:rsidR="005052D3" w:rsidRDefault="005052D3">
                  <w:pPr>
                    <w:pStyle w:val="Date"/>
                  </w:pPr>
                </w:p>
              </w:txbxContent>
            </v:textbox>
          </v:shape>
        </w:pict>
      </w:r>
    </w:p>
    <w:p w:rsidR="005052D3" w:rsidRDefault="005052D3">
      <w:pPr>
        <w:spacing w:after="240" w:line="360" w:lineRule="atLeast"/>
        <w:rPr>
          <w:rFonts w:eastAsia="SimHei"/>
          <w:sz w:val="28"/>
        </w:rPr>
      </w:pPr>
    </w:p>
    <w:p w:rsidR="005052D3" w:rsidRDefault="005052D3">
      <w:pPr>
        <w:spacing w:after="240" w:line="360" w:lineRule="atLeast"/>
        <w:rPr>
          <w:rFonts w:eastAsia="SimHei"/>
          <w:sz w:val="28"/>
        </w:rPr>
      </w:pPr>
    </w:p>
    <w:p w:rsidR="005052D3" w:rsidRDefault="005052D3">
      <w:pPr>
        <w:spacing w:after="240" w:line="360" w:lineRule="atLeast"/>
        <w:rPr>
          <w:rFonts w:eastAsia="SimHei"/>
          <w:sz w:val="28"/>
        </w:rPr>
      </w:pPr>
    </w:p>
    <w:p w:rsidR="005052D3" w:rsidRDefault="005052D3">
      <w:pPr>
        <w:spacing w:after="240" w:line="360" w:lineRule="atLeast"/>
        <w:rPr>
          <w:rFonts w:eastAsia="SimHei"/>
          <w:sz w:val="28"/>
        </w:rPr>
      </w:pPr>
    </w:p>
    <w:p w:rsidR="005052D3" w:rsidRDefault="005052D3">
      <w:pPr>
        <w:spacing w:after="240" w:line="360" w:lineRule="atLeast"/>
        <w:rPr>
          <w:rFonts w:eastAsia="SimHei"/>
          <w:sz w:val="28"/>
        </w:rPr>
      </w:pPr>
    </w:p>
    <w:p w:rsidR="005052D3" w:rsidRDefault="005052D3">
      <w:pPr>
        <w:spacing w:after="240" w:line="360" w:lineRule="atLeast"/>
        <w:rPr>
          <w:rFonts w:eastAsia="SimHei"/>
          <w:sz w:val="28"/>
        </w:rPr>
      </w:pPr>
    </w:p>
    <w:p w:rsidR="005052D3" w:rsidRDefault="005052D3">
      <w:pPr>
        <w:spacing w:after="240" w:line="360" w:lineRule="atLeast"/>
        <w:rPr>
          <w:rFonts w:eastAsia="SimHei"/>
          <w:sz w:val="28"/>
        </w:rPr>
      </w:pPr>
    </w:p>
    <w:p w:rsidR="005052D3" w:rsidRDefault="005052D3">
      <w:pPr>
        <w:spacing w:after="240" w:line="360" w:lineRule="atLeast"/>
        <w:rPr>
          <w:rFonts w:eastAsia="SimHei"/>
          <w:sz w:val="28"/>
        </w:rPr>
      </w:pPr>
    </w:p>
    <w:p w:rsidR="005052D3" w:rsidRDefault="005052D3">
      <w:pPr>
        <w:spacing w:after="240" w:line="360" w:lineRule="atLeast"/>
        <w:rPr>
          <w:rFonts w:eastAsia="SimHei"/>
          <w:sz w:val="28"/>
        </w:rPr>
      </w:pPr>
    </w:p>
    <w:p w:rsidR="005052D3" w:rsidRDefault="005052D3">
      <w:pPr>
        <w:spacing w:after="240" w:line="360" w:lineRule="atLeast"/>
        <w:rPr>
          <w:rFonts w:eastAsia="SimHei"/>
          <w:sz w:val="28"/>
        </w:rPr>
      </w:pPr>
    </w:p>
    <w:p w:rsidR="005052D3" w:rsidRDefault="005052D3">
      <w:pPr>
        <w:spacing w:after="240" w:line="360" w:lineRule="atLeast"/>
        <w:rPr>
          <w:rFonts w:eastAsia="SimHei"/>
          <w:sz w:val="28"/>
        </w:rPr>
      </w:pPr>
    </w:p>
    <w:p w:rsidR="005052D3" w:rsidRDefault="005052D3">
      <w:pPr>
        <w:spacing w:after="240" w:line="360" w:lineRule="atLeast"/>
        <w:rPr>
          <w:rFonts w:eastAsia="SimHei"/>
          <w:sz w:val="28"/>
        </w:rPr>
      </w:pPr>
    </w:p>
    <w:p w:rsidR="005052D3" w:rsidRDefault="005052D3">
      <w:pPr>
        <w:pStyle w:val="HCh"/>
        <w:spacing w:after="120"/>
        <w:rPr>
          <w:rFonts w:eastAsia="SimSun"/>
        </w:rPr>
      </w:pPr>
      <w:bookmarkStart w:id="1" w:name="_Toc83142685"/>
      <w:r>
        <w:rPr>
          <w:rFonts w:eastAsia="SimSun"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052D3">
        <w:tblPrEx>
          <w:tblCellMar>
            <w:top w:w="0" w:type="dxa"/>
            <w:bottom w:w="0" w:type="dxa"/>
          </w:tblCellMar>
        </w:tblPrEx>
        <w:tc>
          <w:tcPr>
            <w:tcW w:w="1060" w:type="dxa"/>
          </w:tcPr>
          <w:p w:rsidR="005052D3" w:rsidRDefault="005052D3">
            <w:pPr>
              <w:spacing w:after="120" w:line="240" w:lineRule="auto"/>
              <w:jc w:val="right"/>
              <w:rPr>
                <w:rFonts w:eastAsia="KaiTi_GB2312"/>
                <w:color w:val="0000FF"/>
                <w:sz w:val="16"/>
              </w:rPr>
            </w:pPr>
          </w:p>
        </w:tc>
        <w:tc>
          <w:tcPr>
            <w:tcW w:w="7315" w:type="dxa"/>
          </w:tcPr>
          <w:p w:rsidR="005052D3" w:rsidRDefault="005052D3">
            <w:pPr>
              <w:spacing w:after="120" w:line="240" w:lineRule="auto"/>
              <w:rPr>
                <w:rFonts w:eastAsia="KaiTi_GB2312"/>
                <w:color w:val="0000FF"/>
                <w:sz w:val="16"/>
              </w:rPr>
            </w:pPr>
          </w:p>
        </w:tc>
        <w:tc>
          <w:tcPr>
            <w:tcW w:w="994" w:type="dxa"/>
          </w:tcPr>
          <w:p w:rsidR="005052D3" w:rsidRDefault="005052D3">
            <w:pPr>
              <w:spacing w:after="120" w:line="240" w:lineRule="auto"/>
              <w:jc w:val="right"/>
              <w:rPr>
                <w:rFonts w:eastAsia="KaiTi_GB2312"/>
                <w:color w:val="0000FF"/>
                <w:sz w:val="16"/>
              </w:rPr>
            </w:pPr>
          </w:p>
        </w:tc>
        <w:tc>
          <w:tcPr>
            <w:tcW w:w="533" w:type="dxa"/>
          </w:tcPr>
          <w:p w:rsidR="005052D3" w:rsidRDefault="005052D3">
            <w:pPr>
              <w:spacing w:after="120" w:line="240" w:lineRule="auto"/>
              <w:jc w:val="right"/>
              <w:rPr>
                <w:rFonts w:eastAsia="KaiTi_GB2312"/>
                <w:color w:val="0000FF"/>
                <w:sz w:val="16"/>
              </w:rPr>
            </w:pPr>
            <w:r>
              <w:rPr>
                <w:rFonts w:eastAsia="KaiTi_GB2312" w:hint="eastAsia"/>
                <w:color w:val="0000FF"/>
                <w:sz w:val="16"/>
              </w:rPr>
              <w:t>页次</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080"/>
              <w:rPr>
                <w:rFonts w:hint="eastAsia"/>
              </w:rPr>
            </w:pPr>
            <w:r>
              <w:rPr>
                <w:rFonts w:hint="eastAsia"/>
              </w:rPr>
              <w:t>导言</w:t>
            </w:r>
            <w:r>
              <w:tab/>
            </w:r>
            <w:r>
              <w:tab/>
            </w:r>
          </w:p>
        </w:tc>
        <w:tc>
          <w:tcPr>
            <w:tcW w:w="533" w:type="dxa"/>
            <w:vAlign w:val="bottom"/>
          </w:tcPr>
          <w:p w:rsidR="005052D3" w:rsidRDefault="005052D3">
            <w:pPr>
              <w:spacing w:after="120"/>
              <w:ind w:right="28"/>
              <w:jc w:val="right"/>
            </w:pPr>
            <w:r>
              <w:t>4</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080"/>
            </w:pPr>
            <w:r>
              <w:rPr>
                <w:rFonts w:hint="eastAsia"/>
              </w:rPr>
              <w:t>第一部分：马拉维的背景信息</w:t>
            </w:r>
            <w:r>
              <w:rPr>
                <w:rFonts w:hint="eastAsia"/>
              </w:rPr>
              <w:tab/>
            </w:r>
            <w:r>
              <w:tab/>
            </w:r>
          </w:p>
        </w:tc>
        <w:tc>
          <w:tcPr>
            <w:tcW w:w="533" w:type="dxa"/>
            <w:vAlign w:val="bottom"/>
          </w:tcPr>
          <w:p w:rsidR="005052D3" w:rsidRDefault="005052D3">
            <w:pPr>
              <w:spacing w:after="120"/>
              <w:ind w:right="28"/>
              <w:jc w:val="right"/>
            </w:pPr>
            <w:r>
              <w:t>4</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080"/>
            </w:pPr>
            <w:r>
              <w:rPr>
                <w:rFonts w:hint="eastAsia"/>
              </w:rPr>
              <w:t>第二部分：逐条列出的进步、限制和现状</w:t>
            </w:r>
            <w:r>
              <w:tab/>
            </w:r>
          </w:p>
        </w:tc>
        <w:tc>
          <w:tcPr>
            <w:tcW w:w="533" w:type="dxa"/>
            <w:vAlign w:val="bottom"/>
          </w:tcPr>
          <w:p w:rsidR="005052D3" w:rsidRDefault="005052D3">
            <w:pPr>
              <w:spacing w:after="120"/>
              <w:ind w:right="28"/>
              <w:jc w:val="right"/>
            </w:pPr>
            <w:r>
              <w:t>13</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第1条：对妇女歧视的定义</w:t>
            </w:r>
            <w:r>
              <w:tab/>
            </w:r>
          </w:p>
        </w:tc>
        <w:tc>
          <w:tcPr>
            <w:tcW w:w="533" w:type="dxa"/>
            <w:vAlign w:val="bottom"/>
          </w:tcPr>
          <w:p w:rsidR="005052D3" w:rsidRDefault="005052D3">
            <w:pPr>
              <w:spacing w:after="120"/>
              <w:ind w:right="28"/>
              <w:jc w:val="right"/>
            </w:pPr>
            <w:r>
              <w:t>13</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第2条：消除歧视的义务</w:t>
            </w:r>
            <w:r>
              <w:tab/>
            </w:r>
          </w:p>
        </w:tc>
        <w:tc>
          <w:tcPr>
            <w:tcW w:w="533" w:type="dxa"/>
            <w:vAlign w:val="bottom"/>
          </w:tcPr>
          <w:p w:rsidR="005052D3" w:rsidRDefault="005052D3">
            <w:pPr>
              <w:spacing w:after="120"/>
              <w:ind w:right="28"/>
              <w:jc w:val="right"/>
            </w:pPr>
            <w:r>
              <w:t>15</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第3条：妇女取得进步和发展的适当措施</w:t>
            </w:r>
            <w:r>
              <w:tab/>
            </w:r>
          </w:p>
        </w:tc>
        <w:tc>
          <w:tcPr>
            <w:tcW w:w="533" w:type="dxa"/>
            <w:vAlign w:val="bottom"/>
          </w:tcPr>
          <w:p w:rsidR="005052D3" w:rsidRDefault="005052D3">
            <w:pPr>
              <w:spacing w:after="120"/>
              <w:ind w:right="28"/>
              <w:jc w:val="right"/>
            </w:pPr>
            <w:r>
              <w:t>22</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第4条：加速男女平等</w:t>
            </w:r>
            <w:r>
              <w:tab/>
            </w:r>
          </w:p>
        </w:tc>
        <w:tc>
          <w:tcPr>
            <w:tcW w:w="533" w:type="dxa"/>
            <w:vAlign w:val="bottom"/>
          </w:tcPr>
          <w:p w:rsidR="005052D3" w:rsidRDefault="005052D3">
            <w:pPr>
              <w:spacing w:after="120"/>
              <w:ind w:right="28"/>
              <w:jc w:val="right"/>
            </w:pPr>
            <w:r>
              <w:t>25</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第5条：男女角色和传统观念</w:t>
            </w:r>
            <w:r>
              <w:tab/>
            </w:r>
          </w:p>
        </w:tc>
        <w:tc>
          <w:tcPr>
            <w:tcW w:w="533" w:type="dxa"/>
            <w:vAlign w:val="bottom"/>
          </w:tcPr>
          <w:p w:rsidR="005052D3" w:rsidRDefault="005052D3">
            <w:pPr>
              <w:spacing w:after="120"/>
              <w:ind w:right="28"/>
              <w:jc w:val="right"/>
            </w:pPr>
            <w:r>
              <w:t>28</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第6条：对妇女的剥削</w:t>
            </w:r>
            <w:r>
              <w:tab/>
            </w:r>
          </w:p>
        </w:tc>
        <w:tc>
          <w:tcPr>
            <w:tcW w:w="533" w:type="dxa"/>
            <w:vAlign w:val="bottom"/>
          </w:tcPr>
          <w:p w:rsidR="005052D3" w:rsidRDefault="005052D3">
            <w:pPr>
              <w:spacing w:after="120"/>
              <w:ind w:right="28"/>
              <w:jc w:val="right"/>
            </w:pPr>
            <w:r>
              <w:t>32</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第7条：政治和公共生活</w:t>
            </w:r>
            <w:r>
              <w:tab/>
            </w:r>
          </w:p>
        </w:tc>
        <w:tc>
          <w:tcPr>
            <w:tcW w:w="533" w:type="dxa"/>
            <w:vAlign w:val="bottom"/>
          </w:tcPr>
          <w:p w:rsidR="005052D3" w:rsidRDefault="005052D3">
            <w:pPr>
              <w:spacing w:after="120"/>
              <w:ind w:right="28"/>
              <w:jc w:val="right"/>
            </w:pPr>
            <w:r>
              <w:t>35</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第8条：国际代表和参与</w:t>
            </w:r>
            <w:r>
              <w:tab/>
            </w:r>
          </w:p>
        </w:tc>
        <w:tc>
          <w:tcPr>
            <w:tcW w:w="533" w:type="dxa"/>
            <w:vAlign w:val="bottom"/>
          </w:tcPr>
          <w:p w:rsidR="005052D3" w:rsidRDefault="005052D3">
            <w:pPr>
              <w:spacing w:after="120"/>
              <w:ind w:right="28"/>
              <w:jc w:val="right"/>
            </w:pPr>
            <w:r>
              <w:t>38</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第9条：国籍</w:t>
            </w:r>
            <w:r>
              <w:tab/>
            </w:r>
          </w:p>
        </w:tc>
        <w:tc>
          <w:tcPr>
            <w:tcW w:w="533" w:type="dxa"/>
            <w:vAlign w:val="bottom"/>
          </w:tcPr>
          <w:p w:rsidR="005052D3" w:rsidRDefault="005052D3">
            <w:pPr>
              <w:spacing w:after="120"/>
              <w:ind w:right="28"/>
              <w:jc w:val="right"/>
            </w:pPr>
            <w:r>
              <w:t>39</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第10条：教育和培训</w:t>
            </w:r>
            <w:r>
              <w:tab/>
            </w:r>
          </w:p>
        </w:tc>
        <w:tc>
          <w:tcPr>
            <w:tcW w:w="533" w:type="dxa"/>
            <w:vAlign w:val="bottom"/>
          </w:tcPr>
          <w:p w:rsidR="005052D3" w:rsidRDefault="005052D3">
            <w:pPr>
              <w:spacing w:after="120"/>
              <w:ind w:right="28"/>
              <w:jc w:val="right"/>
            </w:pPr>
            <w:r>
              <w:t>40</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第11条：就业</w:t>
            </w:r>
            <w:r>
              <w:tab/>
            </w:r>
          </w:p>
        </w:tc>
        <w:tc>
          <w:tcPr>
            <w:tcW w:w="533" w:type="dxa"/>
            <w:vAlign w:val="bottom"/>
          </w:tcPr>
          <w:p w:rsidR="005052D3" w:rsidRDefault="005052D3">
            <w:pPr>
              <w:spacing w:after="120"/>
              <w:ind w:right="28"/>
              <w:jc w:val="right"/>
            </w:pPr>
            <w:r>
              <w:t>49</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第12条：健康和保健服务</w:t>
            </w:r>
            <w:r>
              <w:tab/>
            </w:r>
          </w:p>
        </w:tc>
        <w:tc>
          <w:tcPr>
            <w:tcW w:w="533" w:type="dxa"/>
            <w:vAlign w:val="bottom"/>
          </w:tcPr>
          <w:p w:rsidR="005052D3" w:rsidRDefault="005052D3">
            <w:pPr>
              <w:spacing w:after="120"/>
              <w:ind w:right="28"/>
              <w:jc w:val="right"/>
            </w:pPr>
            <w:r>
              <w:t>53</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第13条：社会和经济福利</w:t>
            </w:r>
            <w:r>
              <w:tab/>
            </w:r>
          </w:p>
        </w:tc>
        <w:tc>
          <w:tcPr>
            <w:tcW w:w="533" w:type="dxa"/>
            <w:vAlign w:val="bottom"/>
          </w:tcPr>
          <w:p w:rsidR="005052D3" w:rsidRDefault="005052D3">
            <w:pPr>
              <w:spacing w:after="120"/>
              <w:ind w:right="28"/>
              <w:jc w:val="right"/>
            </w:pPr>
            <w:r>
              <w:t>60</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第14条：农村妇女</w:t>
            </w:r>
            <w:r>
              <w:tab/>
            </w:r>
          </w:p>
        </w:tc>
        <w:tc>
          <w:tcPr>
            <w:tcW w:w="533" w:type="dxa"/>
            <w:vAlign w:val="bottom"/>
          </w:tcPr>
          <w:p w:rsidR="005052D3" w:rsidRDefault="005052D3">
            <w:pPr>
              <w:spacing w:after="120"/>
              <w:ind w:right="28"/>
              <w:jc w:val="right"/>
            </w:pPr>
            <w:r>
              <w:t>63</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第15条：法律面前的平等</w:t>
            </w:r>
            <w:r>
              <w:tab/>
            </w:r>
          </w:p>
        </w:tc>
        <w:tc>
          <w:tcPr>
            <w:tcW w:w="533" w:type="dxa"/>
            <w:vAlign w:val="bottom"/>
          </w:tcPr>
          <w:p w:rsidR="005052D3" w:rsidRDefault="005052D3">
            <w:pPr>
              <w:spacing w:after="120"/>
              <w:ind w:right="28"/>
              <w:jc w:val="right"/>
            </w:pPr>
            <w:r>
              <w:t>72</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第16条：婚姻和家庭法律中的平等</w:t>
            </w:r>
            <w:r>
              <w:tab/>
            </w:r>
          </w:p>
        </w:tc>
        <w:tc>
          <w:tcPr>
            <w:tcW w:w="533" w:type="dxa"/>
            <w:vAlign w:val="bottom"/>
          </w:tcPr>
          <w:p w:rsidR="005052D3" w:rsidRDefault="005052D3">
            <w:pPr>
              <w:spacing w:after="120"/>
              <w:ind w:right="28"/>
              <w:jc w:val="right"/>
            </w:pPr>
            <w:r>
              <w:t>77</w:t>
            </w:r>
          </w:p>
        </w:tc>
      </w:tr>
      <w:tr w:rsidR="005052D3">
        <w:tblPrEx>
          <w:tblCellMar>
            <w:top w:w="0" w:type="dxa"/>
            <w:bottom w:w="0" w:type="dxa"/>
          </w:tblCellMar>
        </w:tblPrEx>
        <w:trPr>
          <w:cantSplit/>
        </w:trPr>
        <w:tc>
          <w:tcPr>
            <w:tcW w:w="9369" w:type="dxa"/>
            <w:gridSpan w:val="3"/>
          </w:tcPr>
          <w:p w:rsidR="005052D3" w:rsidRDefault="005052D3">
            <w:pPr>
              <w:tabs>
                <w:tab w:val="right" w:pos="1080"/>
                <w:tab w:val="right" w:leader="dot" w:pos="9371"/>
              </w:tabs>
              <w:spacing w:after="120"/>
              <w:ind w:left="1500"/>
            </w:pPr>
            <w:r>
              <w:rPr>
                <w:rFonts w:hint="eastAsia"/>
              </w:rPr>
              <w:t>报告的资料来源</w:t>
            </w:r>
            <w:r>
              <w:tab/>
            </w:r>
          </w:p>
        </w:tc>
        <w:tc>
          <w:tcPr>
            <w:tcW w:w="533" w:type="dxa"/>
            <w:vAlign w:val="bottom"/>
          </w:tcPr>
          <w:p w:rsidR="005052D3" w:rsidRDefault="005052D3">
            <w:pPr>
              <w:spacing w:after="120"/>
              <w:ind w:right="28"/>
              <w:jc w:val="right"/>
            </w:pPr>
            <w:r>
              <w:t>84</w:t>
            </w:r>
          </w:p>
        </w:tc>
      </w:tr>
    </w:tbl>
    <w:p w:rsidR="005052D3" w:rsidRDefault="005052D3"/>
    <w:bookmarkEnd w:id="1"/>
    <w:p w:rsidR="005052D3" w:rsidRDefault="005052D3">
      <w:pPr>
        <w:tabs>
          <w:tab w:val="right" w:pos="1080"/>
          <w:tab w:val="right" w:leader="dot" w:pos="9371"/>
        </w:tabs>
        <w:spacing w:after="120"/>
        <w:ind w:left="1080"/>
        <w:rPr>
          <w:rFonts w:eastAsia="KaiTi_GB2312" w:hint="eastAsia"/>
          <w:color w:val="0000FF"/>
        </w:rPr>
      </w:pPr>
    </w:p>
    <w:p w:rsidR="005052D3" w:rsidRDefault="005052D3">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rPr>
          <w:rFonts w:hint="eastAsia"/>
        </w:rPr>
      </w:pPr>
      <w:r>
        <w:rPr>
          <w:rFonts w:eastAsia="KaiTi_GB2312"/>
          <w:color w:val="0000FF"/>
        </w:rPr>
        <w:br w:type="page"/>
      </w:r>
      <w:bookmarkStart w:id="2" w:name="_Toc83142686"/>
      <w:r>
        <w:rPr>
          <w:rFonts w:eastAsia="KaiTi_GB2312"/>
          <w:color w:val="0000FF"/>
        </w:rPr>
        <w:tab/>
      </w:r>
      <w:r>
        <w:rPr>
          <w:rFonts w:eastAsia="KaiTi_GB2312"/>
          <w:color w:val="0000FF"/>
        </w:rPr>
        <w:tab/>
      </w:r>
      <w:r>
        <w:rPr>
          <w:rFonts w:hint="eastAsia"/>
        </w:rPr>
        <w:t>导言</w:t>
      </w:r>
      <w:bookmarkEnd w:id="2"/>
    </w:p>
    <w:p w:rsidR="005052D3" w:rsidRDefault="005052D3">
      <w:pPr>
        <w:pStyle w:val="SingleTxt"/>
        <w:rPr>
          <w:rFonts w:hint="eastAsia"/>
        </w:rPr>
      </w:pPr>
      <w:r>
        <w:tab/>
      </w:r>
      <w:r>
        <w:rPr>
          <w:rFonts w:hint="eastAsia"/>
        </w:rPr>
        <w:t>1988年，马拉维向消除对妇女一切形式歧视委员会提交了其初次报告，该委员会分别于1990年1月23日和25日在其第154次和第158次会议上对该报告及其修正案</w:t>
      </w:r>
      <w:r>
        <w:rPr>
          <w:rStyle w:val="FootnoteReference"/>
        </w:rPr>
        <w:footnoteReference w:id="2"/>
      </w:r>
      <w:r>
        <w:t>.</w:t>
      </w:r>
      <w:r>
        <w:rPr>
          <w:rFonts w:hint="eastAsia"/>
        </w:rPr>
        <w:t>进行了审议。</w:t>
      </w:r>
    </w:p>
    <w:p w:rsidR="005052D3" w:rsidRDefault="005052D3">
      <w:pPr>
        <w:pStyle w:val="SingleTxt"/>
        <w:rPr>
          <w:rFonts w:hint="eastAsia"/>
        </w:rPr>
      </w:pPr>
      <w:r>
        <w:tab/>
      </w:r>
      <w:r>
        <w:rPr>
          <w:rFonts w:hint="eastAsia"/>
        </w:rPr>
        <w:t>接下来的第二、第三、第四、第五次报告应该分别于1992、1996、2000及2004年的4月11日提交。由于马拉维政府无法控制的情况，上述前三份报告未能及时提交。因此，本报告由这三份报告和2004年的报告共同组成。为保证该报告的编制，马拉维政府及其重大利益相关者成立了消除对妇女歧视委员会全国工作委员会，该委员会由来自不同组织的10位成员组成，这些组织包括马拉维政府、非政府组织、民间社会及私人部门。</w:t>
      </w:r>
      <w:r>
        <w:rPr>
          <w:rStyle w:val="FootnoteReference"/>
        </w:rPr>
        <w:footnoteReference w:id="3"/>
      </w:r>
      <w:r>
        <w:t xml:space="preserve"> </w:t>
      </w:r>
      <w:r>
        <w:rPr>
          <w:rFonts w:hint="eastAsia"/>
        </w:rPr>
        <w:t>该委员会的职权范围包括编制该国的《消除对妇女一切形式歧视公约》报告。</w:t>
      </w:r>
    </w:p>
    <w:p w:rsidR="005052D3" w:rsidRDefault="005052D3">
      <w:pPr>
        <w:pStyle w:val="SingleTxt"/>
        <w:rPr>
          <w:rFonts w:hint="eastAsia"/>
        </w:rPr>
      </w:pPr>
      <w:r>
        <w:tab/>
      </w:r>
      <w:r>
        <w:rPr>
          <w:rFonts w:hint="eastAsia"/>
        </w:rPr>
        <w:t>作为资料搜集的一部分，专门进行了小组讨论。参加者有专门选出的社区成员，组成了30个小组，每个小组10人，均有妇女、男子、女青年和男青年，这些人来自城乡的母系和父系团体。该报告的第一稿在重大利益相关者研讨会上提交，提出的建议均纳入了本报告。</w:t>
      </w:r>
    </w:p>
    <w:p w:rsidR="005052D3" w:rsidRDefault="005052D3">
      <w:pPr>
        <w:pStyle w:val="SingleTxt"/>
        <w:rPr>
          <w:rFonts w:hint="eastAsia"/>
        </w:rPr>
      </w:pPr>
      <w:r>
        <w:tab/>
      </w:r>
      <w:r>
        <w:rPr>
          <w:rFonts w:hint="eastAsia"/>
        </w:rPr>
        <w:t>该报告在编制过程中遵循了《消除对妇女一切形式歧视公约》报告的指导方针，考虑到了消除对妇女歧视委员会在审议初次报告后提出的意见。</w:t>
      </w:r>
    </w:p>
    <w:p w:rsidR="005052D3" w:rsidRDefault="005052D3">
      <w:pPr>
        <w:pStyle w:val="SingleTxt"/>
        <w:rPr>
          <w:rFonts w:hint="eastAsia"/>
        </w:rPr>
      </w:pPr>
      <w:r>
        <w:tab/>
      </w:r>
      <w:r>
        <w:rPr>
          <w:rFonts w:hint="eastAsia"/>
        </w:rPr>
        <w:t>该报告分为两部分。第一部分提供了马拉维的背景信息，重点是该国的性别概况。把这一部分包括在内，主要是为了提供最新资料，反映出马拉维在妇女与发展领域所取得的进步。</w:t>
      </w:r>
      <w:r>
        <w:t xml:space="preserve"> </w:t>
      </w:r>
    </w:p>
    <w:p w:rsidR="005052D3" w:rsidRDefault="005052D3">
      <w:pPr>
        <w:pStyle w:val="SingleTxt"/>
        <w:rPr>
          <w:rFonts w:hint="eastAsia"/>
        </w:rPr>
      </w:pPr>
      <w:r>
        <w:tab/>
      </w:r>
      <w:r>
        <w:rPr>
          <w:rFonts w:hint="eastAsia"/>
        </w:rPr>
        <w:t>第二部分包含在实施《消除对妇女一切形式歧视公约》过程中所取得的进步。该报告解释了该国采取的法律政策和计划措施。进一步报告了马拉维各社区的现实情况。马拉维政府认为，各社区妇女、男子和男女青年的经验知识以及他们的实际观察对评估妇女享有的权利和人们享有的权利方面具有非常重要的意义。</w:t>
      </w:r>
    </w:p>
    <w:p w:rsidR="005052D3" w:rsidRDefault="005052D3">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pPr>
      <w:bookmarkStart w:id="3" w:name="_Toc377350745"/>
      <w:bookmarkStart w:id="4" w:name="_Toc83142687"/>
      <w:r>
        <w:tab/>
      </w:r>
      <w:r>
        <w:tab/>
      </w:r>
      <w:r>
        <w:rPr>
          <w:rFonts w:hint="eastAsia"/>
        </w:rPr>
        <w:t>第一部分：马拉维的背景信息</w:t>
      </w:r>
      <w:bookmarkEnd w:id="3"/>
      <w:bookmarkEnd w:id="4"/>
    </w:p>
    <w:p w:rsidR="005052D3" w:rsidRDefault="005052D3">
      <w:pPr>
        <w:pStyle w:val="SingleTxt"/>
        <w:rPr>
          <w:rFonts w:hint="eastAsia"/>
        </w:rPr>
      </w:pPr>
      <w:r>
        <w:rPr>
          <w:szCs w:val="24"/>
        </w:rPr>
        <w:tab/>
      </w:r>
      <w:r>
        <w:rPr>
          <w:rFonts w:hint="eastAsia"/>
          <w:szCs w:val="24"/>
        </w:rPr>
        <w:t>本部分简要介绍了马拉维总的社会、经济、政治和法律框架。这构成了马拉维实施</w:t>
      </w:r>
      <w:r>
        <w:rPr>
          <w:rFonts w:hint="eastAsia"/>
        </w:rPr>
        <w:t>《消除对妇女一切形式歧视公约》的环境。马拉维是世界上最穷的国家之一，这些信息进一步揭示出使得该国的妇女享有比男子更少权利的男女之间的巨大差距。</w:t>
      </w:r>
    </w:p>
    <w:p w:rsidR="005052D3" w:rsidRDefault="005052D3">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pPr>
      <w:r>
        <w:tab/>
      </w:r>
      <w:r>
        <w:rPr>
          <w:rFonts w:hint="eastAsia"/>
        </w:rPr>
        <w:t>1．</w:t>
      </w:r>
      <w:r>
        <w:tab/>
      </w:r>
      <w:r>
        <w:rPr>
          <w:rFonts w:hint="eastAsia"/>
        </w:rPr>
        <w:t>导言</w:t>
      </w:r>
    </w:p>
    <w:p w:rsidR="005052D3" w:rsidRDefault="005052D3">
      <w:pPr>
        <w:pStyle w:val="SingleTxt"/>
      </w:pPr>
      <w:r>
        <w:t>1.1</w:t>
      </w:r>
      <w:r>
        <w:tab/>
      </w:r>
      <w:r>
        <w:rPr>
          <w:rFonts w:hint="eastAsia"/>
        </w:rPr>
        <w:t>根据1998年的人口普查，马拉维人口约为9 900万，其中妇女占51%，两次人口普查之间的增长率为2%。</w:t>
      </w:r>
      <w:r>
        <w:rPr>
          <w:rStyle w:val="FootnoteReference"/>
          <w:szCs w:val="24"/>
        </w:rPr>
        <w:footnoteReference w:id="4"/>
      </w:r>
      <w:r>
        <w:rPr>
          <w:rFonts w:hint="eastAsia"/>
        </w:rPr>
        <w:t xml:space="preserve"> 这意味着，男子与妇女的比例为96</w:t>
      </w:r>
      <w:r>
        <w:t>:</w:t>
      </w:r>
      <w:r>
        <w:rPr>
          <w:rFonts w:hint="eastAsia"/>
        </w:rPr>
        <w:t>100。2000年的人口密度估计达105人/平方公里，而1987年的调查显示，当时的人口密度为85人/平方公里。</w:t>
      </w:r>
      <w:r>
        <w:t xml:space="preserve"> </w:t>
      </w:r>
    </w:p>
    <w:p w:rsidR="005052D3" w:rsidRDefault="005052D3">
      <w:pPr>
        <w:pStyle w:val="SingleTxt"/>
        <w:rPr>
          <w:rFonts w:hint="eastAsia"/>
        </w:rPr>
      </w:pPr>
      <w:r>
        <w:t>1.2</w:t>
      </w:r>
      <w:r>
        <w:tab/>
      </w:r>
      <w:r>
        <w:rPr>
          <w:rFonts w:hint="eastAsia"/>
        </w:rPr>
        <w:t>马拉维是世界上最贫穷的国家之一</w:t>
      </w:r>
      <w:r>
        <w:rPr>
          <w:rFonts w:hint="eastAsia"/>
          <w:lang w:val="en-GB"/>
        </w:rPr>
        <w:t>。根据2002年人类发展指数报告</w:t>
      </w:r>
      <w:r>
        <w:rPr>
          <w:lang w:val="en-GB"/>
        </w:rPr>
        <w:t>,</w:t>
      </w:r>
      <w:r>
        <w:rPr>
          <w:rStyle w:val="FootnoteReference"/>
          <w:lang w:val="en-GB"/>
        </w:rPr>
        <w:footnoteReference w:id="5"/>
      </w:r>
      <w:r>
        <w:rPr>
          <w:rFonts w:hint="eastAsia"/>
          <w:lang w:val="en-GB"/>
        </w:rPr>
        <w:t xml:space="preserve"> 马拉维在173</w:t>
      </w:r>
      <w:r>
        <w:rPr>
          <w:rStyle w:val="FootnoteReference"/>
          <w:lang w:val="en-GB"/>
        </w:rPr>
        <w:footnoteReference w:id="6"/>
      </w:r>
      <w:r>
        <w:rPr>
          <w:lang w:val="en-GB"/>
        </w:rPr>
        <w:t xml:space="preserve"> </w:t>
      </w:r>
      <w:r>
        <w:rPr>
          <w:rFonts w:hint="eastAsia"/>
          <w:lang w:val="en-GB"/>
        </w:rPr>
        <w:t>个国家中排名第163位，为0.400，</w:t>
      </w:r>
      <w:r>
        <w:t xml:space="preserve"> </w:t>
      </w:r>
      <w:r>
        <w:rPr>
          <w:rFonts w:hint="eastAsia"/>
        </w:rPr>
        <w:t>这个数字低于1995年报告的数字，当时马拉维排名第90位，指数是0.62。该国是农业占主导地位的国家，主要依赖于农业。农村地区普遍贫穷，生存率为9/10，22%的人口没有卫生设施。贫富之间的差距非常严重，占世界第三位，吉尼系数为0.88。大约3/5的人每月的花费不能超过600克瓦查。</w:t>
      </w:r>
      <w:r>
        <w:rPr>
          <w:rStyle w:val="FootnoteReference"/>
        </w:rPr>
        <w:footnoteReference w:id="7"/>
      </w:r>
      <w:r>
        <w:t xml:space="preserve"> </w:t>
      </w:r>
      <w:r>
        <w:rPr>
          <w:rFonts w:hint="eastAsia"/>
        </w:rPr>
        <w:t>通货膨胀严重，1997年为9.1%，1995、1999、2000年分别为83.1%、44.8%和 29.6%。</w:t>
      </w:r>
      <w:r>
        <w:rPr>
          <w:rStyle w:val="FootnoteReference"/>
        </w:rPr>
        <w:footnoteReference w:id="8"/>
      </w:r>
      <w:r>
        <w:t xml:space="preserve"> </w:t>
      </w:r>
      <w:r>
        <w:rPr>
          <w:rFonts w:hint="eastAsia"/>
        </w:rPr>
        <w:t>参见插入的表格。</w:t>
      </w:r>
    </w:p>
    <w:p w:rsidR="005052D3" w:rsidRDefault="005052D3">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rPr>
          <w:rFonts w:hint="eastAsia"/>
        </w:rPr>
      </w:pPr>
      <w:r>
        <w:tab/>
      </w:r>
      <w:r>
        <w:rPr>
          <w:rFonts w:hint="eastAsia"/>
        </w:rPr>
        <w:t>2.</w:t>
      </w:r>
      <w:r>
        <w:tab/>
      </w:r>
      <w:r>
        <w:rPr>
          <w:rFonts w:hint="eastAsia"/>
        </w:rPr>
        <w:t>土地和人民</w:t>
      </w:r>
    </w:p>
    <w:p w:rsidR="005052D3" w:rsidRDefault="005052D3">
      <w:pPr>
        <w:pStyle w:val="SingleTxt"/>
        <w:rPr>
          <w:rFonts w:hint="eastAsia"/>
        </w:rPr>
      </w:pPr>
      <w:r>
        <w:tab/>
      </w:r>
      <w:r>
        <w:rPr>
          <w:rFonts w:hint="eastAsia"/>
        </w:rPr>
        <w:t>有关民主制度之前的历史、地理面貌、面积和管理等方面，请参阅1988年提交的初次报告。</w:t>
      </w:r>
    </w:p>
    <w:p w:rsidR="005052D3" w:rsidRDefault="005052D3">
      <w:pPr>
        <w:pStyle w:val="SingleTxt"/>
      </w:pPr>
      <w:r>
        <w:t>2.1</w:t>
      </w:r>
      <w:r>
        <w:tab/>
      </w:r>
      <w:r>
        <w:rPr>
          <w:rFonts w:hint="eastAsia"/>
        </w:rPr>
        <w:t>马拉维人口普遍年轻，平均年龄18岁，这种现象反映了1992年马拉维人口和保健调查（MDHS）和1998年人口和住房普查的情况。六分之一的人口为5岁以下的儿童。9</w:t>
      </w:r>
      <w:r>
        <w:t xml:space="preserve"> </w:t>
      </w:r>
      <w:r>
        <w:rPr>
          <w:rFonts w:hint="eastAsia"/>
        </w:rPr>
        <w:t>900万人口中，分布在北部、中部和南部地区的人口分别为120万、310万和410万。</w:t>
      </w:r>
    </w:p>
    <w:p w:rsidR="005052D3" w:rsidRDefault="005052D3">
      <w:pPr>
        <w:pStyle w:val="SingleTxt"/>
        <w:rPr>
          <w:rFonts w:hint="eastAsia"/>
        </w:rPr>
      </w:pPr>
      <w:r>
        <w:t>2.2</w:t>
      </w:r>
      <w:r>
        <w:tab/>
      </w:r>
      <w:r>
        <w:rPr>
          <w:rFonts w:hint="eastAsia"/>
        </w:rPr>
        <w:t>目前，马拉维分为28个区，其中，北方省、中央省和南方省分别有6个、9个和13个区。北方各区以及中央和南方两省的两个区主要是父系社会，其他地区主要是母系社会。两种社会中，男子均占支配地位，家庭和政治权力集中在男子手中。</w:t>
      </w:r>
    </w:p>
    <w:p w:rsidR="005052D3" w:rsidRDefault="005052D3">
      <w:pPr>
        <w:pStyle w:val="SingleTxt"/>
      </w:pPr>
      <w:r>
        <w:t>2.3</w:t>
      </w:r>
      <w:r>
        <w:tab/>
      </w:r>
      <w:r>
        <w:rPr>
          <w:rFonts w:hint="eastAsia"/>
        </w:rPr>
        <w:t>男子在主要决策职位中占了主导地位，表明马拉维存在不平等的权力关系以及妇女的无权状况。下表中的数字说明了这样一个事实，即马拉维男女之间在享有人权方面存在不平等现象。</w:t>
      </w:r>
    </w:p>
    <w:p w:rsidR="005052D3" w:rsidRDefault="005052D3">
      <w:pPr>
        <w:tabs>
          <w:tab w:val="left" w:pos="840"/>
        </w:tabs>
        <w:spacing w:after="240" w:line="360" w:lineRule="atLeast"/>
        <w:rPr>
          <w:rFonts w:hint="eastAsia"/>
        </w:rPr>
      </w:pPr>
      <w:r>
        <w:rPr>
          <w:noProof/>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55" type="#_x0000_t65" style="position:absolute;margin-left:48pt;margin-top:10.4pt;width:384pt;height:582.4pt;z-index:6">
            <v:textbox style="mso-next-textbox:#_x0000_s2055" inset="3.5mm">
              <w:txbxContent>
                <w:p w:rsidR="005052D3" w:rsidRDefault="005052D3">
                  <w:pPr>
                    <w:jc w:val="cente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719"/>
                    <w:gridCol w:w="3270"/>
                    <w:gridCol w:w="687"/>
                    <w:gridCol w:w="753"/>
                    <w:gridCol w:w="601"/>
                    <w:gridCol w:w="8"/>
                    <w:gridCol w:w="622"/>
                  </w:tblGrid>
                  <w:tr w:rsidR="005052D3">
                    <w:tblPrEx>
                      <w:tblCellMar>
                        <w:top w:w="0" w:type="dxa"/>
                        <w:bottom w:w="0" w:type="dxa"/>
                      </w:tblCellMar>
                    </w:tblPrEx>
                    <w:trPr>
                      <w:cantSplit/>
                      <w:trHeight w:val="291"/>
                      <w:tblHeader/>
                      <w:jc w:val="center"/>
                    </w:trPr>
                    <w:tc>
                      <w:tcPr>
                        <w:tcW w:w="719" w:type="dxa"/>
                        <w:vMerge w:val="restart"/>
                        <w:textDirection w:val="btLr"/>
                      </w:tcPr>
                      <w:p w:rsidR="005052D3" w:rsidRDefault="005052D3">
                        <w:pPr>
                          <w:spacing w:before="10"/>
                          <w:ind w:right="113"/>
                          <w:jc w:val="center"/>
                          <w:rPr>
                            <w:rFonts w:hint="eastAsia"/>
                            <w:sz w:val="18"/>
                          </w:rPr>
                        </w:pPr>
                        <w:r>
                          <w:rPr>
                            <w:rFonts w:hint="eastAsia"/>
                            <w:sz w:val="18"/>
                          </w:rPr>
                          <w:t>健康状况</w:t>
                        </w:r>
                      </w:p>
                    </w:tc>
                    <w:tc>
                      <w:tcPr>
                        <w:tcW w:w="3270" w:type="dxa"/>
                      </w:tcPr>
                      <w:p w:rsidR="005052D3" w:rsidRDefault="005052D3">
                        <w:pPr>
                          <w:spacing w:before="10"/>
                          <w:jc w:val="center"/>
                          <w:rPr>
                            <w:rFonts w:ascii="KaiTi_GB2312" w:eastAsia="KaiTi_GB2312"/>
                            <w:bCs/>
                            <w:iCs/>
                            <w:color w:val="0000FF"/>
                            <w:sz w:val="18"/>
                          </w:rPr>
                        </w:pPr>
                        <w:r>
                          <w:rPr>
                            <w:rFonts w:ascii="KaiTi_GB2312" w:eastAsia="KaiTi_GB2312" w:hint="eastAsia"/>
                            <w:bCs/>
                            <w:iCs/>
                            <w:color w:val="0000FF"/>
                            <w:sz w:val="18"/>
                          </w:rPr>
                          <w:t>指标</w:t>
                        </w:r>
                      </w:p>
                    </w:tc>
                    <w:tc>
                      <w:tcPr>
                        <w:tcW w:w="2671" w:type="dxa"/>
                        <w:gridSpan w:val="5"/>
                      </w:tcPr>
                      <w:p w:rsidR="005052D3" w:rsidRDefault="005052D3">
                        <w:pPr>
                          <w:spacing w:before="10"/>
                          <w:jc w:val="center"/>
                          <w:rPr>
                            <w:rFonts w:ascii="KaiTi_GB2312" w:eastAsia="KaiTi_GB2312"/>
                            <w:bCs/>
                            <w:iCs/>
                            <w:color w:val="0000FF"/>
                            <w:sz w:val="18"/>
                          </w:rPr>
                        </w:pPr>
                        <w:r>
                          <w:rPr>
                            <w:rFonts w:ascii="KaiTi_GB2312" w:eastAsia="KaiTi_GB2312" w:hint="eastAsia"/>
                            <w:bCs/>
                            <w:iCs/>
                            <w:color w:val="0000FF"/>
                            <w:sz w:val="18"/>
                          </w:rPr>
                          <w:t>分布</w:t>
                        </w:r>
                      </w:p>
                    </w:tc>
                  </w:tr>
                  <w:tr w:rsidR="005052D3">
                    <w:tblPrEx>
                      <w:tblCellMar>
                        <w:top w:w="0" w:type="dxa"/>
                        <w:bottom w:w="0" w:type="dxa"/>
                      </w:tblCellMar>
                    </w:tblPrEx>
                    <w:trPr>
                      <w:cantSplit/>
                      <w:trHeight w:val="291"/>
                      <w:tblHeader/>
                      <w:jc w:val="center"/>
                    </w:trPr>
                    <w:tc>
                      <w:tcPr>
                        <w:tcW w:w="719" w:type="dxa"/>
                        <w:vMerge/>
                      </w:tcPr>
                      <w:p w:rsidR="005052D3" w:rsidRDefault="005052D3">
                        <w:pPr>
                          <w:spacing w:before="10"/>
                          <w:rPr>
                            <w:smallCaps/>
                            <w:snapToGrid w:val="0"/>
                            <w:sz w:val="18"/>
                          </w:rPr>
                        </w:pPr>
                      </w:p>
                    </w:tc>
                    <w:tc>
                      <w:tcPr>
                        <w:tcW w:w="3270" w:type="dxa"/>
                      </w:tcPr>
                      <w:p w:rsidR="005052D3" w:rsidRDefault="005052D3">
                        <w:pPr>
                          <w:spacing w:before="10"/>
                          <w:rPr>
                            <w:rFonts w:ascii="KaiTi_GB2312" w:eastAsia="KaiTi_GB2312"/>
                            <w:bCs/>
                            <w:iCs/>
                            <w:color w:val="0000FF"/>
                            <w:sz w:val="18"/>
                          </w:rPr>
                        </w:pPr>
                        <w:r>
                          <w:rPr>
                            <w:rFonts w:ascii="KaiTi_GB2312" w:eastAsia="KaiTi_GB2312"/>
                            <w:bCs/>
                            <w:iCs/>
                            <w:smallCaps/>
                            <w:snapToGrid w:val="0"/>
                            <w:color w:val="0000FF"/>
                            <w:sz w:val="18"/>
                          </w:rPr>
                          <w:t>.</w:t>
                        </w:r>
                      </w:p>
                    </w:tc>
                    <w:tc>
                      <w:tcPr>
                        <w:tcW w:w="687" w:type="dxa"/>
                      </w:tcPr>
                      <w:p w:rsidR="005052D3" w:rsidRDefault="005052D3">
                        <w:pPr>
                          <w:spacing w:before="10"/>
                          <w:jc w:val="center"/>
                          <w:rPr>
                            <w:rFonts w:ascii="KaiTi_GB2312" w:eastAsia="KaiTi_GB2312"/>
                            <w:bCs/>
                            <w:iCs/>
                            <w:color w:val="0000FF"/>
                            <w:sz w:val="18"/>
                          </w:rPr>
                        </w:pPr>
                        <w:r>
                          <w:rPr>
                            <w:rFonts w:ascii="KaiTi_GB2312" w:eastAsia="KaiTi_GB2312" w:hint="eastAsia"/>
                            <w:bCs/>
                            <w:iCs/>
                            <w:color w:val="0000FF"/>
                            <w:sz w:val="18"/>
                          </w:rPr>
                          <w:t>妇女</w:t>
                        </w:r>
                      </w:p>
                    </w:tc>
                    <w:tc>
                      <w:tcPr>
                        <w:tcW w:w="753" w:type="dxa"/>
                      </w:tcPr>
                      <w:p w:rsidR="005052D3" w:rsidRDefault="005052D3">
                        <w:pPr>
                          <w:spacing w:before="10"/>
                          <w:jc w:val="center"/>
                          <w:rPr>
                            <w:rFonts w:ascii="KaiTi_GB2312" w:eastAsia="KaiTi_GB2312"/>
                            <w:bCs/>
                            <w:iCs/>
                            <w:color w:val="0000FF"/>
                            <w:sz w:val="18"/>
                          </w:rPr>
                        </w:pPr>
                        <w:r>
                          <w:rPr>
                            <w:rFonts w:ascii="KaiTi_GB2312" w:eastAsia="KaiTi_GB2312" w:hint="eastAsia"/>
                            <w:bCs/>
                            <w:iCs/>
                            <w:color w:val="0000FF"/>
                            <w:sz w:val="18"/>
                          </w:rPr>
                          <w:t>年份</w:t>
                        </w:r>
                      </w:p>
                    </w:tc>
                    <w:tc>
                      <w:tcPr>
                        <w:tcW w:w="609" w:type="dxa"/>
                        <w:gridSpan w:val="2"/>
                      </w:tcPr>
                      <w:p w:rsidR="005052D3" w:rsidRDefault="005052D3">
                        <w:pPr>
                          <w:spacing w:before="10"/>
                          <w:jc w:val="center"/>
                          <w:rPr>
                            <w:rFonts w:ascii="KaiTi_GB2312" w:eastAsia="KaiTi_GB2312"/>
                            <w:bCs/>
                            <w:iCs/>
                            <w:color w:val="0000FF"/>
                            <w:sz w:val="18"/>
                          </w:rPr>
                        </w:pPr>
                        <w:r>
                          <w:rPr>
                            <w:rFonts w:ascii="KaiTi_GB2312" w:eastAsia="KaiTi_GB2312" w:hint="eastAsia"/>
                            <w:bCs/>
                            <w:iCs/>
                            <w:color w:val="0000FF"/>
                            <w:sz w:val="18"/>
                          </w:rPr>
                          <w:t>男子</w:t>
                        </w:r>
                      </w:p>
                    </w:tc>
                    <w:tc>
                      <w:tcPr>
                        <w:tcW w:w="622" w:type="dxa"/>
                      </w:tcPr>
                      <w:p w:rsidR="005052D3" w:rsidRDefault="005052D3">
                        <w:pPr>
                          <w:spacing w:before="10"/>
                          <w:jc w:val="center"/>
                          <w:rPr>
                            <w:rFonts w:ascii="KaiTi_GB2312" w:eastAsia="KaiTi_GB2312"/>
                            <w:bCs/>
                            <w:iCs/>
                            <w:color w:val="0000FF"/>
                            <w:sz w:val="18"/>
                          </w:rPr>
                        </w:pPr>
                        <w:r>
                          <w:rPr>
                            <w:rFonts w:ascii="KaiTi_GB2312" w:eastAsia="KaiTi_GB2312" w:hint="eastAsia"/>
                            <w:bCs/>
                            <w:iCs/>
                            <w:color w:val="0000FF"/>
                            <w:sz w:val="18"/>
                          </w:rPr>
                          <w:t>年份</w:t>
                        </w: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napToGrid w:val="0"/>
                            <w:sz w:val="18"/>
                          </w:rPr>
                        </w:pPr>
                      </w:p>
                    </w:tc>
                    <w:tc>
                      <w:tcPr>
                        <w:tcW w:w="3270" w:type="dxa"/>
                      </w:tcPr>
                      <w:p w:rsidR="005052D3" w:rsidRDefault="005052D3">
                        <w:pPr>
                          <w:spacing w:before="10"/>
                          <w:rPr>
                            <w:rFonts w:hint="eastAsia"/>
                            <w:b/>
                            <w:sz w:val="18"/>
                          </w:rPr>
                        </w:pPr>
                      </w:p>
                      <w:p w:rsidR="005052D3" w:rsidRDefault="005052D3">
                        <w:pPr>
                          <w:spacing w:before="10"/>
                          <w:rPr>
                            <w:rFonts w:eastAsia="SimHei" w:hint="eastAsia"/>
                            <w:bCs/>
                            <w:color w:val="FF0000"/>
                            <w:sz w:val="18"/>
                          </w:rPr>
                        </w:pPr>
                        <w:r>
                          <w:rPr>
                            <w:rFonts w:eastAsia="SimHei" w:hint="eastAsia"/>
                            <w:bCs/>
                            <w:color w:val="FF0000"/>
                            <w:sz w:val="18"/>
                          </w:rPr>
                          <w:t>出生时估计寿命</w:t>
                        </w:r>
                      </w:p>
                    </w:tc>
                    <w:tc>
                      <w:tcPr>
                        <w:tcW w:w="687" w:type="dxa"/>
                      </w:tcPr>
                      <w:p w:rsidR="005052D3" w:rsidRDefault="005052D3">
                        <w:pPr>
                          <w:spacing w:before="10"/>
                          <w:jc w:val="center"/>
                          <w:rPr>
                            <w:sz w:val="18"/>
                          </w:rPr>
                        </w:pPr>
                        <w:r>
                          <w:rPr>
                            <w:sz w:val="18"/>
                          </w:rPr>
                          <w:t>44</w:t>
                        </w:r>
                      </w:p>
                    </w:tc>
                    <w:tc>
                      <w:tcPr>
                        <w:tcW w:w="753" w:type="dxa"/>
                      </w:tcPr>
                      <w:p w:rsidR="005052D3" w:rsidRDefault="005052D3">
                        <w:pPr>
                          <w:spacing w:before="10"/>
                          <w:jc w:val="center"/>
                          <w:rPr>
                            <w:rFonts w:eastAsia="KaiTi_GB2312"/>
                            <w:snapToGrid w:val="0"/>
                            <w:sz w:val="18"/>
                          </w:rPr>
                        </w:pPr>
                        <w:r>
                          <w:rPr>
                            <w:rFonts w:eastAsia="KaiTi_GB2312"/>
                            <w:snapToGrid w:val="0"/>
                            <w:sz w:val="18"/>
                          </w:rPr>
                          <w:t>1988</w:t>
                        </w:r>
                      </w:p>
                    </w:tc>
                    <w:tc>
                      <w:tcPr>
                        <w:tcW w:w="609" w:type="dxa"/>
                        <w:gridSpan w:val="2"/>
                      </w:tcPr>
                      <w:p w:rsidR="005052D3" w:rsidRDefault="005052D3">
                        <w:pPr>
                          <w:spacing w:before="10"/>
                          <w:jc w:val="center"/>
                          <w:rPr>
                            <w:snapToGrid w:val="0"/>
                            <w:sz w:val="18"/>
                          </w:rPr>
                        </w:pPr>
                        <w:r>
                          <w:rPr>
                            <w:snapToGrid w:val="0"/>
                            <w:sz w:val="18"/>
                          </w:rPr>
                          <w:t>40</w:t>
                        </w:r>
                      </w:p>
                    </w:tc>
                    <w:tc>
                      <w:tcPr>
                        <w:tcW w:w="622" w:type="dxa"/>
                      </w:tcPr>
                      <w:p w:rsidR="005052D3" w:rsidRDefault="005052D3">
                        <w:pPr>
                          <w:spacing w:before="10"/>
                          <w:jc w:val="center"/>
                          <w:rPr>
                            <w:rFonts w:eastAsia="KaiTi_GB2312"/>
                            <w:snapToGrid w:val="0"/>
                            <w:sz w:val="18"/>
                          </w:rPr>
                        </w:pPr>
                        <w:r>
                          <w:rPr>
                            <w:rFonts w:eastAsia="KaiTi_GB2312"/>
                            <w:snapToGrid w:val="0"/>
                            <w:sz w:val="18"/>
                          </w:rPr>
                          <w:t>2000</w:t>
                        </w: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napToGrid w:val="0"/>
                            <w:sz w:val="18"/>
                          </w:rPr>
                        </w:pPr>
                      </w:p>
                    </w:tc>
                    <w:tc>
                      <w:tcPr>
                        <w:tcW w:w="3270" w:type="dxa"/>
                      </w:tcPr>
                      <w:p w:rsidR="005052D3" w:rsidRDefault="005052D3">
                        <w:pPr>
                          <w:spacing w:before="10"/>
                          <w:rPr>
                            <w:rFonts w:hint="eastAsia"/>
                            <w:b/>
                            <w:sz w:val="18"/>
                          </w:rPr>
                        </w:pPr>
                        <w:r>
                          <w:rPr>
                            <w:rFonts w:hint="eastAsia"/>
                            <w:sz w:val="18"/>
                          </w:rPr>
                          <w:t>粗出生率（每1 000人）</w:t>
                        </w:r>
                      </w:p>
                    </w:tc>
                    <w:tc>
                      <w:tcPr>
                        <w:tcW w:w="687" w:type="dxa"/>
                      </w:tcPr>
                      <w:p w:rsidR="005052D3" w:rsidRDefault="005052D3">
                        <w:pPr>
                          <w:spacing w:before="10"/>
                          <w:jc w:val="center"/>
                          <w:rPr>
                            <w:sz w:val="18"/>
                          </w:rPr>
                        </w:pPr>
                        <w:r>
                          <w:rPr>
                            <w:sz w:val="18"/>
                          </w:rPr>
                          <w:t>37.9</w:t>
                        </w:r>
                      </w:p>
                    </w:tc>
                    <w:tc>
                      <w:tcPr>
                        <w:tcW w:w="753" w:type="dxa"/>
                      </w:tcPr>
                      <w:p w:rsidR="005052D3" w:rsidRDefault="005052D3">
                        <w:pPr>
                          <w:spacing w:before="10"/>
                          <w:jc w:val="center"/>
                          <w:rPr>
                            <w:rFonts w:eastAsia="KaiTi_GB2312"/>
                            <w:snapToGrid w:val="0"/>
                            <w:sz w:val="18"/>
                          </w:rPr>
                        </w:pPr>
                        <w:r>
                          <w:rPr>
                            <w:rFonts w:eastAsia="KaiTi_GB2312"/>
                            <w:sz w:val="18"/>
                          </w:rPr>
                          <w:t>(</w:t>
                        </w:r>
                        <w:r>
                          <w:rPr>
                            <w:rFonts w:eastAsia="KaiTi_GB2312"/>
                            <w:snapToGrid w:val="0"/>
                            <w:sz w:val="18"/>
                          </w:rPr>
                          <w:t>1999)</w:t>
                        </w:r>
                      </w:p>
                    </w:tc>
                    <w:tc>
                      <w:tcPr>
                        <w:tcW w:w="609" w:type="dxa"/>
                        <w:gridSpan w:val="2"/>
                      </w:tcPr>
                      <w:p w:rsidR="005052D3" w:rsidRDefault="005052D3">
                        <w:pPr>
                          <w:spacing w:before="10"/>
                          <w:jc w:val="center"/>
                          <w:rPr>
                            <w:snapToGrid w:val="0"/>
                            <w:sz w:val="18"/>
                          </w:rPr>
                        </w:pPr>
                      </w:p>
                    </w:tc>
                    <w:tc>
                      <w:tcPr>
                        <w:tcW w:w="622" w:type="dxa"/>
                      </w:tcPr>
                      <w:p w:rsidR="005052D3" w:rsidRDefault="005052D3">
                        <w:pPr>
                          <w:spacing w:before="10"/>
                          <w:jc w:val="center"/>
                          <w:rPr>
                            <w:rFonts w:eastAsia="KaiTi_GB2312"/>
                            <w:snapToGrid w:val="0"/>
                            <w:sz w:val="18"/>
                          </w:rPr>
                        </w:pPr>
                      </w:p>
                    </w:tc>
                  </w:tr>
                  <w:tr w:rsidR="005052D3">
                    <w:tblPrEx>
                      <w:tblCellMar>
                        <w:top w:w="0" w:type="dxa"/>
                        <w:bottom w:w="0" w:type="dxa"/>
                      </w:tblCellMar>
                    </w:tblPrEx>
                    <w:trPr>
                      <w:cantSplit/>
                      <w:jc w:val="center"/>
                    </w:trPr>
                    <w:tc>
                      <w:tcPr>
                        <w:tcW w:w="719" w:type="dxa"/>
                        <w:vMerge/>
                      </w:tcPr>
                      <w:p w:rsidR="005052D3" w:rsidRDefault="005052D3">
                        <w:pPr>
                          <w:spacing w:before="10"/>
                          <w:rPr>
                            <w:sz w:val="18"/>
                          </w:rPr>
                        </w:pPr>
                      </w:p>
                    </w:tc>
                    <w:tc>
                      <w:tcPr>
                        <w:tcW w:w="3270" w:type="dxa"/>
                      </w:tcPr>
                      <w:p w:rsidR="005052D3" w:rsidRDefault="005052D3">
                        <w:pPr>
                          <w:spacing w:line="20" w:lineRule="exact"/>
                          <w:rPr>
                            <w:snapToGrid w:val="0"/>
                            <w:sz w:val="18"/>
                          </w:rPr>
                        </w:pPr>
                      </w:p>
                    </w:tc>
                    <w:tc>
                      <w:tcPr>
                        <w:tcW w:w="2671" w:type="dxa"/>
                        <w:gridSpan w:val="5"/>
                      </w:tcPr>
                      <w:p w:rsidR="005052D3" w:rsidRDefault="005052D3">
                        <w:pPr>
                          <w:spacing w:line="20" w:lineRule="exact"/>
                          <w:rPr>
                            <w:rFonts w:eastAsia="KaiTi_GB2312"/>
                            <w:snapToGrid w:val="0"/>
                            <w:sz w:val="18"/>
                          </w:rPr>
                        </w:pP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sz w:val="18"/>
                          </w:rPr>
                        </w:pPr>
                        <w:r>
                          <w:rPr>
                            <w:rFonts w:hint="eastAsia"/>
                            <w:sz w:val="18"/>
                          </w:rPr>
                          <w:t>严重体重不足的5岁以下儿童百分比</w:t>
                        </w:r>
                      </w:p>
                    </w:tc>
                    <w:tc>
                      <w:tcPr>
                        <w:tcW w:w="2671" w:type="dxa"/>
                        <w:gridSpan w:val="5"/>
                      </w:tcPr>
                      <w:p w:rsidR="005052D3" w:rsidRDefault="005052D3">
                        <w:pPr>
                          <w:spacing w:before="10"/>
                          <w:jc w:val="center"/>
                          <w:rPr>
                            <w:snapToGrid w:val="0"/>
                            <w:sz w:val="18"/>
                          </w:rPr>
                        </w:pPr>
                        <w:r>
                          <w:rPr>
                            <w:snapToGrid w:val="0"/>
                            <w:sz w:val="18"/>
                          </w:rPr>
                          <w:t>5.9 (2000)</w:t>
                        </w: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sz w:val="18"/>
                          </w:rPr>
                        </w:pPr>
                        <w:r>
                          <w:rPr>
                            <w:rFonts w:hint="eastAsia"/>
                            <w:sz w:val="18"/>
                          </w:rPr>
                          <w:t>5岁以下儿童严重身高不足的百分比</w:t>
                        </w:r>
                      </w:p>
                    </w:tc>
                    <w:tc>
                      <w:tcPr>
                        <w:tcW w:w="2671" w:type="dxa"/>
                        <w:gridSpan w:val="5"/>
                      </w:tcPr>
                      <w:p w:rsidR="005052D3" w:rsidRDefault="005052D3">
                        <w:pPr>
                          <w:spacing w:before="10"/>
                          <w:jc w:val="center"/>
                          <w:rPr>
                            <w:snapToGrid w:val="0"/>
                            <w:sz w:val="18"/>
                          </w:rPr>
                        </w:pPr>
                        <w:r>
                          <w:rPr>
                            <w:snapToGrid w:val="0"/>
                            <w:sz w:val="18"/>
                          </w:rPr>
                          <w:t>24.4 (2000)</w:t>
                        </w: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sz w:val="18"/>
                          </w:rPr>
                        </w:pPr>
                        <w:r>
                          <w:rPr>
                            <w:rFonts w:hint="eastAsia"/>
                            <w:sz w:val="18"/>
                          </w:rPr>
                          <w:t>出生前得到医疗护理的出生率</w:t>
                        </w:r>
                      </w:p>
                    </w:tc>
                    <w:tc>
                      <w:tcPr>
                        <w:tcW w:w="2671" w:type="dxa"/>
                        <w:gridSpan w:val="5"/>
                      </w:tcPr>
                      <w:p w:rsidR="005052D3" w:rsidRDefault="005052D3">
                        <w:pPr>
                          <w:spacing w:before="10"/>
                          <w:jc w:val="center"/>
                          <w:rPr>
                            <w:snapToGrid w:val="0"/>
                            <w:sz w:val="18"/>
                          </w:rPr>
                        </w:pPr>
                        <w:r>
                          <w:rPr>
                            <w:snapToGrid w:val="0"/>
                            <w:sz w:val="18"/>
                          </w:rPr>
                          <w:t>91.4 (2000)</w:t>
                        </w: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sz w:val="18"/>
                          </w:rPr>
                        </w:pPr>
                        <w:r>
                          <w:rPr>
                            <w:rFonts w:hint="eastAsia"/>
                            <w:sz w:val="18"/>
                          </w:rPr>
                          <w:t>分娩时得到医疗护理的出生率</w:t>
                        </w:r>
                      </w:p>
                    </w:tc>
                    <w:tc>
                      <w:tcPr>
                        <w:tcW w:w="2671" w:type="dxa"/>
                        <w:gridSpan w:val="5"/>
                      </w:tcPr>
                      <w:p w:rsidR="005052D3" w:rsidRDefault="005052D3">
                        <w:pPr>
                          <w:spacing w:before="10"/>
                          <w:jc w:val="center"/>
                          <w:rPr>
                            <w:snapToGrid w:val="0"/>
                            <w:sz w:val="18"/>
                          </w:rPr>
                        </w:pPr>
                        <w:r>
                          <w:rPr>
                            <w:snapToGrid w:val="0"/>
                            <w:sz w:val="18"/>
                          </w:rPr>
                          <w:t>55.6 (2000)</w:t>
                        </w: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sz w:val="18"/>
                          </w:rPr>
                        </w:pPr>
                        <w:r>
                          <w:rPr>
                            <w:rFonts w:hint="eastAsia"/>
                            <w:sz w:val="18"/>
                          </w:rPr>
                          <w:t>婴儿死亡率</w:t>
                        </w:r>
                        <w:r>
                          <w:rPr>
                            <w:sz w:val="18"/>
                          </w:rPr>
                          <w:t xml:space="preserve"> </w:t>
                        </w:r>
                        <w:r>
                          <w:rPr>
                            <w:rFonts w:hint="eastAsia"/>
                            <w:sz w:val="18"/>
                          </w:rPr>
                          <w:t>（每1 000个活产婴儿）</w:t>
                        </w:r>
                      </w:p>
                    </w:tc>
                    <w:tc>
                      <w:tcPr>
                        <w:tcW w:w="2671" w:type="dxa"/>
                        <w:gridSpan w:val="5"/>
                      </w:tcPr>
                      <w:p w:rsidR="005052D3" w:rsidRDefault="005052D3">
                        <w:pPr>
                          <w:spacing w:before="10"/>
                          <w:jc w:val="center"/>
                          <w:rPr>
                            <w:i/>
                            <w:snapToGrid w:val="0"/>
                            <w:sz w:val="18"/>
                          </w:rPr>
                        </w:pPr>
                        <w:r>
                          <w:rPr>
                            <w:snapToGrid w:val="0"/>
                            <w:sz w:val="18"/>
                          </w:rPr>
                          <w:t>103.8 (2000)</w:t>
                        </w: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sz w:val="18"/>
                          </w:rPr>
                        </w:pPr>
                        <w:r>
                          <w:rPr>
                            <w:rFonts w:hint="eastAsia"/>
                            <w:sz w:val="18"/>
                          </w:rPr>
                          <w:t>5岁以下幼儿死亡率 （%）</w:t>
                        </w:r>
                      </w:p>
                    </w:tc>
                    <w:tc>
                      <w:tcPr>
                        <w:tcW w:w="2671" w:type="dxa"/>
                        <w:gridSpan w:val="5"/>
                      </w:tcPr>
                      <w:p w:rsidR="005052D3" w:rsidRDefault="005052D3">
                        <w:pPr>
                          <w:spacing w:before="10"/>
                          <w:jc w:val="center"/>
                          <w:rPr>
                            <w:i/>
                            <w:sz w:val="18"/>
                          </w:rPr>
                        </w:pPr>
                        <w:r>
                          <w:rPr>
                            <w:sz w:val="18"/>
                          </w:rPr>
                          <w:t xml:space="preserve">188.6 </w:t>
                        </w:r>
                        <w:r>
                          <w:rPr>
                            <w:rFonts w:eastAsia="KaiTi_GB2312"/>
                            <w:sz w:val="18"/>
                          </w:rPr>
                          <w:t>(</w:t>
                        </w:r>
                        <w:r>
                          <w:rPr>
                            <w:rFonts w:eastAsia="KaiTi_GB2312"/>
                            <w:snapToGrid w:val="0"/>
                            <w:sz w:val="18"/>
                          </w:rPr>
                          <w:t>2000)</w:t>
                        </w: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sz w:val="18"/>
                          </w:rPr>
                        </w:pPr>
                        <w:r>
                          <w:rPr>
                            <w:rFonts w:hint="eastAsia"/>
                            <w:sz w:val="18"/>
                          </w:rPr>
                          <w:t>总和生育率（每名妇女的生育人数）</w:t>
                        </w:r>
                      </w:p>
                    </w:tc>
                    <w:tc>
                      <w:tcPr>
                        <w:tcW w:w="687" w:type="dxa"/>
                      </w:tcPr>
                      <w:p w:rsidR="005052D3" w:rsidRDefault="005052D3">
                        <w:pPr>
                          <w:spacing w:before="10"/>
                          <w:jc w:val="center"/>
                          <w:rPr>
                            <w:sz w:val="18"/>
                          </w:rPr>
                        </w:pPr>
                        <w:r>
                          <w:rPr>
                            <w:sz w:val="18"/>
                          </w:rPr>
                          <w:t>6.3</w:t>
                        </w:r>
                      </w:p>
                    </w:tc>
                    <w:tc>
                      <w:tcPr>
                        <w:tcW w:w="753" w:type="dxa"/>
                      </w:tcPr>
                      <w:p w:rsidR="005052D3" w:rsidRDefault="005052D3">
                        <w:pPr>
                          <w:spacing w:before="10"/>
                          <w:jc w:val="center"/>
                          <w:rPr>
                            <w:rFonts w:eastAsia="KaiTi_GB2312"/>
                            <w:snapToGrid w:val="0"/>
                            <w:sz w:val="18"/>
                          </w:rPr>
                        </w:pPr>
                        <w:r>
                          <w:rPr>
                            <w:rFonts w:eastAsia="KaiTi_GB2312"/>
                            <w:snapToGrid w:val="0"/>
                            <w:sz w:val="18"/>
                          </w:rPr>
                          <w:t>1998</w:t>
                        </w:r>
                      </w:p>
                    </w:tc>
                    <w:tc>
                      <w:tcPr>
                        <w:tcW w:w="609" w:type="dxa"/>
                        <w:gridSpan w:val="2"/>
                      </w:tcPr>
                      <w:p w:rsidR="005052D3" w:rsidRDefault="005052D3">
                        <w:pPr>
                          <w:spacing w:before="10"/>
                          <w:jc w:val="center"/>
                          <w:rPr>
                            <w:snapToGrid w:val="0"/>
                            <w:sz w:val="18"/>
                          </w:rPr>
                        </w:pPr>
                      </w:p>
                    </w:tc>
                    <w:tc>
                      <w:tcPr>
                        <w:tcW w:w="622" w:type="dxa"/>
                      </w:tcPr>
                      <w:p w:rsidR="005052D3" w:rsidRDefault="005052D3">
                        <w:pPr>
                          <w:spacing w:before="10"/>
                          <w:jc w:val="center"/>
                          <w:rPr>
                            <w:i/>
                            <w:sz w:val="18"/>
                          </w:rPr>
                        </w:pP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sz w:val="18"/>
                          </w:rPr>
                        </w:pPr>
                        <w:r>
                          <w:rPr>
                            <w:rFonts w:hint="eastAsia"/>
                            <w:sz w:val="18"/>
                          </w:rPr>
                          <w:t>青少年生育率</w:t>
                        </w:r>
                        <w:r>
                          <w:rPr>
                            <w:sz w:val="18"/>
                          </w:rPr>
                          <w:t xml:space="preserve"> </w:t>
                        </w:r>
                        <w:r>
                          <w:rPr>
                            <w:rFonts w:hint="eastAsia"/>
                            <w:sz w:val="18"/>
                          </w:rPr>
                          <w:t>（每1 000名15－19岁妇女的生育人数）</w:t>
                        </w:r>
                      </w:p>
                    </w:tc>
                    <w:tc>
                      <w:tcPr>
                        <w:tcW w:w="687" w:type="dxa"/>
                      </w:tcPr>
                      <w:p w:rsidR="005052D3" w:rsidRDefault="005052D3">
                        <w:pPr>
                          <w:spacing w:before="10"/>
                          <w:jc w:val="center"/>
                          <w:rPr>
                            <w:sz w:val="18"/>
                          </w:rPr>
                        </w:pPr>
                        <w:r>
                          <w:rPr>
                            <w:sz w:val="18"/>
                          </w:rPr>
                          <w:t>151</w:t>
                        </w:r>
                      </w:p>
                      <w:p w:rsidR="005052D3" w:rsidRDefault="005052D3">
                        <w:pPr>
                          <w:spacing w:before="10"/>
                          <w:rPr>
                            <w:sz w:val="18"/>
                          </w:rPr>
                        </w:pPr>
                      </w:p>
                    </w:tc>
                    <w:tc>
                      <w:tcPr>
                        <w:tcW w:w="753" w:type="dxa"/>
                      </w:tcPr>
                      <w:p w:rsidR="005052D3" w:rsidRDefault="005052D3">
                        <w:pPr>
                          <w:spacing w:before="10"/>
                          <w:jc w:val="center"/>
                          <w:rPr>
                            <w:rFonts w:eastAsia="KaiTi_GB2312"/>
                            <w:snapToGrid w:val="0"/>
                            <w:sz w:val="18"/>
                          </w:rPr>
                        </w:pPr>
                        <w:r>
                          <w:rPr>
                            <w:rFonts w:eastAsia="KaiTi_GB2312"/>
                            <w:snapToGrid w:val="0"/>
                            <w:sz w:val="18"/>
                          </w:rPr>
                          <w:t>1999</w:t>
                        </w:r>
                      </w:p>
                    </w:tc>
                    <w:tc>
                      <w:tcPr>
                        <w:tcW w:w="609" w:type="dxa"/>
                        <w:gridSpan w:val="2"/>
                      </w:tcPr>
                      <w:p w:rsidR="005052D3" w:rsidRDefault="005052D3">
                        <w:pPr>
                          <w:spacing w:before="10"/>
                          <w:jc w:val="center"/>
                          <w:rPr>
                            <w:snapToGrid w:val="0"/>
                            <w:sz w:val="18"/>
                          </w:rPr>
                        </w:pPr>
                      </w:p>
                    </w:tc>
                    <w:tc>
                      <w:tcPr>
                        <w:tcW w:w="622" w:type="dxa"/>
                      </w:tcPr>
                      <w:p w:rsidR="005052D3" w:rsidRDefault="005052D3">
                        <w:pPr>
                          <w:spacing w:before="10"/>
                          <w:jc w:val="center"/>
                          <w:rPr>
                            <w:i/>
                            <w:sz w:val="18"/>
                          </w:rPr>
                        </w:pP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rFonts w:hint="eastAsia"/>
                            <w:sz w:val="18"/>
                          </w:rPr>
                        </w:pPr>
                        <w:r>
                          <w:rPr>
                            <w:rFonts w:hint="eastAsia"/>
                            <w:sz w:val="18"/>
                          </w:rPr>
                          <w:t>已婚儿童/少年（10－14岁）的百分比</w:t>
                        </w:r>
                      </w:p>
                    </w:tc>
                    <w:tc>
                      <w:tcPr>
                        <w:tcW w:w="687" w:type="dxa"/>
                      </w:tcPr>
                      <w:p w:rsidR="005052D3" w:rsidRDefault="005052D3">
                        <w:pPr>
                          <w:spacing w:before="10"/>
                          <w:jc w:val="center"/>
                          <w:rPr>
                            <w:sz w:val="18"/>
                          </w:rPr>
                        </w:pPr>
                        <w:r>
                          <w:rPr>
                            <w:sz w:val="18"/>
                          </w:rPr>
                          <w:t>2.3</w:t>
                        </w:r>
                      </w:p>
                    </w:tc>
                    <w:tc>
                      <w:tcPr>
                        <w:tcW w:w="753" w:type="dxa"/>
                      </w:tcPr>
                      <w:p w:rsidR="005052D3" w:rsidRDefault="005052D3">
                        <w:pPr>
                          <w:spacing w:before="10"/>
                          <w:jc w:val="center"/>
                          <w:rPr>
                            <w:rFonts w:eastAsia="KaiTi_GB2312"/>
                            <w:snapToGrid w:val="0"/>
                            <w:sz w:val="18"/>
                          </w:rPr>
                        </w:pPr>
                        <w:r>
                          <w:rPr>
                            <w:rFonts w:eastAsia="KaiTi_GB2312"/>
                            <w:snapToGrid w:val="0"/>
                            <w:sz w:val="18"/>
                          </w:rPr>
                          <w:t>2000</w:t>
                        </w:r>
                      </w:p>
                    </w:tc>
                    <w:tc>
                      <w:tcPr>
                        <w:tcW w:w="609" w:type="dxa"/>
                        <w:gridSpan w:val="2"/>
                      </w:tcPr>
                      <w:p w:rsidR="005052D3" w:rsidRDefault="005052D3">
                        <w:pPr>
                          <w:spacing w:before="10"/>
                          <w:jc w:val="center"/>
                          <w:rPr>
                            <w:snapToGrid w:val="0"/>
                            <w:sz w:val="18"/>
                          </w:rPr>
                        </w:pPr>
                        <w:r>
                          <w:rPr>
                            <w:snapToGrid w:val="0"/>
                            <w:sz w:val="18"/>
                          </w:rPr>
                          <w:t>2</w:t>
                        </w:r>
                      </w:p>
                    </w:tc>
                    <w:tc>
                      <w:tcPr>
                        <w:tcW w:w="622" w:type="dxa"/>
                      </w:tcPr>
                      <w:p w:rsidR="005052D3" w:rsidRDefault="005052D3">
                        <w:pPr>
                          <w:spacing w:before="10"/>
                          <w:jc w:val="center"/>
                          <w:rPr>
                            <w:rFonts w:eastAsia="KaiTi_GB2312"/>
                            <w:snapToGrid w:val="0"/>
                            <w:sz w:val="18"/>
                          </w:rPr>
                        </w:pPr>
                        <w:r>
                          <w:rPr>
                            <w:rFonts w:eastAsia="KaiTi_GB2312"/>
                            <w:snapToGrid w:val="0"/>
                            <w:sz w:val="18"/>
                          </w:rPr>
                          <w:t>2000</w:t>
                        </w: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sz w:val="18"/>
                          </w:rPr>
                        </w:pPr>
                        <w:r>
                          <w:rPr>
                            <w:rFonts w:hint="eastAsia"/>
                            <w:sz w:val="18"/>
                          </w:rPr>
                          <w:t>已婚儿童或青少年（15－19岁）的百分比</w:t>
                        </w:r>
                      </w:p>
                    </w:tc>
                    <w:tc>
                      <w:tcPr>
                        <w:tcW w:w="687" w:type="dxa"/>
                      </w:tcPr>
                      <w:p w:rsidR="005052D3" w:rsidRDefault="005052D3">
                        <w:pPr>
                          <w:spacing w:before="10"/>
                          <w:jc w:val="center"/>
                          <w:rPr>
                            <w:sz w:val="18"/>
                          </w:rPr>
                        </w:pPr>
                        <w:r>
                          <w:rPr>
                            <w:sz w:val="18"/>
                          </w:rPr>
                          <w:t>38.2</w:t>
                        </w:r>
                      </w:p>
                    </w:tc>
                    <w:tc>
                      <w:tcPr>
                        <w:tcW w:w="753" w:type="dxa"/>
                      </w:tcPr>
                      <w:p w:rsidR="005052D3" w:rsidRDefault="005052D3">
                        <w:pPr>
                          <w:spacing w:before="10"/>
                          <w:jc w:val="center"/>
                          <w:rPr>
                            <w:rFonts w:eastAsia="KaiTi_GB2312"/>
                            <w:snapToGrid w:val="0"/>
                            <w:sz w:val="18"/>
                          </w:rPr>
                        </w:pPr>
                        <w:r>
                          <w:rPr>
                            <w:rFonts w:eastAsia="KaiTi_GB2312"/>
                            <w:snapToGrid w:val="0"/>
                            <w:sz w:val="18"/>
                          </w:rPr>
                          <w:t>2000</w:t>
                        </w:r>
                      </w:p>
                    </w:tc>
                    <w:tc>
                      <w:tcPr>
                        <w:tcW w:w="609" w:type="dxa"/>
                        <w:gridSpan w:val="2"/>
                      </w:tcPr>
                      <w:p w:rsidR="005052D3" w:rsidRDefault="005052D3">
                        <w:pPr>
                          <w:spacing w:before="10"/>
                          <w:jc w:val="center"/>
                          <w:rPr>
                            <w:snapToGrid w:val="0"/>
                            <w:sz w:val="18"/>
                          </w:rPr>
                        </w:pPr>
                        <w:r>
                          <w:rPr>
                            <w:snapToGrid w:val="0"/>
                            <w:sz w:val="18"/>
                          </w:rPr>
                          <w:t>8.3</w:t>
                        </w:r>
                      </w:p>
                    </w:tc>
                    <w:tc>
                      <w:tcPr>
                        <w:tcW w:w="622" w:type="dxa"/>
                      </w:tcPr>
                      <w:p w:rsidR="005052D3" w:rsidRDefault="005052D3">
                        <w:pPr>
                          <w:spacing w:before="10"/>
                          <w:jc w:val="center"/>
                          <w:rPr>
                            <w:rFonts w:eastAsia="KaiTi_GB2312"/>
                            <w:snapToGrid w:val="0"/>
                            <w:sz w:val="18"/>
                          </w:rPr>
                        </w:pPr>
                        <w:r>
                          <w:rPr>
                            <w:rFonts w:eastAsia="KaiTi_GB2312"/>
                            <w:snapToGrid w:val="0"/>
                            <w:sz w:val="18"/>
                          </w:rPr>
                          <w:t>2000</w:t>
                        </w: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sz w:val="18"/>
                          </w:rPr>
                        </w:pPr>
                        <w:r>
                          <w:rPr>
                            <w:rFonts w:hint="eastAsia"/>
                            <w:sz w:val="18"/>
                          </w:rPr>
                          <w:t>未能实施计划生育的</w:t>
                        </w:r>
                      </w:p>
                    </w:tc>
                    <w:tc>
                      <w:tcPr>
                        <w:tcW w:w="687" w:type="dxa"/>
                      </w:tcPr>
                      <w:p w:rsidR="005052D3" w:rsidRDefault="005052D3">
                        <w:pPr>
                          <w:spacing w:before="10"/>
                          <w:jc w:val="center"/>
                          <w:rPr>
                            <w:sz w:val="18"/>
                          </w:rPr>
                        </w:pPr>
                        <w:r>
                          <w:rPr>
                            <w:sz w:val="18"/>
                          </w:rPr>
                          <w:t>30%</w:t>
                        </w:r>
                      </w:p>
                    </w:tc>
                    <w:tc>
                      <w:tcPr>
                        <w:tcW w:w="753" w:type="dxa"/>
                      </w:tcPr>
                      <w:p w:rsidR="005052D3" w:rsidRDefault="005052D3">
                        <w:pPr>
                          <w:spacing w:before="10"/>
                          <w:jc w:val="center"/>
                          <w:rPr>
                            <w:rFonts w:eastAsia="KaiTi_GB2312"/>
                            <w:snapToGrid w:val="0"/>
                            <w:sz w:val="18"/>
                          </w:rPr>
                        </w:pPr>
                        <w:r>
                          <w:rPr>
                            <w:rFonts w:eastAsia="KaiTi_GB2312"/>
                            <w:snapToGrid w:val="0"/>
                            <w:sz w:val="18"/>
                          </w:rPr>
                          <w:t>1998</w:t>
                        </w:r>
                      </w:p>
                    </w:tc>
                    <w:tc>
                      <w:tcPr>
                        <w:tcW w:w="609" w:type="dxa"/>
                        <w:gridSpan w:val="2"/>
                      </w:tcPr>
                      <w:p w:rsidR="005052D3" w:rsidRDefault="005052D3">
                        <w:pPr>
                          <w:spacing w:before="10"/>
                          <w:jc w:val="center"/>
                          <w:rPr>
                            <w:snapToGrid w:val="0"/>
                            <w:sz w:val="18"/>
                          </w:rPr>
                        </w:pPr>
                      </w:p>
                    </w:tc>
                    <w:tc>
                      <w:tcPr>
                        <w:tcW w:w="622" w:type="dxa"/>
                      </w:tcPr>
                      <w:p w:rsidR="005052D3" w:rsidRDefault="005052D3">
                        <w:pPr>
                          <w:spacing w:before="10"/>
                          <w:jc w:val="center"/>
                          <w:rPr>
                            <w:i/>
                            <w:snapToGrid w:val="0"/>
                            <w:sz w:val="18"/>
                          </w:rPr>
                        </w:pP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sz w:val="18"/>
                          </w:rPr>
                        </w:pPr>
                        <w:r>
                          <w:rPr>
                            <w:rFonts w:hint="eastAsia"/>
                            <w:sz w:val="18"/>
                          </w:rPr>
                          <w:t>产妇死亡率（每100 000个活产婴儿）</w:t>
                        </w:r>
                      </w:p>
                    </w:tc>
                    <w:tc>
                      <w:tcPr>
                        <w:tcW w:w="687" w:type="dxa"/>
                      </w:tcPr>
                      <w:p w:rsidR="005052D3" w:rsidRDefault="005052D3">
                        <w:pPr>
                          <w:spacing w:before="10"/>
                          <w:jc w:val="center"/>
                          <w:rPr>
                            <w:sz w:val="18"/>
                          </w:rPr>
                        </w:pPr>
                        <w:r>
                          <w:rPr>
                            <w:sz w:val="18"/>
                          </w:rPr>
                          <w:t>1120</w:t>
                        </w:r>
                      </w:p>
                    </w:tc>
                    <w:tc>
                      <w:tcPr>
                        <w:tcW w:w="753" w:type="dxa"/>
                      </w:tcPr>
                      <w:p w:rsidR="005052D3" w:rsidRDefault="005052D3">
                        <w:pPr>
                          <w:spacing w:before="10"/>
                          <w:jc w:val="center"/>
                          <w:rPr>
                            <w:snapToGrid w:val="0"/>
                            <w:sz w:val="18"/>
                          </w:rPr>
                        </w:pPr>
                        <w:r>
                          <w:rPr>
                            <w:rFonts w:eastAsia="KaiTi_GB2312"/>
                            <w:snapToGrid w:val="0"/>
                            <w:sz w:val="18"/>
                          </w:rPr>
                          <w:t>1998</w:t>
                        </w:r>
                      </w:p>
                    </w:tc>
                    <w:tc>
                      <w:tcPr>
                        <w:tcW w:w="609" w:type="dxa"/>
                        <w:gridSpan w:val="2"/>
                      </w:tcPr>
                      <w:p w:rsidR="005052D3" w:rsidRDefault="005052D3">
                        <w:pPr>
                          <w:spacing w:before="10"/>
                          <w:jc w:val="center"/>
                          <w:rPr>
                            <w:snapToGrid w:val="0"/>
                            <w:sz w:val="18"/>
                          </w:rPr>
                        </w:pPr>
                      </w:p>
                    </w:tc>
                    <w:tc>
                      <w:tcPr>
                        <w:tcW w:w="622" w:type="dxa"/>
                      </w:tcPr>
                      <w:p w:rsidR="005052D3" w:rsidRDefault="005052D3">
                        <w:pPr>
                          <w:spacing w:before="10"/>
                          <w:jc w:val="center"/>
                          <w:rPr>
                            <w:i/>
                            <w:snapToGrid w:val="0"/>
                            <w:sz w:val="18"/>
                          </w:rPr>
                        </w:pP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sz w:val="18"/>
                          </w:rPr>
                        </w:pPr>
                        <w:r>
                          <w:rPr>
                            <w:rFonts w:hint="eastAsia"/>
                            <w:sz w:val="18"/>
                          </w:rPr>
                          <w:t>意外怀孕的风险</w:t>
                        </w:r>
                        <w:r>
                          <w:rPr>
                            <w:sz w:val="18"/>
                          </w:rPr>
                          <w:t xml:space="preserve"> (</w:t>
                        </w:r>
                        <w:r>
                          <w:rPr>
                            <w:rFonts w:hint="eastAsia"/>
                            <w:sz w:val="18"/>
                          </w:rPr>
                          <w:t>15－19岁已婚妇女的百分比)</w:t>
                        </w:r>
                      </w:p>
                    </w:tc>
                    <w:tc>
                      <w:tcPr>
                        <w:tcW w:w="687" w:type="dxa"/>
                      </w:tcPr>
                      <w:p w:rsidR="005052D3" w:rsidRDefault="005052D3">
                        <w:pPr>
                          <w:spacing w:before="10"/>
                          <w:jc w:val="center"/>
                          <w:rPr>
                            <w:sz w:val="18"/>
                          </w:rPr>
                        </w:pPr>
                        <w:r>
                          <w:rPr>
                            <w:sz w:val="18"/>
                          </w:rPr>
                          <w:t>36</w:t>
                        </w:r>
                      </w:p>
                    </w:tc>
                    <w:tc>
                      <w:tcPr>
                        <w:tcW w:w="753" w:type="dxa"/>
                      </w:tcPr>
                      <w:p w:rsidR="005052D3" w:rsidRDefault="005052D3">
                        <w:pPr>
                          <w:spacing w:before="10"/>
                          <w:jc w:val="center"/>
                          <w:rPr>
                            <w:rFonts w:eastAsia="KaiTi_GB2312"/>
                            <w:snapToGrid w:val="0"/>
                            <w:sz w:val="18"/>
                          </w:rPr>
                        </w:pPr>
                        <w:r>
                          <w:rPr>
                            <w:rFonts w:eastAsia="KaiTi_GB2312"/>
                            <w:snapToGrid w:val="0"/>
                            <w:sz w:val="18"/>
                          </w:rPr>
                          <w:t>1999</w:t>
                        </w:r>
                      </w:p>
                    </w:tc>
                    <w:tc>
                      <w:tcPr>
                        <w:tcW w:w="609" w:type="dxa"/>
                        <w:gridSpan w:val="2"/>
                      </w:tcPr>
                      <w:p w:rsidR="005052D3" w:rsidRDefault="005052D3">
                        <w:pPr>
                          <w:spacing w:before="10"/>
                          <w:jc w:val="center"/>
                          <w:rPr>
                            <w:snapToGrid w:val="0"/>
                            <w:sz w:val="18"/>
                          </w:rPr>
                        </w:pPr>
                      </w:p>
                    </w:tc>
                    <w:tc>
                      <w:tcPr>
                        <w:tcW w:w="622" w:type="dxa"/>
                      </w:tcPr>
                      <w:p w:rsidR="005052D3" w:rsidRDefault="005052D3">
                        <w:pPr>
                          <w:spacing w:before="10"/>
                          <w:jc w:val="center"/>
                          <w:rPr>
                            <w:i/>
                            <w:snapToGrid w:val="0"/>
                            <w:sz w:val="18"/>
                          </w:rPr>
                        </w:pP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sz w:val="18"/>
                          </w:rPr>
                        </w:pPr>
                        <w:r>
                          <w:rPr>
                            <w:rFonts w:hint="eastAsia"/>
                            <w:sz w:val="18"/>
                          </w:rPr>
                          <w:t>避孕普及率（所有妇女）</w:t>
                        </w:r>
                      </w:p>
                    </w:tc>
                    <w:tc>
                      <w:tcPr>
                        <w:tcW w:w="687" w:type="dxa"/>
                      </w:tcPr>
                      <w:p w:rsidR="005052D3" w:rsidRDefault="005052D3">
                        <w:pPr>
                          <w:spacing w:before="10"/>
                          <w:jc w:val="center"/>
                          <w:rPr>
                            <w:sz w:val="18"/>
                          </w:rPr>
                        </w:pPr>
                        <w:r>
                          <w:rPr>
                            <w:sz w:val="18"/>
                          </w:rPr>
                          <w:t>25.0</w:t>
                        </w:r>
                      </w:p>
                    </w:tc>
                    <w:tc>
                      <w:tcPr>
                        <w:tcW w:w="753" w:type="dxa"/>
                      </w:tcPr>
                      <w:p w:rsidR="005052D3" w:rsidRDefault="005052D3">
                        <w:pPr>
                          <w:spacing w:before="10"/>
                          <w:jc w:val="center"/>
                          <w:rPr>
                            <w:rFonts w:eastAsia="KaiTi_GB2312"/>
                            <w:snapToGrid w:val="0"/>
                            <w:sz w:val="18"/>
                          </w:rPr>
                        </w:pPr>
                        <w:r>
                          <w:rPr>
                            <w:rFonts w:eastAsia="KaiTi_GB2312"/>
                            <w:snapToGrid w:val="0"/>
                            <w:sz w:val="18"/>
                          </w:rPr>
                          <w:t>200</w:t>
                        </w:r>
                      </w:p>
                    </w:tc>
                    <w:tc>
                      <w:tcPr>
                        <w:tcW w:w="609" w:type="dxa"/>
                        <w:gridSpan w:val="2"/>
                      </w:tcPr>
                      <w:p w:rsidR="005052D3" w:rsidRDefault="005052D3">
                        <w:pPr>
                          <w:spacing w:before="10"/>
                          <w:jc w:val="center"/>
                          <w:rPr>
                            <w:sz w:val="18"/>
                          </w:rPr>
                        </w:pPr>
                      </w:p>
                    </w:tc>
                    <w:tc>
                      <w:tcPr>
                        <w:tcW w:w="622" w:type="dxa"/>
                      </w:tcPr>
                      <w:p w:rsidR="005052D3" w:rsidRDefault="005052D3">
                        <w:pPr>
                          <w:spacing w:before="10"/>
                          <w:jc w:val="center"/>
                          <w:rPr>
                            <w:i/>
                            <w:sz w:val="18"/>
                          </w:rPr>
                        </w:pPr>
                      </w:p>
                    </w:tc>
                  </w:tr>
                  <w:tr w:rsidR="005052D3">
                    <w:tblPrEx>
                      <w:tblCellMar>
                        <w:top w:w="0" w:type="dxa"/>
                        <w:bottom w:w="0" w:type="dxa"/>
                      </w:tblCellMar>
                    </w:tblPrEx>
                    <w:trPr>
                      <w:cantSplit/>
                      <w:trHeight w:val="284"/>
                      <w:jc w:val="center"/>
                    </w:trPr>
                    <w:tc>
                      <w:tcPr>
                        <w:tcW w:w="719" w:type="dxa"/>
                        <w:vMerge/>
                      </w:tcPr>
                      <w:p w:rsidR="005052D3" w:rsidRDefault="005052D3">
                        <w:pPr>
                          <w:spacing w:before="10"/>
                          <w:rPr>
                            <w:sz w:val="18"/>
                          </w:rPr>
                        </w:pPr>
                      </w:p>
                    </w:tc>
                    <w:tc>
                      <w:tcPr>
                        <w:tcW w:w="3270" w:type="dxa"/>
                      </w:tcPr>
                      <w:p w:rsidR="005052D3" w:rsidRDefault="005052D3">
                        <w:pPr>
                          <w:spacing w:before="10"/>
                          <w:rPr>
                            <w:sz w:val="18"/>
                          </w:rPr>
                        </w:pPr>
                        <w:r>
                          <w:rPr>
                            <w:rFonts w:hint="eastAsia"/>
                            <w:sz w:val="18"/>
                          </w:rPr>
                          <w:t>避孕普及率 （已婚妇女的百分比）</w:t>
                        </w:r>
                      </w:p>
                    </w:tc>
                    <w:tc>
                      <w:tcPr>
                        <w:tcW w:w="687" w:type="dxa"/>
                      </w:tcPr>
                      <w:p w:rsidR="005052D3" w:rsidRDefault="005052D3">
                        <w:pPr>
                          <w:spacing w:before="10"/>
                          <w:jc w:val="center"/>
                          <w:rPr>
                            <w:sz w:val="18"/>
                          </w:rPr>
                        </w:pPr>
                        <w:r>
                          <w:rPr>
                            <w:sz w:val="18"/>
                          </w:rPr>
                          <w:t>30.6</w:t>
                        </w:r>
                      </w:p>
                    </w:tc>
                    <w:tc>
                      <w:tcPr>
                        <w:tcW w:w="753" w:type="dxa"/>
                      </w:tcPr>
                      <w:p w:rsidR="005052D3" w:rsidRDefault="005052D3">
                        <w:pPr>
                          <w:spacing w:before="10"/>
                          <w:jc w:val="center"/>
                          <w:rPr>
                            <w:rFonts w:eastAsia="KaiTi_GB2312"/>
                            <w:snapToGrid w:val="0"/>
                            <w:sz w:val="18"/>
                          </w:rPr>
                        </w:pPr>
                        <w:r>
                          <w:rPr>
                            <w:rFonts w:eastAsia="KaiTi_GB2312"/>
                            <w:snapToGrid w:val="0"/>
                            <w:sz w:val="18"/>
                          </w:rPr>
                          <w:t>2000</w:t>
                        </w:r>
                      </w:p>
                    </w:tc>
                    <w:tc>
                      <w:tcPr>
                        <w:tcW w:w="609" w:type="dxa"/>
                        <w:gridSpan w:val="2"/>
                      </w:tcPr>
                      <w:p w:rsidR="005052D3" w:rsidRDefault="005052D3">
                        <w:pPr>
                          <w:spacing w:before="10"/>
                          <w:jc w:val="center"/>
                          <w:rPr>
                            <w:sz w:val="18"/>
                          </w:rPr>
                        </w:pPr>
                      </w:p>
                    </w:tc>
                    <w:tc>
                      <w:tcPr>
                        <w:tcW w:w="622" w:type="dxa"/>
                      </w:tcPr>
                      <w:p w:rsidR="005052D3" w:rsidRDefault="005052D3">
                        <w:pPr>
                          <w:spacing w:before="10"/>
                          <w:jc w:val="center"/>
                          <w:rPr>
                            <w:i/>
                            <w:sz w:val="18"/>
                          </w:rPr>
                        </w:pPr>
                      </w:p>
                    </w:tc>
                  </w:tr>
                  <w:tr w:rsidR="005052D3">
                    <w:tblPrEx>
                      <w:tblCellMar>
                        <w:top w:w="0" w:type="dxa"/>
                        <w:bottom w:w="0" w:type="dxa"/>
                      </w:tblCellMar>
                    </w:tblPrEx>
                    <w:trPr>
                      <w:cantSplit/>
                      <w:trHeight w:val="360"/>
                      <w:jc w:val="center"/>
                    </w:trPr>
                    <w:tc>
                      <w:tcPr>
                        <w:tcW w:w="719" w:type="dxa"/>
                        <w:vMerge w:val="restart"/>
                        <w:textDirection w:val="btLr"/>
                      </w:tcPr>
                      <w:p w:rsidR="005052D3" w:rsidRDefault="005052D3">
                        <w:pPr>
                          <w:ind w:left="113" w:right="113"/>
                          <w:rPr>
                            <w:sz w:val="18"/>
                          </w:rPr>
                        </w:pPr>
                        <w:r>
                          <w:rPr>
                            <w:rFonts w:hint="eastAsia"/>
                            <w:sz w:val="18"/>
                          </w:rPr>
                          <w:t>经济资产和机会</w:t>
                        </w:r>
                      </w:p>
                    </w:tc>
                    <w:tc>
                      <w:tcPr>
                        <w:tcW w:w="3270" w:type="dxa"/>
                      </w:tcPr>
                      <w:p w:rsidR="005052D3" w:rsidRDefault="005052D3">
                        <w:pPr>
                          <w:rPr>
                            <w:sz w:val="18"/>
                          </w:rPr>
                        </w:pPr>
                        <w:r>
                          <w:rPr>
                            <w:rFonts w:hint="eastAsia"/>
                            <w:sz w:val="18"/>
                          </w:rPr>
                          <w:t>农民的百分比</w:t>
                        </w:r>
                      </w:p>
                    </w:tc>
                    <w:tc>
                      <w:tcPr>
                        <w:tcW w:w="687" w:type="dxa"/>
                        <w:tcBorders>
                          <w:left w:val="double" w:sz="4" w:space="0" w:color="auto"/>
                        </w:tcBorders>
                      </w:tcPr>
                      <w:p w:rsidR="005052D3" w:rsidRDefault="005052D3">
                        <w:pPr>
                          <w:spacing w:before="10"/>
                          <w:jc w:val="center"/>
                          <w:rPr>
                            <w:snapToGrid w:val="0"/>
                            <w:sz w:val="18"/>
                          </w:rPr>
                        </w:pPr>
                        <w:r>
                          <w:rPr>
                            <w:snapToGrid w:val="0"/>
                            <w:sz w:val="18"/>
                          </w:rPr>
                          <w:t>90.2</w:t>
                        </w:r>
                      </w:p>
                    </w:tc>
                    <w:tc>
                      <w:tcPr>
                        <w:tcW w:w="753" w:type="dxa"/>
                      </w:tcPr>
                      <w:p w:rsidR="005052D3" w:rsidRDefault="005052D3">
                        <w:pPr>
                          <w:spacing w:before="10"/>
                          <w:jc w:val="center"/>
                          <w:rPr>
                            <w:rFonts w:eastAsia="KaiTi_GB2312"/>
                            <w:snapToGrid w:val="0"/>
                            <w:sz w:val="18"/>
                          </w:rPr>
                        </w:pPr>
                        <w:r>
                          <w:rPr>
                            <w:rFonts w:eastAsia="KaiTi_GB2312"/>
                            <w:snapToGrid w:val="0"/>
                            <w:sz w:val="18"/>
                          </w:rPr>
                          <w:t>1998</w:t>
                        </w:r>
                      </w:p>
                    </w:tc>
                    <w:tc>
                      <w:tcPr>
                        <w:tcW w:w="601" w:type="dxa"/>
                      </w:tcPr>
                      <w:p w:rsidR="005052D3" w:rsidRDefault="005052D3">
                        <w:pPr>
                          <w:spacing w:before="10"/>
                          <w:jc w:val="center"/>
                          <w:rPr>
                            <w:sz w:val="18"/>
                          </w:rPr>
                        </w:pPr>
                        <w:r>
                          <w:rPr>
                            <w:sz w:val="18"/>
                          </w:rPr>
                          <w:t>66.8</w:t>
                        </w:r>
                      </w:p>
                    </w:tc>
                    <w:tc>
                      <w:tcPr>
                        <w:tcW w:w="630" w:type="dxa"/>
                        <w:gridSpan w:val="2"/>
                      </w:tcPr>
                      <w:p w:rsidR="005052D3" w:rsidRDefault="005052D3">
                        <w:pPr>
                          <w:spacing w:before="10"/>
                          <w:jc w:val="center"/>
                          <w:rPr>
                            <w:rFonts w:eastAsia="KaiTi_GB2312"/>
                            <w:sz w:val="18"/>
                          </w:rPr>
                        </w:pPr>
                        <w:r>
                          <w:rPr>
                            <w:rFonts w:eastAsia="KaiTi_GB2312"/>
                            <w:sz w:val="18"/>
                          </w:rPr>
                          <w:t>1998</w:t>
                        </w:r>
                      </w:p>
                    </w:tc>
                  </w:tr>
                  <w:tr w:rsidR="005052D3">
                    <w:tblPrEx>
                      <w:tblCellMar>
                        <w:top w:w="0" w:type="dxa"/>
                        <w:bottom w:w="0" w:type="dxa"/>
                      </w:tblCellMar>
                    </w:tblPrEx>
                    <w:trPr>
                      <w:cantSplit/>
                      <w:trHeight w:val="360"/>
                      <w:jc w:val="center"/>
                    </w:trPr>
                    <w:tc>
                      <w:tcPr>
                        <w:tcW w:w="719" w:type="dxa"/>
                        <w:vMerge/>
                      </w:tcPr>
                      <w:p w:rsidR="005052D3" w:rsidRDefault="005052D3">
                        <w:pPr>
                          <w:tabs>
                            <w:tab w:val="center" w:pos="572"/>
                          </w:tabs>
                          <w:spacing w:before="10"/>
                          <w:rPr>
                            <w:sz w:val="18"/>
                          </w:rPr>
                        </w:pPr>
                      </w:p>
                    </w:tc>
                    <w:tc>
                      <w:tcPr>
                        <w:tcW w:w="3270" w:type="dxa"/>
                      </w:tcPr>
                      <w:p w:rsidR="005052D3" w:rsidRDefault="005052D3">
                        <w:pPr>
                          <w:rPr>
                            <w:rFonts w:hint="eastAsia"/>
                            <w:sz w:val="18"/>
                          </w:rPr>
                        </w:pPr>
                        <w:r>
                          <w:rPr>
                            <w:rFonts w:hint="eastAsia"/>
                            <w:sz w:val="18"/>
                          </w:rPr>
                          <w:t>雇员</w:t>
                        </w:r>
                      </w:p>
                    </w:tc>
                    <w:tc>
                      <w:tcPr>
                        <w:tcW w:w="687" w:type="dxa"/>
                        <w:tcBorders>
                          <w:left w:val="double" w:sz="4" w:space="0" w:color="auto"/>
                        </w:tcBorders>
                      </w:tcPr>
                      <w:p w:rsidR="005052D3" w:rsidRDefault="005052D3">
                        <w:pPr>
                          <w:spacing w:before="10"/>
                          <w:jc w:val="center"/>
                          <w:rPr>
                            <w:snapToGrid w:val="0"/>
                            <w:sz w:val="18"/>
                          </w:rPr>
                        </w:pPr>
                        <w:r>
                          <w:rPr>
                            <w:snapToGrid w:val="0"/>
                            <w:sz w:val="18"/>
                          </w:rPr>
                          <w:t>4.8</w:t>
                        </w:r>
                      </w:p>
                    </w:tc>
                    <w:tc>
                      <w:tcPr>
                        <w:tcW w:w="753" w:type="dxa"/>
                      </w:tcPr>
                      <w:p w:rsidR="005052D3" w:rsidRDefault="005052D3">
                        <w:pPr>
                          <w:spacing w:before="10"/>
                          <w:jc w:val="center"/>
                          <w:rPr>
                            <w:rFonts w:eastAsia="KaiTi_GB2312"/>
                            <w:snapToGrid w:val="0"/>
                            <w:sz w:val="18"/>
                          </w:rPr>
                        </w:pPr>
                        <w:r>
                          <w:rPr>
                            <w:rFonts w:eastAsia="KaiTi_GB2312"/>
                            <w:snapToGrid w:val="0"/>
                            <w:sz w:val="18"/>
                          </w:rPr>
                          <w:t>1998</w:t>
                        </w:r>
                      </w:p>
                    </w:tc>
                    <w:tc>
                      <w:tcPr>
                        <w:tcW w:w="601" w:type="dxa"/>
                      </w:tcPr>
                      <w:p w:rsidR="005052D3" w:rsidRDefault="005052D3">
                        <w:pPr>
                          <w:spacing w:before="10"/>
                          <w:jc w:val="center"/>
                          <w:rPr>
                            <w:sz w:val="18"/>
                          </w:rPr>
                        </w:pPr>
                        <w:r>
                          <w:rPr>
                            <w:sz w:val="18"/>
                          </w:rPr>
                          <w:t>21.2</w:t>
                        </w:r>
                      </w:p>
                    </w:tc>
                    <w:tc>
                      <w:tcPr>
                        <w:tcW w:w="630" w:type="dxa"/>
                        <w:gridSpan w:val="2"/>
                      </w:tcPr>
                      <w:p w:rsidR="005052D3" w:rsidRDefault="005052D3">
                        <w:pPr>
                          <w:spacing w:before="10"/>
                          <w:jc w:val="center"/>
                          <w:rPr>
                            <w:rFonts w:eastAsia="KaiTi_GB2312"/>
                            <w:sz w:val="18"/>
                          </w:rPr>
                        </w:pPr>
                        <w:r>
                          <w:rPr>
                            <w:rFonts w:eastAsia="KaiTi_GB2312"/>
                            <w:sz w:val="18"/>
                          </w:rPr>
                          <w:t>1998</w:t>
                        </w:r>
                      </w:p>
                    </w:tc>
                  </w:tr>
                  <w:tr w:rsidR="005052D3">
                    <w:tblPrEx>
                      <w:tblCellMar>
                        <w:top w:w="0" w:type="dxa"/>
                        <w:bottom w:w="0" w:type="dxa"/>
                      </w:tblCellMar>
                    </w:tblPrEx>
                    <w:trPr>
                      <w:cantSplit/>
                      <w:trHeight w:val="360"/>
                      <w:jc w:val="center"/>
                    </w:trPr>
                    <w:tc>
                      <w:tcPr>
                        <w:tcW w:w="719" w:type="dxa"/>
                        <w:vMerge/>
                      </w:tcPr>
                      <w:p w:rsidR="005052D3" w:rsidRDefault="005052D3">
                        <w:pPr>
                          <w:tabs>
                            <w:tab w:val="center" w:pos="572"/>
                          </w:tabs>
                          <w:spacing w:before="10"/>
                          <w:rPr>
                            <w:sz w:val="18"/>
                          </w:rPr>
                        </w:pPr>
                      </w:p>
                    </w:tc>
                    <w:tc>
                      <w:tcPr>
                        <w:tcW w:w="3270" w:type="dxa"/>
                      </w:tcPr>
                      <w:p w:rsidR="005052D3" w:rsidRDefault="005052D3">
                        <w:pPr>
                          <w:rPr>
                            <w:rFonts w:hint="eastAsia"/>
                            <w:sz w:val="18"/>
                          </w:rPr>
                        </w:pPr>
                        <w:r>
                          <w:rPr>
                            <w:rFonts w:hint="eastAsia"/>
                            <w:sz w:val="18"/>
                          </w:rPr>
                          <w:t>家庭企业</w:t>
                        </w:r>
                      </w:p>
                    </w:tc>
                    <w:tc>
                      <w:tcPr>
                        <w:tcW w:w="687" w:type="dxa"/>
                        <w:tcBorders>
                          <w:left w:val="double" w:sz="4" w:space="0" w:color="auto"/>
                        </w:tcBorders>
                      </w:tcPr>
                      <w:p w:rsidR="005052D3" w:rsidRDefault="005052D3">
                        <w:pPr>
                          <w:spacing w:before="10"/>
                          <w:jc w:val="center"/>
                          <w:rPr>
                            <w:snapToGrid w:val="0"/>
                            <w:sz w:val="18"/>
                          </w:rPr>
                        </w:pPr>
                        <w:r>
                          <w:rPr>
                            <w:snapToGrid w:val="0"/>
                            <w:sz w:val="18"/>
                          </w:rPr>
                          <w:t>2.1</w:t>
                        </w:r>
                      </w:p>
                    </w:tc>
                    <w:tc>
                      <w:tcPr>
                        <w:tcW w:w="753" w:type="dxa"/>
                      </w:tcPr>
                      <w:p w:rsidR="005052D3" w:rsidRDefault="005052D3">
                        <w:pPr>
                          <w:spacing w:before="10"/>
                          <w:jc w:val="center"/>
                          <w:rPr>
                            <w:rFonts w:eastAsia="KaiTi_GB2312"/>
                            <w:snapToGrid w:val="0"/>
                            <w:sz w:val="18"/>
                          </w:rPr>
                        </w:pPr>
                        <w:r>
                          <w:rPr>
                            <w:rFonts w:eastAsia="KaiTi_GB2312"/>
                            <w:snapToGrid w:val="0"/>
                            <w:sz w:val="18"/>
                          </w:rPr>
                          <w:t>1998</w:t>
                        </w:r>
                      </w:p>
                    </w:tc>
                    <w:tc>
                      <w:tcPr>
                        <w:tcW w:w="601" w:type="dxa"/>
                      </w:tcPr>
                      <w:p w:rsidR="005052D3" w:rsidRDefault="005052D3">
                        <w:pPr>
                          <w:spacing w:before="10"/>
                          <w:jc w:val="center"/>
                          <w:rPr>
                            <w:sz w:val="18"/>
                          </w:rPr>
                        </w:pPr>
                        <w:r>
                          <w:rPr>
                            <w:sz w:val="18"/>
                          </w:rPr>
                          <w:t>2.8</w:t>
                        </w:r>
                      </w:p>
                    </w:tc>
                    <w:tc>
                      <w:tcPr>
                        <w:tcW w:w="630" w:type="dxa"/>
                        <w:gridSpan w:val="2"/>
                      </w:tcPr>
                      <w:p w:rsidR="005052D3" w:rsidRDefault="005052D3">
                        <w:pPr>
                          <w:spacing w:before="10"/>
                          <w:jc w:val="center"/>
                          <w:rPr>
                            <w:rFonts w:eastAsia="KaiTi_GB2312"/>
                            <w:sz w:val="18"/>
                          </w:rPr>
                        </w:pPr>
                        <w:r>
                          <w:rPr>
                            <w:rFonts w:eastAsia="KaiTi_GB2312"/>
                            <w:sz w:val="18"/>
                          </w:rPr>
                          <w:t>1998</w:t>
                        </w:r>
                      </w:p>
                    </w:tc>
                  </w:tr>
                  <w:tr w:rsidR="005052D3">
                    <w:tblPrEx>
                      <w:tblCellMar>
                        <w:top w:w="0" w:type="dxa"/>
                        <w:bottom w:w="0" w:type="dxa"/>
                      </w:tblCellMar>
                    </w:tblPrEx>
                    <w:trPr>
                      <w:cantSplit/>
                      <w:trHeight w:val="165"/>
                      <w:jc w:val="center"/>
                    </w:trPr>
                    <w:tc>
                      <w:tcPr>
                        <w:tcW w:w="719" w:type="dxa"/>
                        <w:vMerge/>
                      </w:tcPr>
                      <w:p w:rsidR="005052D3" w:rsidRDefault="005052D3">
                        <w:pPr>
                          <w:tabs>
                            <w:tab w:val="center" w:pos="572"/>
                          </w:tabs>
                          <w:spacing w:before="10"/>
                          <w:rPr>
                            <w:sz w:val="18"/>
                          </w:rPr>
                        </w:pPr>
                      </w:p>
                    </w:tc>
                    <w:tc>
                      <w:tcPr>
                        <w:tcW w:w="3270" w:type="dxa"/>
                      </w:tcPr>
                      <w:p w:rsidR="005052D3" w:rsidRDefault="005052D3">
                        <w:pPr>
                          <w:rPr>
                            <w:sz w:val="18"/>
                          </w:rPr>
                        </w:pPr>
                        <w:r>
                          <w:rPr>
                            <w:rFonts w:hint="eastAsia"/>
                            <w:sz w:val="18"/>
                          </w:rPr>
                          <w:t>个体经营</w:t>
                        </w:r>
                      </w:p>
                    </w:tc>
                    <w:tc>
                      <w:tcPr>
                        <w:tcW w:w="687" w:type="dxa"/>
                        <w:tcBorders>
                          <w:left w:val="double" w:sz="4" w:space="0" w:color="auto"/>
                        </w:tcBorders>
                      </w:tcPr>
                      <w:p w:rsidR="005052D3" w:rsidRDefault="005052D3">
                        <w:pPr>
                          <w:spacing w:before="10"/>
                          <w:jc w:val="center"/>
                          <w:rPr>
                            <w:snapToGrid w:val="0"/>
                            <w:sz w:val="18"/>
                          </w:rPr>
                        </w:pPr>
                        <w:r>
                          <w:rPr>
                            <w:snapToGrid w:val="0"/>
                            <w:sz w:val="18"/>
                          </w:rPr>
                          <w:t>2.8</w:t>
                        </w:r>
                      </w:p>
                    </w:tc>
                    <w:tc>
                      <w:tcPr>
                        <w:tcW w:w="753" w:type="dxa"/>
                      </w:tcPr>
                      <w:p w:rsidR="005052D3" w:rsidRDefault="005052D3">
                        <w:pPr>
                          <w:spacing w:before="10"/>
                          <w:jc w:val="center"/>
                          <w:rPr>
                            <w:rFonts w:eastAsia="KaiTi_GB2312"/>
                            <w:snapToGrid w:val="0"/>
                            <w:sz w:val="18"/>
                          </w:rPr>
                        </w:pPr>
                        <w:r>
                          <w:rPr>
                            <w:rFonts w:eastAsia="KaiTi_GB2312"/>
                            <w:snapToGrid w:val="0"/>
                            <w:sz w:val="18"/>
                          </w:rPr>
                          <w:t>1998</w:t>
                        </w:r>
                      </w:p>
                    </w:tc>
                    <w:tc>
                      <w:tcPr>
                        <w:tcW w:w="601" w:type="dxa"/>
                      </w:tcPr>
                      <w:p w:rsidR="005052D3" w:rsidRDefault="005052D3">
                        <w:pPr>
                          <w:spacing w:before="10"/>
                          <w:jc w:val="center"/>
                          <w:rPr>
                            <w:sz w:val="18"/>
                          </w:rPr>
                        </w:pPr>
                        <w:r>
                          <w:rPr>
                            <w:sz w:val="18"/>
                          </w:rPr>
                          <w:t>8.8</w:t>
                        </w:r>
                      </w:p>
                    </w:tc>
                    <w:tc>
                      <w:tcPr>
                        <w:tcW w:w="630" w:type="dxa"/>
                        <w:gridSpan w:val="2"/>
                      </w:tcPr>
                      <w:p w:rsidR="005052D3" w:rsidRDefault="005052D3">
                        <w:pPr>
                          <w:spacing w:before="10"/>
                          <w:jc w:val="center"/>
                          <w:rPr>
                            <w:rFonts w:eastAsia="KaiTi_GB2312"/>
                            <w:sz w:val="18"/>
                          </w:rPr>
                        </w:pPr>
                        <w:r>
                          <w:rPr>
                            <w:rFonts w:eastAsia="KaiTi_GB2312"/>
                            <w:sz w:val="18"/>
                          </w:rPr>
                          <w:t>1998</w:t>
                        </w:r>
                      </w:p>
                    </w:tc>
                  </w:tr>
                  <w:tr w:rsidR="005052D3">
                    <w:tblPrEx>
                      <w:tblCellMar>
                        <w:top w:w="0" w:type="dxa"/>
                        <w:bottom w:w="0" w:type="dxa"/>
                      </w:tblCellMar>
                    </w:tblPrEx>
                    <w:trPr>
                      <w:cantSplit/>
                      <w:trHeight w:val="440"/>
                      <w:jc w:val="center"/>
                    </w:trPr>
                    <w:tc>
                      <w:tcPr>
                        <w:tcW w:w="719" w:type="dxa"/>
                        <w:vMerge/>
                      </w:tcPr>
                      <w:p w:rsidR="005052D3" w:rsidRDefault="005052D3">
                        <w:pPr>
                          <w:tabs>
                            <w:tab w:val="center" w:pos="572"/>
                          </w:tabs>
                          <w:spacing w:before="10"/>
                          <w:rPr>
                            <w:sz w:val="18"/>
                          </w:rPr>
                        </w:pPr>
                      </w:p>
                    </w:tc>
                    <w:tc>
                      <w:tcPr>
                        <w:tcW w:w="3270" w:type="dxa"/>
                      </w:tcPr>
                      <w:p w:rsidR="005052D3" w:rsidRDefault="005052D3">
                        <w:pPr>
                          <w:rPr>
                            <w:rFonts w:hint="eastAsia"/>
                            <w:sz w:val="18"/>
                          </w:rPr>
                        </w:pPr>
                        <w:r>
                          <w:rPr>
                            <w:rFonts w:hint="eastAsia"/>
                            <w:sz w:val="18"/>
                          </w:rPr>
                          <w:t>雇主</w:t>
                        </w:r>
                      </w:p>
                    </w:tc>
                    <w:tc>
                      <w:tcPr>
                        <w:tcW w:w="687" w:type="dxa"/>
                        <w:tcBorders>
                          <w:left w:val="double" w:sz="4" w:space="0" w:color="auto"/>
                        </w:tcBorders>
                      </w:tcPr>
                      <w:p w:rsidR="005052D3" w:rsidRDefault="005052D3">
                        <w:pPr>
                          <w:spacing w:before="10"/>
                          <w:jc w:val="center"/>
                          <w:rPr>
                            <w:snapToGrid w:val="0"/>
                            <w:sz w:val="18"/>
                          </w:rPr>
                        </w:pPr>
                        <w:r>
                          <w:rPr>
                            <w:snapToGrid w:val="0"/>
                            <w:sz w:val="18"/>
                          </w:rPr>
                          <w:t>0.1</w:t>
                        </w:r>
                      </w:p>
                    </w:tc>
                    <w:tc>
                      <w:tcPr>
                        <w:tcW w:w="753" w:type="dxa"/>
                      </w:tcPr>
                      <w:p w:rsidR="005052D3" w:rsidRDefault="005052D3">
                        <w:pPr>
                          <w:spacing w:before="10"/>
                          <w:jc w:val="center"/>
                          <w:rPr>
                            <w:rFonts w:eastAsia="KaiTi_GB2312"/>
                            <w:snapToGrid w:val="0"/>
                            <w:sz w:val="18"/>
                          </w:rPr>
                        </w:pPr>
                        <w:r>
                          <w:rPr>
                            <w:rFonts w:eastAsia="KaiTi_GB2312"/>
                            <w:snapToGrid w:val="0"/>
                            <w:sz w:val="18"/>
                          </w:rPr>
                          <w:t>1998</w:t>
                        </w:r>
                      </w:p>
                    </w:tc>
                    <w:tc>
                      <w:tcPr>
                        <w:tcW w:w="601" w:type="dxa"/>
                      </w:tcPr>
                      <w:p w:rsidR="005052D3" w:rsidRDefault="005052D3">
                        <w:pPr>
                          <w:spacing w:before="10"/>
                          <w:jc w:val="center"/>
                          <w:rPr>
                            <w:sz w:val="18"/>
                          </w:rPr>
                        </w:pPr>
                        <w:r>
                          <w:rPr>
                            <w:sz w:val="18"/>
                          </w:rPr>
                          <w:t>0.3</w:t>
                        </w:r>
                      </w:p>
                    </w:tc>
                    <w:tc>
                      <w:tcPr>
                        <w:tcW w:w="630" w:type="dxa"/>
                        <w:gridSpan w:val="2"/>
                      </w:tcPr>
                      <w:p w:rsidR="005052D3" w:rsidRDefault="005052D3">
                        <w:pPr>
                          <w:spacing w:before="10"/>
                          <w:jc w:val="center"/>
                          <w:rPr>
                            <w:rFonts w:eastAsia="KaiTi_GB2312"/>
                            <w:sz w:val="18"/>
                          </w:rPr>
                        </w:pPr>
                        <w:r>
                          <w:rPr>
                            <w:rFonts w:eastAsia="KaiTi_GB2312"/>
                            <w:sz w:val="18"/>
                          </w:rPr>
                          <w:t>1998</w:t>
                        </w:r>
                      </w:p>
                    </w:tc>
                  </w:tr>
                </w:tbl>
                <w:p w:rsidR="005052D3" w:rsidRDefault="005052D3"/>
              </w:txbxContent>
            </v:textbox>
          </v:shape>
        </w:pict>
      </w: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 w:rsidR="005052D3" w:rsidRDefault="005052D3"/>
    <w:p w:rsidR="005052D3" w:rsidRDefault="005052D3"/>
    <w:p w:rsidR="005052D3" w:rsidRDefault="005052D3"/>
    <w:p w:rsidR="005052D3" w:rsidRDefault="005052D3">
      <w:pPr>
        <w:rPr>
          <w:rFonts w:hint="eastAsia"/>
        </w:rPr>
      </w:pPr>
      <w:r>
        <w:rPr>
          <w:noProof/>
          <w:sz w:val="20"/>
        </w:rPr>
        <w:pict>
          <v:shape id="_x0000_s2056" type="#_x0000_t65" style="position:absolute;margin-left:48pt;margin-top:0;width:402pt;height:577.2pt;z-index:-5"/>
        </w:pict>
      </w:r>
    </w:p>
    <w:tbl>
      <w:tblPr>
        <w:tblW w:w="3513" w:type="pct"/>
        <w:tblInd w:w="146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841"/>
        <w:gridCol w:w="3119"/>
        <w:gridCol w:w="841"/>
        <w:gridCol w:w="720"/>
        <w:gridCol w:w="720"/>
        <w:gridCol w:w="720"/>
      </w:tblGrid>
      <w:tr w:rsidR="005052D3">
        <w:tblPrEx>
          <w:tblCellMar>
            <w:top w:w="0" w:type="dxa"/>
            <w:bottom w:w="0" w:type="dxa"/>
          </w:tblCellMar>
        </w:tblPrEx>
        <w:trPr>
          <w:cantSplit/>
          <w:trHeight w:val="300"/>
        </w:trPr>
        <w:tc>
          <w:tcPr>
            <w:tcW w:w="604" w:type="pct"/>
            <w:tcBorders>
              <w:top w:val="single" w:sz="4" w:space="0" w:color="auto"/>
              <w:left w:val="single" w:sz="4" w:space="0" w:color="auto"/>
              <w:bottom w:val="nil"/>
            </w:tcBorders>
            <w:textDirection w:val="btLr"/>
          </w:tcPr>
          <w:p w:rsidR="005052D3" w:rsidRDefault="005052D3">
            <w:pPr>
              <w:spacing w:before="10"/>
              <w:ind w:left="113" w:right="113"/>
              <w:rPr>
                <w:snapToGrid w:val="0"/>
                <w:sz w:val="18"/>
              </w:rPr>
            </w:pPr>
          </w:p>
        </w:tc>
        <w:tc>
          <w:tcPr>
            <w:tcW w:w="2240" w:type="pct"/>
            <w:tcBorders>
              <w:top w:val="single" w:sz="4" w:space="0" w:color="auto"/>
              <w:bottom w:val="nil"/>
            </w:tcBorders>
          </w:tcPr>
          <w:p w:rsidR="005052D3" w:rsidRDefault="005052D3">
            <w:pPr>
              <w:spacing w:before="10"/>
              <w:rPr>
                <w:rFonts w:eastAsia="KaiTi_GB2312"/>
                <w:iCs/>
                <w:snapToGrid w:val="0"/>
                <w:color w:val="0000FF"/>
                <w:sz w:val="18"/>
              </w:rPr>
            </w:pPr>
          </w:p>
        </w:tc>
        <w:tc>
          <w:tcPr>
            <w:tcW w:w="604" w:type="pct"/>
            <w:tcBorders>
              <w:left w:val="double" w:sz="4" w:space="0" w:color="auto"/>
            </w:tcBorders>
          </w:tcPr>
          <w:p w:rsidR="005052D3" w:rsidRDefault="005052D3">
            <w:pPr>
              <w:spacing w:before="10"/>
              <w:jc w:val="center"/>
              <w:rPr>
                <w:rFonts w:eastAsia="KaiTi_GB2312" w:hint="eastAsia"/>
                <w:iCs/>
                <w:snapToGrid w:val="0"/>
                <w:color w:val="0000FF"/>
                <w:sz w:val="18"/>
              </w:rPr>
            </w:pPr>
            <w:r>
              <w:rPr>
                <w:rFonts w:eastAsia="KaiTi_GB2312" w:hint="eastAsia"/>
                <w:iCs/>
                <w:snapToGrid w:val="0"/>
                <w:color w:val="0000FF"/>
                <w:sz w:val="18"/>
              </w:rPr>
              <w:t>妇女</w:t>
            </w:r>
          </w:p>
        </w:tc>
        <w:tc>
          <w:tcPr>
            <w:tcW w:w="517" w:type="pct"/>
          </w:tcPr>
          <w:p w:rsidR="005052D3" w:rsidRDefault="005052D3">
            <w:pPr>
              <w:spacing w:before="10"/>
              <w:jc w:val="center"/>
              <w:rPr>
                <w:rFonts w:eastAsia="KaiTi_GB2312" w:hint="eastAsia"/>
                <w:iCs/>
                <w:snapToGrid w:val="0"/>
                <w:color w:val="0000FF"/>
                <w:sz w:val="18"/>
              </w:rPr>
            </w:pPr>
            <w:r>
              <w:rPr>
                <w:rFonts w:eastAsia="KaiTi_GB2312" w:hint="eastAsia"/>
                <w:iCs/>
                <w:snapToGrid w:val="0"/>
                <w:color w:val="0000FF"/>
                <w:sz w:val="18"/>
              </w:rPr>
              <w:t>年份</w:t>
            </w:r>
          </w:p>
        </w:tc>
        <w:tc>
          <w:tcPr>
            <w:tcW w:w="517" w:type="pct"/>
          </w:tcPr>
          <w:p w:rsidR="005052D3" w:rsidRDefault="005052D3">
            <w:pPr>
              <w:spacing w:before="10"/>
              <w:jc w:val="center"/>
              <w:rPr>
                <w:rFonts w:eastAsia="KaiTi_GB2312" w:hint="eastAsia"/>
                <w:iCs/>
                <w:snapToGrid w:val="0"/>
                <w:color w:val="0000FF"/>
                <w:sz w:val="18"/>
              </w:rPr>
            </w:pPr>
            <w:r>
              <w:rPr>
                <w:rFonts w:eastAsia="KaiTi_GB2312" w:hint="eastAsia"/>
                <w:iCs/>
                <w:snapToGrid w:val="0"/>
                <w:color w:val="0000FF"/>
                <w:sz w:val="18"/>
              </w:rPr>
              <w:t>男子</w:t>
            </w:r>
          </w:p>
        </w:tc>
        <w:tc>
          <w:tcPr>
            <w:tcW w:w="517" w:type="pct"/>
          </w:tcPr>
          <w:p w:rsidR="005052D3" w:rsidRDefault="005052D3">
            <w:pPr>
              <w:spacing w:before="10"/>
              <w:jc w:val="center"/>
              <w:rPr>
                <w:rFonts w:eastAsia="KaiTi_GB2312" w:hint="eastAsia"/>
                <w:iCs/>
                <w:snapToGrid w:val="0"/>
                <w:color w:val="0000FF"/>
                <w:sz w:val="18"/>
              </w:rPr>
            </w:pPr>
            <w:r>
              <w:rPr>
                <w:rFonts w:eastAsia="KaiTi_GB2312" w:hint="eastAsia"/>
                <w:iCs/>
                <w:snapToGrid w:val="0"/>
                <w:color w:val="0000FF"/>
                <w:sz w:val="18"/>
              </w:rPr>
              <w:t>年份</w:t>
            </w:r>
          </w:p>
        </w:tc>
      </w:tr>
      <w:tr w:rsidR="005052D3">
        <w:tblPrEx>
          <w:tblCellMar>
            <w:top w:w="0" w:type="dxa"/>
            <w:bottom w:w="0" w:type="dxa"/>
          </w:tblCellMar>
        </w:tblPrEx>
        <w:trPr>
          <w:cantSplit/>
          <w:trHeight w:val="300"/>
        </w:trPr>
        <w:tc>
          <w:tcPr>
            <w:tcW w:w="604" w:type="pct"/>
            <w:vMerge w:val="restart"/>
            <w:tcBorders>
              <w:top w:val="nil"/>
              <w:left w:val="single" w:sz="4" w:space="0" w:color="auto"/>
              <w:bottom w:val="nil"/>
            </w:tcBorders>
            <w:textDirection w:val="btLr"/>
          </w:tcPr>
          <w:p w:rsidR="005052D3" w:rsidRDefault="005052D3">
            <w:pPr>
              <w:spacing w:before="10"/>
              <w:ind w:left="113" w:right="113"/>
              <w:jc w:val="center"/>
              <w:rPr>
                <w:rFonts w:hint="eastAsia"/>
                <w:snapToGrid w:val="0"/>
                <w:sz w:val="18"/>
              </w:rPr>
            </w:pPr>
            <w:r>
              <w:rPr>
                <w:rFonts w:hint="eastAsia"/>
                <w:snapToGrid w:val="0"/>
                <w:sz w:val="18"/>
              </w:rPr>
              <w:t>经济指标</w:t>
            </w:r>
          </w:p>
        </w:tc>
        <w:tc>
          <w:tcPr>
            <w:tcW w:w="2240" w:type="pct"/>
            <w:tcBorders>
              <w:top w:val="nil"/>
              <w:bottom w:val="nil"/>
            </w:tcBorders>
          </w:tcPr>
          <w:p w:rsidR="005052D3" w:rsidRDefault="005052D3">
            <w:pPr>
              <w:spacing w:before="10"/>
              <w:rPr>
                <w:rFonts w:hint="eastAsia"/>
                <w:snapToGrid w:val="0"/>
                <w:sz w:val="18"/>
              </w:rPr>
            </w:pPr>
            <w:r>
              <w:rPr>
                <w:rFonts w:hint="eastAsia"/>
                <w:snapToGrid w:val="0"/>
                <w:sz w:val="18"/>
              </w:rPr>
              <w:t>国家贫困线</w:t>
            </w:r>
          </w:p>
        </w:tc>
        <w:tc>
          <w:tcPr>
            <w:tcW w:w="604" w:type="pct"/>
            <w:tcBorders>
              <w:left w:val="double" w:sz="4" w:space="0" w:color="auto"/>
            </w:tcBorders>
          </w:tcPr>
          <w:p w:rsidR="005052D3" w:rsidRDefault="005052D3">
            <w:pPr>
              <w:spacing w:before="10"/>
              <w:jc w:val="center"/>
              <w:rPr>
                <w:i/>
                <w:snapToGrid w:val="0"/>
                <w:sz w:val="18"/>
              </w:rPr>
            </w:pPr>
            <w:r>
              <w:rPr>
                <w:rFonts w:eastAsia="KaiTi_GB2312"/>
                <w:snapToGrid w:val="0"/>
                <w:sz w:val="18"/>
              </w:rPr>
              <w:t>54.0</w:t>
            </w:r>
          </w:p>
        </w:tc>
        <w:tc>
          <w:tcPr>
            <w:tcW w:w="517" w:type="pct"/>
          </w:tcPr>
          <w:p w:rsidR="005052D3" w:rsidRDefault="005052D3">
            <w:pPr>
              <w:spacing w:before="10"/>
              <w:jc w:val="center"/>
              <w:rPr>
                <w:rFonts w:eastAsia="KaiTi_GB2312"/>
                <w:snapToGrid w:val="0"/>
                <w:sz w:val="18"/>
              </w:rPr>
            </w:pPr>
            <w:r>
              <w:rPr>
                <w:rFonts w:eastAsia="KaiTi_GB2312"/>
                <w:snapToGrid w:val="0"/>
                <w:sz w:val="18"/>
              </w:rPr>
              <w:t>2000</w:t>
            </w:r>
          </w:p>
        </w:tc>
        <w:tc>
          <w:tcPr>
            <w:tcW w:w="517" w:type="pct"/>
          </w:tcPr>
          <w:p w:rsidR="005052D3" w:rsidRDefault="005052D3">
            <w:pPr>
              <w:spacing w:before="10"/>
              <w:jc w:val="center"/>
              <w:rPr>
                <w:sz w:val="18"/>
              </w:rPr>
            </w:pPr>
          </w:p>
        </w:tc>
        <w:tc>
          <w:tcPr>
            <w:tcW w:w="517" w:type="pct"/>
          </w:tcPr>
          <w:p w:rsidR="005052D3" w:rsidRDefault="005052D3">
            <w:pPr>
              <w:spacing w:before="10"/>
              <w:jc w:val="center"/>
              <w:rPr>
                <w:i/>
                <w:sz w:val="18"/>
              </w:rPr>
            </w:pPr>
          </w:p>
        </w:tc>
      </w:tr>
      <w:tr w:rsidR="005052D3">
        <w:tblPrEx>
          <w:tblCellMar>
            <w:top w:w="0" w:type="dxa"/>
            <w:bottom w:w="0" w:type="dxa"/>
          </w:tblCellMar>
        </w:tblPrEx>
        <w:trPr>
          <w:cantSplit/>
          <w:trHeight w:val="300"/>
        </w:trPr>
        <w:tc>
          <w:tcPr>
            <w:tcW w:w="604" w:type="pct"/>
            <w:vMerge/>
            <w:tcBorders>
              <w:top w:val="nil"/>
              <w:left w:val="single" w:sz="4" w:space="0" w:color="auto"/>
              <w:bottom w:val="nil"/>
            </w:tcBorders>
            <w:textDirection w:val="btLr"/>
          </w:tcPr>
          <w:p w:rsidR="005052D3" w:rsidRDefault="005052D3">
            <w:pPr>
              <w:spacing w:before="10"/>
              <w:ind w:left="113" w:right="113"/>
              <w:rPr>
                <w:snapToGrid w:val="0"/>
                <w:sz w:val="18"/>
              </w:rPr>
            </w:pPr>
          </w:p>
        </w:tc>
        <w:tc>
          <w:tcPr>
            <w:tcW w:w="2240" w:type="pct"/>
            <w:tcBorders>
              <w:top w:val="nil"/>
              <w:bottom w:val="nil"/>
            </w:tcBorders>
          </w:tcPr>
          <w:p w:rsidR="005052D3" w:rsidRDefault="005052D3">
            <w:pPr>
              <w:spacing w:before="10"/>
              <w:rPr>
                <w:rFonts w:hint="eastAsia"/>
                <w:snapToGrid w:val="0"/>
                <w:sz w:val="18"/>
              </w:rPr>
            </w:pPr>
            <w:r>
              <w:rPr>
                <w:rFonts w:hint="eastAsia"/>
                <w:snapToGrid w:val="0"/>
                <w:sz w:val="18"/>
              </w:rPr>
              <w:t>吉尼系数</w:t>
            </w:r>
          </w:p>
        </w:tc>
        <w:tc>
          <w:tcPr>
            <w:tcW w:w="604" w:type="pct"/>
            <w:tcBorders>
              <w:left w:val="double" w:sz="4" w:space="0" w:color="auto"/>
            </w:tcBorders>
          </w:tcPr>
          <w:p w:rsidR="005052D3" w:rsidRDefault="005052D3">
            <w:pPr>
              <w:spacing w:before="10"/>
              <w:jc w:val="center"/>
              <w:rPr>
                <w:i/>
                <w:snapToGrid w:val="0"/>
                <w:sz w:val="18"/>
              </w:rPr>
            </w:pPr>
            <w:r>
              <w:rPr>
                <w:rFonts w:eastAsia="KaiTi_GB2312"/>
                <w:snapToGrid w:val="0"/>
                <w:sz w:val="18"/>
              </w:rPr>
              <w:t>0.88</w:t>
            </w:r>
          </w:p>
        </w:tc>
        <w:tc>
          <w:tcPr>
            <w:tcW w:w="517" w:type="pct"/>
          </w:tcPr>
          <w:p w:rsidR="005052D3" w:rsidRDefault="005052D3">
            <w:pPr>
              <w:spacing w:before="10"/>
              <w:jc w:val="center"/>
              <w:rPr>
                <w:rFonts w:eastAsia="KaiTi_GB2312"/>
                <w:snapToGrid w:val="0"/>
                <w:sz w:val="18"/>
              </w:rPr>
            </w:pPr>
            <w:r>
              <w:rPr>
                <w:rFonts w:eastAsia="KaiTi_GB2312"/>
                <w:snapToGrid w:val="0"/>
                <w:sz w:val="18"/>
              </w:rPr>
              <w:t>200</w:t>
            </w:r>
          </w:p>
        </w:tc>
        <w:tc>
          <w:tcPr>
            <w:tcW w:w="517" w:type="pct"/>
          </w:tcPr>
          <w:p w:rsidR="005052D3" w:rsidRDefault="005052D3">
            <w:pPr>
              <w:spacing w:before="10"/>
              <w:jc w:val="center"/>
              <w:rPr>
                <w:sz w:val="18"/>
              </w:rPr>
            </w:pPr>
          </w:p>
        </w:tc>
        <w:tc>
          <w:tcPr>
            <w:tcW w:w="517" w:type="pct"/>
          </w:tcPr>
          <w:p w:rsidR="005052D3" w:rsidRDefault="005052D3">
            <w:pPr>
              <w:spacing w:before="10"/>
              <w:jc w:val="center"/>
              <w:rPr>
                <w:i/>
                <w:sz w:val="18"/>
              </w:rPr>
            </w:pPr>
          </w:p>
        </w:tc>
      </w:tr>
      <w:tr w:rsidR="005052D3">
        <w:tblPrEx>
          <w:tblCellMar>
            <w:top w:w="0" w:type="dxa"/>
            <w:bottom w:w="0" w:type="dxa"/>
          </w:tblCellMar>
        </w:tblPrEx>
        <w:trPr>
          <w:cantSplit/>
          <w:trHeight w:val="300"/>
        </w:trPr>
        <w:tc>
          <w:tcPr>
            <w:tcW w:w="604" w:type="pct"/>
            <w:vMerge/>
            <w:tcBorders>
              <w:top w:val="nil"/>
              <w:left w:val="single" w:sz="4" w:space="0" w:color="auto"/>
              <w:bottom w:val="nil"/>
            </w:tcBorders>
            <w:textDirection w:val="btLr"/>
          </w:tcPr>
          <w:p w:rsidR="005052D3" w:rsidRDefault="005052D3">
            <w:pPr>
              <w:spacing w:before="10"/>
              <w:ind w:left="113" w:right="113"/>
              <w:rPr>
                <w:snapToGrid w:val="0"/>
                <w:sz w:val="18"/>
              </w:rPr>
            </w:pPr>
          </w:p>
        </w:tc>
        <w:tc>
          <w:tcPr>
            <w:tcW w:w="2240" w:type="pct"/>
            <w:tcBorders>
              <w:top w:val="nil"/>
              <w:bottom w:val="nil"/>
            </w:tcBorders>
          </w:tcPr>
          <w:p w:rsidR="005052D3" w:rsidRDefault="005052D3">
            <w:pPr>
              <w:spacing w:before="10"/>
              <w:rPr>
                <w:sz w:val="18"/>
              </w:rPr>
            </w:pPr>
            <w:r>
              <w:rPr>
                <w:rFonts w:hint="eastAsia"/>
                <w:snapToGrid w:val="0"/>
                <w:sz w:val="18"/>
              </w:rPr>
              <w:t>年平均通货膨胀</w:t>
            </w:r>
          </w:p>
        </w:tc>
        <w:tc>
          <w:tcPr>
            <w:tcW w:w="604" w:type="pct"/>
            <w:tcBorders>
              <w:left w:val="double" w:sz="4" w:space="0" w:color="auto"/>
            </w:tcBorders>
          </w:tcPr>
          <w:p w:rsidR="005052D3" w:rsidRDefault="005052D3">
            <w:pPr>
              <w:spacing w:before="10"/>
              <w:jc w:val="center"/>
              <w:rPr>
                <w:i/>
                <w:snapToGrid w:val="0"/>
                <w:sz w:val="18"/>
              </w:rPr>
            </w:pPr>
            <w:r>
              <w:rPr>
                <w:rFonts w:eastAsia="KaiTi_GB2312"/>
                <w:snapToGrid w:val="0"/>
                <w:sz w:val="18"/>
              </w:rPr>
              <w:t>29.6</w:t>
            </w:r>
          </w:p>
        </w:tc>
        <w:tc>
          <w:tcPr>
            <w:tcW w:w="517" w:type="pct"/>
          </w:tcPr>
          <w:p w:rsidR="005052D3" w:rsidRDefault="005052D3">
            <w:pPr>
              <w:spacing w:before="10"/>
              <w:jc w:val="center"/>
              <w:rPr>
                <w:rFonts w:eastAsia="KaiTi_GB2312"/>
                <w:snapToGrid w:val="0"/>
                <w:sz w:val="18"/>
              </w:rPr>
            </w:pPr>
            <w:r>
              <w:rPr>
                <w:rFonts w:eastAsia="KaiTi_GB2312"/>
                <w:snapToGrid w:val="0"/>
                <w:sz w:val="18"/>
              </w:rPr>
              <w:t>2000</w:t>
            </w:r>
          </w:p>
        </w:tc>
        <w:tc>
          <w:tcPr>
            <w:tcW w:w="517" w:type="pct"/>
          </w:tcPr>
          <w:p w:rsidR="005052D3" w:rsidRDefault="005052D3">
            <w:pPr>
              <w:spacing w:before="10"/>
              <w:jc w:val="center"/>
              <w:rPr>
                <w:sz w:val="18"/>
              </w:rPr>
            </w:pPr>
          </w:p>
        </w:tc>
        <w:tc>
          <w:tcPr>
            <w:tcW w:w="517" w:type="pct"/>
          </w:tcPr>
          <w:p w:rsidR="005052D3" w:rsidRDefault="005052D3">
            <w:pPr>
              <w:spacing w:before="10"/>
              <w:jc w:val="center"/>
              <w:rPr>
                <w:i/>
                <w:sz w:val="18"/>
              </w:rPr>
            </w:pPr>
          </w:p>
        </w:tc>
      </w:tr>
      <w:tr w:rsidR="005052D3">
        <w:tblPrEx>
          <w:tblCellMar>
            <w:top w:w="0" w:type="dxa"/>
            <w:bottom w:w="0" w:type="dxa"/>
          </w:tblCellMar>
        </w:tblPrEx>
        <w:trPr>
          <w:cantSplit/>
          <w:trHeight w:val="300"/>
        </w:trPr>
        <w:tc>
          <w:tcPr>
            <w:tcW w:w="604" w:type="pct"/>
            <w:vMerge/>
            <w:tcBorders>
              <w:top w:val="nil"/>
              <w:left w:val="single" w:sz="4" w:space="0" w:color="auto"/>
              <w:bottom w:val="nil"/>
            </w:tcBorders>
            <w:textDirection w:val="btLr"/>
          </w:tcPr>
          <w:p w:rsidR="005052D3" w:rsidRDefault="005052D3">
            <w:pPr>
              <w:spacing w:before="10"/>
              <w:ind w:left="113" w:right="113"/>
              <w:rPr>
                <w:snapToGrid w:val="0"/>
                <w:sz w:val="18"/>
              </w:rPr>
            </w:pPr>
          </w:p>
        </w:tc>
        <w:tc>
          <w:tcPr>
            <w:tcW w:w="2240" w:type="pct"/>
            <w:tcBorders>
              <w:top w:val="nil"/>
              <w:bottom w:val="nil"/>
            </w:tcBorders>
          </w:tcPr>
          <w:p w:rsidR="005052D3" w:rsidRDefault="005052D3">
            <w:pPr>
              <w:spacing w:before="10"/>
              <w:rPr>
                <w:rFonts w:hint="eastAsia"/>
                <w:sz w:val="18"/>
              </w:rPr>
            </w:pPr>
            <w:r>
              <w:rPr>
                <w:rFonts w:hint="eastAsia"/>
                <w:snapToGrid w:val="0"/>
                <w:sz w:val="18"/>
              </w:rPr>
              <w:t>人均国内生产总值（购买力平价</w:t>
            </w:r>
            <w:r>
              <w:rPr>
                <w:snapToGrid w:val="0"/>
                <w:sz w:val="18"/>
              </w:rPr>
              <w:t xml:space="preserve"> US$</w:t>
            </w:r>
            <w:r>
              <w:rPr>
                <w:rFonts w:hint="eastAsia"/>
                <w:snapToGrid w:val="0"/>
                <w:sz w:val="18"/>
              </w:rPr>
              <w:t>）</w:t>
            </w:r>
          </w:p>
        </w:tc>
        <w:tc>
          <w:tcPr>
            <w:tcW w:w="604" w:type="pct"/>
            <w:tcBorders>
              <w:left w:val="double" w:sz="4" w:space="0" w:color="auto"/>
            </w:tcBorders>
          </w:tcPr>
          <w:p w:rsidR="005052D3" w:rsidRDefault="005052D3">
            <w:pPr>
              <w:spacing w:before="10"/>
              <w:jc w:val="center"/>
              <w:rPr>
                <w:i/>
                <w:sz w:val="18"/>
              </w:rPr>
            </w:pPr>
            <w:r>
              <w:rPr>
                <w:rFonts w:eastAsia="KaiTi_GB2312"/>
                <w:snapToGrid w:val="0"/>
                <w:sz w:val="18"/>
              </w:rPr>
              <w:t>615</w:t>
            </w:r>
          </w:p>
        </w:tc>
        <w:tc>
          <w:tcPr>
            <w:tcW w:w="517" w:type="pct"/>
          </w:tcPr>
          <w:p w:rsidR="005052D3" w:rsidRDefault="005052D3">
            <w:pPr>
              <w:spacing w:before="10"/>
              <w:jc w:val="center"/>
              <w:rPr>
                <w:rFonts w:eastAsia="KaiTi_GB2312"/>
                <w:sz w:val="18"/>
              </w:rPr>
            </w:pPr>
            <w:r>
              <w:rPr>
                <w:rFonts w:eastAsia="KaiTi_GB2312"/>
                <w:snapToGrid w:val="0"/>
                <w:sz w:val="18"/>
              </w:rPr>
              <w:t>2000</w:t>
            </w:r>
          </w:p>
        </w:tc>
        <w:tc>
          <w:tcPr>
            <w:tcW w:w="517" w:type="pct"/>
          </w:tcPr>
          <w:p w:rsidR="005052D3" w:rsidRDefault="005052D3">
            <w:pPr>
              <w:spacing w:before="10"/>
              <w:jc w:val="center"/>
              <w:rPr>
                <w:sz w:val="18"/>
              </w:rPr>
            </w:pPr>
            <w:r>
              <w:rPr>
                <w:sz w:val="18"/>
              </w:rPr>
              <w:t>64.5</w:t>
            </w:r>
          </w:p>
        </w:tc>
        <w:tc>
          <w:tcPr>
            <w:tcW w:w="517" w:type="pct"/>
          </w:tcPr>
          <w:p w:rsidR="005052D3" w:rsidRDefault="005052D3">
            <w:pPr>
              <w:spacing w:before="10"/>
              <w:jc w:val="center"/>
              <w:rPr>
                <w:i/>
                <w:sz w:val="18"/>
              </w:rPr>
            </w:pPr>
            <w:r>
              <w:rPr>
                <w:rFonts w:eastAsia="KaiTi_GB2312"/>
                <w:sz w:val="18"/>
              </w:rPr>
              <w:t>1998</w:t>
            </w:r>
          </w:p>
        </w:tc>
      </w:tr>
      <w:tr w:rsidR="005052D3">
        <w:tblPrEx>
          <w:tblCellMar>
            <w:top w:w="0" w:type="dxa"/>
            <w:bottom w:w="0" w:type="dxa"/>
          </w:tblCellMar>
        </w:tblPrEx>
        <w:trPr>
          <w:cantSplit/>
          <w:trHeight w:val="300"/>
        </w:trPr>
        <w:tc>
          <w:tcPr>
            <w:tcW w:w="604" w:type="pct"/>
            <w:vMerge/>
            <w:tcBorders>
              <w:top w:val="nil"/>
              <w:left w:val="single" w:sz="4" w:space="0" w:color="auto"/>
              <w:bottom w:val="nil"/>
            </w:tcBorders>
            <w:textDirection w:val="btLr"/>
          </w:tcPr>
          <w:p w:rsidR="005052D3" w:rsidRDefault="005052D3">
            <w:pPr>
              <w:spacing w:before="10"/>
              <w:ind w:left="113" w:right="113"/>
              <w:rPr>
                <w:snapToGrid w:val="0"/>
                <w:sz w:val="18"/>
              </w:rPr>
            </w:pPr>
          </w:p>
        </w:tc>
        <w:tc>
          <w:tcPr>
            <w:tcW w:w="2240" w:type="pct"/>
            <w:tcBorders>
              <w:top w:val="nil"/>
              <w:bottom w:val="nil"/>
            </w:tcBorders>
          </w:tcPr>
          <w:p w:rsidR="005052D3" w:rsidRDefault="005052D3">
            <w:pPr>
              <w:spacing w:before="10"/>
              <w:rPr>
                <w:snapToGrid w:val="0"/>
                <w:sz w:val="18"/>
              </w:rPr>
            </w:pPr>
            <w:r>
              <w:rPr>
                <w:rFonts w:hint="eastAsia"/>
                <w:snapToGrid w:val="0"/>
                <w:sz w:val="18"/>
              </w:rPr>
              <w:t>增长率</w:t>
            </w:r>
            <w:r>
              <w:rPr>
                <w:snapToGrid w:val="0"/>
                <w:sz w:val="18"/>
              </w:rPr>
              <w:t xml:space="preserve"> </w:t>
            </w:r>
          </w:p>
        </w:tc>
        <w:tc>
          <w:tcPr>
            <w:tcW w:w="604" w:type="pct"/>
            <w:tcBorders>
              <w:left w:val="double" w:sz="4" w:space="0" w:color="auto"/>
            </w:tcBorders>
          </w:tcPr>
          <w:p w:rsidR="005052D3" w:rsidRDefault="005052D3">
            <w:pPr>
              <w:spacing w:before="10"/>
              <w:jc w:val="center"/>
              <w:rPr>
                <w:i/>
                <w:snapToGrid w:val="0"/>
                <w:sz w:val="18"/>
              </w:rPr>
            </w:pPr>
            <w:r>
              <w:rPr>
                <w:rFonts w:eastAsia="KaiTi_GB2312"/>
                <w:snapToGrid w:val="0"/>
                <w:sz w:val="18"/>
              </w:rPr>
              <w:t>1.7</w:t>
            </w:r>
          </w:p>
        </w:tc>
        <w:tc>
          <w:tcPr>
            <w:tcW w:w="517" w:type="pct"/>
          </w:tcPr>
          <w:p w:rsidR="005052D3" w:rsidRDefault="005052D3">
            <w:pPr>
              <w:spacing w:before="10"/>
              <w:jc w:val="center"/>
              <w:rPr>
                <w:rFonts w:eastAsia="KaiTi_GB2312"/>
                <w:snapToGrid w:val="0"/>
                <w:sz w:val="18"/>
              </w:rPr>
            </w:pPr>
            <w:r>
              <w:rPr>
                <w:rFonts w:eastAsia="KaiTi_GB2312"/>
                <w:snapToGrid w:val="0"/>
                <w:sz w:val="18"/>
              </w:rPr>
              <w:t>2000</w:t>
            </w:r>
          </w:p>
        </w:tc>
        <w:tc>
          <w:tcPr>
            <w:tcW w:w="517" w:type="pct"/>
          </w:tcPr>
          <w:p w:rsidR="005052D3" w:rsidRDefault="005052D3">
            <w:pPr>
              <w:spacing w:before="10"/>
              <w:jc w:val="center"/>
              <w:rPr>
                <w:sz w:val="18"/>
              </w:rPr>
            </w:pPr>
            <w:r>
              <w:rPr>
                <w:sz w:val="18"/>
              </w:rPr>
              <w:t>77.0</w:t>
            </w:r>
          </w:p>
        </w:tc>
        <w:tc>
          <w:tcPr>
            <w:tcW w:w="517" w:type="pct"/>
          </w:tcPr>
          <w:p w:rsidR="005052D3" w:rsidRDefault="005052D3">
            <w:pPr>
              <w:spacing w:before="10"/>
              <w:jc w:val="center"/>
              <w:rPr>
                <w:i/>
                <w:sz w:val="18"/>
              </w:rPr>
            </w:pPr>
            <w:r>
              <w:rPr>
                <w:rFonts w:eastAsia="KaiTi_GB2312"/>
                <w:sz w:val="18"/>
              </w:rPr>
              <w:t>1998</w:t>
            </w:r>
          </w:p>
        </w:tc>
      </w:tr>
      <w:tr w:rsidR="005052D3">
        <w:tblPrEx>
          <w:tblCellMar>
            <w:top w:w="0" w:type="dxa"/>
            <w:bottom w:w="0" w:type="dxa"/>
          </w:tblCellMar>
        </w:tblPrEx>
        <w:trPr>
          <w:cantSplit/>
          <w:trHeight w:val="300"/>
        </w:trPr>
        <w:tc>
          <w:tcPr>
            <w:tcW w:w="604" w:type="pct"/>
            <w:vMerge/>
            <w:tcBorders>
              <w:top w:val="nil"/>
              <w:left w:val="single" w:sz="4" w:space="0" w:color="auto"/>
              <w:bottom w:val="nil"/>
            </w:tcBorders>
            <w:textDirection w:val="btLr"/>
          </w:tcPr>
          <w:p w:rsidR="005052D3" w:rsidRDefault="005052D3">
            <w:pPr>
              <w:spacing w:before="10"/>
              <w:ind w:left="113" w:right="113"/>
              <w:rPr>
                <w:snapToGrid w:val="0"/>
                <w:sz w:val="18"/>
              </w:rPr>
            </w:pPr>
          </w:p>
        </w:tc>
        <w:tc>
          <w:tcPr>
            <w:tcW w:w="2240" w:type="pct"/>
            <w:tcBorders>
              <w:top w:val="nil"/>
              <w:bottom w:val="nil"/>
            </w:tcBorders>
          </w:tcPr>
          <w:p w:rsidR="005052D3" w:rsidRDefault="005052D3">
            <w:pPr>
              <w:rPr>
                <w:sz w:val="18"/>
              </w:rPr>
            </w:pPr>
            <w:r>
              <w:rPr>
                <w:rFonts w:hint="eastAsia"/>
                <w:snapToGrid w:val="0"/>
                <w:sz w:val="18"/>
              </w:rPr>
              <w:t>外债/国内生产总值</w:t>
            </w:r>
          </w:p>
        </w:tc>
        <w:tc>
          <w:tcPr>
            <w:tcW w:w="604" w:type="pct"/>
            <w:tcBorders>
              <w:left w:val="double" w:sz="4" w:space="0" w:color="auto"/>
            </w:tcBorders>
          </w:tcPr>
          <w:p w:rsidR="005052D3" w:rsidRDefault="005052D3">
            <w:pPr>
              <w:spacing w:before="10"/>
              <w:jc w:val="center"/>
              <w:rPr>
                <w:snapToGrid w:val="0"/>
                <w:sz w:val="18"/>
              </w:rPr>
            </w:pPr>
            <w:r>
              <w:rPr>
                <w:rFonts w:eastAsia="KaiTi_GB2312"/>
                <w:snapToGrid w:val="0"/>
                <w:sz w:val="18"/>
              </w:rPr>
              <w:t>150.3</w:t>
            </w:r>
          </w:p>
        </w:tc>
        <w:tc>
          <w:tcPr>
            <w:tcW w:w="517" w:type="pct"/>
          </w:tcPr>
          <w:p w:rsidR="005052D3" w:rsidRDefault="005052D3">
            <w:pPr>
              <w:spacing w:before="10"/>
              <w:jc w:val="center"/>
              <w:rPr>
                <w:rFonts w:eastAsia="KaiTi_GB2312"/>
                <w:snapToGrid w:val="0"/>
                <w:sz w:val="18"/>
              </w:rPr>
            </w:pPr>
            <w:r>
              <w:rPr>
                <w:rFonts w:eastAsia="KaiTi_GB2312"/>
                <w:snapToGrid w:val="0"/>
                <w:sz w:val="18"/>
              </w:rPr>
              <w:t>2000</w:t>
            </w:r>
          </w:p>
        </w:tc>
        <w:tc>
          <w:tcPr>
            <w:tcW w:w="517" w:type="pct"/>
          </w:tcPr>
          <w:p w:rsidR="005052D3" w:rsidRDefault="005052D3">
            <w:pPr>
              <w:spacing w:before="10"/>
              <w:jc w:val="center"/>
              <w:rPr>
                <w:sz w:val="18"/>
              </w:rPr>
            </w:pPr>
            <w:r>
              <w:rPr>
                <w:sz w:val="18"/>
              </w:rPr>
              <w:t>74.4</w:t>
            </w:r>
          </w:p>
        </w:tc>
        <w:tc>
          <w:tcPr>
            <w:tcW w:w="517" w:type="pct"/>
          </w:tcPr>
          <w:p w:rsidR="005052D3" w:rsidRDefault="005052D3">
            <w:pPr>
              <w:spacing w:before="10"/>
              <w:jc w:val="center"/>
              <w:rPr>
                <w:i/>
                <w:sz w:val="18"/>
              </w:rPr>
            </w:pPr>
            <w:r>
              <w:rPr>
                <w:rFonts w:eastAsia="KaiTi_GB2312"/>
                <w:sz w:val="18"/>
              </w:rPr>
              <w:t>1999</w:t>
            </w:r>
          </w:p>
        </w:tc>
      </w:tr>
      <w:tr w:rsidR="005052D3">
        <w:tblPrEx>
          <w:tblCellMar>
            <w:top w:w="0" w:type="dxa"/>
            <w:bottom w:w="0" w:type="dxa"/>
          </w:tblCellMar>
        </w:tblPrEx>
        <w:trPr>
          <w:cantSplit/>
          <w:trHeight w:val="300"/>
        </w:trPr>
        <w:tc>
          <w:tcPr>
            <w:tcW w:w="604" w:type="pct"/>
            <w:vMerge/>
            <w:tcBorders>
              <w:top w:val="nil"/>
              <w:left w:val="single" w:sz="4" w:space="0" w:color="auto"/>
              <w:bottom w:val="nil"/>
            </w:tcBorders>
            <w:textDirection w:val="btLr"/>
          </w:tcPr>
          <w:p w:rsidR="005052D3" w:rsidRDefault="005052D3">
            <w:pPr>
              <w:spacing w:before="10"/>
              <w:ind w:left="113" w:right="113"/>
              <w:rPr>
                <w:snapToGrid w:val="0"/>
                <w:sz w:val="18"/>
              </w:rPr>
            </w:pPr>
          </w:p>
        </w:tc>
        <w:tc>
          <w:tcPr>
            <w:tcW w:w="2240" w:type="pct"/>
            <w:tcBorders>
              <w:top w:val="nil"/>
              <w:bottom w:val="nil"/>
            </w:tcBorders>
          </w:tcPr>
          <w:p w:rsidR="005052D3" w:rsidRDefault="005052D3">
            <w:pPr>
              <w:spacing w:before="10"/>
              <w:rPr>
                <w:snapToGrid w:val="0"/>
                <w:sz w:val="18"/>
              </w:rPr>
            </w:pPr>
            <w:r>
              <w:rPr>
                <w:rFonts w:hint="eastAsia"/>
                <w:snapToGrid w:val="0"/>
                <w:sz w:val="18"/>
              </w:rPr>
              <w:t>国内生产总值的总偿债百分比</w:t>
            </w:r>
          </w:p>
        </w:tc>
        <w:tc>
          <w:tcPr>
            <w:tcW w:w="604" w:type="pct"/>
            <w:tcBorders>
              <w:left w:val="double" w:sz="4" w:space="0" w:color="auto"/>
            </w:tcBorders>
          </w:tcPr>
          <w:p w:rsidR="005052D3" w:rsidRDefault="005052D3">
            <w:pPr>
              <w:spacing w:before="10"/>
              <w:jc w:val="center"/>
              <w:rPr>
                <w:i/>
                <w:snapToGrid w:val="0"/>
                <w:sz w:val="18"/>
              </w:rPr>
            </w:pPr>
            <w:r>
              <w:rPr>
                <w:rFonts w:eastAsia="KaiTi_GB2312"/>
                <w:snapToGrid w:val="0"/>
                <w:sz w:val="18"/>
              </w:rPr>
              <w:t>3.5</w:t>
            </w:r>
          </w:p>
        </w:tc>
        <w:tc>
          <w:tcPr>
            <w:tcW w:w="517" w:type="pct"/>
          </w:tcPr>
          <w:p w:rsidR="005052D3" w:rsidRDefault="005052D3">
            <w:pPr>
              <w:spacing w:before="10"/>
              <w:jc w:val="center"/>
              <w:rPr>
                <w:rFonts w:eastAsia="KaiTi_GB2312"/>
                <w:snapToGrid w:val="0"/>
                <w:sz w:val="18"/>
              </w:rPr>
            </w:pPr>
            <w:r>
              <w:rPr>
                <w:rFonts w:eastAsia="KaiTi_GB2312"/>
                <w:snapToGrid w:val="0"/>
                <w:sz w:val="18"/>
              </w:rPr>
              <w:t>2000</w:t>
            </w:r>
          </w:p>
        </w:tc>
        <w:tc>
          <w:tcPr>
            <w:tcW w:w="517" w:type="pct"/>
          </w:tcPr>
          <w:p w:rsidR="005052D3" w:rsidRDefault="005052D3">
            <w:pPr>
              <w:spacing w:before="10"/>
              <w:jc w:val="center"/>
              <w:rPr>
                <w:sz w:val="18"/>
              </w:rPr>
            </w:pPr>
            <w:r>
              <w:rPr>
                <w:sz w:val="18"/>
              </w:rPr>
              <w:t>36.7</w:t>
            </w:r>
          </w:p>
        </w:tc>
        <w:tc>
          <w:tcPr>
            <w:tcW w:w="517" w:type="pct"/>
          </w:tcPr>
          <w:p w:rsidR="005052D3" w:rsidRDefault="005052D3">
            <w:pPr>
              <w:spacing w:before="10"/>
              <w:jc w:val="center"/>
              <w:rPr>
                <w:i/>
                <w:sz w:val="18"/>
              </w:rPr>
            </w:pPr>
            <w:r>
              <w:rPr>
                <w:rFonts w:eastAsia="KaiTi_GB2312"/>
                <w:sz w:val="18"/>
              </w:rPr>
              <w:t>1998</w:t>
            </w:r>
          </w:p>
        </w:tc>
      </w:tr>
      <w:tr w:rsidR="005052D3">
        <w:tblPrEx>
          <w:tblCellMar>
            <w:top w:w="0" w:type="dxa"/>
            <w:bottom w:w="0" w:type="dxa"/>
          </w:tblCellMar>
        </w:tblPrEx>
        <w:trPr>
          <w:cantSplit/>
          <w:trHeight w:val="240"/>
        </w:trPr>
        <w:tc>
          <w:tcPr>
            <w:tcW w:w="604" w:type="pct"/>
            <w:vMerge w:val="restart"/>
            <w:tcBorders>
              <w:top w:val="nil"/>
              <w:left w:val="single" w:sz="4" w:space="0" w:color="auto"/>
              <w:bottom w:val="nil"/>
            </w:tcBorders>
            <w:textDirection w:val="btLr"/>
          </w:tcPr>
          <w:p w:rsidR="005052D3" w:rsidRDefault="005052D3">
            <w:pPr>
              <w:tabs>
                <w:tab w:val="center" w:pos="572"/>
              </w:tabs>
              <w:spacing w:before="10"/>
              <w:ind w:left="113" w:right="113"/>
              <w:rPr>
                <w:rFonts w:hint="eastAsia"/>
                <w:sz w:val="18"/>
              </w:rPr>
            </w:pPr>
            <w:r>
              <w:rPr>
                <w:rFonts w:hint="eastAsia"/>
                <w:sz w:val="18"/>
              </w:rPr>
              <w:t>贫困程度</w:t>
            </w:r>
          </w:p>
        </w:tc>
        <w:tc>
          <w:tcPr>
            <w:tcW w:w="2240" w:type="pct"/>
            <w:tcBorders>
              <w:top w:val="nil"/>
              <w:bottom w:val="nil"/>
            </w:tcBorders>
          </w:tcPr>
          <w:p w:rsidR="005052D3" w:rsidRDefault="005052D3">
            <w:pPr>
              <w:rPr>
                <w:sz w:val="18"/>
              </w:rPr>
            </w:pPr>
            <w:r>
              <w:rPr>
                <w:rFonts w:hint="eastAsia"/>
                <w:sz w:val="18"/>
              </w:rPr>
              <w:t>贫困人口</w:t>
            </w:r>
          </w:p>
        </w:tc>
        <w:tc>
          <w:tcPr>
            <w:tcW w:w="604" w:type="pct"/>
            <w:tcBorders>
              <w:left w:val="double" w:sz="4" w:space="0" w:color="auto"/>
            </w:tcBorders>
          </w:tcPr>
          <w:p w:rsidR="005052D3" w:rsidRDefault="005052D3">
            <w:pPr>
              <w:spacing w:before="10"/>
              <w:jc w:val="center"/>
              <w:rPr>
                <w:snapToGrid w:val="0"/>
                <w:sz w:val="18"/>
              </w:rPr>
            </w:pPr>
            <w:r>
              <w:rPr>
                <w:snapToGrid w:val="0"/>
                <w:sz w:val="18"/>
              </w:rPr>
              <w:t>63. 3</w:t>
            </w:r>
          </w:p>
        </w:tc>
        <w:tc>
          <w:tcPr>
            <w:tcW w:w="517" w:type="pct"/>
          </w:tcPr>
          <w:p w:rsidR="005052D3" w:rsidRDefault="005052D3">
            <w:pPr>
              <w:spacing w:before="10"/>
              <w:jc w:val="center"/>
              <w:rPr>
                <w:rFonts w:eastAsia="KaiTi_GB2312"/>
                <w:snapToGrid w:val="0"/>
                <w:sz w:val="18"/>
              </w:rPr>
            </w:pPr>
            <w:r>
              <w:rPr>
                <w:rFonts w:eastAsia="KaiTi_GB2312"/>
                <w:snapToGrid w:val="0"/>
                <w:sz w:val="18"/>
              </w:rPr>
              <w:t>1998</w:t>
            </w:r>
          </w:p>
        </w:tc>
        <w:tc>
          <w:tcPr>
            <w:tcW w:w="517" w:type="pct"/>
          </w:tcPr>
          <w:p w:rsidR="005052D3" w:rsidRDefault="005052D3">
            <w:pPr>
              <w:spacing w:before="10"/>
              <w:jc w:val="center"/>
              <w:rPr>
                <w:sz w:val="18"/>
              </w:rPr>
            </w:pPr>
            <w:r>
              <w:rPr>
                <w:sz w:val="18"/>
              </w:rPr>
              <w:t>64.7</w:t>
            </w:r>
          </w:p>
        </w:tc>
        <w:tc>
          <w:tcPr>
            <w:tcW w:w="517" w:type="pct"/>
          </w:tcPr>
          <w:p w:rsidR="005052D3" w:rsidRDefault="005052D3">
            <w:pPr>
              <w:spacing w:before="10"/>
              <w:jc w:val="center"/>
              <w:rPr>
                <w:i/>
                <w:sz w:val="18"/>
              </w:rPr>
            </w:pPr>
            <w:r>
              <w:rPr>
                <w:rFonts w:eastAsia="KaiTi_GB2312"/>
                <w:sz w:val="18"/>
              </w:rPr>
              <w:t>1998</w:t>
            </w:r>
          </w:p>
        </w:tc>
      </w:tr>
      <w:tr w:rsidR="005052D3">
        <w:tblPrEx>
          <w:tblCellMar>
            <w:top w:w="0" w:type="dxa"/>
            <w:bottom w:w="0" w:type="dxa"/>
          </w:tblCellMar>
        </w:tblPrEx>
        <w:trPr>
          <w:cantSplit/>
          <w:trHeight w:val="278"/>
        </w:trPr>
        <w:tc>
          <w:tcPr>
            <w:tcW w:w="604" w:type="pct"/>
            <w:vMerge/>
            <w:tcBorders>
              <w:top w:val="nil"/>
              <w:left w:val="single" w:sz="4" w:space="0" w:color="auto"/>
              <w:bottom w:val="nil"/>
            </w:tcBorders>
          </w:tcPr>
          <w:p w:rsidR="005052D3" w:rsidRDefault="005052D3">
            <w:pPr>
              <w:tabs>
                <w:tab w:val="center" w:pos="572"/>
              </w:tabs>
              <w:spacing w:before="10"/>
              <w:rPr>
                <w:sz w:val="18"/>
              </w:rPr>
            </w:pPr>
          </w:p>
        </w:tc>
        <w:tc>
          <w:tcPr>
            <w:tcW w:w="2240" w:type="pct"/>
            <w:tcBorders>
              <w:top w:val="nil"/>
              <w:bottom w:val="nil"/>
            </w:tcBorders>
          </w:tcPr>
          <w:p w:rsidR="005052D3" w:rsidRDefault="005052D3">
            <w:pPr>
              <w:rPr>
                <w:rFonts w:hint="eastAsia"/>
                <w:sz w:val="18"/>
              </w:rPr>
            </w:pPr>
            <w:r>
              <w:rPr>
                <w:rFonts w:hint="eastAsia"/>
                <w:sz w:val="18"/>
              </w:rPr>
              <w:t>极度贫困</w:t>
            </w:r>
          </w:p>
        </w:tc>
        <w:tc>
          <w:tcPr>
            <w:tcW w:w="604" w:type="pct"/>
            <w:tcBorders>
              <w:left w:val="double" w:sz="4" w:space="0" w:color="auto"/>
            </w:tcBorders>
          </w:tcPr>
          <w:p w:rsidR="005052D3" w:rsidRDefault="005052D3">
            <w:pPr>
              <w:spacing w:before="10"/>
              <w:jc w:val="center"/>
              <w:rPr>
                <w:snapToGrid w:val="0"/>
                <w:sz w:val="18"/>
              </w:rPr>
            </w:pPr>
            <w:r>
              <w:rPr>
                <w:snapToGrid w:val="0"/>
                <w:sz w:val="18"/>
              </w:rPr>
              <w:t>28.0</w:t>
            </w:r>
          </w:p>
        </w:tc>
        <w:tc>
          <w:tcPr>
            <w:tcW w:w="517" w:type="pct"/>
          </w:tcPr>
          <w:p w:rsidR="005052D3" w:rsidRDefault="005052D3">
            <w:pPr>
              <w:spacing w:before="10"/>
              <w:jc w:val="center"/>
              <w:rPr>
                <w:rFonts w:eastAsia="KaiTi_GB2312"/>
                <w:snapToGrid w:val="0"/>
                <w:sz w:val="18"/>
              </w:rPr>
            </w:pPr>
            <w:r>
              <w:rPr>
                <w:rFonts w:eastAsia="KaiTi_GB2312"/>
                <w:snapToGrid w:val="0"/>
                <w:sz w:val="18"/>
              </w:rPr>
              <w:t>1998</w:t>
            </w:r>
          </w:p>
        </w:tc>
        <w:tc>
          <w:tcPr>
            <w:tcW w:w="517" w:type="pct"/>
          </w:tcPr>
          <w:p w:rsidR="005052D3" w:rsidRDefault="005052D3">
            <w:pPr>
              <w:spacing w:before="10"/>
              <w:jc w:val="center"/>
              <w:rPr>
                <w:sz w:val="18"/>
              </w:rPr>
            </w:pPr>
            <w:r>
              <w:rPr>
                <w:sz w:val="18"/>
              </w:rPr>
              <w:t>27.6</w:t>
            </w:r>
          </w:p>
        </w:tc>
        <w:tc>
          <w:tcPr>
            <w:tcW w:w="517" w:type="pct"/>
          </w:tcPr>
          <w:p w:rsidR="005052D3" w:rsidRDefault="005052D3">
            <w:pPr>
              <w:spacing w:before="10"/>
              <w:jc w:val="center"/>
              <w:rPr>
                <w:i/>
                <w:sz w:val="18"/>
              </w:rPr>
            </w:pPr>
            <w:r>
              <w:rPr>
                <w:rFonts w:eastAsia="KaiTi_GB2312"/>
                <w:sz w:val="18"/>
              </w:rPr>
              <w:t>1998</w:t>
            </w:r>
          </w:p>
        </w:tc>
      </w:tr>
      <w:tr w:rsidR="005052D3">
        <w:tblPrEx>
          <w:tblCellMar>
            <w:top w:w="0" w:type="dxa"/>
            <w:bottom w:w="0" w:type="dxa"/>
          </w:tblCellMar>
        </w:tblPrEx>
        <w:trPr>
          <w:cantSplit/>
          <w:trHeight w:val="377"/>
        </w:trPr>
        <w:tc>
          <w:tcPr>
            <w:tcW w:w="604" w:type="pct"/>
            <w:vMerge/>
            <w:tcBorders>
              <w:top w:val="nil"/>
              <w:left w:val="single" w:sz="4" w:space="0" w:color="auto"/>
              <w:bottom w:val="nil"/>
            </w:tcBorders>
          </w:tcPr>
          <w:p w:rsidR="005052D3" w:rsidRDefault="005052D3">
            <w:pPr>
              <w:tabs>
                <w:tab w:val="center" w:pos="572"/>
              </w:tabs>
              <w:spacing w:before="10"/>
              <w:rPr>
                <w:sz w:val="18"/>
              </w:rPr>
            </w:pPr>
          </w:p>
        </w:tc>
        <w:tc>
          <w:tcPr>
            <w:tcW w:w="2240" w:type="pct"/>
            <w:tcBorders>
              <w:top w:val="nil"/>
              <w:bottom w:val="nil"/>
            </w:tcBorders>
          </w:tcPr>
          <w:p w:rsidR="005052D3" w:rsidRDefault="005052D3">
            <w:pPr>
              <w:rPr>
                <w:sz w:val="18"/>
              </w:rPr>
            </w:pPr>
            <w:r>
              <w:rPr>
                <w:rFonts w:hint="eastAsia"/>
                <w:sz w:val="18"/>
              </w:rPr>
              <w:t>人均收入份额</w:t>
            </w:r>
          </w:p>
        </w:tc>
        <w:tc>
          <w:tcPr>
            <w:tcW w:w="604" w:type="pct"/>
            <w:tcBorders>
              <w:left w:val="double" w:sz="4" w:space="0" w:color="auto"/>
            </w:tcBorders>
          </w:tcPr>
          <w:p w:rsidR="005052D3" w:rsidRDefault="005052D3">
            <w:pPr>
              <w:spacing w:before="10"/>
              <w:jc w:val="center"/>
              <w:rPr>
                <w:snapToGrid w:val="0"/>
                <w:sz w:val="18"/>
              </w:rPr>
            </w:pPr>
            <w:r>
              <w:rPr>
                <w:snapToGrid w:val="0"/>
                <w:sz w:val="18"/>
              </w:rPr>
              <w:t>0.377</w:t>
            </w:r>
          </w:p>
        </w:tc>
        <w:tc>
          <w:tcPr>
            <w:tcW w:w="517" w:type="pct"/>
          </w:tcPr>
          <w:p w:rsidR="005052D3" w:rsidRDefault="005052D3">
            <w:pPr>
              <w:spacing w:before="10"/>
              <w:jc w:val="center"/>
              <w:rPr>
                <w:rFonts w:eastAsia="KaiTi_GB2312"/>
                <w:snapToGrid w:val="0"/>
                <w:sz w:val="18"/>
              </w:rPr>
            </w:pPr>
            <w:r>
              <w:rPr>
                <w:rFonts w:eastAsia="KaiTi_GB2312"/>
                <w:snapToGrid w:val="0"/>
                <w:sz w:val="18"/>
              </w:rPr>
              <w:t>1998</w:t>
            </w:r>
          </w:p>
        </w:tc>
        <w:tc>
          <w:tcPr>
            <w:tcW w:w="517" w:type="pct"/>
          </w:tcPr>
          <w:p w:rsidR="005052D3" w:rsidRDefault="005052D3">
            <w:pPr>
              <w:spacing w:before="10"/>
              <w:jc w:val="center"/>
              <w:rPr>
                <w:sz w:val="18"/>
              </w:rPr>
            </w:pPr>
            <w:r>
              <w:rPr>
                <w:sz w:val="18"/>
              </w:rPr>
              <w:t>0.623</w:t>
            </w:r>
          </w:p>
        </w:tc>
        <w:tc>
          <w:tcPr>
            <w:tcW w:w="517" w:type="pct"/>
          </w:tcPr>
          <w:p w:rsidR="005052D3" w:rsidRDefault="005052D3">
            <w:pPr>
              <w:spacing w:before="10"/>
              <w:jc w:val="center"/>
              <w:rPr>
                <w:i/>
                <w:sz w:val="18"/>
              </w:rPr>
            </w:pPr>
            <w:r>
              <w:rPr>
                <w:rFonts w:eastAsia="KaiTi_GB2312"/>
                <w:sz w:val="18"/>
              </w:rPr>
              <w:t>1998</w:t>
            </w:r>
          </w:p>
        </w:tc>
      </w:tr>
      <w:tr w:rsidR="005052D3">
        <w:tblPrEx>
          <w:tblCellMar>
            <w:top w:w="0" w:type="dxa"/>
            <w:bottom w:w="0" w:type="dxa"/>
          </w:tblCellMar>
        </w:tblPrEx>
        <w:trPr>
          <w:cantSplit/>
          <w:trHeight w:val="465"/>
        </w:trPr>
        <w:tc>
          <w:tcPr>
            <w:tcW w:w="604" w:type="pct"/>
            <w:tcBorders>
              <w:top w:val="nil"/>
              <w:left w:val="single" w:sz="4" w:space="0" w:color="auto"/>
              <w:bottom w:val="nil"/>
            </w:tcBorders>
            <w:textDirection w:val="btLr"/>
          </w:tcPr>
          <w:p w:rsidR="005052D3" w:rsidRDefault="005052D3">
            <w:pPr>
              <w:tabs>
                <w:tab w:val="center" w:pos="572"/>
              </w:tabs>
              <w:spacing w:before="10"/>
              <w:ind w:left="113" w:right="113"/>
              <w:rPr>
                <w:sz w:val="18"/>
              </w:rPr>
            </w:pPr>
          </w:p>
        </w:tc>
        <w:tc>
          <w:tcPr>
            <w:tcW w:w="2240" w:type="pct"/>
            <w:tcBorders>
              <w:top w:val="nil"/>
              <w:bottom w:val="nil"/>
            </w:tcBorders>
          </w:tcPr>
          <w:p w:rsidR="005052D3" w:rsidRDefault="005052D3">
            <w:pPr>
              <w:rPr>
                <w:sz w:val="18"/>
              </w:rPr>
            </w:pPr>
            <w:r>
              <w:rPr>
                <w:rFonts w:hint="eastAsia"/>
                <w:sz w:val="18"/>
              </w:rPr>
              <w:t>户主的性别百分比</w:t>
            </w:r>
          </w:p>
        </w:tc>
        <w:tc>
          <w:tcPr>
            <w:tcW w:w="604" w:type="pct"/>
            <w:tcBorders>
              <w:left w:val="double" w:sz="4" w:space="0" w:color="auto"/>
            </w:tcBorders>
          </w:tcPr>
          <w:p w:rsidR="005052D3" w:rsidRDefault="005052D3">
            <w:pPr>
              <w:spacing w:before="10"/>
              <w:jc w:val="center"/>
              <w:rPr>
                <w:snapToGrid w:val="0"/>
                <w:sz w:val="18"/>
              </w:rPr>
            </w:pPr>
            <w:r>
              <w:rPr>
                <w:snapToGrid w:val="0"/>
                <w:sz w:val="18"/>
              </w:rPr>
              <w:t>26.6</w:t>
            </w:r>
          </w:p>
        </w:tc>
        <w:tc>
          <w:tcPr>
            <w:tcW w:w="517" w:type="pct"/>
          </w:tcPr>
          <w:p w:rsidR="005052D3" w:rsidRDefault="005052D3">
            <w:pPr>
              <w:spacing w:before="10"/>
              <w:jc w:val="center"/>
              <w:rPr>
                <w:rFonts w:eastAsia="KaiTi_GB2312"/>
                <w:snapToGrid w:val="0"/>
                <w:sz w:val="18"/>
              </w:rPr>
            </w:pPr>
            <w:r>
              <w:rPr>
                <w:rFonts w:eastAsia="KaiTi_GB2312"/>
                <w:snapToGrid w:val="0"/>
                <w:sz w:val="18"/>
              </w:rPr>
              <w:t>2000</w:t>
            </w:r>
          </w:p>
        </w:tc>
        <w:tc>
          <w:tcPr>
            <w:tcW w:w="517" w:type="pct"/>
          </w:tcPr>
          <w:p w:rsidR="005052D3" w:rsidRDefault="005052D3">
            <w:pPr>
              <w:spacing w:before="10"/>
              <w:jc w:val="center"/>
              <w:rPr>
                <w:sz w:val="18"/>
              </w:rPr>
            </w:pPr>
            <w:r>
              <w:rPr>
                <w:sz w:val="18"/>
              </w:rPr>
              <w:t>73.4</w:t>
            </w:r>
          </w:p>
        </w:tc>
        <w:tc>
          <w:tcPr>
            <w:tcW w:w="517" w:type="pct"/>
          </w:tcPr>
          <w:p w:rsidR="005052D3" w:rsidRDefault="005052D3">
            <w:pPr>
              <w:spacing w:before="10"/>
              <w:jc w:val="center"/>
              <w:rPr>
                <w:i/>
                <w:sz w:val="18"/>
              </w:rPr>
            </w:pPr>
            <w:r>
              <w:rPr>
                <w:rFonts w:eastAsia="KaiTi_GB2312"/>
                <w:sz w:val="18"/>
              </w:rPr>
              <w:t>2000</w:t>
            </w:r>
          </w:p>
        </w:tc>
      </w:tr>
      <w:tr w:rsidR="005052D3">
        <w:tblPrEx>
          <w:tblCellMar>
            <w:top w:w="0" w:type="dxa"/>
            <w:bottom w:w="0" w:type="dxa"/>
          </w:tblCellMar>
        </w:tblPrEx>
        <w:trPr>
          <w:cantSplit/>
          <w:trHeight w:val="465"/>
        </w:trPr>
        <w:tc>
          <w:tcPr>
            <w:tcW w:w="604" w:type="pct"/>
            <w:vMerge w:val="restart"/>
            <w:tcBorders>
              <w:top w:val="nil"/>
              <w:left w:val="single" w:sz="4" w:space="0" w:color="auto"/>
              <w:bottom w:val="nil"/>
            </w:tcBorders>
            <w:textDirection w:val="btLr"/>
          </w:tcPr>
          <w:p w:rsidR="005052D3" w:rsidRDefault="005052D3">
            <w:pPr>
              <w:tabs>
                <w:tab w:val="center" w:pos="572"/>
              </w:tabs>
              <w:spacing w:before="10"/>
              <w:ind w:left="113" w:right="113"/>
              <w:rPr>
                <w:sz w:val="18"/>
              </w:rPr>
            </w:pPr>
            <w:r>
              <w:rPr>
                <w:rFonts w:hint="eastAsia"/>
                <w:sz w:val="18"/>
              </w:rPr>
              <w:t>家庭关系</w:t>
            </w:r>
          </w:p>
        </w:tc>
        <w:tc>
          <w:tcPr>
            <w:tcW w:w="2240" w:type="pct"/>
            <w:tcBorders>
              <w:top w:val="nil"/>
              <w:bottom w:val="nil"/>
            </w:tcBorders>
          </w:tcPr>
          <w:p w:rsidR="005052D3" w:rsidRDefault="005052D3">
            <w:pPr>
              <w:rPr>
                <w:sz w:val="18"/>
              </w:rPr>
            </w:pPr>
            <w:r>
              <w:rPr>
                <w:rFonts w:hint="eastAsia"/>
                <w:sz w:val="18"/>
              </w:rPr>
              <w:t>父母双亡的15岁以下儿童的百分比</w:t>
            </w:r>
          </w:p>
        </w:tc>
        <w:tc>
          <w:tcPr>
            <w:tcW w:w="604" w:type="pct"/>
            <w:tcBorders>
              <w:left w:val="double" w:sz="4" w:space="0" w:color="auto"/>
            </w:tcBorders>
          </w:tcPr>
          <w:p w:rsidR="005052D3" w:rsidRDefault="005052D3">
            <w:pPr>
              <w:spacing w:before="10"/>
              <w:jc w:val="center"/>
              <w:rPr>
                <w:snapToGrid w:val="0"/>
                <w:sz w:val="18"/>
              </w:rPr>
            </w:pPr>
            <w:r>
              <w:rPr>
                <w:snapToGrid w:val="0"/>
                <w:sz w:val="18"/>
              </w:rPr>
              <w:t>0.8</w:t>
            </w:r>
          </w:p>
        </w:tc>
        <w:tc>
          <w:tcPr>
            <w:tcW w:w="517" w:type="pct"/>
          </w:tcPr>
          <w:p w:rsidR="005052D3" w:rsidRDefault="005052D3">
            <w:pPr>
              <w:spacing w:before="10"/>
              <w:jc w:val="center"/>
              <w:rPr>
                <w:rFonts w:eastAsia="KaiTi_GB2312"/>
                <w:snapToGrid w:val="0"/>
                <w:sz w:val="18"/>
              </w:rPr>
            </w:pPr>
            <w:r>
              <w:rPr>
                <w:rFonts w:eastAsia="KaiTi_GB2312"/>
                <w:snapToGrid w:val="0"/>
                <w:sz w:val="18"/>
              </w:rPr>
              <w:t>1998</w:t>
            </w:r>
          </w:p>
        </w:tc>
        <w:tc>
          <w:tcPr>
            <w:tcW w:w="517" w:type="pct"/>
          </w:tcPr>
          <w:p w:rsidR="005052D3" w:rsidRDefault="005052D3">
            <w:pPr>
              <w:spacing w:before="10"/>
              <w:jc w:val="center"/>
              <w:rPr>
                <w:sz w:val="18"/>
              </w:rPr>
            </w:pPr>
            <w:r>
              <w:rPr>
                <w:sz w:val="18"/>
              </w:rPr>
              <w:t>0.8</w:t>
            </w:r>
          </w:p>
        </w:tc>
        <w:tc>
          <w:tcPr>
            <w:tcW w:w="517" w:type="pct"/>
          </w:tcPr>
          <w:p w:rsidR="005052D3" w:rsidRDefault="005052D3">
            <w:pPr>
              <w:spacing w:before="10"/>
              <w:jc w:val="center"/>
              <w:rPr>
                <w:i/>
                <w:sz w:val="18"/>
              </w:rPr>
            </w:pPr>
            <w:r>
              <w:rPr>
                <w:rFonts w:eastAsia="KaiTi_GB2312"/>
                <w:sz w:val="18"/>
              </w:rPr>
              <w:t>1998</w:t>
            </w:r>
          </w:p>
        </w:tc>
      </w:tr>
      <w:tr w:rsidR="005052D3">
        <w:tblPrEx>
          <w:tblCellMar>
            <w:top w:w="0" w:type="dxa"/>
            <w:bottom w:w="0" w:type="dxa"/>
          </w:tblCellMar>
        </w:tblPrEx>
        <w:trPr>
          <w:cantSplit/>
          <w:trHeight w:val="210"/>
        </w:trPr>
        <w:tc>
          <w:tcPr>
            <w:tcW w:w="604" w:type="pct"/>
            <w:vMerge/>
            <w:tcBorders>
              <w:top w:val="nil"/>
              <w:left w:val="single" w:sz="4" w:space="0" w:color="auto"/>
              <w:bottom w:val="nil"/>
            </w:tcBorders>
          </w:tcPr>
          <w:p w:rsidR="005052D3" w:rsidRDefault="005052D3">
            <w:pPr>
              <w:tabs>
                <w:tab w:val="center" w:pos="572"/>
              </w:tabs>
              <w:spacing w:before="10"/>
              <w:rPr>
                <w:sz w:val="18"/>
              </w:rPr>
            </w:pPr>
          </w:p>
        </w:tc>
        <w:tc>
          <w:tcPr>
            <w:tcW w:w="2240" w:type="pct"/>
            <w:tcBorders>
              <w:top w:val="nil"/>
              <w:bottom w:val="nil"/>
            </w:tcBorders>
          </w:tcPr>
          <w:p w:rsidR="005052D3" w:rsidRDefault="005052D3">
            <w:pPr>
              <w:rPr>
                <w:sz w:val="18"/>
              </w:rPr>
            </w:pPr>
            <w:r>
              <w:rPr>
                <w:rFonts w:hint="eastAsia"/>
                <w:sz w:val="18"/>
              </w:rPr>
              <w:t>10－14岁已婚儿童/青少年的百分比</w:t>
            </w:r>
          </w:p>
        </w:tc>
        <w:tc>
          <w:tcPr>
            <w:tcW w:w="604" w:type="pct"/>
            <w:tcBorders>
              <w:left w:val="double" w:sz="4" w:space="0" w:color="auto"/>
            </w:tcBorders>
          </w:tcPr>
          <w:p w:rsidR="005052D3" w:rsidRDefault="005052D3">
            <w:pPr>
              <w:spacing w:before="10"/>
              <w:jc w:val="center"/>
              <w:rPr>
                <w:snapToGrid w:val="0"/>
                <w:sz w:val="18"/>
              </w:rPr>
            </w:pPr>
            <w:r>
              <w:rPr>
                <w:snapToGrid w:val="0"/>
                <w:sz w:val="18"/>
              </w:rPr>
              <w:t>2.3</w:t>
            </w:r>
          </w:p>
        </w:tc>
        <w:tc>
          <w:tcPr>
            <w:tcW w:w="517" w:type="pct"/>
          </w:tcPr>
          <w:p w:rsidR="005052D3" w:rsidRDefault="005052D3">
            <w:pPr>
              <w:spacing w:before="10"/>
              <w:jc w:val="center"/>
              <w:rPr>
                <w:rFonts w:eastAsia="KaiTi_GB2312"/>
                <w:snapToGrid w:val="0"/>
                <w:sz w:val="18"/>
              </w:rPr>
            </w:pPr>
            <w:r>
              <w:rPr>
                <w:rFonts w:eastAsia="KaiTi_GB2312"/>
                <w:snapToGrid w:val="0"/>
                <w:sz w:val="18"/>
              </w:rPr>
              <w:t>2002</w:t>
            </w:r>
          </w:p>
        </w:tc>
        <w:tc>
          <w:tcPr>
            <w:tcW w:w="517" w:type="pct"/>
          </w:tcPr>
          <w:p w:rsidR="005052D3" w:rsidRDefault="005052D3">
            <w:pPr>
              <w:spacing w:before="10"/>
              <w:jc w:val="center"/>
              <w:rPr>
                <w:sz w:val="18"/>
              </w:rPr>
            </w:pPr>
            <w:r>
              <w:rPr>
                <w:sz w:val="18"/>
              </w:rPr>
              <w:t>2.0</w:t>
            </w:r>
          </w:p>
        </w:tc>
        <w:tc>
          <w:tcPr>
            <w:tcW w:w="517" w:type="pct"/>
          </w:tcPr>
          <w:p w:rsidR="005052D3" w:rsidRDefault="005052D3">
            <w:pPr>
              <w:spacing w:before="10"/>
              <w:jc w:val="center"/>
              <w:rPr>
                <w:i/>
                <w:sz w:val="18"/>
              </w:rPr>
            </w:pPr>
            <w:r>
              <w:rPr>
                <w:rFonts w:eastAsia="KaiTi_GB2312"/>
                <w:sz w:val="18"/>
              </w:rPr>
              <w:t>1998</w:t>
            </w:r>
          </w:p>
        </w:tc>
      </w:tr>
      <w:tr w:rsidR="005052D3">
        <w:tblPrEx>
          <w:tblCellMar>
            <w:top w:w="0" w:type="dxa"/>
            <w:bottom w:w="0" w:type="dxa"/>
          </w:tblCellMar>
        </w:tblPrEx>
        <w:trPr>
          <w:cantSplit/>
          <w:trHeight w:val="210"/>
        </w:trPr>
        <w:tc>
          <w:tcPr>
            <w:tcW w:w="604" w:type="pct"/>
            <w:vMerge/>
            <w:tcBorders>
              <w:top w:val="nil"/>
              <w:left w:val="single" w:sz="4" w:space="0" w:color="auto"/>
              <w:bottom w:val="nil"/>
            </w:tcBorders>
          </w:tcPr>
          <w:p w:rsidR="005052D3" w:rsidRDefault="005052D3">
            <w:pPr>
              <w:tabs>
                <w:tab w:val="center" w:pos="572"/>
              </w:tabs>
              <w:spacing w:before="10"/>
              <w:rPr>
                <w:sz w:val="18"/>
              </w:rPr>
            </w:pPr>
          </w:p>
        </w:tc>
        <w:tc>
          <w:tcPr>
            <w:tcW w:w="2240" w:type="pct"/>
            <w:tcBorders>
              <w:top w:val="nil"/>
              <w:bottom w:val="nil"/>
            </w:tcBorders>
          </w:tcPr>
          <w:p w:rsidR="005052D3" w:rsidRDefault="005052D3">
            <w:pPr>
              <w:rPr>
                <w:sz w:val="18"/>
              </w:rPr>
            </w:pPr>
            <w:r>
              <w:rPr>
                <w:rFonts w:hint="eastAsia"/>
                <w:sz w:val="18"/>
              </w:rPr>
              <w:t>15－19岁已婚儿童/青少年的百分比</w:t>
            </w:r>
          </w:p>
        </w:tc>
        <w:tc>
          <w:tcPr>
            <w:tcW w:w="604" w:type="pct"/>
            <w:tcBorders>
              <w:left w:val="double" w:sz="4" w:space="0" w:color="auto"/>
            </w:tcBorders>
          </w:tcPr>
          <w:p w:rsidR="005052D3" w:rsidRDefault="005052D3">
            <w:pPr>
              <w:spacing w:before="10"/>
              <w:jc w:val="center"/>
              <w:rPr>
                <w:snapToGrid w:val="0"/>
                <w:sz w:val="18"/>
              </w:rPr>
            </w:pPr>
            <w:r>
              <w:rPr>
                <w:snapToGrid w:val="0"/>
                <w:sz w:val="18"/>
              </w:rPr>
              <w:t>38.2</w:t>
            </w:r>
          </w:p>
        </w:tc>
        <w:tc>
          <w:tcPr>
            <w:tcW w:w="517" w:type="pct"/>
          </w:tcPr>
          <w:p w:rsidR="005052D3" w:rsidRDefault="005052D3">
            <w:pPr>
              <w:spacing w:before="10"/>
              <w:jc w:val="center"/>
              <w:rPr>
                <w:rFonts w:eastAsia="KaiTi_GB2312"/>
                <w:snapToGrid w:val="0"/>
                <w:sz w:val="18"/>
              </w:rPr>
            </w:pPr>
            <w:r>
              <w:rPr>
                <w:rFonts w:eastAsia="KaiTi_GB2312"/>
                <w:snapToGrid w:val="0"/>
                <w:sz w:val="18"/>
              </w:rPr>
              <w:t>2002</w:t>
            </w:r>
          </w:p>
        </w:tc>
        <w:tc>
          <w:tcPr>
            <w:tcW w:w="517" w:type="pct"/>
          </w:tcPr>
          <w:p w:rsidR="005052D3" w:rsidRDefault="005052D3">
            <w:pPr>
              <w:spacing w:before="10"/>
              <w:jc w:val="center"/>
              <w:rPr>
                <w:sz w:val="18"/>
              </w:rPr>
            </w:pPr>
            <w:r>
              <w:rPr>
                <w:sz w:val="18"/>
              </w:rPr>
              <w:t>8.3</w:t>
            </w:r>
          </w:p>
        </w:tc>
        <w:tc>
          <w:tcPr>
            <w:tcW w:w="517" w:type="pct"/>
          </w:tcPr>
          <w:p w:rsidR="005052D3" w:rsidRDefault="005052D3">
            <w:pPr>
              <w:spacing w:before="10"/>
              <w:jc w:val="center"/>
              <w:rPr>
                <w:i/>
                <w:sz w:val="18"/>
              </w:rPr>
            </w:pPr>
            <w:r>
              <w:rPr>
                <w:rFonts w:eastAsia="KaiTi_GB2312"/>
                <w:sz w:val="18"/>
              </w:rPr>
              <w:t>2002</w:t>
            </w:r>
          </w:p>
        </w:tc>
      </w:tr>
      <w:tr w:rsidR="005052D3">
        <w:tblPrEx>
          <w:tblCellMar>
            <w:top w:w="0" w:type="dxa"/>
            <w:bottom w:w="0" w:type="dxa"/>
          </w:tblCellMar>
        </w:tblPrEx>
        <w:trPr>
          <w:cantSplit/>
          <w:trHeight w:val="150"/>
        </w:trPr>
        <w:tc>
          <w:tcPr>
            <w:tcW w:w="604" w:type="pct"/>
            <w:tcBorders>
              <w:top w:val="nil"/>
              <w:left w:val="single" w:sz="4" w:space="0" w:color="auto"/>
              <w:bottom w:val="nil"/>
            </w:tcBorders>
            <w:textDirection w:val="btLr"/>
          </w:tcPr>
          <w:p w:rsidR="005052D3" w:rsidRDefault="005052D3">
            <w:pPr>
              <w:tabs>
                <w:tab w:val="center" w:pos="572"/>
              </w:tabs>
              <w:spacing w:before="10"/>
              <w:ind w:left="113" w:right="113"/>
              <w:jc w:val="center"/>
              <w:rPr>
                <w:sz w:val="18"/>
              </w:rPr>
            </w:pPr>
          </w:p>
        </w:tc>
        <w:tc>
          <w:tcPr>
            <w:tcW w:w="2240" w:type="pct"/>
            <w:tcBorders>
              <w:top w:val="nil"/>
              <w:bottom w:val="nil"/>
            </w:tcBorders>
          </w:tcPr>
          <w:p w:rsidR="005052D3" w:rsidRDefault="005052D3">
            <w:pPr>
              <w:rPr>
                <w:sz w:val="18"/>
              </w:rPr>
            </w:pPr>
            <w:r>
              <w:rPr>
                <w:rFonts w:hint="eastAsia"/>
                <w:sz w:val="18"/>
              </w:rPr>
              <w:t>内阁部长</w:t>
            </w:r>
          </w:p>
        </w:tc>
        <w:tc>
          <w:tcPr>
            <w:tcW w:w="604" w:type="pct"/>
            <w:tcBorders>
              <w:left w:val="double" w:sz="4" w:space="0" w:color="auto"/>
            </w:tcBorders>
          </w:tcPr>
          <w:p w:rsidR="005052D3" w:rsidRDefault="005052D3">
            <w:pPr>
              <w:spacing w:before="10"/>
              <w:jc w:val="center"/>
              <w:rPr>
                <w:snapToGrid w:val="0"/>
                <w:sz w:val="18"/>
              </w:rPr>
            </w:pPr>
          </w:p>
        </w:tc>
        <w:tc>
          <w:tcPr>
            <w:tcW w:w="517" w:type="pct"/>
          </w:tcPr>
          <w:p w:rsidR="005052D3" w:rsidRDefault="005052D3">
            <w:pPr>
              <w:spacing w:before="10"/>
              <w:jc w:val="center"/>
              <w:rPr>
                <w:rFonts w:eastAsia="KaiTi_GB2312"/>
                <w:snapToGrid w:val="0"/>
                <w:sz w:val="18"/>
              </w:rPr>
            </w:pPr>
          </w:p>
        </w:tc>
        <w:tc>
          <w:tcPr>
            <w:tcW w:w="517" w:type="pct"/>
          </w:tcPr>
          <w:p w:rsidR="005052D3" w:rsidRDefault="005052D3">
            <w:pPr>
              <w:spacing w:before="10"/>
              <w:jc w:val="center"/>
              <w:rPr>
                <w:sz w:val="18"/>
              </w:rPr>
            </w:pPr>
          </w:p>
        </w:tc>
        <w:tc>
          <w:tcPr>
            <w:tcW w:w="517" w:type="pct"/>
          </w:tcPr>
          <w:p w:rsidR="005052D3" w:rsidRDefault="005052D3">
            <w:pPr>
              <w:spacing w:before="10"/>
              <w:jc w:val="center"/>
              <w:rPr>
                <w:i/>
                <w:sz w:val="18"/>
              </w:rPr>
            </w:pPr>
          </w:p>
        </w:tc>
      </w:tr>
      <w:tr w:rsidR="005052D3">
        <w:tblPrEx>
          <w:tblCellMar>
            <w:top w:w="0" w:type="dxa"/>
            <w:bottom w:w="0" w:type="dxa"/>
          </w:tblCellMar>
        </w:tblPrEx>
        <w:trPr>
          <w:cantSplit/>
          <w:trHeight w:val="540"/>
        </w:trPr>
        <w:tc>
          <w:tcPr>
            <w:tcW w:w="604" w:type="pct"/>
            <w:vMerge w:val="restart"/>
            <w:tcBorders>
              <w:top w:val="nil"/>
              <w:left w:val="single" w:sz="4" w:space="0" w:color="auto"/>
              <w:bottom w:val="nil"/>
            </w:tcBorders>
            <w:textDirection w:val="btLr"/>
          </w:tcPr>
          <w:p w:rsidR="005052D3" w:rsidRDefault="005052D3">
            <w:pPr>
              <w:tabs>
                <w:tab w:val="center" w:pos="572"/>
              </w:tabs>
              <w:spacing w:before="10"/>
              <w:ind w:left="113" w:right="113"/>
              <w:jc w:val="center"/>
              <w:rPr>
                <w:rFonts w:hint="eastAsia"/>
                <w:sz w:val="18"/>
              </w:rPr>
            </w:pPr>
            <w:r>
              <w:rPr>
                <w:rFonts w:hint="eastAsia"/>
                <w:sz w:val="18"/>
              </w:rPr>
              <w:t>主要决策职位</w:t>
            </w:r>
          </w:p>
        </w:tc>
        <w:tc>
          <w:tcPr>
            <w:tcW w:w="2240" w:type="pct"/>
            <w:tcBorders>
              <w:top w:val="nil"/>
              <w:bottom w:val="nil"/>
            </w:tcBorders>
          </w:tcPr>
          <w:p w:rsidR="005052D3" w:rsidRDefault="005052D3">
            <w:pPr>
              <w:rPr>
                <w:sz w:val="18"/>
              </w:rPr>
            </w:pPr>
            <w:r>
              <w:rPr>
                <w:rFonts w:hint="eastAsia"/>
                <w:sz w:val="18"/>
              </w:rPr>
              <w:t>议会成员</w:t>
            </w:r>
          </w:p>
        </w:tc>
        <w:tc>
          <w:tcPr>
            <w:tcW w:w="604" w:type="pct"/>
            <w:tcBorders>
              <w:left w:val="double" w:sz="4" w:space="0" w:color="auto"/>
            </w:tcBorders>
          </w:tcPr>
          <w:p w:rsidR="005052D3" w:rsidRDefault="005052D3">
            <w:pPr>
              <w:spacing w:before="10"/>
              <w:jc w:val="center"/>
              <w:rPr>
                <w:snapToGrid w:val="0"/>
                <w:sz w:val="18"/>
              </w:rPr>
            </w:pPr>
            <w:r>
              <w:rPr>
                <w:snapToGrid w:val="0"/>
                <w:sz w:val="18"/>
              </w:rPr>
              <w:t>17</w:t>
            </w:r>
          </w:p>
        </w:tc>
        <w:tc>
          <w:tcPr>
            <w:tcW w:w="517" w:type="pct"/>
          </w:tcPr>
          <w:p w:rsidR="005052D3" w:rsidRDefault="005052D3">
            <w:pPr>
              <w:spacing w:before="10"/>
              <w:jc w:val="center"/>
              <w:rPr>
                <w:rFonts w:eastAsia="KaiTi_GB2312"/>
                <w:snapToGrid w:val="0"/>
                <w:sz w:val="18"/>
              </w:rPr>
            </w:pPr>
            <w:r>
              <w:rPr>
                <w:rFonts w:eastAsia="KaiTi_GB2312"/>
                <w:snapToGrid w:val="0"/>
                <w:sz w:val="18"/>
              </w:rPr>
              <w:t>2001</w:t>
            </w:r>
          </w:p>
        </w:tc>
        <w:tc>
          <w:tcPr>
            <w:tcW w:w="517" w:type="pct"/>
          </w:tcPr>
          <w:p w:rsidR="005052D3" w:rsidRDefault="005052D3">
            <w:pPr>
              <w:spacing w:before="10"/>
              <w:jc w:val="center"/>
              <w:rPr>
                <w:sz w:val="18"/>
              </w:rPr>
            </w:pPr>
            <w:r>
              <w:rPr>
                <w:sz w:val="18"/>
              </w:rPr>
              <w:t>176</w:t>
            </w:r>
          </w:p>
        </w:tc>
        <w:tc>
          <w:tcPr>
            <w:tcW w:w="517" w:type="pct"/>
          </w:tcPr>
          <w:p w:rsidR="005052D3" w:rsidRDefault="005052D3">
            <w:pPr>
              <w:spacing w:before="10"/>
              <w:jc w:val="center"/>
              <w:rPr>
                <w:i/>
                <w:sz w:val="18"/>
              </w:rPr>
            </w:pPr>
            <w:r>
              <w:rPr>
                <w:rFonts w:eastAsia="KaiTi_GB2312"/>
                <w:sz w:val="18"/>
              </w:rPr>
              <w:t>2001</w:t>
            </w:r>
          </w:p>
        </w:tc>
      </w:tr>
      <w:tr w:rsidR="005052D3">
        <w:tblPrEx>
          <w:tblCellMar>
            <w:top w:w="0" w:type="dxa"/>
            <w:bottom w:w="0" w:type="dxa"/>
          </w:tblCellMar>
        </w:tblPrEx>
        <w:trPr>
          <w:cantSplit/>
          <w:trHeight w:val="540"/>
        </w:trPr>
        <w:tc>
          <w:tcPr>
            <w:tcW w:w="604" w:type="pct"/>
            <w:vMerge/>
            <w:tcBorders>
              <w:top w:val="nil"/>
            </w:tcBorders>
          </w:tcPr>
          <w:p w:rsidR="005052D3" w:rsidRDefault="005052D3">
            <w:pPr>
              <w:tabs>
                <w:tab w:val="center" w:pos="572"/>
              </w:tabs>
              <w:spacing w:before="10"/>
              <w:rPr>
                <w:sz w:val="18"/>
              </w:rPr>
            </w:pPr>
          </w:p>
        </w:tc>
        <w:tc>
          <w:tcPr>
            <w:tcW w:w="2240" w:type="pct"/>
            <w:tcBorders>
              <w:top w:val="nil"/>
            </w:tcBorders>
          </w:tcPr>
          <w:p w:rsidR="005052D3" w:rsidRDefault="005052D3">
            <w:pPr>
              <w:rPr>
                <w:sz w:val="18"/>
              </w:rPr>
            </w:pPr>
            <w:r>
              <w:rPr>
                <w:rFonts w:hint="eastAsia"/>
                <w:sz w:val="18"/>
              </w:rPr>
              <w:t>议会议长和副议长</w:t>
            </w:r>
          </w:p>
        </w:tc>
        <w:tc>
          <w:tcPr>
            <w:tcW w:w="604" w:type="pct"/>
            <w:tcBorders>
              <w:left w:val="double" w:sz="4" w:space="0" w:color="auto"/>
            </w:tcBorders>
          </w:tcPr>
          <w:p w:rsidR="005052D3" w:rsidRDefault="005052D3">
            <w:pPr>
              <w:spacing w:before="10"/>
              <w:jc w:val="center"/>
              <w:rPr>
                <w:snapToGrid w:val="0"/>
                <w:sz w:val="18"/>
              </w:rPr>
            </w:pPr>
            <w:r>
              <w:rPr>
                <w:snapToGrid w:val="0"/>
                <w:sz w:val="18"/>
              </w:rPr>
              <w:t>1</w:t>
            </w:r>
          </w:p>
        </w:tc>
        <w:tc>
          <w:tcPr>
            <w:tcW w:w="517" w:type="pct"/>
          </w:tcPr>
          <w:p w:rsidR="005052D3" w:rsidRDefault="005052D3">
            <w:pPr>
              <w:spacing w:before="10"/>
              <w:jc w:val="center"/>
              <w:rPr>
                <w:rFonts w:eastAsia="KaiTi_GB2312"/>
                <w:snapToGrid w:val="0"/>
                <w:sz w:val="18"/>
              </w:rPr>
            </w:pPr>
            <w:r>
              <w:rPr>
                <w:rFonts w:eastAsia="KaiTi_GB2312"/>
                <w:snapToGrid w:val="0"/>
                <w:sz w:val="18"/>
              </w:rPr>
              <w:t>2003</w:t>
            </w:r>
          </w:p>
        </w:tc>
        <w:tc>
          <w:tcPr>
            <w:tcW w:w="517" w:type="pct"/>
          </w:tcPr>
          <w:p w:rsidR="005052D3" w:rsidRDefault="005052D3">
            <w:pPr>
              <w:spacing w:before="10"/>
              <w:jc w:val="center"/>
              <w:rPr>
                <w:sz w:val="18"/>
              </w:rPr>
            </w:pPr>
            <w:r>
              <w:rPr>
                <w:sz w:val="18"/>
              </w:rPr>
              <w:t>3</w:t>
            </w:r>
          </w:p>
        </w:tc>
        <w:tc>
          <w:tcPr>
            <w:tcW w:w="517" w:type="pct"/>
          </w:tcPr>
          <w:p w:rsidR="005052D3" w:rsidRDefault="005052D3">
            <w:pPr>
              <w:spacing w:before="10"/>
              <w:jc w:val="center"/>
              <w:rPr>
                <w:i/>
                <w:sz w:val="18"/>
              </w:rPr>
            </w:pPr>
            <w:r>
              <w:rPr>
                <w:rFonts w:eastAsia="KaiTi_GB2312"/>
                <w:sz w:val="18"/>
              </w:rPr>
              <w:t>2001</w:t>
            </w:r>
          </w:p>
        </w:tc>
      </w:tr>
      <w:tr w:rsidR="005052D3">
        <w:tblPrEx>
          <w:tblCellMar>
            <w:top w:w="0" w:type="dxa"/>
            <w:bottom w:w="0" w:type="dxa"/>
          </w:tblCellMar>
        </w:tblPrEx>
        <w:trPr>
          <w:cantSplit/>
          <w:trHeight w:val="540"/>
        </w:trPr>
        <w:tc>
          <w:tcPr>
            <w:tcW w:w="604" w:type="pct"/>
            <w:vMerge/>
          </w:tcPr>
          <w:p w:rsidR="005052D3" w:rsidRDefault="005052D3">
            <w:pPr>
              <w:tabs>
                <w:tab w:val="center" w:pos="572"/>
              </w:tabs>
              <w:spacing w:before="10"/>
              <w:rPr>
                <w:sz w:val="18"/>
              </w:rPr>
            </w:pPr>
          </w:p>
        </w:tc>
        <w:tc>
          <w:tcPr>
            <w:tcW w:w="2240" w:type="pct"/>
          </w:tcPr>
          <w:p w:rsidR="005052D3" w:rsidRDefault="005052D3">
            <w:pPr>
              <w:rPr>
                <w:sz w:val="18"/>
              </w:rPr>
            </w:pPr>
            <w:r>
              <w:rPr>
                <w:rFonts w:hint="eastAsia"/>
                <w:sz w:val="18"/>
              </w:rPr>
              <w:t>大使</w:t>
            </w:r>
          </w:p>
        </w:tc>
        <w:tc>
          <w:tcPr>
            <w:tcW w:w="604" w:type="pct"/>
            <w:tcBorders>
              <w:left w:val="double" w:sz="4" w:space="0" w:color="auto"/>
            </w:tcBorders>
          </w:tcPr>
          <w:p w:rsidR="005052D3" w:rsidRDefault="005052D3">
            <w:pPr>
              <w:spacing w:before="10"/>
              <w:jc w:val="center"/>
              <w:rPr>
                <w:snapToGrid w:val="0"/>
                <w:sz w:val="18"/>
              </w:rPr>
            </w:pPr>
            <w:r>
              <w:rPr>
                <w:snapToGrid w:val="0"/>
                <w:sz w:val="18"/>
              </w:rPr>
              <w:t>4</w:t>
            </w:r>
          </w:p>
        </w:tc>
        <w:tc>
          <w:tcPr>
            <w:tcW w:w="517" w:type="pct"/>
          </w:tcPr>
          <w:p w:rsidR="005052D3" w:rsidRDefault="005052D3">
            <w:pPr>
              <w:spacing w:before="10"/>
              <w:jc w:val="center"/>
              <w:rPr>
                <w:rFonts w:eastAsia="KaiTi_GB2312"/>
                <w:snapToGrid w:val="0"/>
                <w:sz w:val="18"/>
              </w:rPr>
            </w:pPr>
            <w:r>
              <w:rPr>
                <w:rFonts w:eastAsia="KaiTi_GB2312"/>
                <w:snapToGrid w:val="0"/>
                <w:sz w:val="18"/>
              </w:rPr>
              <w:t>2001</w:t>
            </w:r>
          </w:p>
        </w:tc>
        <w:tc>
          <w:tcPr>
            <w:tcW w:w="517" w:type="pct"/>
          </w:tcPr>
          <w:p w:rsidR="005052D3" w:rsidRDefault="005052D3">
            <w:pPr>
              <w:spacing w:before="10"/>
              <w:jc w:val="center"/>
              <w:rPr>
                <w:sz w:val="18"/>
              </w:rPr>
            </w:pPr>
            <w:r>
              <w:rPr>
                <w:sz w:val="18"/>
              </w:rPr>
              <w:t>17</w:t>
            </w:r>
          </w:p>
        </w:tc>
        <w:tc>
          <w:tcPr>
            <w:tcW w:w="517" w:type="pct"/>
          </w:tcPr>
          <w:p w:rsidR="005052D3" w:rsidRDefault="005052D3">
            <w:pPr>
              <w:spacing w:before="10"/>
              <w:jc w:val="center"/>
              <w:rPr>
                <w:i/>
                <w:sz w:val="18"/>
              </w:rPr>
            </w:pPr>
            <w:r>
              <w:rPr>
                <w:rFonts w:eastAsia="KaiTi_GB2312"/>
                <w:sz w:val="18"/>
              </w:rPr>
              <w:t>2001</w:t>
            </w:r>
          </w:p>
        </w:tc>
      </w:tr>
      <w:tr w:rsidR="005052D3">
        <w:tblPrEx>
          <w:tblCellMar>
            <w:top w:w="0" w:type="dxa"/>
            <w:bottom w:w="0" w:type="dxa"/>
          </w:tblCellMar>
        </w:tblPrEx>
        <w:trPr>
          <w:cantSplit/>
          <w:trHeight w:val="540"/>
        </w:trPr>
        <w:tc>
          <w:tcPr>
            <w:tcW w:w="604" w:type="pct"/>
            <w:vMerge/>
          </w:tcPr>
          <w:p w:rsidR="005052D3" w:rsidRDefault="005052D3">
            <w:pPr>
              <w:tabs>
                <w:tab w:val="center" w:pos="572"/>
              </w:tabs>
              <w:spacing w:before="10"/>
              <w:rPr>
                <w:sz w:val="18"/>
              </w:rPr>
            </w:pPr>
          </w:p>
        </w:tc>
        <w:tc>
          <w:tcPr>
            <w:tcW w:w="2240" w:type="pct"/>
          </w:tcPr>
          <w:p w:rsidR="005052D3" w:rsidRDefault="005052D3">
            <w:pPr>
              <w:rPr>
                <w:sz w:val="18"/>
              </w:rPr>
            </w:pPr>
            <w:r>
              <w:rPr>
                <w:rFonts w:hint="eastAsia"/>
                <w:sz w:val="18"/>
              </w:rPr>
              <w:t>地区专员</w:t>
            </w:r>
          </w:p>
        </w:tc>
        <w:tc>
          <w:tcPr>
            <w:tcW w:w="604" w:type="pct"/>
            <w:tcBorders>
              <w:left w:val="double" w:sz="4" w:space="0" w:color="auto"/>
            </w:tcBorders>
          </w:tcPr>
          <w:p w:rsidR="005052D3" w:rsidRDefault="005052D3">
            <w:pPr>
              <w:spacing w:before="10"/>
              <w:jc w:val="center"/>
              <w:rPr>
                <w:snapToGrid w:val="0"/>
                <w:sz w:val="18"/>
              </w:rPr>
            </w:pPr>
            <w:r>
              <w:rPr>
                <w:snapToGrid w:val="0"/>
                <w:sz w:val="18"/>
              </w:rPr>
              <w:t>2</w:t>
            </w:r>
          </w:p>
        </w:tc>
        <w:tc>
          <w:tcPr>
            <w:tcW w:w="517" w:type="pct"/>
          </w:tcPr>
          <w:p w:rsidR="005052D3" w:rsidRDefault="005052D3">
            <w:pPr>
              <w:spacing w:before="10"/>
              <w:jc w:val="center"/>
              <w:rPr>
                <w:rFonts w:eastAsia="KaiTi_GB2312"/>
                <w:snapToGrid w:val="0"/>
                <w:sz w:val="18"/>
              </w:rPr>
            </w:pPr>
            <w:r>
              <w:rPr>
                <w:rFonts w:eastAsia="KaiTi_GB2312"/>
                <w:snapToGrid w:val="0"/>
                <w:sz w:val="18"/>
              </w:rPr>
              <w:t>2001</w:t>
            </w:r>
          </w:p>
        </w:tc>
        <w:tc>
          <w:tcPr>
            <w:tcW w:w="517" w:type="pct"/>
          </w:tcPr>
          <w:p w:rsidR="005052D3" w:rsidRDefault="005052D3">
            <w:pPr>
              <w:spacing w:before="10"/>
              <w:jc w:val="center"/>
              <w:rPr>
                <w:sz w:val="18"/>
              </w:rPr>
            </w:pPr>
            <w:r>
              <w:rPr>
                <w:sz w:val="18"/>
              </w:rPr>
              <w:t>25</w:t>
            </w:r>
          </w:p>
        </w:tc>
        <w:tc>
          <w:tcPr>
            <w:tcW w:w="517" w:type="pct"/>
          </w:tcPr>
          <w:p w:rsidR="005052D3" w:rsidRDefault="005052D3">
            <w:pPr>
              <w:spacing w:before="10"/>
              <w:jc w:val="center"/>
              <w:rPr>
                <w:i/>
                <w:sz w:val="18"/>
              </w:rPr>
            </w:pPr>
            <w:r>
              <w:rPr>
                <w:rFonts w:eastAsia="KaiTi_GB2312"/>
                <w:sz w:val="18"/>
              </w:rPr>
              <w:t>2001</w:t>
            </w:r>
          </w:p>
        </w:tc>
      </w:tr>
      <w:tr w:rsidR="005052D3">
        <w:tblPrEx>
          <w:tblCellMar>
            <w:top w:w="0" w:type="dxa"/>
            <w:bottom w:w="0" w:type="dxa"/>
          </w:tblCellMar>
        </w:tblPrEx>
        <w:trPr>
          <w:cantSplit/>
          <w:trHeight w:val="540"/>
        </w:trPr>
        <w:tc>
          <w:tcPr>
            <w:tcW w:w="604" w:type="pct"/>
            <w:vMerge/>
          </w:tcPr>
          <w:p w:rsidR="005052D3" w:rsidRDefault="005052D3">
            <w:pPr>
              <w:tabs>
                <w:tab w:val="center" w:pos="572"/>
              </w:tabs>
              <w:spacing w:before="10"/>
              <w:rPr>
                <w:sz w:val="18"/>
              </w:rPr>
            </w:pPr>
          </w:p>
        </w:tc>
        <w:tc>
          <w:tcPr>
            <w:tcW w:w="2240" w:type="pct"/>
          </w:tcPr>
          <w:p w:rsidR="005052D3" w:rsidRDefault="005052D3">
            <w:pPr>
              <w:rPr>
                <w:sz w:val="18"/>
              </w:rPr>
            </w:pPr>
            <w:r>
              <w:rPr>
                <w:rFonts w:hint="eastAsia"/>
                <w:sz w:val="18"/>
              </w:rPr>
              <w:t>大学学院校长/院长</w:t>
            </w:r>
          </w:p>
        </w:tc>
        <w:tc>
          <w:tcPr>
            <w:tcW w:w="604" w:type="pct"/>
            <w:tcBorders>
              <w:left w:val="double" w:sz="4" w:space="0" w:color="auto"/>
            </w:tcBorders>
          </w:tcPr>
          <w:p w:rsidR="005052D3" w:rsidRDefault="005052D3">
            <w:pPr>
              <w:spacing w:before="10"/>
              <w:jc w:val="center"/>
              <w:rPr>
                <w:snapToGrid w:val="0"/>
                <w:sz w:val="18"/>
              </w:rPr>
            </w:pPr>
            <w:r>
              <w:rPr>
                <w:snapToGrid w:val="0"/>
                <w:sz w:val="18"/>
              </w:rPr>
              <w:t>1</w:t>
            </w:r>
          </w:p>
        </w:tc>
        <w:tc>
          <w:tcPr>
            <w:tcW w:w="517" w:type="pct"/>
          </w:tcPr>
          <w:p w:rsidR="005052D3" w:rsidRDefault="005052D3">
            <w:pPr>
              <w:spacing w:before="10"/>
              <w:jc w:val="center"/>
              <w:rPr>
                <w:rFonts w:eastAsia="KaiTi_GB2312"/>
                <w:snapToGrid w:val="0"/>
                <w:sz w:val="18"/>
              </w:rPr>
            </w:pPr>
            <w:r>
              <w:rPr>
                <w:rFonts w:eastAsia="KaiTi_GB2312"/>
                <w:snapToGrid w:val="0"/>
                <w:sz w:val="18"/>
              </w:rPr>
              <w:t>2003</w:t>
            </w:r>
          </w:p>
        </w:tc>
        <w:tc>
          <w:tcPr>
            <w:tcW w:w="517" w:type="pct"/>
          </w:tcPr>
          <w:p w:rsidR="005052D3" w:rsidRDefault="005052D3">
            <w:pPr>
              <w:spacing w:before="10"/>
              <w:jc w:val="center"/>
              <w:rPr>
                <w:sz w:val="18"/>
              </w:rPr>
            </w:pPr>
            <w:r>
              <w:rPr>
                <w:sz w:val="18"/>
              </w:rPr>
              <w:t>5</w:t>
            </w:r>
          </w:p>
        </w:tc>
        <w:tc>
          <w:tcPr>
            <w:tcW w:w="517" w:type="pct"/>
          </w:tcPr>
          <w:p w:rsidR="005052D3" w:rsidRDefault="005052D3">
            <w:pPr>
              <w:spacing w:before="10"/>
              <w:jc w:val="center"/>
              <w:rPr>
                <w:i/>
                <w:sz w:val="18"/>
              </w:rPr>
            </w:pPr>
            <w:r>
              <w:rPr>
                <w:rFonts w:eastAsia="KaiTi_GB2312"/>
                <w:sz w:val="18"/>
              </w:rPr>
              <w:t>2002</w:t>
            </w:r>
          </w:p>
        </w:tc>
      </w:tr>
      <w:tr w:rsidR="005052D3">
        <w:tblPrEx>
          <w:tblCellMar>
            <w:top w:w="0" w:type="dxa"/>
            <w:bottom w:w="0" w:type="dxa"/>
          </w:tblCellMar>
        </w:tblPrEx>
        <w:trPr>
          <w:cantSplit/>
          <w:trHeight w:val="540"/>
        </w:trPr>
        <w:tc>
          <w:tcPr>
            <w:tcW w:w="604" w:type="pct"/>
            <w:vMerge/>
          </w:tcPr>
          <w:p w:rsidR="005052D3" w:rsidRDefault="005052D3">
            <w:pPr>
              <w:tabs>
                <w:tab w:val="center" w:pos="572"/>
              </w:tabs>
              <w:spacing w:before="10"/>
              <w:rPr>
                <w:sz w:val="18"/>
              </w:rPr>
            </w:pPr>
          </w:p>
        </w:tc>
        <w:tc>
          <w:tcPr>
            <w:tcW w:w="2240" w:type="pct"/>
          </w:tcPr>
          <w:p w:rsidR="005052D3" w:rsidRDefault="005052D3">
            <w:pPr>
              <w:rPr>
                <w:rFonts w:hint="eastAsia"/>
                <w:sz w:val="18"/>
              </w:rPr>
            </w:pPr>
            <w:r>
              <w:rPr>
                <w:rFonts w:hint="eastAsia"/>
                <w:sz w:val="18"/>
              </w:rPr>
              <w:t>法官</w:t>
            </w:r>
          </w:p>
        </w:tc>
        <w:tc>
          <w:tcPr>
            <w:tcW w:w="604" w:type="pct"/>
            <w:tcBorders>
              <w:left w:val="double" w:sz="4" w:space="0" w:color="auto"/>
            </w:tcBorders>
          </w:tcPr>
          <w:p w:rsidR="005052D3" w:rsidRDefault="005052D3">
            <w:pPr>
              <w:spacing w:before="10"/>
              <w:jc w:val="center"/>
              <w:rPr>
                <w:snapToGrid w:val="0"/>
                <w:sz w:val="18"/>
              </w:rPr>
            </w:pPr>
            <w:r>
              <w:rPr>
                <w:snapToGrid w:val="0"/>
                <w:sz w:val="18"/>
              </w:rPr>
              <w:t>4</w:t>
            </w:r>
          </w:p>
        </w:tc>
        <w:tc>
          <w:tcPr>
            <w:tcW w:w="517" w:type="pct"/>
          </w:tcPr>
          <w:p w:rsidR="005052D3" w:rsidRDefault="005052D3">
            <w:pPr>
              <w:spacing w:before="10"/>
              <w:jc w:val="center"/>
              <w:rPr>
                <w:rFonts w:eastAsia="KaiTi_GB2312"/>
                <w:snapToGrid w:val="0"/>
                <w:sz w:val="18"/>
              </w:rPr>
            </w:pPr>
            <w:r>
              <w:rPr>
                <w:rFonts w:eastAsia="KaiTi_GB2312"/>
                <w:snapToGrid w:val="0"/>
                <w:sz w:val="18"/>
              </w:rPr>
              <w:t>2003</w:t>
            </w:r>
          </w:p>
        </w:tc>
        <w:tc>
          <w:tcPr>
            <w:tcW w:w="517" w:type="pct"/>
          </w:tcPr>
          <w:p w:rsidR="005052D3" w:rsidRDefault="005052D3">
            <w:pPr>
              <w:spacing w:before="10"/>
              <w:jc w:val="center"/>
              <w:rPr>
                <w:sz w:val="18"/>
              </w:rPr>
            </w:pPr>
            <w:r>
              <w:rPr>
                <w:sz w:val="18"/>
              </w:rPr>
              <w:t>20</w:t>
            </w:r>
          </w:p>
        </w:tc>
        <w:tc>
          <w:tcPr>
            <w:tcW w:w="517" w:type="pct"/>
          </w:tcPr>
          <w:p w:rsidR="005052D3" w:rsidRDefault="005052D3">
            <w:pPr>
              <w:spacing w:before="10"/>
              <w:jc w:val="center"/>
              <w:rPr>
                <w:rFonts w:eastAsia="KaiTi_GB2312"/>
                <w:sz w:val="18"/>
              </w:rPr>
            </w:pPr>
            <w:r>
              <w:rPr>
                <w:rFonts w:eastAsia="KaiTi_GB2312"/>
                <w:sz w:val="18"/>
              </w:rPr>
              <w:t>2002</w:t>
            </w:r>
          </w:p>
        </w:tc>
      </w:tr>
      <w:tr w:rsidR="005052D3">
        <w:tblPrEx>
          <w:tblCellMar>
            <w:top w:w="0" w:type="dxa"/>
            <w:bottom w:w="0" w:type="dxa"/>
          </w:tblCellMar>
        </w:tblPrEx>
        <w:trPr>
          <w:cantSplit/>
          <w:trHeight w:val="540"/>
        </w:trPr>
        <w:tc>
          <w:tcPr>
            <w:tcW w:w="604" w:type="pct"/>
          </w:tcPr>
          <w:p w:rsidR="005052D3" w:rsidRDefault="005052D3">
            <w:pPr>
              <w:tabs>
                <w:tab w:val="center" w:pos="572"/>
              </w:tabs>
              <w:spacing w:before="10"/>
              <w:rPr>
                <w:sz w:val="18"/>
              </w:rPr>
            </w:pPr>
          </w:p>
        </w:tc>
        <w:tc>
          <w:tcPr>
            <w:tcW w:w="2240" w:type="pct"/>
          </w:tcPr>
          <w:p w:rsidR="005052D3" w:rsidRDefault="005052D3">
            <w:pPr>
              <w:rPr>
                <w:rFonts w:hint="eastAsia"/>
                <w:sz w:val="18"/>
              </w:rPr>
            </w:pPr>
            <w:r>
              <w:rPr>
                <w:rFonts w:hint="eastAsia"/>
                <w:sz w:val="18"/>
              </w:rPr>
              <w:t>部族酋长</w:t>
            </w:r>
          </w:p>
        </w:tc>
        <w:tc>
          <w:tcPr>
            <w:tcW w:w="604" w:type="pct"/>
            <w:tcBorders>
              <w:left w:val="double" w:sz="4" w:space="0" w:color="auto"/>
            </w:tcBorders>
          </w:tcPr>
          <w:p w:rsidR="005052D3" w:rsidRDefault="005052D3">
            <w:pPr>
              <w:spacing w:before="10"/>
              <w:jc w:val="center"/>
              <w:rPr>
                <w:rFonts w:hint="eastAsia"/>
                <w:snapToGrid w:val="0"/>
                <w:sz w:val="18"/>
              </w:rPr>
            </w:pPr>
            <w:r>
              <w:rPr>
                <w:rFonts w:hint="eastAsia"/>
                <w:snapToGrid w:val="0"/>
                <w:sz w:val="18"/>
              </w:rPr>
              <w:t>13</w:t>
            </w:r>
          </w:p>
        </w:tc>
        <w:tc>
          <w:tcPr>
            <w:tcW w:w="517" w:type="pct"/>
          </w:tcPr>
          <w:p w:rsidR="005052D3" w:rsidRDefault="005052D3">
            <w:pPr>
              <w:spacing w:before="10"/>
              <w:jc w:val="center"/>
              <w:rPr>
                <w:rFonts w:eastAsia="KaiTi_GB2312" w:hint="eastAsia"/>
                <w:snapToGrid w:val="0"/>
                <w:sz w:val="18"/>
              </w:rPr>
            </w:pPr>
            <w:r>
              <w:rPr>
                <w:rFonts w:eastAsia="KaiTi_GB2312" w:hint="eastAsia"/>
                <w:snapToGrid w:val="0"/>
                <w:sz w:val="18"/>
              </w:rPr>
              <w:t>2002</w:t>
            </w:r>
          </w:p>
        </w:tc>
        <w:tc>
          <w:tcPr>
            <w:tcW w:w="517" w:type="pct"/>
          </w:tcPr>
          <w:p w:rsidR="005052D3" w:rsidRDefault="005052D3">
            <w:pPr>
              <w:spacing w:before="10"/>
              <w:jc w:val="center"/>
              <w:rPr>
                <w:rFonts w:hint="eastAsia"/>
                <w:sz w:val="18"/>
              </w:rPr>
            </w:pPr>
            <w:r>
              <w:rPr>
                <w:rFonts w:hint="eastAsia"/>
                <w:sz w:val="18"/>
              </w:rPr>
              <w:t>192</w:t>
            </w:r>
          </w:p>
        </w:tc>
        <w:tc>
          <w:tcPr>
            <w:tcW w:w="517" w:type="pct"/>
          </w:tcPr>
          <w:p w:rsidR="005052D3" w:rsidRDefault="005052D3">
            <w:pPr>
              <w:spacing w:before="10"/>
              <w:jc w:val="center"/>
              <w:rPr>
                <w:rFonts w:eastAsia="KaiTi_GB2312" w:hint="eastAsia"/>
                <w:sz w:val="18"/>
              </w:rPr>
            </w:pPr>
            <w:r>
              <w:rPr>
                <w:rFonts w:eastAsia="KaiTi_GB2312" w:hint="eastAsia"/>
                <w:sz w:val="18"/>
              </w:rPr>
              <w:t>2002</w:t>
            </w:r>
          </w:p>
        </w:tc>
      </w:tr>
    </w:tbl>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pStyle w:val="SingleTxt"/>
        <w:rPr>
          <w:rFonts w:hint="eastAsia"/>
        </w:rPr>
      </w:pPr>
      <w:r>
        <w:t>2.4</w:t>
      </w:r>
      <w:r>
        <w:tab/>
      </w:r>
      <w:r>
        <w:rPr>
          <w:rFonts w:hint="eastAsia"/>
        </w:rPr>
        <w:t>宏观经济指标显示了经济上的滑坡。该国的货币克瓦查在一党执政期间贬值，从8.7克瓦查兑换1美元升到15克瓦查兑换1美元。该趋势一直持续恶化，目前是109克瓦查兑换1美元。利率也随之上升，从一党执政时期的31.0上升到2001年的52。国内生产总值从1995年的9.6%下降到1998年的2.0%，又上升到1999年的4.0%。外债同期一直居高不下，自1996年以来持续攀升，1996年为88.6%，而到了1997、1998</w:t>
      </w:r>
      <w:r>
        <w:rPr>
          <w:rFonts w:hint="eastAsia"/>
          <w:lang w:val="en-GB"/>
        </w:rPr>
        <w:t>、</w:t>
      </w:r>
      <w:r>
        <w:t>1999</w:t>
      </w:r>
      <w:r>
        <w:rPr>
          <w:rFonts w:hint="eastAsia"/>
        </w:rPr>
        <w:t>和</w:t>
      </w:r>
      <w:r>
        <w:t>2000</w:t>
      </w:r>
      <w:r>
        <w:rPr>
          <w:rFonts w:hint="eastAsia"/>
        </w:rPr>
        <w:t>年分别是</w:t>
      </w:r>
      <w:r>
        <w:t xml:space="preserve"> 90.8%</w:t>
      </w:r>
      <w:r>
        <w:rPr>
          <w:rFonts w:hint="eastAsia"/>
        </w:rPr>
        <w:t>、</w:t>
      </w:r>
      <w:r>
        <w:t>142.7%</w:t>
      </w:r>
      <w:r>
        <w:rPr>
          <w:rFonts w:hint="eastAsia"/>
        </w:rPr>
        <w:t>、</w:t>
      </w:r>
      <w:r>
        <w:t xml:space="preserve">144.0% </w:t>
      </w:r>
      <w:r>
        <w:rPr>
          <w:rFonts w:hint="eastAsia"/>
        </w:rPr>
        <w:t>和</w:t>
      </w:r>
      <w:r>
        <w:t>150.3%</w:t>
      </w:r>
      <w:r>
        <w:rPr>
          <w:rFonts w:hint="eastAsia"/>
        </w:rPr>
        <w:t>。在债务持续上升期间，国内生产总值无法满足经济稳定的需要。1999年上升到4.0</w:t>
      </w:r>
      <w:r>
        <w:rPr>
          <w:rFonts w:hint="eastAsia"/>
          <w:lang w:val="en-GB"/>
        </w:rPr>
        <w:t>%</w:t>
      </w:r>
      <w:r>
        <w:rPr>
          <w:rFonts w:hint="eastAsia"/>
        </w:rPr>
        <w:t>以后</w:t>
      </w:r>
      <w:r>
        <w:rPr>
          <w:rFonts w:hint="eastAsia"/>
          <w:lang w:val="en-GB"/>
        </w:rPr>
        <w:t>，</w:t>
      </w:r>
      <w:r>
        <w:rPr>
          <w:rFonts w:hint="eastAsia"/>
        </w:rPr>
        <w:t>2000年又下降到1.7%。</w:t>
      </w:r>
      <w:r>
        <w:t xml:space="preserve"> </w:t>
      </w:r>
    </w:p>
    <w:p w:rsidR="005052D3" w:rsidRDefault="005052D3">
      <w:pPr>
        <w:pStyle w:val="SingleTxt"/>
      </w:pPr>
      <w:r>
        <w:t>2.5</w:t>
      </w:r>
      <w:r>
        <w:tab/>
      </w:r>
      <w:r>
        <w:rPr>
          <w:rFonts w:hint="eastAsia"/>
        </w:rPr>
        <w:t>像大多数撒哈拉南部非洲国家一样，马拉维利用四种市场战略目标实施结构调整政策。第一个目标是通过降低公共消费、提高税收、控制工资水平和废除价格控制及津贴来控制通货膨胀。第二个目标是通过减少政府支出、扩大国家收入来源及改革财政机构来恢复财政平衡。第三个目标是通过发行货币和贬值消除当前的账户赤字。第四个目标是通过放松管理、自由化和私有化减少国家对国内市场的作用。</w:t>
      </w:r>
    </w:p>
    <w:p w:rsidR="005052D3" w:rsidRDefault="005052D3">
      <w:pPr>
        <w:pStyle w:val="SingleTxt"/>
      </w:pPr>
      <w:r>
        <w:t>2.6</w:t>
      </w:r>
      <w:r>
        <w:tab/>
      </w:r>
      <w:r>
        <w:rPr>
          <w:rFonts w:hint="eastAsia"/>
        </w:rPr>
        <w:t>结构调整计划由于对贫困人口、特别是对妇女产生了负面影响而受到了责难。各种结构调整计划并没有真正减少贫困。</w:t>
      </w:r>
      <w:r>
        <w:rPr>
          <w:rStyle w:val="FootnoteReference"/>
        </w:rPr>
        <w:footnoteReference w:id="9"/>
      </w:r>
      <w:r>
        <w:rPr>
          <w:rFonts w:hint="eastAsia"/>
        </w:rPr>
        <w:t xml:space="preserve"> 当前的政府制定了远景20</w:t>
      </w:r>
      <w:r>
        <w:t>:</w:t>
      </w:r>
      <w:r>
        <w:rPr>
          <w:rFonts w:hint="eastAsia"/>
        </w:rPr>
        <w:t>20文件，实施减缓贫困方案，部分是为了减少结构调整计划对人类福利的负面影响。该方案包括几个方面，涉及实施免费小学教育、采取男女平等的发展方式以及由世界银行贷款资助旨在促进农村发展的马拉维社会行动基金。这些主动行动最终已被纳入马拉维减贫战略文件</w:t>
      </w:r>
      <w:r>
        <w:t>(MPRSP)</w:t>
      </w:r>
      <w:r>
        <w:rPr>
          <w:rFonts w:hint="eastAsia"/>
        </w:rPr>
        <w:t>中。</w:t>
      </w:r>
    </w:p>
    <w:p w:rsidR="005052D3" w:rsidRDefault="005052D3">
      <w:pPr>
        <w:tabs>
          <w:tab w:val="left" w:pos="840"/>
        </w:tabs>
        <w:spacing w:after="140" w:line="320" w:lineRule="atLeast"/>
        <w:rPr>
          <w:rFonts w:ascii="SimHei" w:eastAsia="SimHei"/>
          <w:color w:val="FF0000"/>
          <w:sz w:val="24"/>
        </w:rPr>
      </w:pPr>
      <w:r>
        <w:rPr>
          <w:rFonts w:ascii="SimHei" w:eastAsia="SimHei"/>
          <w:color w:val="FF0000"/>
          <w:sz w:val="24"/>
        </w:rPr>
        <w:tab/>
        <w:t>3.</w:t>
      </w:r>
      <w:r>
        <w:rPr>
          <w:rFonts w:ascii="SimHei" w:eastAsia="SimHei"/>
          <w:color w:val="FF0000"/>
          <w:sz w:val="24"/>
        </w:rPr>
        <w:tab/>
      </w:r>
      <w:r>
        <w:rPr>
          <w:rFonts w:ascii="SimHei" w:eastAsia="SimHei" w:hint="eastAsia"/>
          <w:color w:val="FF0000"/>
          <w:sz w:val="24"/>
        </w:rPr>
        <w:t>总体政治结构</w:t>
      </w:r>
    </w:p>
    <w:p w:rsidR="005052D3" w:rsidRDefault="005052D3">
      <w:pPr>
        <w:pStyle w:val="SingleTxt"/>
      </w:pPr>
      <w:r>
        <w:t>3.1</w:t>
      </w:r>
      <w:r>
        <w:tab/>
      </w:r>
      <w:r>
        <w:rPr>
          <w:rFonts w:hint="eastAsia"/>
        </w:rPr>
        <w:t>马拉维现在的宪法早在1994年便已暂行生效，1995年，该宪法正式生效。确立了行政、立法和司法的三权分立制度。</w:t>
      </w:r>
      <w:r>
        <w:rPr>
          <w:rStyle w:val="FootnoteReference"/>
        </w:rPr>
        <w:footnoteReference w:id="10"/>
      </w:r>
      <w:r>
        <w:rPr>
          <w:rFonts w:hint="eastAsia"/>
        </w:rPr>
        <w:t xml:space="preserve"> 行政由总统、一名或两名副总统、政府各部、内阁、司法部长和检察长组成。</w:t>
      </w:r>
      <w:r>
        <w:rPr>
          <w:rStyle w:val="FootnoteReference"/>
        </w:rPr>
        <w:footnoteReference w:id="11"/>
      </w:r>
      <w:r>
        <w:t xml:space="preserve"> </w:t>
      </w:r>
      <w:r>
        <w:rPr>
          <w:rFonts w:hint="eastAsia"/>
        </w:rPr>
        <w:t>宪法规定的行政部门的职能是提出政策和立法倡议以及执行法律。</w:t>
      </w:r>
      <w:r>
        <w:rPr>
          <w:rStyle w:val="FootnoteReference"/>
        </w:rPr>
        <w:footnoteReference w:id="12"/>
      </w:r>
      <w:r>
        <w:t xml:space="preserve"> </w:t>
      </w:r>
    </w:p>
    <w:p w:rsidR="005052D3" w:rsidRDefault="005052D3">
      <w:pPr>
        <w:pStyle w:val="SingleTxt"/>
      </w:pPr>
      <w:r>
        <w:t>3.2</w:t>
      </w:r>
      <w:r>
        <w:tab/>
      </w:r>
      <w:r>
        <w:rPr>
          <w:rFonts w:hint="eastAsia"/>
        </w:rPr>
        <w:t>立法机构包括议会、议长、议会高级职员和当选的议会成员。</w:t>
      </w:r>
      <w:r>
        <w:rPr>
          <w:rStyle w:val="FootnoteReference"/>
        </w:rPr>
        <w:footnoteReference w:id="13"/>
      </w:r>
      <w:r>
        <w:t xml:space="preserve"> </w:t>
      </w:r>
      <w:r>
        <w:rPr>
          <w:rFonts w:hint="eastAsia"/>
        </w:rPr>
        <w:t>宪法规定的立法部门的职能是颁布代表马拉维人民利益和宪法规定的法律。</w:t>
      </w:r>
      <w:r>
        <w:rPr>
          <w:rStyle w:val="FootnoteReference"/>
        </w:rPr>
        <w:footnoteReference w:id="14"/>
      </w:r>
      <w:r>
        <w:t xml:space="preserve"> </w:t>
      </w:r>
      <w:r>
        <w:rPr>
          <w:rFonts w:hint="eastAsia"/>
        </w:rPr>
        <w:t>政府的第三个部门是司法部门，它独立于立法和行政部门。</w:t>
      </w:r>
      <w:r>
        <w:rPr>
          <w:rStyle w:val="FootnoteReference"/>
        </w:rPr>
        <w:footnoteReference w:id="15"/>
      </w:r>
      <w:r>
        <w:t xml:space="preserve"> </w:t>
      </w:r>
      <w:r>
        <w:rPr>
          <w:rFonts w:hint="eastAsia"/>
        </w:rPr>
        <w:t>它包括首席法官、最高上诉法庭和法官、高级法院和法官以及附属于高级法院的各法院及职业和非职业的地方法官等。司法部门的作用是“以独立、公正的方式在只与法律有关的事实和规定方面”对宪法进行阐释和保护。</w:t>
      </w:r>
      <w:r>
        <w:rPr>
          <w:rStyle w:val="FootnoteReference"/>
        </w:rPr>
        <w:footnoteReference w:id="16"/>
      </w:r>
    </w:p>
    <w:p w:rsidR="005052D3" w:rsidRDefault="005052D3">
      <w:pPr>
        <w:pStyle w:val="SingleTxt"/>
      </w:pPr>
      <w:r>
        <w:t>3.3</w:t>
      </w:r>
      <w:r>
        <w:tab/>
      </w:r>
      <w:r>
        <w:rPr>
          <w:rFonts w:hint="eastAsia"/>
        </w:rPr>
        <w:t>要求司法部门采取方法从三个方面阐释法律。</w:t>
      </w:r>
      <w:r>
        <w:rPr>
          <w:rStyle w:val="FootnoteReference"/>
        </w:rPr>
        <w:footnoteReference w:id="17"/>
      </w:r>
      <w:r>
        <w:t xml:space="preserve"> </w:t>
      </w:r>
      <w:r>
        <w:rPr>
          <w:rFonts w:hint="eastAsia"/>
        </w:rPr>
        <w:t>首先，宪法要求法院应该“促进作为建立开放和民主制度的社会基础的价值观”。</w:t>
      </w:r>
      <w:r>
        <w:rPr>
          <w:rStyle w:val="FootnoteReference"/>
        </w:rPr>
        <w:footnoteReference w:id="18"/>
      </w:r>
      <w:r>
        <w:rPr>
          <w:rFonts w:hint="eastAsia"/>
        </w:rPr>
        <w:t xml:space="preserve"> 其次，任何法院均必须考虑到宪法中规定的人权。</w:t>
      </w:r>
      <w:r>
        <w:rPr>
          <w:rStyle w:val="FootnoteReference"/>
        </w:rPr>
        <w:footnoteReference w:id="19"/>
      </w:r>
      <w:r>
        <w:rPr>
          <w:rFonts w:hint="eastAsia"/>
        </w:rPr>
        <w:t xml:space="preserve"> 第三，在适用的范围内，法庭需要“考虑到公共国际法和相关判例法当前的规范”。</w:t>
      </w:r>
      <w:r>
        <w:rPr>
          <w:rStyle w:val="FootnoteReference"/>
        </w:rPr>
        <w:footnoteReference w:id="20"/>
      </w:r>
    </w:p>
    <w:p w:rsidR="005052D3" w:rsidRDefault="005052D3">
      <w:pPr>
        <w:pStyle w:val="SingleTxt"/>
      </w:pPr>
      <w:r>
        <w:t>3.4</w:t>
      </w:r>
      <w:r>
        <w:tab/>
      </w:r>
      <w:r>
        <w:rPr>
          <w:rFonts w:hint="eastAsia"/>
        </w:rPr>
        <w:t>国家在国内运用国际人权标准方面具有两重性。1994年宪法规定了两重性和一重性。</w:t>
      </w:r>
      <w:r>
        <w:rPr>
          <w:rStyle w:val="FootnoteReference"/>
        </w:rPr>
        <w:footnoteReference w:id="21"/>
      </w:r>
      <w:r>
        <w:t xml:space="preserve"> </w:t>
      </w:r>
      <w:r>
        <w:rPr>
          <w:rFonts w:hint="eastAsia"/>
        </w:rPr>
        <w:t>总体说来，一份国际协议如果得到议会法案的批准或者颁布了批准条例，则可以成为马拉维法律的一部分。但是</w:t>
      </w:r>
      <w:r>
        <w:rPr>
          <w:rFonts w:hint="eastAsia"/>
          <w:lang w:val="en-GB"/>
        </w:rPr>
        <w:t>，对于以前马拉维加入的国际协议，新宪法则要求该国遵守，并使自己的法律与国际文书相协调。但马拉维议会废除了这条规定，而规定国际标准在批准后，必须具体纳入马拉维法律制度。这意味着，如果该国际协议已被纳入马拉维的法律体制，马拉维人民就可以直接诉诸该国际协议的规定。但是，这项限制规定的效力已经减轻，因为有一条规定允许各法院在解释宪法时要“考虑到公共国际和相关判例法的现行规范”。</w:t>
      </w:r>
      <w:r>
        <w:rPr>
          <w:rStyle w:val="FootnoteReference"/>
        </w:rPr>
        <w:footnoteReference w:id="22"/>
      </w:r>
    </w:p>
    <w:p w:rsidR="005052D3" w:rsidRDefault="005052D3">
      <w:pPr>
        <w:pStyle w:val="SingleTxt"/>
      </w:pPr>
      <w:r>
        <w:t>3.5</w:t>
      </w:r>
      <w:r>
        <w:tab/>
      </w:r>
      <w:r>
        <w:rPr>
          <w:rFonts w:hint="eastAsia"/>
        </w:rPr>
        <w:t>行政、立法和司法部门的成员，所有行使国家权力的人员，以及马拉维境内的每一个人，在法律上都要遵守宪法，宪法是至高无上的。宪法第12条规定，“国家的法律和政治权力来自马拉维人民”，“该权力应该遵照宪法得以行使”，“要为人民的利益服务，而且保护人民的利益”。</w:t>
      </w:r>
      <w:r>
        <w:rPr>
          <w:rStyle w:val="FootnoteReference"/>
        </w:rPr>
        <w:footnoteReference w:id="23"/>
      </w:r>
      <w:r>
        <w:t xml:space="preserve"> </w:t>
      </w:r>
      <w:r>
        <w:rPr>
          <w:rFonts w:hint="eastAsia"/>
        </w:rPr>
        <w:t>该项原则的后面是两个清楚表明信誉概念的信条。一个要求所有的“负责行使国家权力的人”“在法律允许的权利范围内本着信誉”办事，并“履行对马拉维人民的职责”。</w:t>
      </w:r>
      <w:r>
        <w:rPr>
          <w:rStyle w:val="FootnoteReference"/>
        </w:rPr>
        <w:footnoteReference w:id="24"/>
      </w:r>
    </w:p>
    <w:p w:rsidR="005052D3" w:rsidRDefault="005052D3">
      <w:pPr>
        <w:tabs>
          <w:tab w:val="left" w:pos="840"/>
        </w:tabs>
        <w:spacing w:after="140" w:line="320" w:lineRule="atLeast"/>
        <w:rPr>
          <w:rFonts w:ascii="SimHei" w:eastAsia="SimHei"/>
          <w:color w:val="FF0000"/>
          <w:sz w:val="24"/>
        </w:rPr>
      </w:pPr>
      <w:r>
        <w:rPr>
          <w:rFonts w:eastAsia="SimHei"/>
          <w:color w:val="FF0000"/>
          <w:sz w:val="24"/>
        </w:rPr>
        <w:tab/>
        <w:t>4.</w:t>
      </w:r>
      <w:r>
        <w:rPr>
          <w:rFonts w:eastAsia="SimHei"/>
          <w:color w:val="FF0000"/>
          <w:sz w:val="24"/>
        </w:rPr>
        <w:tab/>
      </w:r>
      <w:r>
        <w:rPr>
          <w:rFonts w:ascii="SimHei" w:eastAsia="SimHei" w:hint="eastAsia"/>
          <w:color w:val="FF0000"/>
          <w:sz w:val="24"/>
        </w:rPr>
        <w:t>总体法律框架和妇女享有的权利</w:t>
      </w:r>
    </w:p>
    <w:p w:rsidR="005052D3" w:rsidRDefault="005052D3">
      <w:pPr>
        <w:pStyle w:val="SingleTxt"/>
      </w:pPr>
      <w:r>
        <w:t>4.1</w:t>
      </w:r>
      <w:r>
        <w:tab/>
      </w:r>
      <w:r>
        <w:rPr>
          <w:rFonts w:hint="eastAsia"/>
        </w:rPr>
        <w:t>当前的马拉维宪法对保护人权做出了明确的规定。司法部门有权“对所有带有司法性质的问题”行使司法权。</w:t>
      </w:r>
      <w:r>
        <w:rPr>
          <w:rStyle w:val="FootnoteReference"/>
          <w:rFonts w:ascii="Times New Roman"/>
          <w:szCs w:val="24"/>
        </w:rPr>
        <w:footnoteReference w:id="25"/>
      </w:r>
      <w:r>
        <w:t xml:space="preserve"> </w:t>
      </w:r>
      <w:r>
        <w:rPr>
          <w:rFonts w:hint="eastAsia"/>
        </w:rPr>
        <w:t>司法部门所属的任何法院还拥有确定问题是否在其职能范围内的权力。</w:t>
      </w:r>
      <w:r>
        <w:rPr>
          <w:rStyle w:val="FootnoteReference"/>
          <w:rFonts w:ascii="Times New Roman"/>
          <w:szCs w:val="24"/>
        </w:rPr>
        <w:footnoteReference w:id="26"/>
      </w:r>
    </w:p>
    <w:p w:rsidR="005052D3" w:rsidRDefault="005052D3">
      <w:pPr>
        <w:pStyle w:val="SingleTxt"/>
        <w:rPr>
          <w:rFonts w:hint="eastAsia"/>
        </w:rPr>
      </w:pPr>
      <w:r>
        <w:t>4.2</w:t>
      </w:r>
      <w:r>
        <w:tab/>
      </w:r>
      <w:r>
        <w:rPr>
          <w:rFonts w:hint="eastAsia"/>
        </w:rPr>
        <w:t>除司法部门外，宪法还规定了独立于司法、行政和立法部门的三个署，它们是监察员办公室</w:t>
      </w:r>
      <w:r>
        <w:rPr>
          <w:rStyle w:val="FootnoteReference"/>
          <w:rFonts w:ascii="Times New Roman"/>
          <w:szCs w:val="24"/>
        </w:rPr>
        <w:footnoteReference w:id="27"/>
      </w:r>
      <w:r>
        <w:t xml:space="preserve"> </w:t>
      </w:r>
      <w:r>
        <w:rPr>
          <w:rFonts w:hint="eastAsia"/>
        </w:rPr>
        <w:t>、人权委员会</w:t>
      </w:r>
      <w:r>
        <w:rPr>
          <w:rStyle w:val="FootnoteReference"/>
          <w:rFonts w:ascii="Times New Roman"/>
          <w:szCs w:val="24"/>
        </w:rPr>
        <w:footnoteReference w:id="28"/>
      </w:r>
      <w:r>
        <w:rPr>
          <w:rFonts w:hint="eastAsia"/>
        </w:rPr>
        <w:t>和法律委员会</w:t>
      </w:r>
      <w:r>
        <w:rPr>
          <w:rStyle w:val="FootnoteReference"/>
          <w:rFonts w:ascii="Times New Roman"/>
          <w:szCs w:val="24"/>
        </w:rPr>
        <w:footnoteReference w:id="29"/>
      </w:r>
      <w:r>
        <w:rPr>
          <w:rFonts w:hint="eastAsia"/>
        </w:rPr>
        <w:t>。</w:t>
      </w:r>
      <w:r>
        <w:t xml:space="preserve"> </w:t>
      </w:r>
      <w:r>
        <w:rPr>
          <w:rFonts w:hint="eastAsia"/>
        </w:rPr>
        <w:t>监察员办公室在符合两个条件下的情况下进行调查并予以纠正。</w:t>
      </w:r>
      <w:r>
        <w:rPr>
          <w:rStyle w:val="FootnoteReference"/>
          <w:rFonts w:ascii="Times New Roman"/>
          <w:szCs w:val="24"/>
        </w:rPr>
        <w:footnoteReference w:id="30"/>
      </w:r>
      <w:r>
        <w:t xml:space="preserve"> </w:t>
      </w:r>
      <w:r>
        <w:rPr>
          <w:rFonts w:hint="eastAsia"/>
        </w:rPr>
        <w:t>第一个条件是，此人遭遇了不公正。第二个条件是，很明显，通过法庭诉讼程序没有合理的补救措施或可行的补救办法。议会法案已试图尽力限制监察员办公室对公共机构投诉的职权范围。人权委员会的职能集中在保护和调查违反宪法规定的人权情况</w:t>
      </w:r>
      <w:r>
        <w:t xml:space="preserve"> </w:t>
      </w:r>
      <w:r>
        <w:rPr>
          <w:rFonts w:hint="eastAsia"/>
        </w:rPr>
        <w:t>，而且</w:t>
      </w:r>
      <w:r>
        <w:rPr>
          <w:rStyle w:val="FootnoteReference"/>
          <w:rFonts w:ascii="Times New Roman"/>
          <w:szCs w:val="24"/>
        </w:rPr>
        <w:footnoteReference w:id="31"/>
      </w:r>
      <w:r>
        <w:rPr>
          <w:rFonts w:hint="eastAsia"/>
        </w:rPr>
        <w:t>纳入了提高公众意识的活动。法律委员会有权对法律的废除和修订进行审议并提出建议。</w:t>
      </w:r>
      <w:r>
        <w:rPr>
          <w:rStyle w:val="FootnoteReference"/>
          <w:rFonts w:ascii="Times New Roman"/>
          <w:szCs w:val="24"/>
        </w:rPr>
        <w:footnoteReference w:id="32"/>
      </w:r>
      <w:r>
        <w:t xml:space="preserve"> </w:t>
      </w:r>
      <w:r>
        <w:rPr>
          <w:rFonts w:hint="eastAsia"/>
        </w:rPr>
        <w:t>这些权力扩大到起草法律和进行公民教育问题。</w:t>
      </w:r>
    </w:p>
    <w:p w:rsidR="005052D3" w:rsidRDefault="005052D3">
      <w:pPr>
        <w:pStyle w:val="SingleTxt"/>
      </w:pPr>
      <w:r>
        <w:t>4.3</w:t>
      </w:r>
      <w:r>
        <w:tab/>
      </w:r>
      <w:r>
        <w:rPr>
          <w:rFonts w:hint="eastAsia"/>
        </w:rPr>
        <w:t>宪法禁止国民大会和任何附属的立法机构以及行政部门制定法律或采取任何措施废除或侵犯宪法规定的权利。</w:t>
      </w:r>
      <w:r>
        <w:rPr>
          <w:rStyle w:val="FootnoteReference"/>
          <w:rFonts w:ascii="Times New Roman"/>
          <w:szCs w:val="24"/>
        </w:rPr>
        <w:footnoteReference w:id="33"/>
      </w:r>
      <w:r>
        <w:t xml:space="preserve"> </w:t>
      </w:r>
      <w:r>
        <w:rPr>
          <w:rFonts w:hint="eastAsia"/>
        </w:rPr>
        <w:t>这些权利包括第24条规定的妇女的某些权利。宪法规定得十分清楚，即拥有受宪法保护的</w:t>
      </w:r>
      <w:r>
        <w:t xml:space="preserve"> </w:t>
      </w:r>
      <w:r>
        <w:rPr>
          <w:rFonts w:hint="eastAsia"/>
        </w:rPr>
        <w:t>“基本权利和自由的任何人”如果其权利受到侵犯，可以通过起诉得到解决。在以前的案例中，高级法院认为，只有那些人权受到侵犯的人才可以诉诸法庭。现在，越来越多的人意识到，“任何人”，包括人权组织，只要能说明某人的人权受到了侵犯，便可以进行本阶层或公共利益的诉讼。</w:t>
      </w:r>
    </w:p>
    <w:p w:rsidR="005052D3" w:rsidRDefault="005052D3">
      <w:pPr>
        <w:pStyle w:val="SingleTxt"/>
      </w:pPr>
      <w:r>
        <w:t>4.4</w:t>
      </w:r>
      <w:r>
        <w:tab/>
      </w:r>
      <w:r>
        <w:rPr>
          <w:rFonts w:hint="eastAsia"/>
        </w:rPr>
        <w:t>宪法规定，宣称人权受到侵犯的人拥有两条可能的起诉途径。</w:t>
      </w:r>
      <w:r>
        <w:rPr>
          <w:rStyle w:val="FootnoteReference"/>
          <w:rFonts w:ascii="Times New Roman"/>
          <w:szCs w:val="24"/>
        </w:rPr>
        <w:footnoteReference w:id="34"/>
      </w:r>
      <w:r>
        <w:t xml:space="preserve"> </w:t>
      </w:r>
      <w:r>
        <w:rPr>
          <w:rFonts w:hint="eastAsia"/>
        </w:rPr>
        <w:t>第一，此人可以向法庭申请对这一权利进行保护或行使。法庭有权命令保障对该权利的享有，包括偿付补偿金。</w:t>
      </w:r>
      <w:r>
        <w:rPr>
          <w:rStyle w:val="FootnoteReference"/>
          <w:rFonts w:ascii="Times New Roman"/>
          <w:szCs w:val="24"/>
        </w:rPr>
        <w:footnoteReference w:id="35"/>
      </w:r>
      <w:r>
        <w:t xml:space="preserve"> </w:t>
      </w:r>
      <w:r>
        <w:rPr>
          <w:rFonts w:hint="eastAsia"/>
        </w:rPr>
        <w:t>第二条可能的途径是向监察员或人权委员会提出申请，寻求建议或帮助。</w:t>
      </w:r>
      <w:r>
        <w:rPr>
          <w:rStyle w:val="FootnoteReference"/>
          <w:rFonts w:ascii="Times New Roman"/>
          <w:szCs w:val="24"/>
        </w:rPr>
        <w:footnoteReference w:id="36"/>
      </w:r>
    </w:p>
    <w:p w:rsidR="005052D3" w:rsidRDefault="005052D3">
      <w:pPr>
        <w:pStyle w:val="SingleTxt"/>
      </w:pPr>
      <w:r>
        <w:t>4.5</w:t>
      </w:r>
      <w:r>
        <w:tab/>
      </w:r>
      <w:r>
        <w:rPr>
          <w:rFonts w:hint="eastAsia"/>
        </w:rPr>
        <w:t>然而，大多数马拉维人一般都信任传统的或初级法庭。这些法庭大部分都由村长或酋长主持。庭长根据公认的血统关系指定酋长。人们更信任这些法庭，而不是宪法规定的中央机构，是因为传统机构在地理位置上更方便，财政方面更经济，更能使人们参与其中，并迅速做出判决，给出更灵活的处理办法。但是，已经意识到，有些传统的法律、程序和做法侵犯了人权原则，特别是妇女的人权原则。</w:t>
      </w:r>
    </w:p>
    <w:p w:rsidR="005052D3" w:rsidRDefault="005052D3">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pPr>
      <w:r>
        <w:tab/>
        <w:t>5.</w:t>
      </w:r>
      <w:r>
        <w:tab/>
      </w:r>
      <w:r>
        <w:rPr>
          <w:rFonts w:hint="eastAsia"/>
        </w:rPr>
        <w:t>信息与宣传</w:t>
      </w:r>
    </w:p>
    <w:p w:rsidR="005052D3" w:rsidRDefault="005052D3">
      <w:pPr>
        <w:pStyle w:val="SingleTxt"/>
      </w:pPr>
      <w:r>
        <w:t>5.1</w:t>
      </w:r>
      <w:r>
        <w:tab/>
      </w:r>
      <w:r>
        <w:rPr>
          <w:rFonts w:hint="eastAsia"/>
        </w:rPr>
        <w:t>民主体制的一个重要的发展就是公开促进人权。国际组织、非政府组织和政府已经开始合作，共同传播关于人权文化重要性的信息。马拉维政府通过性别和社区服务部以及人权委员会、非政府组织和国际组织开展了针对妇女和男子、男女青年责任和义务的以性别为主的和人权意识活动。</w:t>
      </w:r>
      <w:r>
        <w:t xml:space="preserve"> </w:t>
      </w:r>
    </w:p>
    <w:p w:rsidR="005052D3" w:rsidRDefault="005052D3">
      <w:pPr>
        <w:pStyle w:val="SingleTxt"/>
      </w:pPr>
      <w:r>
        <w:t>5.2</w:t>
      </w:r>
      <w:r>
        <w:tab/>
      </w:r>
      <w:r>
        <w:rPr>
          <w:rFonts w:hint="eastAsia"/>
        </w:rPr>
        <w:t>妇女和男子的文化水平低影响了在马拉维开展人权教育的效力。另外</w:t>
      </w:r>
      <w:r>
        <w:rPr>
          <w:rFonts w:hint="eastAsia"/>
          <w:lang w:val="en-GB"/>
        </w:rPr>
        <w:t>，</w:t>
      </w:r>
      <w:r>
        <w:rPr>
          <w:rFonts w:hint="eastAsia"/>
        </w:rPr>
        <w:t>那些被认为有文化但却读不懂英语或听不懂英语的人也无法正确理解人权问题，因为英语是该国大多数宣传人权的人使用的基本交际工具。在这方面迈出的一大步就是，1993年，一本题为《马拉维妇女和法律》的书简化了《消除对妇女一切形式歧视公约》的内容，并培训出120名培训人员宣传该书的内容。而且</w:t>
      </w:r>
      <w:r>
        <w:rPr>
          <w:rFonts w:hint="eastAsia"/>
          <w:lang w:val="en-GB"/>
        </w:rPr>
        <w:t>，</w:t>
      </w:r>
      <w:r>
        <w:rPr>
          <w:rFonts w:hint="eastAsia"/>
        </w:rPr>
        <w:t>《儿童权利公约》也已经被译成两种地方语言，得到了普及。</w:t>
      </w:r>
    </w:p>
    <w:p w:rsidR="005052D3" w:rsidRDefault="005052D3">
      <w:pPr>
        <w:pStyle w:val="SingleTxt"/>
        <w:rPr>
          <w:b/>
        </w:rPr>
      </w:pPr>
      <w:r>
        <w:t>5.3</w:t>
      </w:r>
      <w:r>
        <w:tab/>
      </w:r>
      <w:r>
        <w:rPr>
          <w:rFonts w:hint="eastAsia"/>
        </w:rPr>
        <w:t>马拉维政府通过性别和社区服务部和马拉维人权资源中心把《消除对妇女一切形式歧视公约》译成了一种语言。马拉维所有倡导人权的人面临的一个挑战就是使用某种语言和方法，以使大多数农村社区认识到人权是每个人所固有的、人人有权获得的权利。</w:t>
      </w:r>
    </w:p>
    <w:p w:rsidR="005052D3" w:rsidRDefault="005052D3">
      <w:pPr>
        <w:tabs>
          <w:tab w:val="left" w:pos="840"/>
        </w:tabs>
        <w:spacing w:after="120" w:line="320" w:lineRule="atLeast"/>
        <w:rPr>
          <w:rFonts w:eastAsia="SimHei"/>
          <w:color w:val="FF0000"/>
          <w:sz w:val="24"/>
        </w:rPr>
      </w:pPr>
      <w:r>
        <w:rPr>
          <w:rFonts w:eastAsia="SimHei"/>
          <w:color w:val="FF0000"/>
          <w:sz w:val="24"/>
        </w:rPr>
        <w:tab/>
        <w:t>6.</w:t>
      </w:r>
      <w:r>
        <w:rPr>
          <w:rFonts w:eastAsia="SimHei"/>
          <w:color w:val="FF0000"/>
          <w:sz w:val="24"/>
        </w:rPr>
        <w:tab/>
      </w:r>
      <w:r>
        <w:rPr>
          <w:rFonts w:eastAsia="SimHei" w:hint="eastAsia"/>
          <w:color w:val="FF0000"/>
          <w:sz w:val="24"/>
        </w:rPr>
        <w:t>为解决男女巨大差距问题而实施的计划</w:t>
      </w:r>
    </w:p>
    <w:p w:rsidR="005052D3" w:rsidRDefault="005052D3">
      <w:pPr>
        <w:pStyle w:val="SingleTxt"/>
      </w:pPr>
      <w:r>
        <w:t xml:space="preserve">6.1 </w:t>
      </w:r>
      <w:r>
        <w:tab/>
      </w:r>
      <w:r>
        <w:rPr>
          <w:rFonts w:hint="eastAsia"/>
        </w:rPr>
        <w:t>社区服务部负责妇女和儿童问题，该部已经进行了重组，1992年改名为妇女和儿童事务、社区发展和社会福利部。目的是执行1991年马拉维加入的《妇女参与发展》和《儿童权利公约》（CRC）等诸多问题。1993年制定和通过了“妇女参与发展政策和行动计划”。接下来，审议了妇女参与发展全国委员会法案，提高部长们对妇女进步、人口和发展的意识，解决妇女权利问题。这一时期加强了各社区人口教育计划，该计划覆盖全国各个地区，涉及370万人（150万妇女、100万男子、50万女青年和70万男青年）。该计划还包含有关生殖健康和两性作用的信息。另外，妇女参与发展全国委员会（</w:t>
      </w:r>
      <w:r>
        <w:t>NCWID</w:t>
      </w:r>
      <w:r>
        <w:rPr>
          <w:rFonts w:hint="eastAsia"/>
        </w:rPr>
        <w:t>）还促进建立了马拉维全国家庭福利理事会（</w:t>
      </w:r>
      <w:r>
        <w:t>NFWCM</w:t>
      </w:r>
      <w:r>
        <w:rPr>
          <w:rFonts w:hint="eastAsia"/>
        </w:rPr>
        <w:t>），</w:t>
      </w:r>
      <w:r>
        <w:t xml:space="preserve"> </w:t>
      </w:r>
      <w:r>
        <w:rPr>
          <w:rFonts w:hint="eastAsia"/>
        </w:rPr>
        <w:t>这是一个针对妇女的半国营性组织，负责协调人口和发展问题，包括计划生育和安全分娩问题，属于性别和社区服务部。马拉维全国家庭福利理事会的运作一直持续到1999年，然后转到健康和人口部，2000年解体。</w:t>
      </w:r>
    </w:p>
    <w:p w:rsidR="005052D3" w:rsidRDefault="005052D3">
      <w:pPr>
        <w:pStyle w:val="SingleTxt"/>
      </w:pPr>
      <w:r>
        <w:t xml:space="preserve">6.2 </w:t>
      </w:r>
      <w:r>
        <w:tab/>
      </w:r>
      <w:r>
        <w:rPr>
          <w:rFonts w:hint="eastAsia"/>
        </w:rPr>
        <w:t>1994年举行了国际人口与发展会议（人发会议），1995年举行了社发首脑会议和北京第四次妇女问题世界会议。之后，马拉维制定了国家行动纲领。该纲领确定了马拉维关注的四个关键领域，它们是：</w:t>
      </w:r>
      <w:r>
        <w:rPr>
          <w:rFonts w:eastAsia="KaiTi_GB2312" w:hint="eastAsia"/>
          <w:color w:val="0000FF"/>
        </w:rPr>
        <w:t>减缓贫穷和赋予权力；女童；对妇女的暴力；和平</w:t>
      </w:r>
      <w:r>
        <w:rPr>
          <w:rFonts w:hint="eastAsia"/>
        </w:rPr>
        <w:t>。该纲领于1997年3月8日启动，同年9月8日，在马拉维布兰太尔由各国政府首脑共同签署了《南部非洲发展共同体（南共体）妇女与发展宣言》。</w:t>
      </w:r>
    </w:p>
    <w:p w:rsidR="005052D3" w:rsidRDefault="005052D3">
      <w:pPr>
        <w:pStyle w:val="SingleTxt"/>
        <w:rPr>
          <w:rFonts w:hint="eastAsia"/>
        </w:rPr>
      </w:pPr>
      <w:r>
        <w:t xml:space="preserve">6.3 </w:t>
      </w:r>
      <w:r>
        <w:tab/>
      </w:r>
      <w:r>
        <w:rPr>
          <w:rFonts w:hint="eastAsia"/>
        </w:rPr>
        <w:t>该宣言要求各国首脑/政府及其国家把性别问题坚定地纳入发展日程，保证决策岗位上男女比例相等。促进妇女充分运用并管理生产资源。废除和改革一切法律，修订法规，改变社会上歧视妇女的习惯做法。废除传统的定型观念，使男女均可受到优质教育。使男女均能享受到优生优育和其他健康服务。促进和保护妇女和儿童的人权。承认、保护和促进妇女和女青年的生殖权。采取紧急措施防止和处理正在愈演愈烈的暴力问题。鼓励大众媒体宣传有关妇女和儿童人权的信息。</w:t>
      </w:r>
    </w:p>
    <w:p w:rsidR="005052D3" w:rsidRDefault="005052D3">
      <w:pPr>
        <w:pStyle w:val="SingleTxt"/>
      </w:pPr>
      <w:r>
        <w:t xml:space="preserve">6.4 </w:t>
      </w:r>
      <w:r>
        <w:tab/>
      </w:r>
      <w:r>
        <w:rPr>
          <w:rFonts w:hint="eastAsia"/>
        </w:rPr>
        <w:t>另外，马拉维还制定了国家性别政策，重视纲领中确定的关键领域。该政策于2000年3月8日开始实施，确定了六个主题领域，它们是：教育和培训；生殖健康；食品和营养安全；自然资源和环境管理；管理和人权；以及消除贫困和经济权利。这就使得1999年对性别和社区服务部进行审核和重新命名成为必要，设立了一个专门的两性事务部门，并指定为马拉维全国性别机构，主要任务是制定、实施、协调、合作、监控和评估，性别政策、计划和项目以及各级活动，目标是使性别问题纳入国家发展进程的主流，以促进妇女和男子以及男女青年参与消除贫困的可持续的均衡发展。为此，性别部门开展了四个导入计划，它们是：性别主流化；经济权利；食物利用和饮食多样化；以社区为单位的针对性生殖健康和艾滋病毒/艾滋病的人口教育。</w:t>
      </w:r>
    </w:p>
    <w:p w:rsidR="005052D3" w:rsidRDefault="005052D3">
      <w:pPr>
        <w:pStyle w:val="SingleTxt"/>
      </w:pPr>
      <w:r>
        <w:t>6.5</w:t>
      </w:r>
      <w:r>
        <w:tab/>
      </w:r>
      <w:r>
        <w:rPr>
          <w:rFonts w:hint="eastAsia"/>
        </w:rPr>
        <w:t>为实现其使命，该部作为全国的性别机构，确定了一切公共、私人、半国营和非政府部门的性别重点问题，这些部门的作用是保证性别日程成为重大利益相关者事务中不可缺少的一部分。目前，正在制定一项性别计划以执行该政策，同时，正在努力制定《男女平等法》。另外，</w:t>
      </w:r>
      <w:r>
        <w:t>1997</w:t>
      </w:r>
      <w:r>
        <w:rPr>
          <w:rFonts w:hint="eastAsia"/>
        </w:rPr>
        <w:t>到</w:t>
      </w:r>
      <w:r>
        <w:t>1999</w:t>
      </w:r>
      <w:r>
        <w:rPr>
          <w:rFonts w:hint="eastAsia"/>
        </w:rPr>
        <w:t>间</w:t>
      </w:r>
      <w:r>
        <w:t xml:space="preserve">, </w:t>
      </w:r>
      <w:r>
        <w:rPr>
          <w:rFonts w:hint="eastAsia"/>
        </w:rPr>
        <w:t>这个全国性机构加强了性别宣传活动。为马拉维有影响的人物开办研讨会，比如：有48位首席秘书制定并签署了他们自己的《妇女和发展宣言》，也叫马拉维</w:t>
      </w:r>
      <w:r>
        <w:t>Makokola</w:t>
      </w:r>
      <w:r>
        <w:rPr>
          <w:rFonts w:hint="eastAsia"/>
        </w:rPr>
        <w:t>宣言。还为60位高级官员、33位内阁部长、177位议会议员和140位酋长举办了研讨会。这有利于对性别政策文件的批复。另外，举办了全国性性别和人权意识会议，共有100名培训人员每人培训出1 500人，涉及150 000名社区成员，大众传媒也覆盖了总人口的75%。另外，各政党之间成立议会妇女核心小组，以保证议会中重视妇女权利问题和废除歧视的做法。一妇女和儿童事务委员会已重新命名为社区和社会事务议会委员会，旨在解决影响妇女和儿童的所有社会问题。在内阁一级，成立了性别、青年和残疾人内阁委员会，以便在内阁中批准和提出这类问题。</w:t>
      </w:r>
    </w:p>
    <w:p w:rsidR="005052D3" w:rsidRDefault="005052D3">
      <w:pPr>
        <w:pStyle w:val="SingleTxt"/>
      </w:pPr>
      <w:r>
        <w:t xml:space="preserve">6.6 </w:t>
      </w:r>
      <w:r>
        <w:tab/>
      </w:r>
      <w:r>
        <w:rPr>
          <w:rFonts w:hint="eastAsia"/>
        </w:rPr>
        <w:t>为保证所有的重大利益相关者能在自己的工作中使性别主流化，非政府组织性别协调网于1998年成立，该网络的作用是在非政府组织/民间社会部门协调所有的性别活动，是政府各种委员会中的一部分，旨在保证非政府组织的利益得到重视。</w:t>
      </w:r>
    </w:p>
    <w:p w:rsidR="005052D3" w:rsidRDefault="005052D3">
      <w:pPr>
        <w:pStyle w:val="SingleTxt"/>
      </w:pPr>
      <w:r>
        <w:t xml:space="preserve">6.7 </w:t>
      </w:r>
      <w:r>
        <w:tab/>
      </w:r>
      <w:r>
        <w:rPr>
          <w:rFonts w:hint="eastAsia"/>
        </w:rPr>
        <w:t>在公共部门，已对教育课程设置部进行了审核，并对性别问题做出了反应。性别专家为教师列出了课堂清单，供教师使用。为保证女生入学、坚持学习和完成学校课程，女生获得基本读写和教育计划于1996年到2002年间得以实施，其间开展了社会动员活动，这一活动目前仍在继续。该计划为通过考试的女生提供学费，为小学所有学生提供教材。</w:t>
      </w:r>
    </w:p>
    <w:p w:rsidR="005052D3" w:rsidRDefault="005052D3">
      <w:pPr>
        <w:pStyle w:val="SingleTxt"/>
        <w:rPr>
          <w:rFonts w:hint="eastAsia"/>
        </w:rPr>
      </w:pPr>
      <w:r>
        <w:t xml:space="preserve">6.8 </w:t>
      </w:r>
      <w:r>
        <w:tab/>
      </w:r>
      <w:r>
        <w:rPr>
          <w:rFonts w:hint="eastAsia"/>
        </w:rPr>
        <w:t>国防部的政策本来不征用女兵。该政策于1999年重新审议，到2000年，第一批女兵已经从军事学院毕业。到目前为止，已有130多名女兵得到培训和征用，其中11名被任命为军官候补生。</w:t>
      </w:r>
    </w:p>
    <w:p w:rsidR="005052D3" w:rsidRDefault="005052D3">
      <w:pPr>
        <w:pStyle w:val="SingleTxt"/>
      </w:pPr>
      <w:r>
        <w:t xml:space="preserve">6.9 </w:t>
      </w:r>
      <w:r>
        <w:tab/>
      </w:r>
      <w:r>
        <w:rPr>
          <w:rFonts w:hint="eastAsia"/>
        </w:rPr>
        <w:t>农业部审核了其培训材料和课程，以适应更多的女青年，还创办了农业性别地位小组。该小组正致力于农业中性别的主流化问题。</w:t>
      </w:r>
    </w:p>
    <w:p w:rsidR="005052D3" w:rsidRDefault="005052D3">
      <w:pPr>
        <w:pStyle w:val="SingleTxt"/>
      </w:pPr>
      <w:r>
        <w:t>6.10</w:t>
      </w:r>
      <w:r>
        <w:rPr>
          <w:rFonts w:hint="eastAsia"/>
        </w:rPr>
        <w:t xml:space="preserve">　家庭事务部已在各级使一些妇女得以晋升，还增加了马拉维警察部门的雇佣名额。到目前为止，已经有1 269名女警官，而1995年只有272名。</w:t>
      </w:r>
      <w:r>
        <w:t xml:space="preserve"> </w:t>
      </w:r>
    </w:p>
    <w:p w:rsidR="005052D3" w:rsidRDefault="005052D3">
      <w:pPr>
        <w:pStyle w:val="SingleTxt"/>
      </w:pPr>
      <w:r>
        <w:t>6.11</w:t>
      </w:r>
      <w:r>
        <w:rPr>
          <w:rFonts w:hint="eastAsia"/>
        </w:rPr>
        <w:t xml:space="preserve">　林业、渔业、环境、能源和野生动物部重新评估了课程设置，建设其培训学院的女生设施，旨在吸引女生报名参加林业培训。该部的野生动物、造林、环境和能源计划都具有了性别意识。在林业部门的性别主流化方面，马拉维在南部非洲发展共同体中处于领先地位。</w:t>
      </w:r>
    </w:p>
    <w:p w:rsidR="005052D3" w:rsidRDefault="005052D3">
      <w:pPr>
        <w:pStyle w:val="SingleTxt"/>
      </w:pPr>
      <w:r>
        <w:t>6.12</w:t>
      </w:r>
      <w:r>
        <w:rPr>
          <w:rFonts w:hint="eastAsia"/>
        </w:rPr>
        <w:t xml:space="preserve">　大学提高了女生和男生的录取比例，从10</w:t>
      </w:r>
      <w:r>
        <w:t>:</w:t>
      </w:r>
      <w:r>
        <w:rPr>
          <w:rFonts w:hint="eastAsia"/>
        </w:rPr>
        <w:t>100提高到1998年的30</w:t>
      </w:r>
      <w:r>
        <w:t>:</w:t>
      </w:r>
      <w:r>
        <w:rPr>
          <w:rFonts w:hint="eastAsia"/>
        </w:rPr>
        <w:t>100，目前正在向40</w:t>
      </w:r>
      <w:r>
        <w:t>:</w:t>
      </w:r>
      <w:r>
        <w:rPr>
          <w:rFonts w:hint="eastAsia"/>
        </w:rPr>
        <w:t>100迈进。</w:t>
      </w:r>
    </w:p>
    <w:p w:rsidR="005052D3" w:rsidRDefault="005052D3">
      <w:pPr>
        <w:tabs>
          <w:tab w:val="left" w:pos="840"/>
        </w:tabs>
        <w:spacing w:after="120" w:line="320" w:lineRule="atLeast"/>
        <w:rPr>
          <w:rFonts w:eastAsia="SimHei"/>
          <w:color w:val="FF0000"/>
          <w:sz w:val="24"/>
        </w:rPr>
      </w:pPr>
      <w:r>
        <w:rPr>
          <w:rFonts w:eastAsia="SimHei" w:hint="eastAsia"/>
          <w:color w:val="FF0000"/>
          <w:sz w:val="24"/>
        </w:rPr>
        <w:tab/>
      </w:r>
      <w:r>
        <w:rPr>
          <w:rFonts w:eastAsia="SimHei"/>
          <w:color w:val="FF0000"/>
          <w:sz w:val="24"/>
        </w:rPr>
        <w:t>7.</w:t>
      </w:r>
      <w:r>
        <w:rPr>
          <w:rFonts w:eastAsia="SimHei"/>
          <w:color w:val="FF0000"/>
          <w:sz w:val="24"/>
        </w:rPr>
        <w:tab/>
      </w:r>
      <w:r>
        <w:rPr>
          <w:rFonts w:eastAsia="SimHei" w:hint="eastAsia"/>
          <w:color w:val="FF0000"/>
          <w:sz w:val="24"/>
        </w:rPr>
        <w:t>结论</w:t>
      </w:r>
    </w:p>
    <w:p w:rsidR="005052D3" w:rsidRDefault="005052D3">
      <w:pPr>
        <w:pStyle w:val="SingleTxt"/>
        <w:rPr>
          <w:rFonts w:hint="eastAsia"/>
        </w:rPr>
      </w:pPr>
      <w:r>
        <w:rPr>
          <w:rFonts w:hint="eastAsia"/>
        </w:rPr>
        <w:tab/>
        <w:t>新宪法的实施和</w:t>
      </w:r>
      <w:r>
        <w:rPr>
          <w:rFonts w:ascii="Times New Roman"/>
        </w:rPr>
        <w:t>1995</w:t>
      </w:r>
      <w:r>
        <w:t>年</w:t>
      </w:r>
      <w:r>
        <w:rPr>
          <w:rFonts w:hint="eastAsia"/>
        </w:rPr>
        <w:t>有关发展的性别方法为消除现存的男女巨大差距提供了有利的环境。</w:t>
      </w:r>
      <w:r>
        <w:rPr>
          <w:rFonts w:ascii="Times New Roman" w:hint="eastAsia"/>
          <w:szCs w:val="24"/>
        </w:rPr>
        <w:t>已经具有了有利于实现妇女权利和重视男女差距的法律框架</w:t>
      </w:r>
      <w:r>
        <w:rPr>
          <w:rFonts w:hint="eastAsia"/>
        </w:rPr>
        <w:t>，但由于现在的社会化进程加强了男子的统治地位，所以在这方面的进步还很缓慢。</w:t>
      </w:r>
    </w:p>
    <w:p w:rsidR="005052D3" w:rsidRDefault="005052D3">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40"/>
        <w:ind w:left="1264" w:right="1264" w:hanging="1264"/>
        <w:jc w:val="both"/>
      </w:pPr>
      <w:bookmarkStart w:id="5" w:name="_Toc33784407"/>
      <w:bookmarkStart w:id="6" w:name="_Toc377350746"/>
      <w:bookmarkStart w:id="7" w:name="_Toc83142688"/>
      <w:r>
        <w:rPr>
          <w:rFonts w:hint="eastAsia"/>
        </w:rPr>
        <w:tab/>
      </w:r>
      <w:r>
        <w:rPr>
          <w:rFonts w:hint="eastAsia"/>
        </w:rPr>
        <w:tab/>
        <w:t>第二部分：逐条列出的进步、限制和</w:t>
      </w:r>
      <w:bookmarkEnd w:id="5"/>
      <w:bookmarkEnd w:id="6"/>
      <w:r>
        <w:rPr>
          <w:rFonts w:hint="eastAsia"/>
        </w:rPr>
        <w:t>现状</w:t>
      </w:r>
      <w:bookmarkEnd w:id="7"/>
      <w:r>
        <w:t xml:space="preserve"> </w:t>
      </w:r>
    </w:p>
    <w:p w:rsidR="005052D3" w:rsidRDefault="005052D3">
      <w:pPr>
        <w:pStyle w:val="SingleTxt"/>
        <w:rPr>
          <w:rFonts w:hint="eastAsia"/>
        </w:rPr>
      </w:pPr>
      <w:r>
        <w:rPr>
          <w:rFonts w:hint="eastAsia"/>
        </w:rPr>
        <w:t>报告的这一部分对《消除对妇女一切形式歧视公约》在马拉维的实施进行了说明。</w:t>
      </w:r>
      <w:r>
        <w:rPr>
          <w:rFonts w:hint="eastAsia"/>
        </w:rPr>
        <w:tab/>
        <w:t>报告认可并运用《消除对妇女一切形式歧视公约》的标准对马拉维的宪法、政策和主要的法规及程序进行了检查。对《消除对妇女一切形式歧视公约》条款的每项内容，报告均列出了妇女的现状。</w:t>
      </w:r>
    </w:p>
    <w:p w:rsidR="005052D3" w:rsidRDefault="005052D3">
      <w:pPr>
        <w:pStyle w:val="H1"/>
        <w:spacing w:before="120" w:after="120"/>
      </w:pPr>
      <w:bookmarkStart w:id="8" w:name="_Toc33784408"/>
      <w:bookmarkStart w:id="9" w:name="_Toc377350747"/>
      <w:bookmarkStart w:id="10" w:name="_Toc83142689"/>
      <w:r>
        <w:rPr>
          <w:rFonts w:hint="eastAsia"/>
        </w:rPr>
        <w:tab/>
      </w:r>
      <w:r>
        <w:rPr>
          <w:rFonts w:hint="eastAsia"/>
        </w:rPr>
        <w:tab/>
      </w:r>
      <w:r>
        <w:rPr>
          <w:rFonts w:hint="eastAsia"/>
        </w:rPr>
        <w:tab/>
        <w:t>第1条：对妇女歧视的定义</w:t>
      </w:r>
      <w:bookmarkEnd w:id="8"/>
      <w:bookmarkEnd w:id="9"/>
      <w:bookmarkEnd w:id="10"/>
    </w:p>
    <w:p w:rsidR="005052D3" w:rsidRDefault="005052D3">
      <w:pPr>
        <w:tabs>
          <w:tab w:val="left" w:pos="840"/>
        </w:tabs>
        <w:spacing w:after="120" w:line="360" w:lineRule="atLeast"/>
        <w:rPr>
          <w:rFonts w:ascii="SimHei" w:eastAsia="SimHei"/>
          <w:bCs/>
          <w:color w:val="FF0000"/>
        </w:rPr>
      </w:pPr>
      <w:r>
        <w:rPr>
          <w:rFonts w:ascii="SimHei" w:eastAsia="SimHei" w:hint="eastAsia"/>
          <w:bCs/>
          <w:color w:val="FF0000"/>
        </w:rPr>
        <w:tab/>
      </w:r>
      <w:r>
        <w:rPr>
          <w:rFonts w:ascii="SimHei" w:eastAsia="SimHei" w:hint="eastAsia"/>
          <w:bCs/>
          <w:color w:val="FF0000"/>
        </w:rPr>
        <w:tab/>
      </w:r>
      <w:r>
        <w:rPr>
          <w:rFonts w:ascii="SimHei" w:eastAsia="SimHei"/>
          <w:bCs/>
          <w:color w:val="FF0000"/>
        </w:rPr>
        <w:tab/>
        <w:t>1.1</w:t>
      </w:r>
      <w:r>
        <w:rPr>
          <w:rFonts w:ascii="SimHei" w:eastAsia="SimHei"/>
          <w:bCs/>
          <w:color w:val="FF0000"/>
        </w:rPr>
        <w:tab/>
      </w:r>
      <w:r>
        <w:rPr>
          <w:rFonts w:ascii="SimHei" w:eastAsia="SimHei" w:hint="eastAsia"/>
          <w:bCs/>
          <w:color w:val="FF0000"/>
        </w:rPr>
        <w:t>《消除对妇女一切形式歧视公约》标准</w:t>
      </w:r>
    </w:p>
    <w:p w:rsidR="005052D3" w:rsidRDefault="005052D3">
      <w:pPr>
        <w:pStyle w:val="SingleTxt"/>
        <w:ind w:left="2001" w:hanging="737"/>
        <w:rPr>
          <w:rFonts w:hint="eastAsia"/>
        </w:rPr>
      </w:pPr>
      <w:r>
        <w:rPr>
          <w:rFonts w:ascii="KaiTi_GB2312" w:eastAsia="KaiTi_GB2312" w:hint="eastAsia"/>
          <w:color w:val="0000FF"/>
        </w:rPr>
        <w:t>第1条</w:t>
      </w:r>
      <w:r>
        <w:rPr>
          <w:rFonts w:ascii="KaiTi_GB2312" w:eastAsia="KaiTi_GB2312"/>
          <w:color w:val="0000FF"/>
        </w:rPr>
        <w:t>.</w:t>
      </w:r>
      <w:r>
        <w:rPr>
          <w:rFonts w:ascii="KaiTi_GB2312" w:eastAsia="KaiTi_GB2312" w:hint="eastAsia"/>
          <w:color w:val="0000FF"/>
        </w:rPr>
        <w:tab/>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r>
        <w:rPr>
          <w:rFonts w:hint="eastAsia"/>
        </w:rPr>
        <w:t>。</w:t>
      </w:r>
    </w:p>
    <w:p w:rsidR="005052D3" w:rsidRDefault="005052D3">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jc w:val="both"/>
      </w:pPr>
      <w:r>
        <w:tab/>
      </w:r>
      <w:r>
        <w:rPr>
          <w:rFonts w:hint="eastAsia"/>
        </w:rPr>
        <w:tab/>
      </w:r>
      <w:r>
        <w:t>1.2</w:t>
      </w:r>
      <w:r>
        <w:tab/>
      </w:r>
      <w:r>
        <w:rPr>
          <w:rFonts w:hint="eastAsia"/>
        </w:rPr>
        <w:t>马拉维宪法中对歧视的说明</w:t>
      </w:r>
    </w:p>
    <w:p w:rsidR="005052D3" w:rsidRDefault="005052D3">
      <w:pPr>
        <w:pStyle w:val="SingleTxt"/>
        <w:spacing w:after="120"/>
      </w:pPr>
      <w:r>
        <w:rPr>
          <w:rFonts w:hint="eastAsia"/>
        </w:rPr>
        <w:t>1</w:t>
      </w:r>
      <w:r>
        <w:t xml:space="preserve">.2.1  </w:t>
      </w:r>
      <w:r>
        <w:rPr>
          <w:rFonts w:hint="eastAsia"/>
        </w:rPr>
        <w:t>尽管没有从法律上对歧视进行界定，但马拉维1995年宪法仍然是一部进步的宪法，因为该宪法第4章包括了一项权利法案。虽然作为《世界人权宣言》的缔约国，但1994年以前的宪法没有涉及歧视问题。</w:t>
      </w:r>
      <w:r>
        <w:rPr>
          <w:rStyle w:val="FootnoteReference"/>
        </w:rPr>
        <w:footnoteReference w:id="37"/>
      </w:r>
      <w:r>
        <w:t xml:space="preserve"> </w:t>
      </w:r>
    </w:p>
    <w:p w:rsidR="005052D3" w:rsidRDefault="005052D3">
      <w:pPr>
        <w:pStyle w:val="SingleTxt"/>
        <w:spacing w:after="120"/>
      </w:pPr>
      <w:r>
        <w:t xml:space="preserve">1.2.2  </w:t>
      </w:r>
      <w:r>
        <w:rPr>
          <w:rFonts w:hint="eastAsia"/>
        </w:rPr>
        <w:t>1995年宪法在保护人权方面更加明确有力。当前宪法中列出的原则之一就是法律面前人人平等。</w:t>
      </w:r>
      <w:r>
        <w:rPr>
          <w:rStyle w:val="FootnoteReference"/>
        </w:rPr>
        <w:footnoteReference w:id="38"/>
      </w:r>
      <w:r>
        <w:t xml:space="preserve"> </w:t>
      </w:r>
      <w:r>
        <w:rPr>
          <w:rFonts w:hint="eastAsia"/>
        </w:rPr>
        <w:t>享有法律权利的惟一限制是缺乏实施性法规的制定及执行。此外，宪法中还有一条非歧视条款，禁止基于性别、种族、肤色、语言、宗教、政治或其他观点、国籍、民族或社会背景、残疾、财产、出身或其他情况而对妇女的歧视</w:t>
      </w:r>
      <w:r>
        <w:rPr>
          <w:rStyle w:val="FootnoteReference"/>
        </w:rPr>
        <w:footnoteReference w:id="39"/>
      </w:r>
      <w:r>
        <w:rPr>
          <w:rFonts w:hint="eastAsia"/>
        </w:rPr>
        <w:t>。</w:t>
      </w:r>
    </w:p>
    <w:p w:rsidR="005052D3" w:rsidRDefault="005052D3">
      <w:pPr>
        <w:pStyle w:val="SingleTxt"/>
        <w:spacing w:after="120"/>
        <w:rPr>
          <w:rFonts w:hint="eastAsia"/>
        </w:rPr>
      </w:pPr>
      <w:r>
        <w:tab/>
      </w:r>
      <w:r>
        <w:rPr>
          <w:rFonts w:hint="eastAsia"/>
        </w:rPr>
        <w:t>在马拉维，特别是在妇女中间，法律意识很低。法庭在涉及到所谓侵害妇女权力的案件中没有考虑非歧视条款，尽管监察员办公室仅在2000年就登记了多达200件针对歧视行为的投诉。</w:t>
      </w:r>
      <w:r>
        <w:rPr>
          <w:rStyle w:val="FootnoteReference"/>
        </w:rPr>
        <w:footnoteReference w:id="40"/>
      </w:r>
      <w:r>
        <w:t xml:space="preserve"> </w:t>
      </w:r>
      <w:r>
        <w:rPr>
          <w:rFonts w:hint="eastAsia"/>
        </w:rPr>
        <w:t>当然，与马拉维大多数管理司法的行政机关相比，监察员办公室较容易接受投诉，而且也较为友善。</w:t>
      </w:r>
    </w:p>
    <w:p w:rsidR="005052D3" w:rsidRDefault="005052D3">
      <w:pPr>
        <w:tabs>
          <w:tab w:val="left" w:pos="840"/>
        </w:tabs>
        <w:spacing w:after="120" w:line="320" w:lineRule="atLeas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1.3</w:t>
      </w:r>
      <w:r>
        <w:rPr>
          <w:rFonts w:ascii="SimHei" w:eastAsia="SimHei"/>
          <w:bCs/>
          <w:color w:val="FF0000"/>
        </w:rPr>
        <w:tab/>
      </w:r>
      <w:r>
        <w:rPr>
          <w:rFonts w:ascii="SimHei" w:eastAsia="SimHei" w:hint="eastAsia"/>
          <w:bCs/>
          <w:color w:val="FF0000"/>
        </w:rPr>
        <w:t>马拉维部门法律中对妇女歧视的有关描述</w:t>
      </w:r>
    </w:p>
    <w:p w:rsidR="005052D3" w:rsidRDefault="005052D3">
      <w:pPr>
        <w:pStyle w:val="SingleTxt"/>
        <w:spacing w:after="120"/>
      </w:pPr>
      <w:r>
        <w:t xml:space="preserve">1.3.1  </w:t>
      </w:r>
      <w:r>
        <w:rPr>
          <w:rFonts w:hint="eastAsia"/>
        </w:rPr>
        <w:t>自宪法颁布后，国家已经通过了一项解决歧视的法律。2000年就业法增加了“家庭责任”作为对待雇员时的禁止性因素。</w:t>
      </w:r>
      <w:r>
        <w:rPr>
          <w:rStyle w:val="FootnoteReference"/>
        </w:rPr>
        <w:footnoteReference w:id="41"/>
      </w:r>
      <w:r>
        <w:rPr>
          <w:rFonts w:hint="eastAsia"/>
        </w:rPr>
        <w:t xml:space="preserve"> 法庭已经表达了执行非歧视条款的意愿。</w:t>
      </w:r>
      <w:r>
        <w:rPr>
          <w:rStyle w:val="FootnoteReference"/>
        </w:rPr>
        <w:footnoteReference w:id="42"/>
      </w:r>
      <w:r>
        <w:t xml:space="preserve"> </w:t>
      </w:r>
    </w:p>
    <w:p w:rsidR="005052D3" w:rsidRDefault="005052D3">
      <w:pPr>
        <w:pStyle w:val="SingleTxt"/>
        <w:spacing w:after="120"/>
      </w:pPr>
      <w:r>
        <w:t xml:space="preserve">1.3.2  </w:t>
      </w:r>
      <w:r>
        <w:rPr>
          <w:rFonts w:hint="eastAsia"/>
        </w:rPr>
        <w:t>一项有关性别和法律的法律改革正在进行，可能会产生更为明确具体的法律以消除基于性别的歧视。性别和法律特别委员会已经将男女间无歧视作为其工作中的一项指导原则。该委员会将其工作优先集中在三个领域：继承法、家庭关系、以及制定男女平等法的可能性，这会使得对妇女歧视的有效定义更加清楚。</w:t>
      </w:r>
    </w:p>
    <w:p w:rsidR="005052D3" w:rsidRDefault="005052D3">
      <w:pPr>
        <w:tabs>
          <w:tab w:val="left" w:pos="840"/>
        </w:tabs>
        <w:spacing w:after="120" w:line="320" w:lineRule="atLeas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1.4</w:t>
      </w:r>
      <w:r>
        <w:rPr>
          <w:rFonts w:ascii="SimHei" w:eastAsia="SimHei"/>
          <w:bCs/>
          <w:color w:val="FF0000"/>
        </w:rPr>
        <w:tab/>
      </w:r>
      <w:r>
        <w:rPr>
          <w:rFonts w:ascii="SimHei" w:eastAsia="SimHei" w:hint="eastAsia"/>
          <w:bCs/>
          <w:color w:val="FF0000"/>
        </w:rPr>
        <w:t>歧视的定义及马拉维的现状</w:t>
      </w:r>
    </w:p>
    <w:p w:rsidR="005052D3" w:rsidRDefault="005052D3">
      <w:pPr>
        <w:pStyle w:val="SingleTxt"/>
        <w:spacing w:after="120"/>
      </w:pPr>
      <w:r>
        <w:t xml:space="preserve">1.4.1  </w:t>
      </w:r>
      <w:r>
        <w:rPr>
          <w:rFonts w:hint="eastAsia"/>
        </w:rPr>
        <w:t>造成不平等的主要因素是习惯法和文化习俗。宪法的规定与决定男女角色和权力关系的实际法律之间存在着巨大的差异。习惯法在社会化的过程中内化成一种标准，妇女成为强调男女间不平等权力关系文化的保管人，有些文化还强调妇女应该保持对男子的顺从。</w:t>
      </w:r>
      <w:r>
        <w:t xml:space="preserve"> </w:t>
      </w:r>
    </w:p>
    <w:p w:rsidR="005052D3" w:rsidRDefault="005052D3">
      <w:pPr>
        <w:pStyle w:val="SingleTxt"/>
      </w:pPr>
      <w:r>
        <w:t xml:space="preserve">1.4.2  </w:t>
      </w:r>
      <w:r>
        <w:rPr>
          <w:rFonts w:hint="eastAsia"/>
        </w:rPr>
        <w:t>此外，习惯法还允许一夫多妻制。在某些情况下，针对妻子的家庭暴力在习惯法中是被认可的，因为习惯法希望丈夫能够履行严格纪律的角色。</w:t>
      </w:r>
      <w:r>
        <w:t xml:space="preserve"> </w:t>
      </w:r>
    </w:p>
    <w:p w:rsidR="005052D3" w:rsidRDefault="005052D3">
      <w:pPr>
        <w:tabs>
          <w:tab w:val="left" w:pos="840"/>
        </w:tabs>
        <w:spacing w:after="120" w:line="320" w:lineRule="atLeas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1.5</w:t>
      </w:r>
      <w:r>
        <w:rPr>
          <w:rFonts w:ascii="SimHei" w:eastAsia="SimHei"/>
          <w:bCs/>
          <w:color w:val="FF0000"/>
        </w:rPr>
        <w:tab/>
      </w:r>
      <w:r>
        <w:rPr>
          <w:rFonts w:ascii="SimHei" w:eastAsia="SimHei" w:hint="eastAsia"/>
          <w:bCs/>
          <w:color w:val="FF0000"/>
        </w:rPr>
        <w:t>结论</w:t>
      </w:r>
    </w:p>
    <w:p w:rsidR="005052D3" w:rsidRDefault="005052D3">
      <w:pPr>
        <w:pStyle w:val="SingleTxt"/>
      </w:pPr>
      <w:r>
        <w:tab/>
      </w:r>
      <w:r>
        <w:rPr>
          <w:rFonts w:hint="eastAsia"/>
        </w:rPr>
        <w:t>马拉维的宪法不允许歧视，但还没有立法或司法上的定义。一项正在进行的法律改革可能会产生更加有力和明确的标准以消除对妇女一切形式的歧视。习惯法通常容许性别中的定型观念以及男女角色的不平等划分和男女形象的创造。</w:t>
      </w:r>
    </w:p>
    <w:p w:rsidR="005052D3" w:rsidRDefault="005052D3">
      <w:pPr>
        <w:pStyle w:val="H1"/>
        <w:spacing w:after="120"/>
      </w:pPr>
      <w:bookmarkStart w:id="11" w:name="_Toc33784409"/>
      <w:bookmarkStart w:id="12" w:name="_Toc377350748"/>
      <w:bookmarkStart w:id="13" w:name="_Toc83142690"/>
      <w:r>
        <w:tab/>
      </w:r>
      <w:r>
        <w:tab/>
      </w:r>
      <w:r>
        <w:tab/>
      </w:r>
      <w:r>
        <w:rPr>
          <w:rFonts w:hint="eastAsia"/>
        </w:rPr>
        <w:t>第2条：消除歧视的义务</w:t>
      </w:r>
      <w:bookmarkEnd w:id="11"/>
      <w:bookmarkEnd w:id="12"/>
      <w:bookmarkEnd w:id="13"/>
    </w:p>
    <w:p w:rsidR="005052D3" w:rsidRDefault="005052D3">
      <w:pPr>
        <w:tabs>
          <w:tab w:val="left" w:pos="840"/>
        </w:tabs>
        <w:spacing w:after="120" w:line="320" w:lineRule="atLeast"/>
        <w:rPr>
          <w:rFonts w:ascii="SimHei" w:eastAsia="SimHei" w:hint="eastAsia"/>
          <w:bCs/>
          <w:color w:val="FF0000"/>
        </w:rPr>
      </w:pPr>
      <w:r>
        <w:rPr>
          <w:rFonts w:ascii="SimHei" w:eastAsia="SimHei"/>
          <w:bCs/>
          <w:color w:val="FF0000"/>
        </w:rPr>
        <w:tab/>
      </w:r>
      <w:r>
        <w:rPr>
          <w:rFonts w:ascii="SimHei" w:eastAsia="SimHei"/>
          <w:bCs/>
          <w:color w:val="FF0000"/>
        </w:rPr>
        <w:tab/>
      </w:r>
      <w:r>
        <w:rPr>
          <w:rFonts w:ascii="SimHei" w:eastAsia="SimHei"/>
          <w:bCs/>
          <w:color w:val="FF0000"/>
        </w:rPr>
        <w:tab/>
        <w:t xml:space="preserve">2.1 </w:t>
      </w:r>
      <w:r>
        <w:rPr>
          <w:rFonts w:ascii="SimHei" w:eastAsia="SimHei"/>
          <w:bCs/>
          <w:color w:val="FF0000"/>
        </w:rPr>
        <w:tab/>
        <w:t>《消除对妇女一切形式歧视公约》</w:t>
      </w:r>
      <w:r>
        <w:rPr>
          <w:rFonts w:ascii="SimHei" w:eastAsia="SimHei" w:hint="eastAsia"/>
          <w:bCs/>
          <w:color w:val="FF0000"/>
        </w:rPr>
        <w:t>标准</w:t>
      </w:r>
    </w:p>
    <w:p w:rsidR="005052D3" w:rsidRDefault="005052D3">
      <w:pPr>
        <w:pStyle w:val="SingleTxt"/>
        <w:ind w:left="2171" w:hanging="907"/>
        <w:rPr>
          <w:rFonts w:ascii="KaiTi_GB2312" w:eastAsia="KaiTi_GB2312"/>
          <w:color w:val="0000FF"/>
        </w:rPr>
      </w:pPr>
      <w:r>
        <w:rPr>
          <w:rFonts w:ascii="KaiTi_GB2312" w:eastAsia="KaiTi_GB2312" w:hint="eastAsia"/>
          <w:color w:val="0000FF"/>
        </w:rPr>
        <w:t>第2条</w:t>
      </w:r>
      <w:r>
        <w:rPr>
          <w:rFonts w:ascii="KaiTi_GB2312" w:eastAsia="KaiTi_GB2312"/>
          <w:color w:val="0000FF"/>
        </w:rPr>
        <w:t>.</w:t>
      </w:r>
      <w:r>
        <w:rPr>
          <w:rFonts w:ascii="KaiTi_GB2312" w:eastAsia="KaiTi_GB2312"/>
          <w:color w:val="0000FF"/>
        </w:rPr>
        <w:tab/>
      </w:r>
      <w:r>
        <w:rPr>
          <w:rFonts w:ascii="KaiTi_GB2312" w:eastAsia="KaiTi_GB2312" w:hint="eastAsia"/>
          <w:color w:val="0000FF"/>
        </w:rPr>
        <w:t xml:space="preserve">缔约各国谴责对妇女一切形式的歧视，协议立即用一切适当办法，推行政策，消除对妇女的歧视。为此目的，承担： </w:t>
      </w:r>
    </w:p>
    <w:p w:rsidR="005052D3" w:rsidRDefault="005052D3">
      <w:pPr>
        <w:pStyle w:val="SingleTxt"/>
        <w:ind w:left="2557" w:hanging="431"/>
        <w:rPr>
          <w:rFonts w:hint="eastAsia"/>
        </w:rPr>
      </w:pPr>
      <w:r>
        <w:rPr>
          <w:rFonts w:hint="eastAsia"/>
        </w:rPr>
        <w:t xml:space="preserve">(a) </w:t>
      </w:r>
      <w:r>
        <w:tab/>
      </w:r>
      <w:r>
        <w:rPr>
          <w:rFonts w:hint="eastAsia"/>
        </w:rPr>
        <w:t xml:space="preserve">男女平等的原则如尚未列入本国宪法或其他有关法律者，应将其列入，并以法律或其他适当方法，保证实现这项原则； </w:t>
      </w:r>
    </w:p>
    <w:p w:rsidR="005052D3" w:rsidRDefault="005052D3">
      <w:pPr>
        <w:pStyle w:val="SingleTxt"/>
        <w:ind w:left="2557" w:hanging="431"/>
        <w:rPr>
          <w:rFonts w:hint="eastAsia"/>
        </w:rPr>
      </w:pPr>
      <w:r>
        <w:rPr>
          <w:rFonts w:hint="eastAsia"/>
        </w:rPr>
        <w:t>(b)</w:t>
      </w:r>
      <w:r>
        <w:tab/>
      </w:r>
      <w:r>
        <w:rPr>
          <w:rFonts w:hint="eastAsia"/>
        </w:rPr>
        <w:t xml:space="preserve">采取适当立法和其他措施，包括适当时实行制裁，禁止对妇女的一切歧视； </w:t>
      </w:r>
    </w:p>
    <w:p w:rsidR="005052D3" w:rsidRDefault="005052D3">
      <w:pPr>
        <w:pStyle w:val="SingleTxt"/>
        <w:ind w:left="2557" w:hanging="431"/>
        <w:rPr>
          <w:rFonts w:hint="eastAsia"/>
        </w:rPr>
      </w:pPr>
      <w:r>
        <w:rPr>
          <w:rFonts w:hint="eastAsia"/>
        </w:rPr>
        <w:t xml:space="preserve">(c) </w:t>
      </w:r>
      <w:r>
        <w:tab/>
      </w:r>
      <w:r>
        <w:rPr>
          <w:rFonts w:hint="eastAsia"/>
        </w:rPr>
        <w:t xml:space="preserve">为妇女与男子平等的权利确立法律保护，通过各国的主管法庭及其他公共机构，保证切实保护妇女不受任何歧视； </w:t>
      </w:r>
    </w:p>
    <w:p w:rsidR="005052D3" w:rsidRDefault="005052D3">
      <w:pPr>
        <w:pStyle w:val="SingleTxt"/>
        <w:ind w:left="2557" w:hanging="431"/>
        <w:rPr>
          <w:rFonts w:hint="eastAsia"/>
        </w:rPr>
      </w:pPr>
      <w:r>
        <w:rPr>
          <w:rFonts w:hint="eastAsia"/>
        </w:rPr>
        <w:t xml:space="preserve">(d) </w:t>
      </w:r>
      <w:r>
        <w:tab/>
      </w:r>
      <w:r>
        <w:rPr>
          <w:rFonts w:hint="eastAsia"/>
        </w:rPr>
        <w:t xml:space="preserve">不采取任何歧视妇女的行为或做法，并保证公共当局和公共机构的行动都不违背这项义务； </w:t>
      </w:r>
    </w:p>
    <w:p w:rsidR="005052D3" w:rsidRDefault="005052D3">
      <w:pPr>
        <w:pStyle w:val="SingleTxt"/>
        <w:ind w:left="2557" w:hanging="431"/>
        <w:rPr>
          <w:rFonts w:hint="eastAsia"/>
        </w:rPr>
      </w:pPr>
      <w:r>
        <w:rPr>
          <w:rFonts w:hint="eastAsia"/>
        </w:rPr>
        <w:t xml:space="preserve">(e) </w:t>
      </w:r>
      <w:r>
        <w:tab/>
      </w:r>
      <w:r>
        <w:rPr>
          <w:rFonts w:hint="eastAsia"/>
        </w:rPr>
        <w:t xml:space="preserve">应采取一切适当措施，消除任何个人、组织或企业对妇女的歧视； </w:t>
      </w:r>
    </w:p>
    <w:p w:rsidR="005052D3" w:rsidRDefault="005052D3">
      <w:pPr>
        <w:pStyle w:val="SingleTxt"/>
        <w:ind w:left="2557" w:hanging="431"/>
        <w:rPr>
          <w:rFonts w:hint="eastAsia"/>
        </w:rPr>
      </w:pPr>
      <w:r>
        <w:rPr>
          <w:rFonts w:hint="eastAsia"/>
        </w:rPr>
        <w:t xml:space="preserve">(f) </w:t>
      </w:r>
      <w:r>
        <w:tab/>
      </w:r>
      <w:r>
        <w:rPr>
          <w:rFonts w:hint="eastAsia"/>
        </w:rPr>
        <w:t xml:space="preserve">应采取一切适当措施，包括制定法律，以修改或废除构成对妇女歧视的现行法律、规章、习俗和惯例； </w:t>
      </w:r>
    </w:p>
    <w:p w:rsidR="005052D3" w:rsidRDefault="005052D3">
      <w:pPr>
        <w:pStyle w:val="SingleTxt"/>
        <w:ind w:left="2557" w:hanging="431"/>
        <w:rPr>
          <w:rFonts w:hint="eastAsia"/>
        </w:rPr>
      </w:pPr>
      <w:r>
        <w:rPr>
          <w:rFonts w:hint="eastAsia"/>
        </w:rPr>
        <w:t xml:space="preserve">(g) </w:t>
      </w:r>
      <w:r>
        <w:tab/>
      </w:r>
      <w:r>
        <w:rPr>
          <w:rFonts w:hint="eastAsia"/>
        </w:rPr>
        <w:t>同意废止本国刑法内构成对妇女歧视的一切规定。</w:t>
      </w:r>
    </w:p>
    <w:p w:rsidR="005052D3" w:rsidRDefault="005052D3">
      <w:pPr>
        <w:tabs>
          <w:tab w:val="left" w:pos="840"/>
        </w:tabs>
        <w:spacing w:after="120" w:line="300" w:lineRule="exac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2.2</w:t>
      </w:r>
      <w:r>
        <w:rPr>
          <w:rFonts w:ascii="SimHei" w:eastAsia="SimHei"/>
          <w:bCs/>
          <w:color w:val="FF0000"/>
        </w:rPr>
        <w:tab/>
      </w:r>
      <w:r>
        <w:rPr>
          <w:rFonts w:ascii="SimHei" w:eastAsia="SimHei" w:hint="eastAsia"/>
          <w:bCs/>
          <w:color w:val="FF0000"/>
        </w:rPr>
        <w:t>导言</w:t>
      </w:r>
    </w:p>
    <w:p w:rsidR="005052D3" w:rsidRDefault="005052D3">
      <w:pPr>
        <w:pStyle w:val="SingleTxt"/>
      </w:pPr>
      <w:r>
        <w:t xml:space="preserve">2.2.1  </w:t>
      </w:r>
      <w:r>
        <w:rPr>
          <w:rFonts w:hint="eastAsia"/>
        </w:rPr>
        <w:t>宪法已经为在马拉维采取措施消除对妇女的歧视提供了坚实的基础。宪法颁布之后制定的国家性别政策与宪法保持一致，要求政府必须采取能够帮助国家实现男女平等的政策。</w:t>
      </w:r>
      <w:r>
        <w:rPr>
          <w:rStyle w:val="FootnoteReference"/>
          <w:szCs w:val="24"/>
        </w:rPr>
        <w:footnoteReference w:id="43"/>
      </w:r>
    </w:p>
    <w:p w:rsidR="005052D3" w:rsidRDefault="005052D3">
      <w:pPr>
        <w:pStyle w:val="SingleTxt"/>
      </w:pPr>
      <w:r>
        <w:t xml:space="preserve">2.2.2  </w:t>
      </w:r>
      <w:r>
        <w:rPr>
          <w:rFonts w:hint="eastAsia"/>
        </w:rPr>
        <w:t>基于性别的不平等、文化态度、家长制资本主义以及妇女普遍缺乏权力都意味着需要做更多的工作将公约和宪法的标准转变成实际上的平等、公平和发展。</w:t>
      </w:r>
    </w:p>
    <w:p w:rsidR="005052D3" w:rsidRDefault="005052D3">
      <w:pPr>
        <w:tabs>
          <w:tab w:val="left" w:pos="840"/>
        </w:tabs>
        <w:spacing w:after="120"/>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2.3</w:t>
      </w:r>
      <w:r>
        <w:rPr>
          <w:rFonts w:ascii="SimHei" w:eastAsia="SimHei"/>
          <w:bCs/>
          <w:color w:val="FF0000"/>
        </w:rPr>
        <w:tab/>
      </w:r>
      <w:r>
        <w:rPr>
          <w:rFonts w:ascii="SimHei" w:eastAsia="SimHei" w:hint="eastAsia"/>
          <w:bCs/>
          <w:color w:val="FF0000"/>
        </w:rPr>
        <w:t>法律对男女平等原则的具体体现</w:t>
      </w:r>
    </w:p>
    <w:p w:rsidR="005052D3" w:rsidRDefault="005052D3">
      <w:pPr>
        <w:pStyle w:val="SingleTxt"/>
      </w:pPr>
      <w:r>
        <w:t xml:space="preserve">2.3.1  </w:t>
      </w:r>
      <w:r>
        <w:rPr>
          <w:rFonts w:hint="eastAsia"/>
        </w:rPr>
        <w:t>与前一个版本不同，1994年宪法保证将男女平等的提倡和实施作为一个目标，并将非歧视作为基本的原则。除了非歧视条款以外，</w:t>
      </w:r>
      <w:r>
        <w:rPr>
          <w:rStyle w:val="FootnoteReference"/>
        </w:rPr>
        <w:footnoteReference w:id="44"/>
      </w:r>
      <w:r>
        <w:rPr>
          <w:rFonts w:hint="eastAsia"/>
        </w:rPr>
        <w:t>宪法还强调男女平等的重要性。</w:t>
      </w:r>
      <w:r>
        <w:rPr>
          <w:rStyle w:val="FootnoteReference"/>
        </w:rPr>
        <w:footnoteReference w:id="45"/>
      </w:r>
      <w:r>
        <w:t xml:space="preserve"> </w:t>
      </w:r>
      <w:r>
        <w:rPr>
          <w:rFonts w:hint="eastAsia"/>
        </w:rPr>
        <w:t>国家应通过逐渐采取推动“非歧视原则”的政策和法律以提高马拉维人民的福利和发展。</w:t>
      </w:r>
      <w:r>
        <w:rPr>
          <w:rStyle w:val="FootnoteReference"/>
        </w:rPr>
        <w:footnoteReference w:id="46"/>
      </w:r>
      <w:r>
        <w:rPr>
          <w:rFonts w:hint="eastAsia"/>
        </w:rPr>
        <w:t>其中，宪法还进一步要求实行解决“家庭暴力等社会问题”的政策以实现男女平等。</w:t>
      </w:r>
      <w:r>
        <w:rPr>
          <w:rStyle w:val="FootnoteReference"/>
        </w:rPr>
        <w:footnoteReference w:id="47"/>
      </w:r>
      <w:r>
        <w:t xml:space="preserve"> </w:t>
      </w:r>
      <w:r>
        <w:rPr>
          <w:rFonts w:hint="eastAsia"/>
        </w:rPr>
        <w:t>此外，宪法还允许政府通过法律解决社会中的不平等现象并禁止歧视性习俗。根据宪法，这些措施可以包括使用刑事处罚。</w:t>
      </w:r>
      <w:r>
        <w:rPr>
          <w:rStyle w:val="FootnoteReference"/>
        </w:rPr>
        <w:footnoteReference w:id="48"/>
      </w:r>
    </w:p>
    <w:p w:rsidR="005052D3" w:rsidRDefault="005052D3">
      <w:pPr>
        <w:pStyle w:val="SingleTxt"/>
      </w:pPr>
      <w:r>
        <w:t xml:space="preserve">2.3.2  </w:t>
      </w:r>
      <w:r>
        <w:rPr>
          <w:rFonts w:hint="eastAsia"/>
        </w:rPr>
        <w:t>关于这一点，宪法的第13条指导政府通过以下措施采取逐渐提高马拉维人民福利的政策：</w:t>
      </w:r>
    </w:p>
    <w:p w:rsidR="005052D3" w:rsidRDefault="005052D3">
      <w:pPr>
        <w:pStyle w:val="SingleTxt"/>
        <w:ind w:left="2126" w:hanging="431"/>
      </w:pPr>
      <w:r>
        <w:rPr>
          <w:rFonts w:hint="eastAsia"/>
        </w:rPr>
        <w:sym w:font="Symbol" w:char="F0B7"/>
      </w:r>
      <w:r>
        <w:tab/>
      </w:r>
      <w:r>
        <w:rPr>
          <w:rFonts w:hint="eastAsia"/>
        </w:rPr>
        <w:t>“妇女在与男子平等的基础上充分参与马拉维社会的所有领域”。</w:t>
      </w:r>
      <w:r>
        <w:t xml:space="preserve"> </w:t>
      </w:r>
    </w:p>
    <w:p w:rsidR="005052D3" w:rsidRDefault="005052D3">
      <w:pPr>
        <w:pStyle w:val="SingleTxt"/>
        <w:ind w:left="2126" w:hanging="431"/>
      </w:pPr>
      <w:r>
        <w:rPr>
          <w:rFonts w:hint="eastAsia"/>
        </w:rPr>
        <w:sym w:font="Symbol" w:char="F0B7"/>
      </w:r>
      <w:r>
        <w:tab/>
      </w:r>
      <w:r>
        <w:rPr>
          <w:rFonts w:hint="eastAsia"/>
        </w:rPr>
        <w:t>实施非歧视原则以及可能要求的其他类似措施；以及</w:t>
      </w:r>
    </w:p>
    <w:p w:rsidR="005052D3" w:rsidRDefault="005052D3">
      <w:pPr>
        <w:pStyle w:val="SingleTxt"/>
        <w:ind w:left="2126" w:hanging="431"/>
      </w:pPr>
      <w:r>
        <w:rPr>
          <w:rFonts w:hint="eastAsia"/>
        </w:rPr>
        <w:sym w:font="Symbol" w:char="F0B7"/>
      </w:r>
      <w:r>
        <w:tab/>
      </w:r>
      <w:r>
        <w:rPr>
          <w:rFonts w:hint="eastAsia"/>
        </w:rPr>
        <w:t>民安全、产妇分娩津贴不足、经济开发和财产权等社会问题的政策。</w:t>
      </w:r>
      <w:r>
        <w:rPr>
          <w:rStyle w:val="FootnoteReference"/>
        </w:rPr>
        <w:footnoteReference w:id="49"/>
      </w:r>
    </w:p>
    <w:p w:rsidR="005052D3" w:rsidRDefault="005052D3">
      <w:pPr>
        <w:pStyle w:val="SingleTxt"/>
      </w:pPr>
      <w:r>
        <w:t xml:space="preserve">2.3.3  </w:t>
      </w:r>
      <w:r>
        <w:rPr>
          <w:rFonts w:hint="eastAsia"/>
        </w:rPr>
        <w:t>在法律上，每名妇女都可以援引宪法的第24（1）条使她的权利“不会因性别和婚姻状况”而“受到歧视”。</w:t>
      </w:r>
      <w:r>
        <w:rPr>
          <w:rStyle w:val="FootnoteReference"/>
        </w:rPr>
        <w:footnoteReference w:id="50"/>
      </w:r>
      <w:r>
        <w:t xml:space="preserve"> </w:t>
      </w:r>
      <w:r>
        <w:rPr>
          <w:rFonts w:hint="eastAsia"/>
        </w:rPr>
        <w:t>妇女在马拉维可以援引的另一条规定是宪法的第30条。这些规定列明了发展权，特别为“妇女、儿童和［残疾人］”列明了发展权。实现发展权的措施必须包括“人人在使用基本资源、教育、健康服务、食品、住房、就业和基础设施时均享有相同的机会”。</w:t>
      </w:r>
      <w:r>
        <w:rPr>
          <w:rStyle w:val="FootnoteReference"/>
        </w:rPr>
        <w:footnoteReference w:id="51"/>
      </w:r>
      <w:r>
        <w:t xml:space="preserve"> </w:t>
      </w:r>
      <w:r>
        <w:rPr>
          <w:rFonts w:hint="eastAsia"/>
        </w:rPr>
        <w:t>同样，第30条更加强调规定，政府“有责任采取措施进行以根除社会不公正和不平等为目标的改革”。</w:t>
      </w:r>
      <w:r>
        <w:rPr>
          <w:rStyle w:val="FootnoteReference"/>
        </w:rPr>
        <w:footnoteReference w:id="52"/>
      </w:r>
    </w:p>
    <w:p w:rsidR="005052D3" w:rsidRDefault="005052D3">
      <w:pPr>
        <w:tabs>
          <w:tab w:val="left" w:pos="840"/>
        </w:tabs>
        <w:spacing w:after="120" w:line="300" w:lineRule="atLeas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2.4</w:t>
      </w:r>
      <w:r>
        <w:rPr>
          <w:rFonts w:ascii="SimHei" w:eastAsia="SimHei"/>
          <w:bCs/>
          <w:color w:val="FF0000"/>
        </w:rPr>
        <w:tab/>
      </w:r>
      <w:r>
        <w:rPr>
          <w:rFonts w:ascii="SimHei" w:eastAsia="SimHei" w:hint="eastAsia"/>
          <w:bCs/>
          <w:color w:val="FF0000"/>
        </w:rPr>
        <w:t>采取适当的反歧视立法措施</w:t>
      </w:r>
      <w:r>
        <w:rPr>
          <w:rFonts w:ascii="SimHei" w:eastAsia="SimHei"/>
          <w:bCs/>
          <w:color w:val="FF0000"/>
        </w:rPr>
        <w:t xml:space="preserve"> </w:t>
      </w:r>
    </w:p>
    <w:p w:rsidR="005052D3" w:rsidRDefault="005052D3">
      <w:pPr>
        <w:pStyle w:val="SingleTxt"/>
      </w:pPr>
      <w:r>
        <w:t xml:space="preserve">2.4.1  </w:t>
      </w:r>
      <w:r>
        <w:rPr>
          <w:rFonts w:hint="eastAsia"/>
        </w:rPr>
        <w:t>从立法角度看，根据宪法建立法律委员会是促进反对性别歧视的一项战略措施。该法律委员会已经审查了许多法律并向内阁提出了一些建议。到目前为止，该委员会没有遵循宪法中以要求和差别为基础的符合逻辑发展的程序，而是对政府部门和捐助人的要求和建议做出了反应。</w:t>
      </w:r>
      <w:r>
        <w:t xml:space="preserve"> </w:t>
      </w:r>
      <w:r>
        <w:rPr>
          <w:rFonts w:hint="eastAsia"/>
        </w:rPr>
        <w:t>2001年，建立了有关性别和法律的法律委员会。</w:t>
      </w:r>
    </w:p>
    <w:p w:rsidR="005052D3" w:rsidRDefault="005052D3">
      <w:pPr>
        <w:pStyle w:val="SingleTxt"/>
        <w:spacing w:after="120" w:line="310" w:lineRule="exact"/>
        <w:rPr>
          <w:rFonts w:hint="eastAsia"/>
        </w:rPr>
      </w:pPr>
      <w:r>
        <w:tab/>
      </w:r>
      <w:r>
        <w:rPr>
          <w:rFonts w:hint="eastAsia"/>
        </w:rPr>
        <w:t>在1996年的第一份报告中，该法律委员会提出了几项有关妇女福利的建议。委员会建议，剥夺寡妇权利是国家关注的重要方面，这种行为应被视为犯罪。委员会还建议，养父给非亲生子女支付的扶养费应从每月24克瓦查（12美元，当时美元与克瓦查的汇率为1</w:t>
      </w:r>
      <w:r>
        <w:t>:</w:t>
      </w:r>
      <w:r>
        <w:rPr>
          <w:rFonts w:hint="eastAsia"/>
        </w:rPr>
        <w:t>2）增加到500克瓦查（33.33美元，当时美元对克瓦查的汇率为1</w:t>
      </w:r>
      <w:r>
        <w:t>:</w:t>
      </w:r>
      <w:r>
        <w:rPr>
          <w:rFonts w:hint="eastAsia"/>
        </w:rPr>
        <w:t>15）。此外，法律委员会还建议，导致男女受到不平等待遇的公民法应该予以废除。公民法将公民身份与妇女的婚姻联系在一起，如果一个马拉维妇女与一个非马拉维人结婚，她将丧失其马拉维公民身份，而且不能将她与出身有关的公民身份传给她的孩子。最后，法律委员会建议对犯有糟蹋名誉罪的罪犯实行严厉的法律惩罚。</w:t>
      </w:r>
    </w:p>
    <w:p w:rsidR="005052D3" w:rsidRDefault="005052D3">
      <w:pPr>
        <w:pStyle w:val="SingleTxt"/>
        <w:spacing w:after="120" w:line="310" w:lineRule="exact"/>
        <w:rPr>
          <w:rFonts w:hint="eastAsia"/>
        </w:rPr>
      </w:pPr>
      <w:r>
        <w:t xml:space="preserve">2.4.2  </w:t>
      </w:r>
      <w:r>
        <w:rPr>
          <w:rFonts w:hint="eastAsia"/>
        </w:rPr>
        <w:t>委员会的第一次报告没有形成法律。但是解决对未亡配偶和子女剥夺问题的提议于1998年被列入法律。这项法律将对未亡配偶和子女的剥夺行为定为犯罪，对遗嘱和遗产法进行了修正。</w:t>
      </w:r>
      <w:r>
        <w:rPr>
          <w:rStyle w:val="FootnoteReference"/>
        </w:rPr>
        <w:footnoteReference w:id="53"/>
      </w:r>
      <w:r>
        <w:t xml:space="preserve"> </w:t>
      </w:r>
      <w:r>
        <w:rPr>
          <w:rFonts w:hint="eastAsia"/>
        </w:rPr>
        <w:t>该项修正进一步要求任命特别检察官对罪行进行重点调查，还要求针对对未亡配偶和子女的剥夺问题开展和实施公民教育计划。尽管检察署长办公室已负责起诉了少数案件，但并没有任命特别检察官。也没有根据修订后的法律要求制定公民教育计划；不过，性别和社区服务部的社区发展助理以及人权非政府组织已经开展了有关财产剥夺的宣传运动。这些运动在政府的协调下每年在为期16天的性暴力激进主义活动期间举行，财产剥夺依然是马拉维的一个大问题，性别和法律特别法律委员会优先检查了遗嘱和遗产法。有关审查的报告草案已经完成。</w:t>
      </w:r>
    </w:p>
    <w:p w:rsidR="005052D3" w:rsidRDefault="005052D3">
      <w:pPr>
        <w:pStyle w:val="SingleTxt"/>
        <w:spacing w:after="120" w:line="310" w:lineRule="exact"/>
      </w:pPr>
      <w:r>
        <w:t xml:space="preserve">2.4.3  </w:t>
      </w:r>
      <w:r>
        <w:rPr>
          <w:rFonts w:hint="eastAsia"/>
        </w:rPr>
        <w:t>由于前特别法律委员会没有把性别问题列入主流，因此，他们的建议得出的有时是对性别不敏感的结论。例如，关于强奸，委员会拒绝将这种犯罪行为定为与性别无关的行为，认为奸入这一因素至关重要，只有男子才可以将阴茎扦入女性的阴道。</w:t>
      </w:r>
      <w:r>
        <w:t xml:space="preserve"> </w:t>
      </w:r>
      <w:r>
        <w:rPr>
          <w:rFonts w:hint="eastAsia"/>
        </w:rPr>
        <w:t>而且，委员会还拒绝承认夫妻之间强奸，认为否则就会使家庭的私生活公之于众。</w:t>
      </w:r>
      <w:r>
        <w:rPr>
          <w:rStyle w:val="FootnoteReference"/>
        </w:rPr>
        <w:footnoteReference w:id="54"/>
      </w:r>
    </w:p>
    <w:p w:rsidR="005052D3" w:rsidRDefault="005052D3">
      <w:pPr>
        <w:pStyle w:val="SingleTxt"/>
        <w:spacing w:after="120" w:line="310" w:lineRule="exact"/>
      </w:pPr>
      <w:r>
        <w:t xml:space="preserve">2.4.4  </w:t>
      </w:r>
      <w:r>
        <w:rPr>
          <w:rFonts w:hint="eastAsia"/>
        </w:rPr>
        <w:t>一项具体的法律允许惩罚对妇女的歧视。2000年就业法规定对违反第5条和第6条反歧视一般规定的行为处以10 000克瓦查的罚款，这两个条款禁止以包括性别在内的任何理由歧视任何员工，同时责成雇主对相同价值的工作支付相同的报酬，而不考虑包括性别在内的任何因素。此外，该法规定了休产假以及产假结束后重新开始工作的权利，还禁止因妊娠或相关问题解雇员工。</w:t>
      </w:r>
      <w:r>
        <w:rPr>
          <w:rStyle w:val="FootnoteReference"/>
        </w:rPr>
        <w:footnoteReference w:id="55"/>
      </w:r>
      <w:r>
        <w:t xml:space="preserve"> </w:t>
      </w:r>
      <w:r>
        <w:rPr>
          <w:rFonts w:hint="eastAsia"/>
        </w:rPr>
        <w:t>违反本规定的雇主将被处以20 000克瓦查的罚款。</w:t>
      </w:r>
      <w:r>
        <w:t xml:space="preserve"> </w:t>
      </w:r>
    </w:p>
    <w:p w:rsidR="005052D3" w:rsidRDefault="005052D3">
      <w:pPr>
        <w:tabs>
          <w:tab w:val="left" w:pos="840"/>
        </w:tabs>
        <w:spacing w:after="120" w:line="310" w:lineRule="exac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2.5</w:t>
      </w:r>
      <w:r>
        <w:rPr>
          <w:rFonts w:ascii="SimHei" w:eastAsia="SimHei"/>
          <w:bCs/>
          <w:color w:val="FF0000"/>
        </w:rPr>
        <w:tab/>
      </w:r>
      <w:r>
        <w:rPr>
          <w:rFonts w:ascii="SimHei" w:eastAsia="SimHei" w:hint="eastAsia"/>
          <w:bCs/>
          <w:color w:val="FF0000"/>
        </w:rPr>
        <w:t>政府对歧视的限制</w:t>
      </w:r>
    </w:p>
    <w:p w:rsidR="005052D3" w:rsidRDefault="005052D3">
      <w:pPr>
        <w:pStyle w:val="SingleTxt"/>
      </w:pPr>
      <w:r>
        <w:t xml:space="preserve">2.5.1  </w:t>
      </w:r>
      <w:r>
        <w:rPr>
          <w:rFonts w:hint="eastAsia"/>
        </w:rPr>
        <w:t>1994年以来，有四项有助于在马拉维实现男女平等的政策提案贯穿着政府的行动。第一个是1993年的妇女发展政策，然后是北京第四次妇女问题世界会议之后于1997年3月8日公布的妇女行动国家纲领。</w:t>
      </w:r>
      <w:r>
        <w:rPr>
          <w:rStyle w:val="FootnoteReference"/>
          <w:spacing w:val="4"/>
        </w:rPr>
        <w:footnoteReference w:id="56"/>
      </w:r>
      <w:r>
        <w:rPr>
          <w:rFonts w:hint="eastAsia"/>
        </w:rPr>
        <w:t xml:space="preserve"> 该钢领有四个需要优先采取行动的领域，即：</w:t>
      </w:r>
    </w:p>
    <w:p w:rsidR="005052D3" w:rsidRDefault="005052D3">
      <w:pPr>
        <w:pStyle w:val="SingleTxt"/>
        <w:ind w:left="1695"/>
      </w:pPr>
      <w:r>
        <w:rPr>
          <w:rFonts w:hint="eastAsia"/>
        </w:rPr>
        <w:sym w:font="Symbol" w:char="F0B7"/>
      </w:r>
      <w:r>
        <w:tab/>
      </w:r>
      <w:r>
        <w:rPr>
          <w:rFonts w:hint="eastAsia"/>
        </w:rPr>
        <w:t>缓解贫苦，赋予妇女权力</w:t>
      </w:r>
      <w:r>
        <w:t>;</w:t>
      </w:r>
    </w:p>
    <w:p w:rsidR="005052D3" w:rsidRDefault="005052D3">
      <w:pPr>
        <w:pStyle w:val="SingleTxt"/>
        <w:ind w:left="2126" w:hanging="431"/>
      </w:pPr>
      <w:r>
        <w:rPr>
          <w:rFonts w:hint="eastAsia"/>
        </w:rPr>
        <w:sym w:font="Symbol" w:char="F0B7"/>
      </w:r>
      <w:r>
        <w:tab/>
      </w:r>
      <w:r>
        <w:rPr>
          <w:rFonts w:hint="eastAsia"/>
        </w:rPr>
        <w:t>女童</w:t>
      </w:r>
      <w:r>
        <w:t>;</w:t>
      </w:r>
    </w:p>
    <w:p w:rsidR="005052D3" w:rsidRDefault="005052D3">
      <w:pPr>
        <w:pStyle w:val="SingleTxt"/>
        <w:ind w:left="2126" w:hanging="431"/>
      </w:pPr>
      <w:r>
        <w:rPr>
          <w:rFonts w:hint="eastAsia"/>
        </w:rPr>
        <w:sym w:font="Symbol" w:char="F0B7"/>
      </w:r>
      <w:r>
        <w:tab/>
      </w:r>
      <w:r>
        <w:rPr>
          <w:rFonts w:hint="eastAsia"/>
        </w:rPr>
        <w:t>对妇女的暴力；以及</w:t>
      </w:r>
    </w:p>
    <w:p w:rsidR="005052D3" w:rsidRDefault="005052D3">
      <w:pPr>
        <w:pStyle w:val="SingleTxt"/>
        <w:ind w:left="2126" w:hanging="431"/>
      </w:pPr>
      <w:r>
        <w:rPr>
          <w:rFonts w:hint="eastAsia"/>
        </w:rPr>
        <w:sym w:font="Symbol" w:char="F0B7"/>
      </w:r>
      <w:r>
        <w:tab/>
      </w:r>
      <w:r>
        <w:rPr>
          <w:rFonts w:hint="eastAsia"/>
        </w:rPr>
        <w:t>和平。</w:t>
      </w:r>
    </w:p>
    <w:p w:rsidR="005052D3" w:rsidRDefault="005052D3">
      <w:pPr>
        <w:pStyle w:val="SingleTxt"/>
      </w:pPr>
      <w:r>
        <w:tab/>
      </w:r>
      <w:r>
        <w:rPr>
          <w:rFonts w:hint="eastAsia"/>
        </w:rPr>
        <w:t>1997年9月8日，马拉维签署了《南部非洲发展共同体妇女与发展宣言》，承诺马拉维保证在各级实现男女平等和公正。</w:t>
      </w:r>
    </w:p>
    <w:p w:rsidR="005052D3" w:rsidRDefault="005052D3">
      <w:pPr>
        <w:pStyle w:val="SingleTxt"/>
      </w:pPr>
      <w:r>
        <w:t xml:space="preserve">2.5.2  </w:t>
      </w:r>
      <w:r>
        <w:rPr>
          <w:rFonts w:hint="eastAsia"/>
        </w:rPr>
        <w:t>第二是政府的缓减贫困框架，用于减少贫困。在马拉维，贫困非常普遍，在妇女中尤其严重。这项政策认识到目前的男女不平等，但却缺乏行动计划解决这些问题。该政策实施8年来，马拉维的贫困状况却只是从1993年的66%减少到2000年的63%。虽然拥有这些指标，但是没有对计划进行综合评估以确定该计划在解决性别不平等方面的效果。马拉维减贫战略文件的发展需要从性别角度对贫困进行监控，因为男女平等是每个支柱领域一个非常重要的主流化问题。</w:t>
      </w:r>
    </w:p>
    <w:p w:rsidR="005052D3" w:rsidRDefault="005052D3">
      <w:pPr>
        <w:pStyle w:val="SingleTxt"/>
      </w:pPr>
      <w:r>
        <w:pict>
          <v:roundrect id="_x0000_s2050" style="position:absolute;left:0;text-align:left;margin-left:0;margin-top:51.2pt;width:162pt;height:150.8pt;z-index:-11;mso-wrap-edited:f" arcsize="10923f" wrapcoords="3100 0 2300 69 400 831 -100 2146 -100 18831 0 19938 1000 21046 2700 21600 3100 21600 18500 21600 18900 21600 20600 21046 21600 19938 21700 18831 21700 2146 21300 831 19400 69 18500 0 3100 0">
            <v:textbox style="mso-next-textbox:#_x0000_s2050">
              <w:txbxContent>
                <w:p w:rsidR="005052D3" w:rsidRDefault="005052D3">
                  <w:pPr>
                    <w:pStyle w:val="BodyText2"/>
                    <w:spacing w:afterLines="50" w:after="156" w:line="340" w:lineRule="exact"/>
                    <w:rPr>
                      <w:sz w:val="18"/>
                    </w:rPr>
                  </w:pPr>
                  <w:r>
                    <w:rPr>
                      <w:rFonts w:hint="eastAsia"/>
                      <w:sz w:val="18"/>
                    </w:rPr>
                    <w:t>2020年远景声明中写道：</w:t>
                  </w:r>
                </w:p>
                <w:p w:rsidR="005052D3" w:rsidRDefault="005052D3">
                  <w:pPr>
                    <w:rPr>
                      <w:rFonts w:hint="eastAsia"/>
                    </w:rPr>
                  </w:pPr>
                  <w:r>
                    <w:rPr>
                      <w:rFonts w:hint="eastAsia"/>
                      <w:sz w:val="18"/>
                    </w:rPr>
                    <w:t>“到2020年，马拉维将成为敬畏上帝、民主成熟、环境可持续而自力更生的国家，成为人人机会平等并积极参与，拥有社会服务、富有活力的文化和宗教价值观，以科技为动力的中等收入国家。”</w:t>
                  </w:r>
                </w:p>
              </w:txbxContent>
            </v:textbox>
            <w10:wrap type="square"/>
          </v:roundrect>
        </w:pict>
      </w:r>
      <w:r>
        <w:t xml:space="preserve">2.5.3  </w:t>
      </w:r>
      <w:r>
        <w:rPr>
          <w:rFonts w:hint="eastAsia"/>
        </w:rPr>
        <w:t>第三是一个长期前景研究，旨在追求并指导国家2020年远景规划的实现。远景2020</w:t>
      </w:r>
      <w:r>
        <w:rPr>
          <w:rStyle w:val="FootnoteReference"/>
        </w:rPr>
        <w:footnoteReference w:id="57"/>
      </w:r>
      <w:r>
        <w:t xml:space="preserve"> </w:t>
      </w:r>
      <w:r>
        <w:rPr>
          <w:rFonts w:hint="eastAsia"/>
        </w:rPr>
        <w:t>研究由联合国开发计划署资助，实现目标的措施中将减贫战略文件作为一个实施工具。第三个政策手段是国家性别政策，于2000年开始实行。</w:t>
      </w:r>
      <w:r>
        <w:rPr>
          <w:rStyle w:val="FootnoteReference"/>
        </w:rPr>
        <w:footnoteReference w:id="58"/>
      </w:r>
      <w:r>
        <w:t xml:space="preserve"> </w:t>
      </w:r>
      <w:r>
        <w:rPr>
          <w:rFonts w:hint="eastAsia"/>
        </w:rPr>
        <w:t>这项政策得到了很好的管理并涉及到人权问题，规定“政策应该促进民主管理，保证男女平等和马拉维法律面前的平等”。</w:t>
      </w:r>
      <w:r>
        <w:rPr>
          <w:rStyle w:val="FootnoteReference"/>
        </w:rPr>
        <w:footnoteReference w:id="59"/>
      </w:r>
      <w:r>
        <w:rPr>
          <w:rFonts w:hint="eastAsia"/>
        </w:rPr>
        <w:t xml:space="preserve"> 已经制定了一项实施计划，而且该计划已经处于最后阶段。但是，该政策的实施仍然需要更多的人力、经济和组织资源，因为许多政府部门和重大利益相关者实际上不能把性别问题主流化。</w:t>
      </w:r>
      <w:r>
        <w:t xml:space="preserve"> </w:t>
      </w: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pStyle w:val="SingleTxt"/>
        <w:spacing w:after="120" w:line="300" w:lineRule="exact"/>
      </w:pPr>
      <w:r>
        <w:t xml:space="preserve">2.5.4  </w:t>
      </w:r>
      <w:r>
        <w:rPr>
          <w:rFonts w:hint="eastAsia"/>
        </w:rPr>
        <w:t>第四个手段是减贫战略文件，它在实施方面更有希望。</w:t>
      </w:r>
      <w:r>
        <w:rPr>
          <w:rStyle w:val="FootnoteReference"/>
        </w:rPr>
        <w:footnoteReference w:id="60"/>
      </w:r>
      <w:r>
        <w:rPr>
          <w:rFonts w:hint="eastAsia"/>
        </w:rPr>
        <w:t>该战略是在世界银行和国际货币基金组织的支持下制定的，将性别问题视为一个重要问题，并要求采取行动以减少基于性别的不平等。文件中采用的性别战略包括：</w:t>
      </w:r>
    </w:p>
    <w:p w:rsidR="005052D3" w:rsidRDefault="005052D3" w:rsidP="00B33158">
      <w:pPr>
        <w:numPr>
          <w:ilvl w:val="0"/>
          <w:numId w:val="13"/>
        </w:numPr>
        <w:tabs>
          <w:tab w:val="left" w:pos="1260"/>
        </w:tabs>
        <w:spacing w:after="120" w:line="300" w:lineRule="exact"/>
        <w:ind w:leftChars="800" w:left="31680" w:hangingChars="200" w:firstLine="31680"/>
      </w:pPr>
      <w:r>
        <w:rPr>
          <w:rFonts w:hint="eastAsia"/>
        </w:rPr>
        <w:t>从制度上加强实施国家性别政策的能力</w:t>
      </w:r>
    </w:p>
    <w:p w:rsidR="005052D3" w:rsidRDefault="005052D3" w:rsidP="00B33158">
      <w:pPr>
        <w:numPr>
          <w:ilvl w:val="0"/>
          <w:numId w:val="13"/>
        </w:numPr>
        <w:tabs>
          <w:tab w:val="left" w:pos="1260"/>
        </w:tabs>
        <w:spacing w:after="120" w:line="300" w:lineRule="exact"/>
        <w:ind w:leftChars="800" w:left="31680" w:hangingChars="200" w:firstLine="31680"/>
      </w:pPr>
      <w:r>
        <w:rPr>
          <w:rFonts w:hint="eastAsia"/>
        </w:rPr>
        <w:t>编制预算</w:t>
      </w:r>
    </w:p>
    <w:p w:rsidR="005052D3" w:rsidRDefault="005052D3" w:rsidP="00B33158">
      <w:pPr>
        <w:numPr>
          <w:ilvl w:val="0"/>
          <w:numId w:val="13"/>
        </w:numPr>
        <w:tabs>
          <w:tab w:val="left" w:pos="1260"/>
        </w:tabs>
        <w:spacing w:after="120" w:line="300" w:lineRule="exact"/>
        <w:ind w:leftChars="800" w:left="31680" w:hangingChars="200" w:firstLine="31680"/>
      </w:pPr>
      <w:r>
        <w:rPr>
          <w:rFonts w:hint="eastAsia"/>
        </w:rPr>
        <w:t>促进对性别敏感的正规和非正规的法律环境</w:t>
      </w:r>
    </w:p>
    <w:p w:rsidR="005052D3" w:rsidRDefault="005052D3" w:rsidP="00B33158">
      <w:pPr>
        <w:numPr>
          <w:ilvl w:val="0"/>
          <w:numId w:val="13"/>
        </w:numPr>
        <w:tabs>
          <w:tab w:val="left" w:pos="1260"/>
        </w:tabs>
        <w:spacing w:after="120" w:line="300" w:lineRule="exact"/>
        <w:ind w:leftChars="800" w:left="31680" w:hangingChars="200" w:firstLine="31680"/>
      </w:pPr>
      <w:r>
        <w:rPr>
          <w:rFonts w:hint="eastAsia"/>
        </w:rPr>
        <w:t>根除基于性别的暴力</w:t>
      </w:r>
    </w:p>
    <w:p w:rsidR="005052D3" w:rsidRDefault="005052D3" w:rsidP="00B33158">
      <w:pPr>
        <w:numPr>
          <w:ilvl w:val="0"/>
          <w:numId w:val="13"/>
        </w:numPr>
        <w:tabs>
          <w:tab w:val="left" w:pos="1260"/>
        </w:tabs>
        <w:spacing w:after="120" w:line="300" w:lineRule="exact"/>
        <w:ind w:leftChars="800" w:left="31680" w:hangingChars="200" w:firstLine="31680"/>
      </w:pPr>
      <w:r>
        <w:rPr>
          <w:rFonts w:hint="eastAsia"/>
        </w:rPr>
        <w:t>促进妇女进入领导阶层和参与决策过程</w:t>
      </w:r>
    </w:p>
    <w:p w:rsidR="005052D3" w:rsidRDefault="005052D3">
      <w:pPr>
        <w:pStyle w:val="SingleTxt"/>
      </w:pPr>
      <w:r>
        <w:t xml:space="preserve">2.5.6  </w:t>
      </w:r>
      <w:r>
        <w:rPr>
          <w:rFonts w:hint="eastAsia"/>
        </w:rPr>
        <w:t>在马拉维，正如有关贫困和不平等的指标所示，将这些政策变成行动还面临着许多挑战。</w:t>
      </w:r>
      <w:r>
        <w:rPr>
          <w:rStyle w:val="FootnoteReference"/>
        </w:rPr>
        <w:footnoteReference w:id="61"/>
      </w:r>
      <w:r>
        <w:rPr>
          <w:rFonts w:hint="eastAsia"/>
        </w:rPr>
        <w:t>马拉维行动纲领中确定的优先领域已纳入国家性别政策，制定了一项性别暴力战略并于2002年开始实施。自2000年起，马拉维加入了国际社会反对妇女暴力的16天运动。组成了针对性别暴力的840个社会行动小组，成员共计8 400人；150多万名妇女和女孩以及100万男子和男孩接触到性别暴力信息和问题。1998年3月8日，马拉维妇女向马拉维总统请愿，要求消除针对妇女的暴力。同年，马拉维签署了有关消灭和根除针对妇女和儿童暴力的《南部非洲发展共同体妇女与发展备忘录》。几个组织对针对妇女的暴力进行了调查和宣传，出版了《寻求公正》</w:t>
      </w:r>
      <w:r>
        <w:rPr>
          <w:rStyle w:val="FootnoteReference"/>
        </w:rPr>
        <w:footnoteReference w:id="62"/>
      </w:r>
      <w:r>
        <w:rPr>
          <w:rFonts w:hint="eastAsia"/>
        </w:rPr>
        <w:t>和《对寡妇财产的剥夺》</w:t>
      </w:r>
      <w:r>
        <w:rPr>
          <w:rStyle w:val="FootnoteReference"/>
        </w:rPr>
        <w:footnoteReference w:id="63"/>
      </w:r>
      <w:r>
        <w:rPr>
          <w:rFonts w:hint="eastAsia"/>
        </w:rPr>
        <w:t>等书。这些出版物已经开始关注妇女的状况，例如，由于效率低下、过于集中的体制以及管理不善，行政长官办公室在管理无遗嘱、遗嘱执行人或个人代表</w:t>
      </w:r>
      <w:r>
        <w:rPr>
          <w:rStyle w:val="FootnoteReference"/>
        </w:rPr>
        <w:footnoteReference w:id="64"/>
      </w:r>
      <w:r>
        <w:rPr>
          <w:rFonts w:hint="eastAsia"/>
        </w:rPr>
        <w:t>的死者遗产时行动迟缓。结果，许多寡妇和健在的子女失去了他们的部分遗产，数百万克瓦查依然未能得到有效管理。为在遗嘱和遗产问题上教育群众，性别和社区服务部与重大利益相关者合作着手开展有关遗嘱订立和财产分配问题的运动。到目前为止，已经覆盖了五个地区。此外，已经将《消除对妇女一切形式歧视公约》译成当地文字，并将在短期内分发给当地群众。</w:t>
      </w:r>
    </w:p>
    <w:p w:rsidR="005052D3" w:rsidRDefault="005052D3">
      <w:pPr>
        <w:pStyle w:val="SingleTxt"/>
      </w:pPr>
      <w:r>
        <w:t xml:space="preserve">2.5.7  </w:t>
      </w:r>
      <w:r>
        <w:rPr>
          <w:rFonts w:hint="eastAsia"/>
        </w:rPr>
        <w:t>通过采取国家性别政策，宪法中有关消除对妇女歧视的规定得到了加强。该政策已经规定其他政府部委、部门和政府当局将男女平等问题主流化，其中包括保证妇女根据宪法应享有的特权。但是，性别和社区服务部是直线部门，没有强制性权力。因此需要将性别和社区服务部变成一个中枢部门。减贫战略文件中的规定可以作为一个起点，因为它有一个关于加强实施国家性别政策能力的战略。</w:t>
      </w:r>
    </w:p>
    <w:p w:rsidR="005052D3" w:rsidRDefault="005052D3">
      <w:pPr>
        <w:pStyle w:val="SingleTxt"/>
      </w:pPr>
      <w:r>
        <w:t xml:space="preserve">2.5.8  </w:t>
      </w:r>
      <w:r>
        <w:rPr>
          <w:rFonts w:hint="eastAsia"/>
        </w:rPr>
        <w:t>作为信息搜集的一部分而开展的社区互动表明，尽管自20世纪90年代后期以来，性别平等运动和政策逐渐加强，但妇女在实现她们权利时仍然面临着严重的阻碍。贫困、对计划设计和监督的参与程度低、传统和文化旧习以及父权制是马拉维妇女权力增长缓慢的主要原因。</w:t>
      </w:r>
      <w:r>
        <w:t xml:space="preserve"> </w:t>
      </w:r>
    </w:p>
    <w:p w:rsidR="005052D3" w:rsidRDefault="005052D3">
      <w:pPr>
        <w:pStyle w:val="SingleTxt"/>
        <w:rPr>
          <w:rFonts w:ascii="SimHei" w:eastAsia="SimHei"/>
          <w:bCs/>
          <w:color w:val="FF0000"/>
        </w:rPr>
      </w:pPr>
      <w:r>
        <w:rPr>
          <w:rFonts w:ascii="SimHei" w:eastAsia="SimHei"/>
          <w:bCs/>
          <w:color w:val="FF0000"/>
        </w:rPr>
        <w:t>2.6</w:t>
      </w:r>
      <w:r>
        <w:rPr>
          <w:rFonts w:ascii="SimHei" w:eastAsia="SimHei"/>
          <w:bCs/>
          <w:color w:val="FF0000"/>
        </w:rPr>
        <w:tab/>
      </w:r>
      <w:r>
        <w:rPr>
          <w:rFonts w:ascii="SimHei" w:eastAsia="SimHei" w:hint="eastAsia"/>
          <w:bCs/>
          <w:color w:val="FF0000"/>
        </w:rPr>
        <w:t>约束、限制和制约</w:t>
      </w:r>
    </w:p>
    <w:p w:rsidR="005052D3" w:rsidRDefault="005052D3">
      <w:pPr>
        <w:pStyle w:val="SingleTxt"/>
      </w:pPr>
      <w:r>
        <w:t xml:space="preserve">2.6.1  </w:t>
      </w:r>
      <w:r>
        <w:rPr>
          <w:rFonts w:hint="eastAsia"/>
        </w:rPr>
        <w:t>宪法第24（1）和24（2）条规定的妇女权利需要通过具体法律使之更加可行和具有可操作性。这一欠缺无法否定所规定的权力或自由的本质内容，而且必须得到广泛应用。需要强调国家和国际规定之间的协调，因为，这将是使它们符合民主开放社会的国际标准的惟一途径。</w:t>
      </w:r>
      <w:r>
        <w:rPr>
          <w:rStyle w:val="FootnoteReference"/>
        </w:rPr>
        <w:footnoteReference w:id="65"/>
      </w:r>
      <w:r>
        <w:rPr>
          <w:b/>
        </w:rPr>
        <w:t xml:space="preserve"> </w:t>
      </w:r>
      <w:r>
        <w:rPr>
          <w:rFonts w:hint="eastAsia"/>
          <w:bCs/>
        </w:rPr>
        <w:t>此外，一般平等权力在紧急时期也不应忽视。</w:t>
      </w:r>
    </w:p>
    <w:p w:rsidR="005052D3" w:rsidRDefault="005052D3">
      <w:pPr>
        <w:pStyle w:val="SingleTxt"/>
      </w:pPr>
      <w:r>
        <w:t xml:space="preserve">2.6.2  </w:t>
      </w:r>
      <w:r>
        <w:rPr>
          <w:rFonts w:hint="eastAsia"/>
        </w:rPr>
        <w:t>但是，对反歧视权力有许多限制。习惯法规定了歧视的惯例，如一夫多妻、早婚、妻子遗产、在母系和父系社区中都要支付聘礼或相关费用等。有关女性和男性角色以及认为女子劣于男子的陈旧的性别观念和做法进一步加强了习惯法的这些限制。</w:t>
      </w:r>
    </w:p>
    <w:p w:rsidR="005052D3" w:rsidRDefault="005052D3">
      <w:pPr>
        <w:pStyle w:val="SingleTxt"/>
        <w:rPr>
          <w:rFonts w:eastAsia="SimHei"/>
          <w:bCs/>
          <w:color w:val="FF0000"/>
        </w:rPr>
      </w:pPr>
      <w:r>
        <w:rPr>
          <w:rFonts w:eastAsia="SimHei"/>
          <w:bCs/>
          <w:color w:val="FF0000"/>
        </w:rPr>
        <w:t xml:space="preserve">2.6.3  </w:t>
      </w:r>
      <w:r>
        <w:rPr>
          <w:rFonts w:eastAsia="SimHei" w:hint="eastAsia"/>
          <w:bCs/>
          <w:color w:val="FF0000"/>
        </w:rPr>
        <w:t>保证从制度上对妇女和男子进行保护</w:t>
      </w:r>
    </w:p>
    <w:p w:rsidR="005052D3" w:rsidRDefault="005052D3">
      <w:pPr>
        <w:pStyle w:val="SingleTxt"/>
      </w:pPr>
      <w:r>
        <w:t xml:space="preserve">2.6.4  </w:t>
      </w:r>
      <w:r>
        <w:rPr>
          <w:rFonts w:hint="eastAsia"/>
        </w:rPr>
        <w:t>1994年宪法规定了一种制度框架以保护在总体上享有人权。但是，并没有形成专门保护妇女权利的明确的制度框架。法律委员会、监察员办公室、人权委员会、检察署和法庭系统等机构没有做好充分准备以实现对人权的一般保护。</w:t>
      </w:r>
      <w:r>
        <w:t xml:space="preserve"> </w:t>
      </w:r>
    </w:p>
    <w:p w:rsidR="005052D3" w:rsidRDefault="005052D3">
      <w:pPr>
        <w:pStyle w:val="SingleTxt"/>
      </w:pPr>
      <w:r>
        <w:t xml:space="preserve">2.6.5  </w:t>
      </w:r>
      <w:r>
        <w:rPr>
          <w:rFonts w:hint="eastAsia"/>
        </w:rPr>
        <w:t>在工作中，有些机构已经建立了关注妇女权利的委员会。人权委员会设有一个妇女权利委员会，但是人权委员会的妇女权利委员会系统缺乏资助。人权委员会的2001年行动计划没有规定有关妇女的国际平等标准的具体实施。此外，尽管每个季度举行两次公开听证会，但是他们还没有解决对妇女的歧视问题。人权委员会的年度报告没有涉及任何与1999年到2000年间《消除对妇女一切形式歧视公约》有关的行动，以及那些与反对对妇女歧视有关的行动。</w:t>
      </w:r>
      <w:r>
        <w:rPr>
          <w:rStyle w:val="FootnoteReference"/>
        </w:rPr>
        <w:footnoteReference w:id="66"/>
      </w:r>
    </w:p>
    <w:p w:rsidR="005052D3" w:rsidRDefault="005052D3">
      <w:pPr>
        <w:pStyle w:val="SingleTxt"/>
      </w:pPr>
      <w:r>
        <w:t xml:space="preserve">2.6.6  </w:t>
      </w:r>
      <w:r>
        <w:rPr>
          <w:rFonts w:hint="eastAsia"/>
        </w:rPr>
        <w:t>有关性别和法律的特别法律委员会是负责性别法律改革的特别委员会之一，在完成其使命后，该委员会很可能被解散。在1996年－2002年的报告中，法律委员会没有提到它曾在解决妇女权利方面做过任何工作。但是，正在实施计划以培养所有的特别委员，确保在其委员会活动中将性别问题主流化，从而保证法律委员会的工作能够继续进行下去。</w:t>
      </w:r>
    </w:p>
    <w:p w:rsidR="005052D3" w:rsidRDefault="005052D3">
      <w:pPr>
        <w:pStyle w:val="SingleTxt"/>
      </w:pPr>
      <w:r>
        <w:t xml:space="preserve">2.6.7  </w:t>
      </w:r>
      <w:r>
        <w:rPr>
          <w:rFonts w:hint="eastAsia"/>
        </w:rPr>
        <w:t>检察署在消除对妇女歧视方面的贡献是执行遗嘱和遗产法第84A条，该条法令将对剥夺未亡配偶和子女财产的行为定为犯罪。尽管没有可以利用的统计数据，但是政府官员可以声称他们帮助了许多财产被查封的寡妇。性别和社区服务部平均每周接到3次有关财产处置的投诉。这些投诉被记录在案，并与检察署和/或其他司法机构进行了联系。然而，国内的总体感觉却是1998年的法律似乎未能发挥作用，因为没有任命特别检察官，而检察署也缺少人员。理想的状态应该是加强性别和社区服务部现有的社区超越扩展计划，并与性别和社区服务部的重大利益相关者进行协调，以处理各层面的问题。性别问题特别法律委员会已经决定对该问题进行重新审视，关注为什么难以执行新法律的原因。</w:t>
      </w:r>
    </w:p>
    <w:p w:rsidR="005052D3" w:rsidRDefault="005052D3">
      <w:pPr>
        <w:pStyle w:val="SingleTxt"/>
      </w:pPr>
      <w:r>
        <w:t xml:space="preserve">2.6.8  </w:t>
      </w:r>
      <w:r>
        <w:rPr>
          <w:rFonts w:hint="eastAsia"/>
        </w:rPr>
        <w:t>法院系统在阐释宪法及宪法规定的法律方面起着非常重要的作用。实践证明，对有些犯罪问题（比如强奸），一些地方法官或高级法院的法官根据习惯的传统观点进行判决，而不是根据国际人权的做法进行判决，判决往往对妇女不利。一名高级法院的法官竟然宣告一个残忍的强奸犯无罪，认为尽管妇女拒绝被强奸，但人们都知道妇女们总是装作拒绝性关系。</w:t>
      </w:r>
      <w:r>
        <w:rPr>
          <w:rStyle w:val="FootnoteReference"/>
        </w:rPr>
        <w:footnoteReference w:id="67"/>
      </w:r>
    </w:p>
    <w:p w:rsidR="005052D3" w:rsidRDefault="005052D3">
      <w:pPr>
        <w:tabs>
          <w:tab w:val="left" w:pos="840"/>
        </w:tabs>
        <w:spacing w:after="120" w:line="320" w:lineRule="atLeas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2.8</w:t>
      </w:r>
      <w:r>
        <w:rPr>
          <w:rFonts w:ascii="SimHei" w:eastAsia="SimHei"/>
          <w:bCs/>
          <w:color w:val="FF0000"/>
        </w:rPr>
        <w:tab/>
      </w:r>
      <w:r>
        <w:rPr>
          <w:rFonts w:ascii="SimHei" w:eastAsia="SimHei" w:hint="eastAsia"/>
          <w:bCs/>
          <w:color w:val="FF0000"/>
        </w:rPr>
        <w:t>通过个人和组织或企业消除对妇女歧视的措施</w:t>
      </w:r>
      <w:r>
        <w:rPr>
          <w:rFonts w:ascii="SimHei" w:eastAsia="SimHei"/>
          <w:bCs/>
          <w:color w:val="FF0000"/>
        </w:rPr>
        <w:t xml:space="preserve"> </w:t>
      </w:r>
    </w:p>
    <w:p w:rsidR="005052D3" w:rsidRDefault="005052D3">
      <w:pPr>
        <w:pStyle w:val="SingleTxt"/>
        <w:rPr>
          <w:rFonts w:hint="eastAsia"/>
        </w:rPr>
      </w:pPr>
      <w:r>
        <w:t xml:space="preserve">2.8.1  </w:t>
      </w:r>
      <w:r>
        <w:rPr>
          <w:rFonts w:hint="eastAsia"/>
        </w:rPr>
        <w:t>马拉维的法律和制度框架表明，在公共领域监督人权原则的执行情况可能比较容易，但是在私营部门，特别是自由市场中，没有规范措施。到目前为止，政府的一项重要举措是颁布了《就业法》。作为一项新的法案，该法希望其正在制定的强制措施将有助于问题的解决。</w:t>
      </w:r>
    </w:p>
    <w:p w:rsidR="005052D3" w:rsidRDefault="005052D3">
      <w:pPr>
        <w:tabs>
          <w:tab w:val="left" w:pos="840"/>
        </w:tabs>
        <w:spacing w:after="120" w:line="320" w:lineRule="atLeast"/>
        <w:rPr>
          <w:rFonts w:ascii="SimHei" w:eastAsia="SimHei" w:hint="eastAsia"/>
          <w:bCs/>
          <w:color w:val="FF0000"/>
        </w:rPr>
      </w:pPr>
      <w:r>
        <w:rPr>
          <w:rFonts w:ascii="SimHei" w:eastAsia="SimHei"/>
          <w:bCs/>
          <w:color w:val="FF0000"/>
          <w:szCs w:val="24"/>
        </w:rPr>
        <w:tab/>
      </w:r>
      <w:r>
        <w:rPr>
          <w:rFonts w:ascii="SimHei" w:eastAsia="SimHei"/>
          <w:bCs/>
          <w:color w:val="FF0000"/>
          <w:szCs w:val="24"/>
        </w:rPr>
        <w:tab/>
      </w:r>
      <w:r>
        <w:rPr>
          <w:rFonts w:ascii="SimHei" w:eastAsia="SimHei"/>
          <w:bCs/>
          <w:color w:val="FF0000"/>
          <w:szCs w:val="24"/>
        </w:rPr>
        <w:tab/>
        <w:t>2.9</w:t>
      </w:r>
      <w:r>
        <w:rPr>
          <w:rFonts w:ascii="SimHei" w:eastAsia="SimHei"/>
          <w:bCs/>
          <w:color w:val="FF0000"/>
          <w:szCs w:val="24"/>
        </w:rPr>
        <w:tab/>
      </w:r>
      <w:r>
        <w:rPr>
          <w:rFonts w:ascii="SimHei" w:eastAsia="SimHei" w:hint="eastAsia"/>
          <w:bCs/>
          <w:color w:val="FF0000"/>
          <w:szCs w:val="24"/>
        </w:rPr>
        <w:t>废除带歧视性的法律</w:t>
      </w:r>
    </w:p>
    <w:p w:rsidR="005052D3" w:rsidRDefault="005052D3">
      <w:pPr>
        <w:pStyle w:val="SingleTxt"/>
      </w:pPr>
      <w:r>
        <w:t>2.9.1</w:t>
      </w:r>
      <w:r>
        <w:rPr>
          <w:rFonts w:hint="eastAsia"/>
        </w:rPr>
        <w:t>有重要意义的废除歧视性法律发生在向多党制度过渡的阶段。禁止妇女穿长裤和迷你裙的《衣着法》被废除。一些妇女现在穿起了长裤。不过在大多数农村地区和城市郊区，人们还不能接受妇女穿长裤的现象。在社会交往中，男子认为，穿长裤的妇女在向男子的角色和职位发出挑战。</w:t>
      </w:r>
      <w:r>
        <w:t xml:space="preserve"> </w:t>
      </w:r>
    </w:p>
    <w:p w:rsidR="005052D3" w:rsidRDefault="005052D3">
      <w:pPr>
        <w:pStyle w:val="BodyText3"/>
        <w:tabs>
          <w:tab w:val="left" w:pos="840"/>
        </w:tabs>
        <w:spacing w:after="240" w:line="360" w:lineRule="atLeast"/>
        <w:rPr>
          <w:sz w:val="21"/>
          <w:szCs w:val="24"/>
          <w:lang w:eastAsia="zh-CN"/>
        </w:rPr>
      </w:pPr>
      <w:r>
        <w:rPr>
          <w:sz w:val="21"/>
          <w:szCs w:val="24"/>
        </w:rPr>
        <w:pict>
          <v:roundrect id="_x0000_s2051" style="position:absolute;left:0;text-align:left;margin-left:81pt;margin-top:3.6pt;width:324pt;height:128.4pt;z-index:2" arcsize="10923f" o:allowincell="f">
            <v:textbox style="mso-next-textbox:#_x0000_s2051">
              <w:txbxContent>
                <w:p w:rsidR="005052D3" w:rsidRDefault="005052D3">
                  <w:pPr>
                    <w:spacing w:line="340" w:lineRule="exact"/>
                    <w:rPr>
                      <w:rFonts w:eastAsia="SimHei"/>
                      <w:bCs/>
                      <w:color w:val="FF0000"/>
                      <w:sz w:val="18"/>
                    </w:rPr>
                  </w:pPr>
                  <w:r>
                    <w:rPr>
                      <w:rFonts w:eastAsia="SimHei" w:hint="eastAsia"/>
                      <w:bCs/>
                      <w:color w:val="FF0000"/>
                      <w:sz w:val="18"/>
                    </w:rPr>
                    <w:t>长裤作为男子权力的象征</w:t>
                  </w:r>
                </w:p>
                <w:p w:rsidR="005052D3" w:rsidRDefault="005052D3">
                  <w:pPr>
                    <w:pStyle w:val="BodyText"/>
                    <w:spacing w:line="340" w:lineRule="exact"/>
                    <w:rPr>
                      <w:rFonts w:hint="eastAsia"/>
                      <w:sz w:val="18"/>
                    </w:rPr>
                  </w:pPr>
                  <w:r>
                    <w:rPr>
                      <w:rFonts w:hint="eastAsia"/>
                      <w:sz w:val="18"/>
                    </w:rPr>
                    <w:t>在收集资料的过程中，我们注意到，在一个农村地区，一名穿着长裤回自己村子探望父母的年轻女子不受欢迎。村民们，包括她的父母在内，对她的穿着表示生气。她的父亲没有同她打招呼就回到自己的房间，把自己的衣服都拿来给她。她明白其中的意思，于是，从嫂子那里借了条裙子穿上，并向父亲道歉。</w:t>
                  </w:r>
                </w:p>
              </w:txbxContent>
            </v:textbox>
            <w10:wrap type="square"/>
          </v:roundrect>
        </w:pict>
      </w:r>
    </w:p>
    <w:p w:rsidR="005052D3" w:rsidRDefault="005052D3">
      <w:pPr>
        <w:tabs>
          <w:tab w:val="left" w:pos="840"/>
        </w:tabs>
        <w:spacing w:after="240" w:line="360" w:lineRule="atLeast"/>
      </w:pPr>
    </w:p>
    <w:p w:rsidR="005052D3" w:rsidRDefault="005052D3">
      <w:pPr>
        <w:tabs>
          <w:tab w:val="left" w:pos="840"/>
        </w:tabs>
        <w:spacing w:after="240" w:line="360" w:lineRule="atLeast"/>
      </w:pPr>
    </w:p>
    <w:p w:rsidR="005052D3" w:rsidRDefault="005052D3">
      <w:pPr>
        <w:tabs>
          <w:tab w:val="left" w:pos="840"/>
        </w:tabs>
        <w:spacing w:after="240" w:line="360" w:lineRule="atLeast"/>
      </w:pPr>
    </w:p>
    <w:p w:rsidR="005052D3" w:rsidRDefault="005052D3">
      <w:pPr>
        <w:tabs>
          <w:tab w:val="left" w:pos="840"/>
        </w:tabs>
        <w:spacing w:after="240" w:line="360" w:lineRule="atLeast"/>
      </w:pPr>
    </w:p>
    <w:p w:rsidR="005052D3" w:rsidRDefault="005052D3">
      <w:pPr>
        <w:pStyle w:val="SingleTxt"/>
        <w:spacing w:after="120"/>
      </w:pPr>
      <w:r>
        <w:t xml:space="preserve">2.9.2  </w:t>
      </w:r>
      <w:r>
        <w:rPr>
          <w:rFonts w:hint="eastAsia"/>
        </w:rPr>
        <w:t>除习惯法和性别的定型观念外，还有一些成文法是带有歧视性的。例如，《公民法》第9部分规定，只有同马拉维人结婚的外国人才可获得公民权。只有同外国人结婚的马拉维男子才有权使其配偶获得马拉维国籍，而同外国人结婚的马拉维妇女则不能使其配偶获得公民权。这样的妇女必须宣布放弃其公民权或通过她的丈夫获得其他公民权。这项决定必须在婚后一年内做出。有几个法律案件提到这些规定是否符合宪法的问题，但大多数法官认为没有必要决定这是否是歧视性问题，所以法律委员会有必要废除这一规定。</w:t>
      </w:r>
    </w:p>
    <w:p w:rsidR="005052D3" w:rsidRDefault="005052D3">
      <w:pPr>
        <w:pStyle w:val="BodyText3"/>
        <w:tabs>
          <w:tab w:val="left" w:pos="840"/>
        </w:tabs>
        <w:spacing w:after="120" w:line="320" w:lineRule="exact"/>
        <w:rPr>
          <w:rFonts w:eastAsia="SimHei"/>
          <w:bCs/>
          <w:color w:val="FF0000"/>
          <w:sz w:val="21"/>
          <w:szCs w:val="24"/>
          <w:lang w:eastAsia="zh-CN"/>
        </w:rPr>
      </w:pPr>
      <w:r>
        <w:rPr>
          <w:rFonts w:eastAsia="SimHei"/>
          <w:bCs/>
          <w:color w:val="FF0000"/>
          <w:sz w:val="21"/>
          <w:szCs w:val="24"/>
          <w:lang w:val="en-US" w:eastAsia="zh-CN"/>
        </w:rPr>
        <w:tab/>
      </w:r>
      <w:r>
        <w:rPr>
          <w:rFonts w:eastAsia="SimHei"/>
          <w:bCs/>
          <w:color w:val="FF0000"/>
          <w:sz w:val="21"/>
          <w:szCs w:val="24"/>
          <w:lang w:val="en-US" w:eastAsia="zh-CN"/>
        </w:rPr>
        <w:tab/>
      </w:r>
      <w:r>
        <w:rPr>
          <w:rFonts w:eastAsia="SimHei"/>
          <w:bCs/>
          <w:color w:val="FF0000"/>
          <w:sz w:val="21"/>
          <w:szCs w:val="24"/>
          <w:lang w:val="en-US" w:eastAsia="zh-CN"/>
        </w:rPr>
        <w:tab/>
        <w:t>2.9</w:t>
      </w:r>
      <w:r>
        <w:rPr>
          <w:rFonts w:eastAsia="SimHei"/>
          <w:bCs/>
          <w:color w:val="FF0000"/>
          <w:sz w:val="21"/>
          <w:szCs w:val="24"/>
          <w:lang w:val="en-US" w:eastAsia="zh-CN"/>
        </w:rPr>
        <w:tab/>
      </w:r>
      <w:r>
        <w:rPr>
          <w:rFonts w:eastAsia="SimHei" w:hint="eastAsia"/>
          <w:bCs/>
          <w:color w:val="FF0000"/>
          <w:sz w:val="21"/>
          <w:szCs w:val="24"/>
          <w:lang w:eastAsia="zh-CN"/>
        </w:rPr>
        <w:t>结论</w:t>
      </w:r>
    </w:p>
    <w:p w:rsidR="005052D3" w:rsidRDefault="005052D3">
      <w:pPr>
        <w:pStyle w:val="SingleTxt"/>
        <w:spacing w:after="120"/>
        <w:rPr>
          <w:rFonts w:hint="eastAsia"/>
        </w:rPr>
      </w:pPr>
      <w:r>
        <w:tab/>
      </w:r>
      <w:r>
        <w:rPr>
          <w:rFonts w:hint="eastAsia"/>
        </w:rPr>
        <w:t>马拉维有一个可能有用的宪法框架来解决对妇女的歧视问题，同时还有一项政策可以帮助公共和私人机构推动马拉维妇女享有并保护她们的权利。但是，还需要做大量的工作，以缩小男女之间现有的差距，实行公平竞争。由于摩擦而出现各级资金和人力资源不足，是没有取得明显成效的主要原因，但是，有必要加强组织资源，优先在政府的计划中实现妇女权利，政府计划是主要的责任者。另外，有必要使各社区和其他发展伙伴在明确职责中发挥更大的作用，而它们必须承担这些责任以消除对妇女的歧视。</w:t>
      </w:r>
    </w:p>
    <w:p w:rsidR="005052D3" w:rsidRDefault="005052D3">
      <w:pPr>
        <w:pStyle w:val="H1"/>
        <w:spacing w:after="120"/>
        <w:rPr>
          <w:rFonts w:hint="eastAsia"/>
        </w:rPr>
      </w:pPr>
      <w:bookmarkStart w:id="14" w:name="_Toc83142691"/>
      <w:r>
        <w:tab/>
      </w:r>
      <w:r>
        <w:tab/>
      </w:r>
      <w:r>
        <w:tab/>
      </w:r>
      <w:r>
        <w:rPr>
          <w:rFonts w:hint="eastAsia"/>
        </w:rPr>
        <w:t>第3条：妇女取得进步和发展的适当措施</w:t>
      </w:r>
      <w:bookmarkEnd w:id="14"/>
    </w:p>
    <w:p w:rsidR="005052D3" w:rsidRDefault="005052D3">
      <w:pPr>
        <w:tabs>
          <w:tab w:val="left" w:pos="840"/>
        </w:tabs>
        <w:spacing w:after="120" w:line="320" w:lineRule="atLeas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 xml:space="preserve">3.1 </w:t>
      </w:r>
      <w:r>
        <w:rPr>
          <w:rFonts w:ascii="SimHei" w:eastAsia="SimHei" w:hint="eastAsia"/>
          <w:bCs/>
          <w:color w:val="FF0000"/>
        </w:rPr>
        <w:tab/>
        <w:t>《消除对妇女一切形式歧视公约》标准</w:t>
      </w:r>
    </w:p>
    <w:p w:rsidR="005052D3" w:rsidRDefault="005052D3">
      <w:pPr>
        <w:pStyle w:val="SingleTxt"/>
        <w:spacing w:after="120"/>
        <w:ind w:left="2115" w:hanging="851"/>
        <w:rPr>
          <w:rFonts w:ascii="KaiTi_GB2312" w:eastAsia="KaiTi_GB2312"/>
          <w:color w:val="0000FF"/>
        </w:rPr>
      </w:pPr>
      <w:r>
        <w:rPr>
          <w:rFonts w:ascii="KaiTi_GB2312" w:eastAsia="KaiTi_GB2312" w:hint="eastAsia"/>
          <w:color w:val="0000FF"/>
        </w:rPr>
        <w:t>第3条</w:t>
      </w:r>
      <w:r>
        <w:rPr>
          <w:rFonts w:ascii="KaiTi_GB2312" w:eastAsia="KaiTi_GB2312"/>
          <w:color w:val="0000FF"/>
        </w:rPr>
        <w:t>.</w:t>
      </w:r>
      <w:r>
        <w:rPr>
          <w:rFonts w:ascii="KaiTi_GB2312" w:eastAsia="KaiTi_GB2312" w:hint="eastAsia"/>
          <w:color w:val="0000FF"/>
        </w:rPr>
        <w:t xml:space="preserve"> </w:t>
      </w:r>
      <w:r>
        <w:rPr>
          <w:rFonts w:ascii="KaiTi_GB2312" w:eastAsia="KaiTi_GB2312"/>
          <w:color w:val="0000FF"/>
        </w:rPr>
        <w:tab/>
      </w:r>
      <w:r>
        <w:rPr>
          <w:rFonts w:ascii="KaiTi_GB2312" w:eastAsia="KaiTi_GB2312" w:hint="eastAsia"/>
          <w:color w:val="0000FF"/>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5052D3" w:rsidRDefault="005052D3">
      <w:pPr>
        <w:tabs>
          <w:tab w:val="left" w:pos="840"/>
        </w:tabs>
        <w:spacing w:after="120" w:line="320" w:lineRule="atLeast"/>
        <w:rPr>
          <w:rFonts w:eastAsia="SimHei"/>
          <w:bCs/>
          <w:color w:val="FF0000"/>
        </w:rPr>
      </w:pPr>
      <w:r>
        <w:rPr>
          <w:rFonts w:eastAsia="SimHei"/>
          <w:bCs/>
          <w:color w:val="FF0000"/>
        </w:rPr>
        <w:tab/>
      </w:r>
      <w:r>
        <w:rPr>
          <w:rFonts w:eastAsia="SimHei"/>
          <w:bCs/>
          <w:color w:val="FF0000"/>
        </w:rPr>
        <w:tab/>
      </w:r>
      <w:r>
        <w:rPr>
          <w:rFonts w:eastAsia="SimHei"/>
          <w:bCs/>
          <w:color w:val="FF0000"/>
        </w:rPr>
        <w:tab/>
        <w:t>3.2</w:t>
      </w:r>
      <w:r>
        <w:rPr>
          <w:rFonts w:eastAsia="SimHei"/>
          <w:bCs/>
          <w:color w:val="FF0000"/>
        </w:rPr>
        <w:tab/>
      </w:r>
      <w:r>
        <w:rPr>
          <w:rFonts w:eastAsia="SimHei" w:hint="eastAsia"/>
          <w:bCs/>
          <w:color w:val="FF0000"/>
        </w:rPr>
        <w:t>导言</w:t>
      </w:r>
    </w:p>
    <w:p w:rsidR="005052D3" w:rsidRDefault="005052D3">
      <w:pPr>
        <w:pStyle w:val="SingleTxt"/>
        <w:spacing w:after="120"/>
      </w:pPr>
      <w:r>
        <w:t xml:space="preserve">3.2.1  </w:t>
      </w:r>
      <w:r>
        <w:rPr>
          <w:rFonts w:hint="eastAsia"/>
        </w:rPr>
        <w:t>马拉维政府除加入《消除对妇女一切形式歧视公约》外，还通过加入各种关于妇女权利的国际文书和会议行动计划的方式，致力于推动全国妇女对权利的享有。</w:t>
      </w:r>
      <w:r>
        <w:rPr>
          <w:rStyle w:val="FootnoteReference"/>
        </w:rPr>
        <w:footnoteReference w:id="68"/>
      </w:r>
      <w:r>
        <w:t xml:space="preserve"> </w:t>
      </w:r>
    </w:p>
    <w:p w:rsidR="005052D3" w:rsidRDefault="005052D3">
      <w:pPr>
        <w:tabs>
          <w:tab w:val="left" w:pos="840"/>
        </w:tabs>
        <w:spacing w:after="120" w:line="320" w:lineRule="atLeast"/>
        <w:rPr>
          <w:rFonts w:eastAsia="SimHei"/>
          <w:bCs/>
          <w:color w:val="FF0000"/>
        </w:rPr>
      </w:pPr>
      <w:r>
        <w:rPr>
          <w:rFonts w:eastAsia="SimHei"/>
          <w:bCs/>
          <w:color w:val="FF0000"/>
        </w:rPr>
        <w:tab/>
      </w:r>
      <w:r>
        <w:rPr>
          <w:rFonts w:eastAsia="SimHei"/>
          <w:bCs/>
          <w:color w:val="FF0000"/>
        </w:rPr>
        <w:tab/>
      </w:r>
      <w:r>
        <w:rPr>
          <w:rFonts w:eastAsia="SimHei"/>
          <w:bCs/>
          <w:color w:val="FF0000"/>
        </w:rPr>
        <w:tab/>
        <w:t>3.3</w:t>
      </w:r>
      <w:r>
        <w:rPr>
          <w:rFonts w:eastAsia="SimHei"/>
          <w:bCs/>
          <w:color w:val="FF0000"/>
        </w:rPr>
        <w:tab/>
      </w:r>
      <w:r>
        <w:rPr>
          <w:rFonts w:eastAsia="SimHei" w:hint="eastAsia"/>
          <w:bCs/>
          <w:color w:val="FF0000"/>
        </w:rPr>
        <w:t>一般措施</w:t>
      </w:r>
    </w:p>
    <w:p w:rsidR="005052D3" w:rsidRDefault="005052D3">
      <w:pPr>
        <w:pStyle w:val="SingleTxt"/>
        <w:spacing w:after="120"/>
        <w:rPr>
          <w:spacing w:val="2"/>
        </w:rPr>
      </w:pPr>
      <w:r>
        <w:rPr>
          <w:spacing w:val="2"/>
        </w:rPr>
        <w:t xml:space="preserve">3.3.1  </w:t>
      </w:r>
      <w:r>
        <w:rPr>
          <w:rFonts w:hint="eastAsia"/>
          <w:spacing w:val="2"/>
        </w:rPr>
        <w:t>政府已经采取重要措施推动妇女的进步。它于1995年采取了“妇女与发展”方针，从“妇女参与发展方法”转变而来“妇女与发展方针”确定妇女存在某个问题，所以需要帮助。但它也没有在主流发展日程中强调妇女的战略利益。</w:t>
      </w:r>
      <w:r>
        <w:rPr>
          <w:spacing w:val="2"/>
        </w:rPr>
        <w:t xml:space="preserve"> </w:t>
      </w:r>
    </w:p>
    <w:p w:rsidR="005052D3" w:rsidRDefault="005052D3">
      <w:pPr>
        <w:pStyle w:val="SingleTxt"/>
        <w:rPr>
          <w:spacing w:val="2"/>
        </w:rPr>
      </w:pPr>
      <w:r>
        <w:rPr>
          <w:spacing w:val="2"/>
        </w:rPr>
        <w:t xml:space="preserve">3.3.2  </w:t>
      </w:r>
      <w:r>
        <w:rPr>
          <w:rFonts w:hint="eastAsia"/>
          <w:spacing w:val="2"/>
        </w:rPr>
        <w:t>自政府转变为多党制以后，制度上发生了显著的变化，其中一个变化就是妇女参与发展全国委员会被重新命名为性别信用全国委员会。该机构新的角色是提倡和宣传男女平等。自更名以来，该机构大多由于缺乏制度上的支持而主要出现了程序上的问题。但是正在努力通过成立一个秘书处而使该机构恢复活力。</w:t>
      </w:r>
      <w:r>
        <w:rPr>
          <w:spacing w:val="2"/>
        </w:rPr>
        <w:t xml:space="preserve"> </w:t>
      </w:r>
    </w:p>
    <w:p w:rsidR="005052D3" w:rsidRDefault="005052D3">
      <w:pPr>
        <w:pStyle w:val="SingleTxt"/>
        <w:rPr>
          <w:spacing w:val="-4"/>
        </w:rPr>
      </w:pPr>
      <w:r>
        <w:rPr>
          <w:spacing w:val="-4"/>
        </w:rPr>
        <w:t xml:space="preserve">3.3.2  </w:t>
      </w:r>
      <w:r>
        <w:rPr>
          <w:rFonts w:hint="eastAsia"/>
          <w:spacing w:val="-4"/>
        </w:rPr>
        <w:t>自1994年以来，已经采取了至少五项重要措施。第一项措施是1994年新宪法，该宪法规定了权利法案，要求妇女享有权利应该符合立法、政策和计划。</w:t>
      </w:r>
      <w:r>
        <w:rPr>
          <w:rStyle w:val="FootnoteReference"/>
          <w:spacing w:val="-4"/>
        </w:rPr>
        <w:footnoteReference w:id="69"/>
      </w:r>
      <w:r>
        <w:rPr>
          <w:spacing w:val="-4"/>
        </w:rPr>
        <w:t xml:space="preserve"> </w:t>
      </w:r>
    </w:p>
    <w:p w:rsidR="005052D3" w:rsidRDefault="005052D3">
      <w:pPr>
        <w:pStyle w:val="SingleTxt"/>
        <w:rPr>
          <w:rFonts w:hint="eastAsia"/>
        </w:rPr>
      </w:pPr>
      <w:r>
        <w:t xml:space="preserve">3.3.3  </w:t>
      </w:r>
      <w:r>
        <w:rPr>
          <w:rFonts w:hint="eastAsia"/>
        </w:rPr>
        <w:t>第二项措施是政府允许非政府组织开展旨在使妇女接受人权和妇女权利的教育、法律教育等计划，开展使她们拥有自信、具备领导才能的计划，开展为使更多的妇女参与到决策岗位（包括政治参与）的宣传和提倡活动。</w:t>
      </w:r>
    </w:p>
    <w:p w:rsidR="005052D3" w:rsidRDefault="005052D3">
      <w:pPr>
        <w:pStyle w:val="SingleTxt"/>
      </w:pPr>
      <w:r>
        <w:t xml:space="preserve">3.3.4  </w:t>
      </w:r>
      <w:r>
        <w:rPr>
          <w:rFonts w:hint="eastAsia"/>
        </w:rPr>
        <w:t>第三项措施是在2000年通过了全国性别政策。该政策的一个主要目标就是提高马拉维妇女进步的速度。</w:t>
      </w:r>
      <w:r>
        <w:t xml:space="preserve">  </w:t>
      </w:r>
    </w:p>
    <w:p w:rsidR="005052D3" w:rsidRDefault="005052D3">
      <w:pPr>
        <w:pStyle w:val="SingleTxt"/>
      </w:pPr>
      <w:r>
        <w:t xml:space="preserve">3.3.5  </w:t>
      </w:r>
      <w:r>
        <w:rPr>
          <w:rFonts w:hint="eastAsia"/>
        </w:rPr>
        <w:t>第四项措施是把国家性别政策的实施纳入国家的减贫战略文件。第五项措施是制定全国性别计划，重点是采取措施实施全国性别政策的六个主题关注领域。计划文件给出了协调机制，重点在重大利益相关者的广泛参与、战略目标、行动、活动结果以及预算。</w:t>
      </w:r>
    </w:p>
    <w:p w:rsidR="005052D3" w:rsidRDefault="005052D3">
      <w:pPr>
        <w:pStyle w:val="BodyText3"/>
        <w:tabs>
          <w:tab w:val="left" w:pos="840"/>
        </w:tabs>
        <w:spacing w:after="120" w:line="320" w:lineRule="atLeast"/>
        <w:rPr>
          <w:rFonts w:ascii="SimHei" w:eastAsia="SimHei"/>
          <w:bCs/>
          <w:color w:val="FF0000"/>
          <w:sz w:val="21"/>
          <w:szCs w:val="24"/>
          <w:lang w:eastAsia="zh-CN"/>
        </w:rPr>
      </w:pPr>
      <w:r>
        <w:rPr>
          <w:rFonts w:ascii="SimHei" w:eastAsia="SimHei"/>
          <w:bCs/>
          <w:color w:val="FF0000"/>
          <w:sz w:val="21"/>
          <w:szCs w:val="24"/>
          <w:lang w:eastAsia="zh-CN"/>
        </w:rPr>
        <w:tab/>
      </w:r>
      <w:r>
        <w:rPr>
          <w:rFonts w:ascii="SimHei" w:eastAsia="SimHei"/>
          <w:bCs/>
          <w:color w:val="FF0000"/>
          <w:sz w:val="21"/>
          <w:szCs w:val="24"/>
          <w:lang w:eastAsia="zh-CN"/>
        </w:rPr>
        <w:tab/>
      </w:r>
      <w:r>
        <w:rPr>
          <w:rFonts w:ascii="SimHei" w:eastAsia="SimHei"/>
          <w:bCs/>
          <w:color w:val="FF0000"/>
          <w:sz w:val="21"/>
          <w:szCs w:val="24"/>
          <w:lang w:eastAsia="zh-CN"/>
        </w:rPr>
        <w:tab/>
        <w:t>3.4</w:t>
      </w:r>
      <w:r>
        <w:rPr>
          <w:rFonts w:ascii="SimHei" w:eastAsia="SimHei"/>
          <w:bCs/>
          <w:color w:val="FF0000"/>
          <w:sz w:val="21"/>
          <w:szCs w:val="24"/>
          <w:lang w:eastAsia="zh-CN"/>
        </w:rPr>
        <w:tab/>
      </w:r>
      <w:r>
        <w:rPr>
          <w:rFonts w:ascii="SimHei" w:eastAsia="SimHei" w:hint="eastAsia"/>
          <w:bCs/>
          <w:color w:val="FF0000"/>
          <w:sz w:val="21"/>
          <w:szCs w:val="24"/>
          <w:lang w:eastAsia="zh-CN"/>
        </w:rPr>
        <w:t>公民和政治问题的措施</w:t>
      </w:r>
    </w:p>
    <w:p w:rsidR="005052D3" w:rsidRDefault="005052D3">
      <w:pPr>
        <w:pStyle w:val="SingleTxt"/>
        <w:rPr>
          <w:rFonts w:hint="eastAsia"/>
        </w:rPr>
      </w:pPr>
      <w:r>
        <w:t xml:space="preserve">3.4.1  </w:t>
      </w:r>
      <w:r>
        <w:rPr>
          <w:rFonts w:hint="eastAsia"/>
        </w:rPr>
        <w:t>1994年宪法规定了公民和政治权利</w:t>
      </w:r>
      <w:r>
        <w:rPr>
          <w:rFonts w:hint="eastAsia"/>
          <w:lang w:val="en-GB"/>
        </w:rPr>
        <w:t>，</w:t>
      </w:r>
      <w:r>
        <w:rPr>
          <w:rFonts w:hint="eastAsia"/>
        </w:rPr>
        <w:t>规定了结社、良知、意见、言论、出版、集会、运动和居住的自由</w:t>
      </w:r>
      <w:r>
        <w:rPr>
          <w:rFonts w:hint="eastAsia"/>
          <w:lang w:val="en-GB"/>
        </w:rPr>
        <w:t>，</w:t>
      </w:r>
      <w:r>
        <w:rPr>
          <w:rFonts w:hint="eastAsia"/>
        </w:rPr>
        <w:t>同时还要求能获得国家信息</w:t>
      </w:r>
      <w:r>
        <w:rPr>
          <w:rFonts w:hint="eastAsia"/>
          <w:lang w:val="en-GB"/>
        </w:rPr>
        <w:t>，</w:t>
      </w:r>
      <w:r>
        <w:rPr>
          <w:rFonts w:hint="eastAsia"/>
        </w:rPr>
        <w:t>保证享有权利。马拉维宪法第40（1）和（3）条允许每个人成立、参加和参与政治活动，允许人们开展活动，参加和平的政治活动以及使用无记名投票的方式进行投票选举或支持某一公共部门的选举。宪法第20条的非歧视标准适用于这些权利。</w:t>
      </w:r>
      <w:r>
        <w:t xml:space="preserve"> </w:t>
      </w:r>
    </w:p>
    <w:p w:rsidR="005052D3" w:rsidRDefault="005052D3">
      <w:pPr>
        <w:pStyle w:val="SingleTxt"/>
      </w:pPr>
      <w:r>
        <w:t xml:space="preserve">3.4.2  </w:t>
      </w:r>
      <w:r>
        <w:rPr>
          <w:rFonts w:hint="eastAsia"/>
        </w:rPr>
        <w:t>为了执行促进在马拉维平等行使和享有公民和政治权利的宪法规定，制定了国家性别政策。该政策的实施计划对促进男女平等享有公民和政治权利具有关键意义。国家性别政策的目标是使性别问题纳入发展进程的主流，以加强男女和男女青年参与到发展中来，促进平衡发展，减少贫困。根据这一政策，需要特别注意的一个领域是妇女在政治和决策中的人数。</w:t>
      </w:r>
      <w:r>
        <w:rPr>
          <w:rStyle w:val="FootnoteReference"/>
        </w:rPr>
        <w:footnoteReference w:id="70"/>
      </w:r>
      <w:r>
        <w:t xml:space="preserve"> </w:t>
      </w:r>
    </w:p>
    <w:p w:rsidR="005052D3" w:rsidRDefault="005052D3">
      <w:pPr>
        <w:pStyle w:val="SingleTxt"/>
      </w:pPr>
      <w:r>
        <w:t xml:space="preserve">3.4.3  </w:t>
      </w:r>
      <w:r>
        <w:rPr>
          <w:rFonts w:hint="eastAsia"/>
        </w:rPr>
        <w:t>尽管在享有无歧视的公民和政治权利方面拥有一个有利的环境，但还是没有足够的机制解决影响马拉维妇女的问题。首先，与男子相比，更多的妇女因为缺乏教育或受教育程度低而不能参加一些民事和政治活动。妇女的识字率为49%，而男子识字率为72%。再加上大多数马拉维人所抱有的定型观念，即某些公民和政治角色就应该由男子承担。例如，根据习惯法，人们偏向于村长或酋长由男子继承，只是在没有男子继承人时才由妇女继承。另外，占支配地位的观念还有，一般和高级政治领袖都由男子担任，而非女性。还有，男女参加同一项活动时，角色是根据性别选定的，妇女只做一些装饰性和照顾性工作。</w:t>
      </w:r>
    </w:p>
    <w:p w:rsidR="005052D3" w:rsidRDefault="005052D3">
      <w:pPr>
        <w:pStyle w:val="SingleTxt"/>
      </w:pPr>
      <w:r>
        <w:t xml:space="preserve">3.4.4  </w:t>
      </w:r>
      <w:r>
        <w:rPr>
          <w:rFonts w:hint="eastAsia"/>
        </w:rPr>
        <w:t>当前有关民事和政治参与的立法没有把妇女的参与当作一个性别问题，</w:t>
      </w:r>
      <w:r>
        <w:rPr>
          <w:vertAlign w:val="superscript"/>
        </w:rPr>
        <w:footnoteReference w:id="71"/>
      </w:r>
      <w:r>
        <w:rPr>
          <w:vertAlign w:val="superscript"/>
        </w:rPr>
        <w:t xml:space="preserve"> </w:t>
      </w:r>
      <w:r>
        <w:rPr>
          <w:rFonts w:hint="eastAsia"/>
        </w:rPr>
        <w:t>因而，议会中的三个政党均没有在其宣言中反映出任何有关的政策。</w:t>
      </w:r>
    </w:p>
    <w:p w:rsidR="005052D3" w:rsidRDefault="005052D3">
      <w:pPr>
        <w:pStyle w:val="SingleTxt"/>
      </w:pPr>
    </w:p>
    <w:p w:rsidR="005052D3" w:rsidRDefault="005052D3">
      <w:pPr>
        <w:pStyle w:val="BodyText3"/>
        <w:tabs>
          <w:tab w:val="left" w:pos="840"/>
        </w:tabs>
        <w:spacing w:after="120" w:line="320" w:lineRule="exact"/>
        <w:rPr>
          <w:rFonts w:ascii="SimHei" w:eastAsia="SimHei"/>
          <w:bCs/>
          <w:color w:val="FF0000"/>
          <w:sz w:val="21"/>
          <w:szCs w:val="24"/>
          <w:lang w:eastAsia="zh-CN"/>
        </w:rPr>
      </w:pPr>
      <w:r>
        <w:rPr>
          <w:rFonts w:ascii="SimHei" w:eastAsia="SimHei"/>
          <w:bCs/>
          <w:color w:val="FF0000"/>
          <w:sz w:val="21"/>
          <w:szCs w:val="24"/>
          <w:lang w:eastAsia="zh-CN"/>
        </w:rPr>
        <w:tab/>
      </w:r>
      <w:r>
        <w:rPr>
          <w:rFonts w:ascii="SimHei" w:eastAsia="SimHei"/>
          <w:bCs/>
          <w:color w:val="FF0000"/>
          <w:sz w:val="21"/>
          <w:szCs w:val="24"/>
          <w:lang w:eastAsia="zh-CN"/>
        </w:rPr>
        <w:tab/>
      </w:r>
      <w:r>
        <w:rPr>
          <w:rFonts w:ascii="SimHei" w:eastAsia="SimHei"/>
          <w:bCs/>
          <w:color w:val="FF0000"/>
          <w:sz w:val="21"/>
          <w:szCs w:val="24"/>
          <w:lang w:eastAsia="zh-CN"/>
        </w:rPr>
        <w:tab/>
        <w:t>3.5</w:t>
      </w:r>
      <w:r>
        <w:rPr>
          <w:rFonts w:ascii="SimHei" w:eastAsia="SimHei"/>
          <w:bCs/>
          <w:color w:val="FF0000"/>
          <w:sz w:val="21"/>
          <w:szCs w:val="24"/>
          <w:lang w:eastAsia="zh-CN"/>
        </w:rPr>
        <w:tab/>
      </w:r>
      <w:r>
        <w:rPr>
          <w:rFonts w:ascii="SimHei" w:eastAsia="SimHei" w:hint="eastAsia"/>
          <w:bCs/>
          <w:color w:val="FF0000"/>
          <w:sz w:val="21"/>
          <w:szCs w:val="24"/>
          <w:lang w:eastAsia="zh-CN"/>
        </w:rPr>
        <w:t>经济问题的措施</w:t>
      </w:r>
    </w:p>
    <w:p w:rsidR="005052D3" w:rsidRDefault="005052D3">
      <w:pPr>
        <w:pStyle w:val="SingleTxt"/>
      </w:pPr>
      <w:r>
        <w:t xml:space="preserve">3.5.1  </w:t>
      </w:r>
      <w:r>
        <w:rPr>
          <w:rFonts w:hint="eastAsia"/>
        </w:rPr>
        <w:t>宪法第29条允许妇女和男子“自由从事经济活动，在马拉维任何地方工作和谋生。”宪法还给予所有人以享受发展的权利，并要求人人享有平等的机会获得基本资源、食物、住房、就业、基础设施、教育和卫生服务。</w:t>
      </w:r>
      <w:r>
        <w:rPr>
          <w:vertAlign w:val="superscript"/>
        </w:rPr>
        <w:footnoteReference w:id="72"/>
      </w:r>
    </w:p>
    <w:p w:rsidR="005052D3" w:rsidRDefault="005052D3">
      <w:pPr>
        <w:pStyle w:val="SingleTxt"/>
      </w:pPr>
      <w:r>
        <w:t xml:space="preserve">3.5.2  </w:t>
      </w:r>
      <w:r>
        <w:rPr>
          <w:rFonts w:hint="eastAsia"/>
        </w:rPr>
        <w:t>马拉维政府已经使经济自由化，这种做法使得小型企业的从业人员增加，包括那些由妇女经营或合作经营的企业。</w:t>
      </w:r>
      <w:r>
        <w:rPr>
          <w:vertAlign w:val="superscript"/>
        </w:rPr>
        <w:footnoteReference w:id="73"/>
      </w:r>
      <w:r>
        <w:t xml:space="preserve"> </w:t>
      </w:r>
      <w:r>
        <w:rPr>
          <w:rFonts w:hint="eastAsia"/>
        </w:rPr>
        <w:t>国家性别政策规定了六个主题领域中的一个领域的经济权利。为遵循这一点，政府进一步鼓励和制定了微观信用计划，成立贫困人口组织。政府与其重大利益相关者合作，2003年为44 773名妇女提供了贷款，而1995年有</w:t>
      </w:r>
      <w:r>
        <w:t xml:space="preserve"> 22</w:t>
      </w:r>
      <w:r>
        <w:rPr>
          <w:rFonts w:hint="eastAsia"/>
        </w:rPr>
        <w:t xml:space="preserve"> </w:t>
      </w:r>
      <w:r>
        <w:t>469</w:t>
      </w:r>
      <w:r>
        <w:rPr>
          <w:rFonts w:hint="eastAsia"/>
        </w:rPr>
        <w:t>名，2003年培训妇女53 085人，1995年则培训了27 790人。贷款收益者人数少于受过培训的人数，增长速度缓慢，因为缺乏足够的放款业务量。</w:t>
      </w:r>
      <w:r>
        <w:t xml:space="preserve">  </w:t>
      </w:r>
    </w:p>
    <w:p w:rsidR="005052D3" w:rsidRDefault="005052D3">
      <w:pPr>
        <w:pStyle w:val="SingleTxt"/>
      </w:pPr>
      <w:r>
        <w:t xml:space="preserve">3.5.3  </w:t>
      </w:r>
      <w:r>
        <w:rPr>
          <w:rFonts w:hint="eastAsia"/>
        </w:rPr>
        <w:t>另外，马拉维政府制定了中小型企业政策。同时，性别和社区服务部与其重大利益相关者为生产型企业引进了适当的技术，这些企业涉及竹制家具、养蜂、蘑菇种植、面包烤制、作坊纺织和蜡染等。到目前为止，</w:t>
      </w:r>
      <w:r>
        <w:t xml:space="preserve"> </w:t>
      </w:r>
      <w:r>
        <w:rPr>
          <w:rFonts w:hint="eastAsia"/>
        </w:rPr>
        <w:t>10 000名妇女已经从中受益，而1995年只有600名。马拉维的妇女在企业方面成绩显著，这可以从以下方面得到证实：2000年在纳米比亚举行的南共体企业妇女博览会上获得了第一名，2002年在马拉维布兰太尔举行的博览会上也获得第一名。</w:t>
      </w:r>
    </w:p>
    <w:p w:rsidR="005052D3" w:rsidRDefault="005052D3">
      <w:pPr>
        <w:pStyle w:val="SingleTxt"/>
      </w:pPr>
      <w:r>
        <w:t xml:space="preserve">3.5.4  </w:t>
      </w:r>
      <w:r>
        <w:rPr>
          <w:rFonts w:hint="eastAsia"/>
        </w:rPr>
        <w:t>妇女完成的生育和社会工作不计酬，也不算在国内生产总值中。大多数从业妇女因为缺乏足够的教育而从事报酬低的工作，集中在工作的底层。例如，1995年的行政部门普查结果表明，112 975名公务员中有</w:t>
      </w:r>
      <w:r>
        <w:t>28</w:t>
      </w:r>
      <w:r>
        <w:rPr>
          <w:rFonts w:hint="eastAsia"/>
        </w:rPr>
        <w:t xml:space="preserve"> </w:t>
      </w:r>
      <w:r>
        <w:t>269</w:t>
      </w:r>
      <w:r>
        <w:rPr>
          <w:rFonts w:hint="eastAsia"/>
        </w:rPr>
        <w:t>名为妇女。2003年，行政部门的高级管理人员统计数据表明，在698位高级官员中只有68人是妇女（占10%）。这表明妇女对决策的参与是有限的。所以，大多数妇女对男子有依赖性。</w:t>
      </w:r>
    </w:p>
    <w:p w:rsidR="005052D3" w:rsidRDefault="005052D3">
      <w:pPr>
        <w:pStyle w:val="SingleTxt"/>
        <w:rPr>
          <w:spacing w:val="4"/>
        </w:rPr>
      </w:pPr>
      <w:r>
        <w:rPr>
          <w:spacing w:val="4"/>
        </w:rPr>
        <w:t xml:space="preserve">3.5.5  </w:t>
      </w:r>
      <w:r>
        <w:rPr>
          <w:rFonts w:hint="eastAsia"/>
          <w:spacing w:val="4"/>
        </w:rPr>
        <w:t>农业一直是马拉维经济的支柱部门，</w:t>
      </w:r>
      <w:r>
        <w:rPr>
          <w:spacing w:val="4"/>
        </w:rPr>
        <w:t>90%</w:t>
      </w:r>
      <w:r>
        <w:rPr>
          <w:rFonts w:hint="eastAsia"/>
          <w:spacing w:val="4"/>
        </w:rPr>
        <w:t>的妇女为全职农民，占农业劳动力的79%，而男子占21%。32%的妇女从庄稼种植中获得家庭收入。</w:t>
      </w:r>
      <w:r>
        <w:rPr>
          <w:rStyle w:val="FootnoteReference"/>
          <w:spacing w:val="4"/>
        </w:rPr>
        <w:footnoteReference w:id="74"/>
      </w:r>
      <w:r>
        <w:rPr>
          <w:spacing w:val="4"/>
        </w:rPr>
        <w:t xml:space="preserve"> </w:t>
      </w:r>
      <w:r>
        <w:rPr>
          <w:rFonts w:hint="eastAsia"/>
          <w:spacing w:val="4"/>
        </w:rPr>
        <w:t>但妇女获得生产要素的途径有限，这些生产要素包括土地、农场投入、劳动力和推广服务。她们一般种植粮食作物，而非经济作物。她们还没有足够的时间从事生产劳动。</w:t>
      </w:r>
    </w:p>
    <w:p w:rsidR="005052D3" w:rsidRDefault="005052D3">
      <w:pPr>
        <w:pStyle w:val="SingleTxt"/>
        <w:spacing w:after="120" w:line="308" w:lineRule="exact"/>
      </w:pPr>
      <w:r>
        <w:t xml:space="preserve">3.5.6  </w:t>
      </w:r>
      <w:r>
        <w:rPr>
          <w:rFonts w:hint="eastAsia"/>
        </w:rPr>
        <w:t>另外，艾滋病毒/艾滋病的流行使得妇女和老人在经济上处于劣势地位，因为她们是护理感染病人的主要人员。这是由费用共摊政策引起的，这项政策对妇女产生了负面影响，譬如家庭护理。</w:t>
      </w:r>
    </w:p>
    <w:p w:rsidR="005052D3" w:rsidRDefault="005052D3">
      <w:pPr>
        <w:tabs>
          <w:tab w:val="left" w:pos="840"/>
        </w:tabs>
        <w:spacing w:after="120" w:line="308" w:lineRule="exac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3.6</w:t>
      </w:r>
      <w:r>
        <w:rPr>
          <w:rFonts w:ascii="SimHei" w:eastAsia="SimHei"/>
          <w:bCs/>
          <w:color w:val="FF0000"/>
        </w:rPr>
        <w:tab/>
      </w:r>
      <w:r>
        <w:rPr>
          <w:rFonts w:ascii="SimHei" w:eastAsia="SimHei" w:hint="eastAsia"/>
          <w:bCs/>
          <w:color w:val="FF0000"/>
        </w:rPr>
        <w:t>社会和文化问题的措施</w:t>
      </w:r>
    </w:p>
    <w:p w:rsidR="005052D3" w:rsidRDefault="005052D3">
      <w:pPr>
        <w:pStyle w:val="SingleTxt"/>
        <w:spacing w:after="120" w:line="308" w:lineRule="exact"/>
      </w:pPr>
      <w:r>
        <w:t xml:space="preserve">3.6.1  </w:t>
      </w:r>
      <w:r>
        <w:rPr>
          <w:rFonts w:hint="eastAsia"/>
        </w:rPr>
        <w:t>宪法声明，对妇女产生负面影响的任何文化习俗均应被根除。</w:t>
      </w:r>
      <w:r>
        <w:rPr>
          <w:rStyle w:val="FootnoteReference"/>
        </w:rPr>
        <w:footnoteReference w:id="75"/>
      </w:r>
      <w:r>
        <w:t xml:space="preserve"> </w:t>
      </w:r>
      <w:r>
        <w:rPr>
          <w:rFonts w:hint="eastAsia"/>
        </w:rPr>
        <w:t>宪法还指导政府进行改革，旨在消除社会不公正和不平等，特别是妇女、儿童以及残疾人遭遇的不公正和不平等。</w:t>
      </w:r>
      <w:r>
        <w:rPr>
          <w:rStyle w:val="FootnoteReference"/>
        </w:rPr>
        <w:footnoteReference w:id="76"/>
      </w:r>
      <w:r>
        <w:t xml:space="preserve"> </w:t>
      </w:r>
    </w:p>
    <w:p w:rsidR="005052D3" w:rsidRDefault="005052D3">
      <w:pPr>
        <w:pStyle w:val="SingleTxt"/>
        <w:spacing w:after="120" w:line="308" w:lineRule="exact"/>
      </w:pPr>
      <w:r>
        <w:t xml:space="preserve">3.6.2  </w:t>
      </w:r>
      <w:r>
        <w:rPr>
          <w:rFonts w:hint="eastAsia"/>
        </w:rPr>
        <w:t>政府正在通过性别和社区服务部与社区合作以解决性别暴力问题，暴力问题因为传统和文化习俗而成为普遍现象。</w:t>
      </w:r>
    </w:p>
    <w:p w:rsidR="005052D3" w:rsidRDefault="005052D3">
      <w:pPr>
        <w:pStyle w:val="SingleTxt"/>
        <w:spacing w:after="120" w:line="308" w:lineRule="exact"/>
      </w:pPr>
      <w:r>
        <w:t xml:space="preserve">3.6.3  </w:t>
      </w:r>
      <w:r>
        <w:rPr>
          <w:rFonts w:hint="eastAsia"/>
        </w:rPr>
        <w:t>一些部委特别参加了文化发展活动。青年、体育和文化部通过鼓励传统舞蹈和保留古老的手工艺品而支持保留马拉维文化的精华。教育、科学和技术部还鼓励在校学生运用和了解自己的文化，同时注重性别问题。</w:t>
      </w:r>
    </w:p>
    <w:p w:rsidR="005052D3" w:rsidRDefault="005052D3">
      <w:pPr>
        <w:pStyle w:val="SingleTxt"/>
        <w:spacing w:after="120" w:line="308" w:lineRule="exact"/>
      </w:pPr>
      <w:r>
        <w:t xml:space="preserve">3.6.4  </w:t>
      </w:r>
      <w:r>
        <w:rPr>
          <w:rFonts w:hint="eastAsia"/>
        </w:rPr>
        <w:t>另外，政府正在提高酋长、民意和教会领袖以及社会的意识，主要通过面对面的互动、收音机、电视、大众媒体和宣传等手段，针对的是一些有害的传统和文化习俗的负面影响。为此，正在减少一些负面的文化习俗，如对妻子继承权问题。</w:t>
      </w:r>
    </w:p>
    <w:p w:rsidR="005052D3" w:rsidRDefault="005052D3">
      <w:pPr>
        <w:pStyle w:val="SingleTxt"/>
        <w:spacing w:after="120" w:line="308" w:lineRule="exact"/>
      </w:pPr>
      <w:r>
        <w:t xml:space="preserve">3.6.5  </w:t>
      </w:r>
      <w:r>
        <w:rPr>
          <w:rFonts w:hint="eastAsia"/>
        </w:rPr>
        <w:t>采取适当的措施并使之成功实施以推动妇女的发展，但因有限的资金、妇女的低文化水平和对待现存文化习俗变化的消极态度而受到阻碍，以上这些因素对妇女权利产生了负面影响。在收集资料期间，一些社区表示，由于妇女知道并要求她们的权利，加强男子主导地位的传统体制正在受到威胁。</w:t>
      </w:r>
    </w:p>
    <w:p w:rsidR="005052D3" w:rsidRDefault="005052D3">
      <w:pPr>
        <w:pStyle w:val="SingleTxt"/>
        <w:spacing w:after="120" w:line="308" w:lineRule="exact"/>
      </w:pPr>
      <w:r>
        <w:t xml:space="preserve">3.6.6  </w:t>
      </w:r>
      <w:r>
        <w:rPr>
          <w:rFonts w:hint="eastAsia"/>
        </w:rPr>
        <w:t>但是，文化仍然是对妇女产生负面影响的阻力和有害传统做法的重要来源。例如，据报道，一些文化习俗使得妇女患上了性传播疾病，包括艾滋病毒/艾滋病，这些做法包括妻子贞洁</w:t>
      </w:r>
      <w:r>
        <w:t xml:space="preserve"> (</w:t>
      </w:r>
      <w:r>
        <w:rPr>
          <w:rFonts w:eastAsia="KaiTi_GB2312"/>
        </w:rPr>
        <w:t>kulowa kufa</w:t>
      </w:r>
      <w:r>
        <w:t>)</w:t>
      </w:r>
      <w:r>
        <w:rPr>
          <w:rFonts w:hint="eastAsia"/>
        </w:rPr>
        <w:t>、有组织的集体强奸</w:t>
      </w:r>
      <w:r>
        <w:t xml:space="preserve"> (</w:t>
      </w:r>
      <w:r>
        <w:rPr>
          <w:rFonts w:eastAsia="KaiTi_GB2312"/>
        </w:rPr>
        <w:t>gwamula</w:t>
      </w:r>
      <w:r>
        <w:t xml:space="preserve">) </w:t>
      </w:r>
      <w:r>
        <w:rPr>
          <w:rFonts w:hint="eastAsia"/>
        </w:rPr>
        <w:t>和妻子继承权</w:t>
      </w:r>
      <w:r>
        <w:t>(</w:t>
      </w:r>
      <w:r>
        <w:rPr>
          <w:rFonts w:eastAsia="KaiTi_GB2312"/>
        </w:rPr>
        <w:t>chokolo</w:t>
      </w:r>
      <w:r>
        <w:t>)</w:t>
      </w:r>
      <w:r>
        <w:rPr>
          <w:rFonts w:hint="eastAsia"/>
        </w:rPr>
        <w:t>。</w:t>
      </w:r>
    </w:p>
    <w:p w:rsidR="005052D3" w:rsidRDefault="005052D3">
      <w:pPr>
        <w:tabs>
          <w:tab w:val="left" w:pos="840"/>
        </w:tabs>
        <w:spacing w:after="120" w:line="308" w:lineRule="exact"/>
        <w:rPr>
          <w:rFonts w:ascii="SimHei" w:eastAsia="SimHei" w:hint="eastAsia"/>
          <w:bCs/>
          <w:color w:val="FF0000"/>
        </w:rPr>
      </w:pPr>
      <w:r>
        <w:rPr>
          <w:rFonts w:ascii="SimHei" w:eastAsia="SimHei"/>
          <w:bCs/>
          <w:color w:val="FF0000"/>
        </w:rPr>
        <w:tab/>
      </w:r>
      <w:r>
        <w:rPr>
          <w:rFonts w:ascii="SimHei" w:eastAsia="SimHei"/>
          <w:bCs/>
          <w:color w:val="FF0000"/>
        </w:rPr>
        <w:tab/>
      </w:r>
      <w:r>
        <w:rPr>
          <w:rFonts w:ascii="SimHei" w:eastAsia="SimHei"/>
          <w:bCs/>
          <w:color w:val="FF0000"/>
        </w:rPr>
        <w:tab/>
        <w:t>3.7</w:t>
      </w:r>
      <w:r>
        <w:rPr>
          <w:rFonts w:ascii="SimHei" w:eastAsia="SimHei"/>
          <w:bCs/>
          <w:color w:val="FF0000"/>
        </w:rPr>
        <w:tab/>
      </w:r>
      <w:r>
        <w:rPr>
          <w:rFonts w:ascii="SimHei" w:eastAsia="SimHei" w:hint="eastAsia"/>
          <w:bCs/>
          <w:color w:val="FF0000"/>
        </w:rPr>
        <w:t>结论</w:t>
      </w:r>
    </w:p>
    <w:p w:rsidR="005052D3" w:rsidRDefault="005052D3">
      <w:pPr>
        <w:pStyle w:val="SingleTxt"/>
        <w:spacing w:after="120" w:line="308" w:lineRule="exact"/>
      </w:pPr>
      <w:r>
        <w:rPr>
          <w:bCs/>
        </w:rPr>
        <w:tab/>
      </w:r>
      <w:r>
        <w:rPr>
          <w:rFonts w:hint="eastAsia"/>
          <w:bCs/>
        </w:rPr>
        <w:t>各种政策中</w:t>
      </w:r>
      <w:r>
        <w:rPr>
          <w:rFonts w:hint="eastAsia"/>
        </w:rPr>
        <w:t>的规定，包括国家性别政策、马拉维减贫战略文件以及国家性别计划，为实现妇女权利以及开展有关的计划奠定了重要基础。</w:t>
      </w:r>
    </w:p>
    <w:p w:rsidR="005052D3" w:rsidRDefault="005052D3">
      <w:pPr>
        <w:pStyle w:val="H1"/>
        <w:spacing w:after="120" w:line="308" w:lineRule="exact"/>
      </w:pPr>
      <w:bookmarkStart w:id="15" w:name="_Toc33784411"/>
      <w:bookmarkStart w:id="16" w:name="_Toc377350750"/>
      <w:bookmarkStart w:id="17" w:name="_Toc83142692"/>
      <w:r>
        <w:tab/>
      </w:r>
      <w:r>
        <w:tab/>
      </w:r>
      <w:r>
        <w:tab/>
      </w:r>
      <w:r>
        <w:rPr>
          <w:rFonts w:hint="eastAsia"/>
        </w:rPr>
        <w:t>第</w:t>
      </w:r>
      <w:r>
        <w:t>4</w:t>
      </w:r>
      <w:r>
        <w:rPr>
          <w:rFonts w:hint="eastAsia"/>
        </w:rPr>
        <w:t>条：加速男女平等</w:t>
      </w:r>
      <w:bookmarkEnd w:id="15"/>
      <w:bookmarkEnd w:id="16"/>
      <w:bookmarkEnd w:id="17"/>
    </w:p>
    <w:p w:rsidR="005052D3" w:rsidRDefault="005052D3">
      <w:pPr>
        <w:tabs>
          <w:tab w:val="left" w:pos="840"/>
        </w:tabs>
        <w:spacing w:after="120" w:line="308" w:lineRule="exact"/>
        <w:rPr>
          <w:rFonts w:ascii="SimHei" w:eastAsia="SimHei" w:hint="eastAsia"/>
          <w:bCs/>
          <w:color w:val="FF0000"/>
        </w:rPr>
      </w:pPr>
      <w:r>
        <w:rPr>
          <w:rFonts w:ascii="SimHei" w:eastAsia="SimHei"/>
          <w:bCs/>
          <w:color w:val="FF0000"/>
        </w:rPr>
        <w:tab/>
      </w:r>
      <w:r>
        <w:rPr>
          <w:rFonts w:ascii="SimHei" w:eastAsia="SimHei"/>
          <w:bCs/>
          <w:color w:val="FF0000"/>
        </w:rPr>
        <w:tab/>
      </w:r>
      <w:r>
        <w:rPr>
          <w:rFonts w:ascii="SimHei" w:eastAsia="SimHei"/>
          <w:bCs/>
          <w:color w:val="FF0000"/>
        </w:rPr>
        <w:tab/>
        <w:t>4.1</w:t>
      </w:r>
      <w:r>
        <w:rPr>
          <w:rFonts w:ascii="SimHei" w:eastAsia="SimHei"/>
          <w:bCs/>
          <w:color w:val="FF0000"/>
        </w:rPr>
        <w:tab/>
        <w:t>《消除对妇女一切形式歧视公约》</w:t>
      </w:r>
      <w:r>
        <w:rPr>
          <w:rFonts w:ascii="SimHei" w:eastAsia="SimHei" w:hint="eastAsia"/>
          <w:bCs/>
          <w:color w:val="FF0000"/>
        </w:rPr>
        <w:t>标准</w:t>
      </w:r>
    </w:p>
    <w:p w:rsidR="005052D3" w:rsidRDefault="005052D3">
      <w:pPr>
        <w:pStyle w:val="SingleTxt"/>
        <w:ind w:left="2285" w:hanging="1021"/>
      </w:pPr>
      <w:r>
        <w:rPr>
          <w:rFonts w:ascii="KaiTi_GB2312" w:eastAsia="KaiTi_GB2312" w:hint="eastAsia"/>
          <w:color w:val="0000FF"/>
        </w:rPr>
        <w:t>第</w:t>
      </w:r>
      <w:r>
        <w:rPr>
          <w:rFonts w:ascii="KaiTi_GB2312" w:eastAsia="KaiTi_GB2312"/>
          <w:color w:val="0000FF"/>
        </w:rPr>
        <w:t>4</w:t>
      </w:r>
      <w:r>
        <w:rPr>
          <w:rFonts w:ascii="KaiTi_GB2312" w:eastAsia="KaiTi_GB2312" w:hint="eastAsia"/>
          <w:color w:val="0000FF"/>
        </w:rPr>
        <w:t>条</w:t>
      </w:r>
      <w:r>
        <w:rPr>
          <w:rFonts w:ascii="KaiTi_GB2312" w:eastAsia="KaiTi_GB2312"/>
          <w:color w:val="0000FF"/>
        </w:rPr>
        <w:t>.</w:t>
      </w:r>
      <w:r>
        <w:rPr>
          <w:rFonts w:ascii="KaiTi_GB2312" w:eastAsia="KaiTi_GB2312" w:hint="eastAsia"/>
          <w:color w:val="0000FF"/>
        </w:rPr>
        <w:t>1.</w:t>
      </w:r>
      <w:r>
        <w:rPr>
          <w:rFonts w:ascii="KaiTi_GB2312" w:eastAsia="KaiTi_GB2312"/>
          <w:color w:val="0000FF"/>
        </w:rPr>
        <w:tab/>
      </w:r>
      <w:r>
        <w:rPr>
          <w:rFonts w:ascii="KaiTi_GB2312" w:eastAsia="KaiTi_GB2312" w:hint="eastAsia"/>
          <w:color w:val="0000FF"/>
        </w:rPr>
        <w:t>缔约各国为加速实现男女事实上的平等而采取的暂行特别措施，不得视为本公约所指的歧视，亦不得因此导致维持不平等或分别的标准；这些措施应在男女机会和待遇平等的目的达到之后，停止采用。</w:t>
      </w:r>
      <w:r>
        <w:rPr>
          <w:rFonts w:hint="eastAsia"/>
        </w:rPr>
        <w:t xml:space="preserve"> </w:t>
      </w:r>
    </w:p>
    <w:p w:rsidR="005052D3" w:rsidRDefault="005052D3">
      <w:pPr>
        <w:pStyle w:val="SingleTxt"/>
        <w:ind w:left="2126" w:hanging="431"/>
        <w:rPr>
          <w:rFonts w:hint="eastAsia"/>
        </w:rPr>
      </w:pPr>
      <w:r>
        <w:rPr>
          <w:rFonts w:ascii="KaiTi_GB2312" w:eastAsia="KaiTi_GB2312" w:hint="eastAsia"/>
          <w:color w:val="0000FF"/>
        </w:rPr>
        <w:t xml:space="preserve">2. </w:t>
      </w:r>
      <w:r>
        <w:rPr>
          <w:rFonts w:ascii="KaiTi_GB2312" w:eastAsia="KaiTi_GB2312"/>
          <w:color w:val="0000FF"/>
        </w:rPr>
        <w:tab/>
      </w:r>
      <w:r>
        <w:rPr>
          <w:rFonts w:ascii="KaiTi_GB2312" w:eastAsia="KaiTi_GB2312" w:hint="eastAsia"/>
          <w:color w:val="0000FF"/>
        </w:rPr>
        <w:t>缔约各国为保护母性而采取的特别措施，包括本公约所列各项措施，不得视为歧视</w:t>
      </w:r>
      <w:r>
        <w:rPr>
          <w:rFonts w:hint="eastAsia"/>
        </w:rPr>
        <w:t>。</w:t>
      </w:r>
    </w:p>
    <w:p w:rsidR="005052D3" w:rsidRDefault="005052D3">
      <w:pPr>
        <w:tabs>
          <w:tab w:val="left" w:pos="840"/>
        </w:tabs>
        <w:spacing w:after="120" w:line="300" w:lineRule="atLeas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 xml:space="preserve">4.2 </w:t>
      </w:r>
      <w:r>
        <w:rPr>
          <w:rFonts w:ascii="SimHei" w:eastAsia="SimHei"/>
          <w:bCs/>
          <w:color w:val="FF0000"/>
        </w:rPr>
        <w:tab/>
      </w:r>
      <w:r>
        <w:rPr>
          <w:rFonts w:ascii="SimHei" w:eastAsia="SimHei" w:hint="eastAsia"/>
          <w:bCs/>
          <w:color w:val="FF0000"/>
        </w:rPr>
        <w:t>国家标准</w:t>
      </w:r>
      <w:r>
        <w:rPr>
          <w:rFonts w:ascii="SimHei" w:eastAsia="SimHei"/>
          <w:bCs/>
          <w:color w:val="FF0000"/>
        </w:rPr>
        <w:t xml:space="preserve"> </w:t>
      </w:r>
    </w:p>
    <w:p w:rsidR="005052D3" w:rsidRDefault="005052D3">
      <w:pPr>
        <w:pStyle w:val="SingleTxt"/>
      </w:pPr>
      <w:r>
        <w:t xml:space="preserve">4.2.1  </w:t>
      </w:r>
      <w:r>
        <w:rPr>
          <w:rFonts w:hint="eastAsia"/>
        </w:rPr>
        <w:t>《马拉维宪法》清楚地声明，“妇女完全而平等地受到法律保护，有权不受性别和婚姻状况的歧视。”2000</w:t>
      </w:r>
      <w:r>
        <w:t>-</w:t>
      </w:r>
      <w:r>
        <w:rPr>
          <w:rFonts w:hint="eastAsia"/>
        </w:rPr>
        <w:t>2005年国家性别政策还明确地承认有必要保持男女平等。</w:t>
      </w:r>
      <w:r>
        <w:t xml:space="preserve"> </w:t>
      </w:r>
    </w:p>
    <w:p w:rsidR="005052D3" w:rsidRDefault="005052D3">
      <w:pPr>
        <w:pStyle w:val="SingleTxt"/>
      </w:pPr>
      <w:r>
        <w:t xml:space="preserve">4.2.2  </w:t>
      </w:r>
      <w:r>
        <w:rPr>
          <w:rFonts w:hint="eastAsia"/>
        </w:rPr>
        <w:t>虽然承认，但马拉维宪法和国家性别政策对旨在加速男女之间真正平等的临时措施都保持沉默。除这些文件外，其他政策文书如减贫战略文件和国家预算并没有特别说明政府为加速妇女重要的社会经济生活方面的平等而采取的积极行动。</w:t>
      </w:r>
    </w:p>
    <w:p w:rsidR="005052D3" w:rsidRDefault="005052D3">
      <w:pPr>
        <w:tabs>
          <w:tab w:val="left" w:pos="840"/>
        </w:tabs>
        <w:spacing w:after="120" w:line="300" w:lineRule="atLeas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4.3</w:t>
      </w:r>
      <w:r>
        <w:rPr>
          <w:rFonts w:ascii="SimHei" w:eastAsia="SimHei"/>
          <w:bCs/>
          <w:color w:val="FF0000"/>
        </w:rPr>
        <w:tab/>
      </w:r>
      <w:r>
        <w:rPr>
          <w:rFonts w:ascii="SimHei" w:eastAsia="SimHei" w:hint="eastAsia"/>
          <w:bCs/>
          <w:color w:val="FF0000"/>
        </w:rPr>
        <w:t>马拉维男女差距</w:t>
      </w:r>
    </w:p>
    <w:p w:rsidR="005052D3" w:rsidRDefault="005052D3">
      <w:pPr>
        <w:pStyle w:val="SingleTxt"/>
        <w:rPr>
          <w:spacing w:val="2"/>
        </w:rPr>
      </w:pPr>
      <w:r>
        <w:rPr>
          <w:spacing w:val="2"/>
        </w:rPr>
        <w:t xml:space="preserve">4.3.1  </w:t>
      </w:r>
      <w:r>
        <w:rPr>
          <w:rFonts w:hint="eastAsia"/>
          <w:spacing w:val="2"/>
        </w:rPr>
        <w:t>根据人类发展指数报告，除了出生预期寿命以外，有关妇女的所有指标均很低。这项指标也靠不住，因为妇女的预期寿命下降程度比男子高。男女的健康指标均很低，但妇女承担过重的照顾病人的负担，而且她们的权利和需求不能由服务部门予以满足。产妇死亡率从1987年的620/100</w:t>
      </w:r>
      <w:r>
        <w:rPr>
          <w:spacing w:val="2"/>
        </w:rPr>
        <w:t xml:space="preserve"> </w:t>
      </w:r>
      <w:r>
        <w:rPr>
          <w:rFonts w:hint="eastAsia"/>
          <w:spacing w:val="2"/>
        </w:rPr>
        <w:t>000上升到2000年的1</w:t>
      </w:r>
      <w:r>
        <w:rPr>
          <w:spacing w:val="2"/>
        </w:rPr>
        <w:t xml:space="preserve"> </w:t>
      </w:r>
      <w:r>
        <w:rPr>
          <w:rFonts w:hint="eastAsia"/>
          <w:spacing w:val="2"/>
        </w:rPr>
        <w:t>120/100</w:t>
      </w:r>
      <w:r>
        <w:rPr>
          <w:spacing w:val="2"/>
        </w:rPr>
        <w:t xml:space="preserve"> </w:t>
      </w:r>
      <w:r>
        <w:rPr>
          <w:rFonts w:hint="eastAsia"/>
          <w:spacing w:val="2"/>
        </w:rPr>
        <w:t>000。</w:t>
      </w:r>
      <w:r>
        <w:rPr>
          <w:spacing w:val="2"/>
        </w:rPr>
        <w:t xml:space="preserve"> </w:t>
      </w:r>
      <w:r>
        <w:rPr>
          <w:rFonts w:hint="eastAsia"/>
          <w:spacing w:val="2"/>
        </w:rPr>
        <w:t>男女入学比例为50</w:t>
      </w:r>
      <w:r>
        <w:rPr>
          <w:spacing w:val="2"/>
        </w:rPr>
        <w:t>:</w:t>
      </w:r>
      <w:r>
        <w:rPr>
          <w:rFonts w:hint="eastAsia"/>
          <w:spacing w:val="2"/>
        </w:rPr>
        <w:t>50，这是根据标准一统计的。根据标准五，女生的保留率急剧下降，学习成绩也较男生差，因为女生要扮演多重角色，上学前要做家务，上学期间还要为教师打水、拾柴。在收入方面，妇女比男子差</w:t>
      </w:r>
      <w:r>
        <w:rPr>
          <w:rStyle w:val="FootnoteReference"/>
          <w:spacing w:val="2"/>
        </w:rPr>
        <w:footnoteReference w:id="77"/>
      </w:r>
      <w:r>
        <w:rPr>
          <w:rFonts w:hint="eastAsia"/>
          <w:spacing w:val="2"/>
        </w:rPr>
        <w:t>。但女生获得基础识字和教育（GABLE）计划使得女生的小学保留率从5%上升到12%，中学的保留率从4%提高到11%，而大学录取率在1995年到2002年间从4%提高到25%到30%。</w:t>
      </w:r>
      <w:r>
        <w:rPr>
          <w:spacing w:val="2"/>
        </w:rPr>
        <w:t xml:space="preserve">  </w:t>
      </w:r>
    </w:p>
    <w:p w:rsidR="005052D3" w:rsidRDefault="005052D3">
      <w:pPr>
        <w:pStyle w:val="SingleTxt"/>
      </w:pPr>
      <w:r>
        <w:t xml:space="preserve">4.3.2  </w:t>
      </w:r>
      <w:r>
        <w:rPr>
          <w:rFonts w:hint="eastAsia"/>
        </w:rPr>
        <w:t>差距和贫困在其他领域也直接或间接通过人类发展指数表现出来。已经报告的对妇女的性攻击自1995年以来呈急剧上升趋势，家庭暴力也是如此，1995年到1999年间报告的案件增加了一倍多，从3 900起增加到8 000起。尽管关于对妇女的暴力和新闻自由的意识得到了加强，但更多的案件并没有上报，因为传统家庭认为上报这样的问题会给家庭带来耻辱。</w:t>
      </w:r>
    </w:p>
    <w:p w:rsidR="005052D3" w:rsidRDefault="005052D3">
      <w:pPr>
        <w:pStyle w:val="SingleTxt"/>
      </w:pPr>
      <w:r>
        <w:t xml:space="preserve">4.3.3  </w:t>
      </w:r>
      <w:r>
        <w:rPr>
          <w:rFonts w:hint="eastAsia"/>
        </w:rPr>
        <w:t>在决策岗位上的差距很大。议会中妇女所占的比例自上次报告提交以后已经上升，从</w:t>
      </w:r>
      <w:r>
        <w:t>5.6%</w:t>
      </w:r>
      <w:r>
        <w:rPr>
          <w:rFonts w:hint="eastAsia"/>
        </w:rPr>
        <w:t>上升到</w:t>
      </w:r>
      <w:r>
        <w:t xml:space="preserve"> 8.8%</w:t>
      </w:r>
      <w:r>
        <w:rPr>
          <w:rFonts w:hint="eastAsia"/>
        </w:rPr>
        <w:t>，内阁部长中当前的比例是18%，1995年为9%。但是，妇女高级官员在1994年和2002年的选举中已有增加，分别从5%上升到13%。传统部门中妇女的人数也有所增加，从1995年的2%增加到2003年的6.2%。但相比之下，这种增长可以看作是减少，因为自1999年以来已创建了更多的男子到传统部门。地方长官中妇女的比例目前是</w:t>
      </w:r>
      <w:r>
        <w:t>9.8%</w:t>
      </w:r>
      <w:r>
        <w:rPr>
          <w:rFonts w:hint="eastAsia"/>
        </w:rPr>
        <w:t>，1995年为</w:t>
      </w:r>
      <w:r>
        <w:t>2%</w:t>
      </w:r>
      <w:r>
        <w:rPr>
          <w:rFonts w:hint="eastAsia"/>
        </w:rPr>
        <w:t>，女法官的人数目前占</w:t>
      </w:r>
      <w:r>
        <w:t>9.1%</w:t>
      </w:r>
      <w:r>
        <w:rPr>
          <w:rFonts w:hint="eastAsia"/>
        </w:rPr>
        <w:t>，而1995年为</w:t>
      </w:r>
      <w:r>
        <w:t>4%</w:t>
      </w:r>
      <w:r>
        <w:rPr>
          <w:rFonts w:hint="eastAsia"/>
        </w:rPr>
        <w:t>，第一份报告中为</w:t>
      </w:r>
      <w:r>
        <w:t>0%</w:t>
      </w:r>
      <w:r>
        <w:rPr>
          <w:rFonts w:hint="eastAsia"/>
        </w:rPr>
        <w:t>，这是一个增长。</w:t>
      </w:r>
      <w:r>
        <w:t xml:space="preserve"> </w:t>
      </w:r>
    </w:p>
    <w:p w:rsidR="005052D3" w:rsidRDefault="005052D3">
      <w:pPr>
        <w:pStyle w:val="SingleTxt"/>
      </w:pPr>
      <w:r>
        <w:t xml:space="preserve">4.3.4  </w:t>
      </w:r>
      <w:r>
        <w:rPr>
          <w:rFonts w:hint="eastAsia"/>
        </w:rPr>
        <w:t>以前，马拉维部队不征女兵。1997年到2000年间，马拉维部队实行了性别主流化，这使得征兵政策发生了变化。第一批新女兵已于2000年毕业，到2003年底，已任命了11名女军官后备生。在警察部门，女警官的人数也从1995年的272人增加到2003年的1 269人。</w:t>
      </w:r>
    </w:p>
    <w:p w:rsidR="005052D3" w:rsidRDefault="005052D3">
      <w:pPr>
        <w:pStyle w:val="SingleTxt"/>
      </w:pPr>
      <w:r>
        <w:t xml:space="preserve">4.3.5  </w:t>
      </w:r>
      <w:r>
        <w:rPr>
          <w:rFonts w:hint="eastAsia"/>
        </w:rPr>
        <w:t>正规和非正规就业部门劳动力的男女比例也不均衡。拿工资的正规就业部门劳动力中，妇女占29%，而在生存农业中妇女占到了96%。</w:t>
      </w:r>
      <w:r>
        <w:t xml:space="preserve"> </w:t>
      </w:r>
    </w:p>
    <w:p w:rsidR="005052D3" w:rsidRDefault="005052D3">
      <w:pPr>
        <w:pStyle w:val="SingleTxt"/>
        <w:rPr>
          <w:rFonts w:ascii="SimHei" w:eastAsia="SimHei"/>
          <w:bCs/>
          <w:color w:val="FF0000"/>
        </w:rPr>
      </w:pPr>
      <w:r>
        <w:rPr>
          <w:rFonts w:ascii="SimHei" w:eastAsia="SimHei"/>
          <w:color w:val="FF0000"/>
        </w:rPr>
        <w:t>4.4</w:t>
      </w:r>
      <w:r>
        <w:rPr>
          <w:rFonts w:ascii="SimHei" w:eastAsia="SimHei"/>
          <w:color w:val="FF0000"/>
        </w:rPr>
        <w:tab/>
      </w:r>
      <w:r>
        <w:rPr>
          <w:rFonts w:ascii="SimHei" w:eastAsia="SimHei" w:hint="eastAsia"/>
          <w:bCs/>
          <w:color w:val="FF0000"/>
        </w:rPr>
        <w:t>积极措施和差距</w:t>
      </w:r>
    </w:p>
    <w:p w:rsidR="005052D3" w:rsidRDefault="005052D3">
      <w:pPr>
        <w:pStyle w:val="SingleTxt"/>
        <w:rPr>
          <w:rFonts w:hint="eastAsia"/>
        </w:rPr>
      </w:pPr>
      <w:r>
        <w:t xml:space="preserve">4.4.1  </w:t>
      </w:r>
      <w:r>
        <w:rPr>
          <w:rFonts w:hint="eastAsia"/>
        </w:rPr>
        <w:t>国家已经开展积极措施计划的领域是女童的教育，这项计划由美国国际开发署（美援署）资助。该项目为在小学教育中通过考试的女生提供学费。开始免费小学教育以后，学费用于资助中学教育。与此同时，还开展关于女童教育的社会动员活动。这使得中小学女生的在校保留率分别从</w:t>
      </w:r>
      <w:r>
        <w:t>5%</w:t>
      </w:r>
      <w:r>
        <w:rPr>
          <w:rFonts w:hint="eastAsia"/>
        </w:rPr>
        <w:t>上升到</w:t>
      </w:r>
      <w:r>
        <w:t xml:space="preserve">12% </w:t>
      </w:r>
      <w:r>
        <w:rPr>
          <w:rFonts w:hint="eastAsia"/>
        </w:rPr>
        <w:t>和从</w:t>
      </w:r>
      <w:r>
        <w:t>4%</w:t>
      </w:r>
      <w:r>
        <w:rPr>
          <w:rFonts w:hint="eastAsia"/>
        </w:rPr>
        <w:t>上升到</w:t>
      </w:r>
      <w:r>
        <w:t>11%</w:t>
      </w:r>
      <w:r>
        <w:rPr>
          <w:rFonts w:hint="eastAsia"/>
        </w:rPr>
        <w:t>。尽管提供学费的积极行动已经中止，但对女生入学率的贡献还是相当显著的。不过应该注意到，学费转到中学以后，有4 000名男生辍学。另一方面，80%的教师在性别方面的意识较弱，在发放书本和食品上偏向男生，因为男生交了学费，他们只把剩下的书和食物分给女生。为保证教师态度的转变，1994年到2000年间，对小学课程设置进行了更改，并提高了教师的妇女与发展意识。制定了课堂性别清单，中学和大学的录取比例从1</w:t>
      </w:r>
      <w:r>
        <w:t>:</w:t>
      </w:r>
      <w:r>
        <w:rPr>
          <w:rFonts w:hint="eastAsia"/>
        </w:rPr>
        <w:t>3上升到1</w:t>
      </w:r>
      <w:r>
        <w:t>:</w:t>
      </w:r>
      <w:r>
        <w:rPr>
          <w:rFonts w:hint="eastAsia"/>
        </w:rPr>
        <w:t>2，目前正在向1</w:t>
      </w:r>
      <w:r>
        <w:t>:</w:t>
      </w:r>
      <w:r>
        <w:rPr>
          <w:rFonts w:hint="eastAsia"/>
        </w:rPr>
        <w:t>1迈进。因怀孕而辍学的女生被重新录取。</w:t>
      </w:r>
    </w:p>
    <w:p w:rsidR="005052D3" w:rsidRDefault="005052D3">
      <w:pPr>
        <w:pStyle w:val="SingleTxt"/>
      </w:pPr>
      <w:r>
        <w:t xml:space="preserve">4.4.2  </w:t>
      </w:r>
      <w:r>
        <w:rPr>
          <w:rFonts w:hint="eastAsia"/>
        </w:rPr>
        <w:t>在《消除对妇女一切形式歧视公约》意义内的第二套积极行动计划是旨在改善安全孕产的项目。马拉维政府同联合国以及其他国际发展机构合作，已经实施了一个旨在推动安全孕产的项目，从1998年起，14家医院成为爱婴医院，优先考虑孕产服务。</w:t>
      </w:r>
    </w:p>
    <w:p w:rsidR="005052D3" w:rsidRDefault="005052D3">
      <w:pPr>
        <w:pStyle w:val="SingleTxt"/>
      </w:pPr>
      <w:r>
        <w:t xml:space="preserve">4.4.3  </w:t>
      </w:r>
      <w:r>
        <w:rPr>
          <w:rFonts w:hint="eastAsia"/>
        </w:rPr>
        <w:t>马拉维大学采取了第三种积极行动，有意地为妇女留出至少30%的名额。为此，马拉维大学采用一刀切的办法，降低妇女录取分数线。这30%的名额已充分利用，因为大量女生被录取进了该大学的护理学院，该学院的女生平均入学率超过80%。另外，林业计划规定，社区委员会中必须有50%的成员为女性。</w:t>
      </w:r>
    </w:p>
    <w:p w:rsidR="005052D3" w:rsidRDefault="005052D3">
      <w:pPr>
        <w:pStyle w:val="SingleTxt"/>
      </w:pPr>
      <w:r>
        <w:t xml:space="preserve">4.4.4  </w:t>
      </w:r>
      <w:r>
        <w:rPr>
          <w:rFonts w:hint="eastAsia"/>
        </w:rPr>
        <w:t>在经济授权方面，性别部开展了全国性经济授权计划，根据贫困评估结果，该计划涉及到</w:t>
      </w:r>
      <w:r>
        <w:t>70%</w:t>
      </w:r>
      <w:r>
        <w:rPr>
          <w:rFonts w:hint="eastAsia"/>
        </w:rPr>
        <w:t>的妇女和</w:t>
      </w:r>
      <w:r>
        <w:t>30%</w:t>
      </w:r>
      <w:r>
        <w:rPr>
          <w:rFonts w:hint="eastAsia"/>
        </w:rPr>
        <w:t>的男子。随后，共有</w:t>
      </w:r>
      <w:r>
        <w:t xml:space="preserve"> 37</w:t>
      </w:r>
      <w:r>
        <w:rPr>
          <w:rFonts w:hint="eastAsia"/>
        </w:rPr>
        <w:t xml:space="preserve"> </w:t>
      </w:r>
      <w:r>
        <w:t>160</w:t>
      </w:r>
      <w:r>
        <w:rPr>
          <w:rFonts w:hint="eastAsia"/>
        </w:rPr>
        <w:t>名妇女和</w:t>
      </w:r>
      <w:r>
        <w:t>15</w:t>
      </w:r>
      <w:r>
        <w:rPr>
          <w:rFonts w:hint="eastAsia"/>
        </w:rPr>
        <w:t xml:space="preserve"> </w:t>
      </w:r>
      <w:r>
        <w:t>925</w:t>
      </w:r>
      <w:r>
        <w:rPr>
          <w:rFonts w:hint="eastAsia"/>
        </w:rPr>
        <w:t>名男子受到业务、信用和技术管理方面的培训，而在1995年到2003年间，共有</w:t>
      </w:r>
      <w:r>
        <w:t xml:space="preserve"> 19</w:t>
      </w:r>
      <w:r>
        <w:rPr>
          <w:rFonts w:hint="eastAsia"/>
        </w:rPr>
        <w:t xml:space="preserve"> </w:t>
      </w:r>
      <w:r>
        <w:t>453</w:t>
      </w:r>
      <w:r>
        <w:rPr>
          <w:rFonts w:hint="eastAsia"/>
        </w:rPr>
        <w:t>名妇女和</w:t>
      </w:r>
      <w:r>
        <w:t>8</w:t>
      </w:r>
      <w:r>
        <w:rPr>
          <w:rFonts w:hint="eastAsia"/>
        </w:rPr>
        <w:t xml:space="preserve"> </w:t>
      </w:r>
      <w:r>
        <w:t>337</w:t>
      </w:r>
      <w:r>
        <w:rPr>
          <w:rFonts w:hint="eastAsia"/>
        </w:rPr>
        <w:t>名男子获得贷款，这些措施已不承认马拉维的贫困是不受约束的。</w:t>
      </w:r>
    </w:p>
    <w:p w:rsidR="005052D3" w:rsidRDefault="005052D3">
      <w:pPr>
        <w:pStyle w:val="SingleTxt"/>
        <w:spacing w:after="130"/>
      </w:pPr>
      <w:r>
        <w:t xml:space="preserve">4.4.5  </w:t>
      </w:r>
      <w:r>
        <w:rPr>
          <w:rFonts w:hint="eastAsia"/>
        </w:rPr>
        <w:t>减贫框架以及远景</w:t>
      </w:r>
      <w:r>
        <w:t>20:20</w:t>
      </w:r>
      <w:r>
        <w:rPr>
          <w:rFonts w:hint="eastAsia"/>
        </w:rPr>
        <w:t>注意到，在男女贫困问题上存在很大的性别差距。虽然签订了《南共体妇女与发展宣言》（该宣言规定妇女应该占决策岗位的30%），马拉维政府还未设立加速实现这一目标的配额。2000年，马拉维政府制定了政策投资框架。该框架规定妇女在小学、中学和大学的各级入学率至少要增加到50%。1999-2004年国家健康计划，就其在弱势群体地位方面所产生的影响而言，已经提高了医疗保健的平等程度，该计划尤其把妇女和处于不利地位的青年作为重点对象。这包括扩大和改善生殖健康设施。马拉维减贫战略文件确定了改善获得微观财政的途径，把它作为实现收入平等分配的重要手段。</w:t>
      </w:r>
      <w:r>
        <w:t xml:space="preserve">  </w:t>
      </w:r>
    </w:p>
    <w:p w:rsidR="005052D3" w:rsidRDefault="005052D3">
      <w:pPr>
        <w:pStyle w:val="SingleTxt"/>
        <w:spacing w:after="130" w:line="340" w:lineRule="exact"/>
      </w:pPr>
      <w:r>
        <w:t xml:space="preserve">4.4.6  </w:t>
      </w:r>
      <w:r>
        <w:rPr>
          <w:rFonts w:hint="eastAsia"/>
        </w:rPr>
        <w:t>马拉维社会行动基金（</w:t>
      </w:r>
      <w:r>
        <w:t>MASAF</w:t>
      </w:r>
      <w:r>
        <w:rPr>
          <w:rFonts w:hint="eastAsia"/>
        </w:rPr>
        <w:t>）已经规定，社区一级的项目委员会中妇女的人数应该占</w:t>
      </w:r>
      <w:r>
        <w:t>30%</w:t>
      </w:r>
      <w:r>
        <w:rPr>
          <w:rFonts w:hint="eastAsia"/>
        </w:rPr>
        <w:t>到5</w:t>
      </w:r>
      <w:r>
        <w:t>0%</w:t>
      </w:r>
      <w:r>
        <w:rPr>
          <w:rFonts w:hint="eastAsia"/>
        </w:rPr>
        <w:t>，因而，提高了妇女在社区发展工作决策中的人数。</w:t>
      </w:r>
    </w:p>
    <w:p w:rsidR="005052D3" w:rsidRDefault="005052D3">
      <w:pPr>
        <w:pStyle w:val="SingleTxt"/>
        <w:spacing w:after="130" w:line="340" w:lineRule="exact"/>
      </w:pPr>
      <w:r>
        <w:t xml:space="preserve">4.4.7  </w:t>
      </w:r>
      <w:r>
        <w:rPr>
          <w:rFonts w:hint="eastAsia"/>
        </w:rPr>
        <w:t>还开展了几个微观财政计划，由不同的组织管理，对象是没有旁系亲属（如妇女）的最贫困的人。但其覆盖范围因为缺乏足够的贷款资源而受到限制，而且，一些男子不理解为什么妇女成为这种服务的对象。</w:t>
      </w:r>
    </w:p>
    <w:p w:rsidR="005052D3" w:rsidRDefault="005052D3">
      <w:pPr>
        <w:pStyle w:val="SingleTxt"/>
        <w:spacing w:after="130" w:line="340" w:lineRule="exact"/>
      </w:pPr>
      <w:r>
        <w:t xml:space="preserve">4.4.8  </w:t>
      </w:r>
      <w:r>
        <w:rPr>
          <w:rFonts w:hint="eastAsia"/>
        </w:rPr>
        <w:t>在收集资料的过程中注意到，一些男子不理解为什么一些计划偏向于妇女。与社区的交流还证实，妇女在生活的许多方面仍然受到压制。在一夫多妻盛行的</w:t>
      </w:r>
      <w:r>
        <w:t>Ngoni</w:t>
      </w:r>
      <w:r>
        <w:rPr>
          <w:rFonts w:hint="eastAsia"/>
        </w:rPr>
        <w:t>和</w:t>
      </w:r>
      <w:r>
        <w:t>Chewas</w:t>
      </w:r>
      <w:r>
        <w:rPr>
          <w:rFonts w:hint="eastAsia"/>
        </w:rPr>
        <w:t>社区，妇女和儿童被看作是廉价劳动力的来源，妇女被看作是生育的工具。</w:t>
      </w:r>
      <w:r>
        <w:t xml:space="preserve"> </w:t>
      </w:r>
    </w:p>
    <w:p w:rsidR="005052D3" w:rsidRDefault="005052D3">
      <w:pPr>
        <w:pStyle w:val="SingleTxt"/>
        <w:spacing w:after="130" w:line="340" w:lineRule="exact"/>
      </w:pPr>
      <w:r>
        <w:t xml:space="preserve">4.4.9  </w:t>
      </w:r>
      <w:r>
        <w:rPr>
          <w:rFonts w:hint="eastAsia"/>
        </w:rPr>
        <w:t>根据其任务，性别和社区服务部应该监督积极行动的实施结果，但不幸的是，该部面临很多能力问题，包括缺乏足够的资金和人员减少问题（由艾滋病毒/艾滋病引起），使得该部无法对实施情况有效地进行监督。</w:t>
      </w:r>
    </w:p>
    <w:p w:rsidR="005052D3" w:rsidRDefault="005052D3">
      <w:pPr>
        <w:tabs>
          <w:tab w:val="left" w:pos="840"/>
        </w:tabs>
        <w:spacing w:after="130" w:line="340" w:lineRule="exact"/>
        <w:rPr>
          <w:rFonts w:eastAsia="SimHei"/>
          <w:color w:val="FF0000"/>
        </w:rPr>
      </w:pPr>
      <w:r>
        <w:rPr>
          <w:rFonts w:eastAsia="SimHei"/>
          <w:color w:val="FF0000"/>
        </w:rPr>
        <w:tab/>
      </w:r>
      <w:r>
        <w:rPr>
          <w:rFonts w:eastAsia="SimHei"/>
          <w:color w:val="FF0000"/>
        </w:rPr>
        <w:tab/>
      </w:r>
      <w:r>
        <w:rPr>
          <w:rFonts w:eastAsia="SimHei"/>
          <w:color w:val="FF0000"/>
        </w:rPr>
        <w:tab/>
      </w:r>
      <w:r>
        <w:rPr>
          <w:rFonts w:eastAsia="SimHei" w:hint="eastAsia"/>
          <w:color w:val="FF0000"/>
        </w:rPr>
        <w:t>结论</w:t>
      </w:r>
    </w:p>
    <w:p w:rsidR="005052D3" w:rsidRDefault="005052D3">
      <w:pPr>
        <w:pStyle w:val="SingleTxt"/>
        <w:spacing w:after="130" w:line="340" w:lineRule="exact"/>
      </w:pPr>
      <w:r>
        <w:t xml:space="preserve">4.4.10  </w:t>
      </w:r>
      <w:r>
        <w:rPr>
          <w:rFonts w:hint="eastAsia"/>
        </w:rPr>
        <w:t>开展积极行动是为了消除男女之间的性别差距，加速实现男女平等，这些行动如</w:t>
      </w:r>
      <w:r>
        <w:t>GABLE</w:t>
      </w:r>
      <w:r>
        <w:rPr>
          <w:rFonts w:hint="eastAsia"/>
        </w:rPr>
        <w:t>项目、马拉维大学录取、微观信用等等。但旨在解决性别差距的许多政策和立法缺乏具体的时间限制，没有加速实现男女平等的临时措施。这种情况因马拉维社区的传统家族习俗和态度而进一步恶化，同时又没有太多使农村社区参与到设计、实施和监督之中的发展项目。</w:t>
      </w:r>
    </w:p>
    <w:p w:rsidR="005052D3" w:rsidRDefault="005052D3">
      <w:pPr>
        <w:pStyle w:val="H1"/>
        <w:spacing w:after="130" w:line="340" w:lineRule="exact"/>
      </w:pPr>
      <w:bookmarkStart w:id="18" w:name="_Toc33784412"/>
      <w:bookmarkStart w:id="19" w:name="_Toc377350751"/>
      <w:bookmarkStart w:id="20" w:name="_Toc83142693"/>
      <w:r>
        <w:tab/>
      </w:r>
      <w:r>
        <w:tab/>
      </w:r>
      <w:r>
        <w:tab/>
      </w:r>
      <w:r>
        <w:rPr>
          <w:rFonts w:hint="eastAsia"/>
        </w:rPr>
        <w:t>第</w:t>
      </w:r>
      <w:r>
        <w:t>5</w:t>
      </w:r>
      <w:r>
        <w:rPr>
          <w:rFonts w:hint="eastAsia"/>
        </w:rPr>
        <w:t>条：男女角色和传统观念</w:t>
      </w:r>
      <w:bookmarkEnd w:id="18"/>
      <w:bookmarkEnd w:id="19"/>
      <w:bookmarkEnd w:id="20"/>
    </w:p>
    <w:p w:rsidR="005052D3" w:rsidRDefault="005052D3">
      <w:pPr>
        <w:pStyle w:val="FootnoteText"/>
        <w:tabs>
          <w:tab w:val="left" w:pos="840"/>
        </w:tabs>
        <w:spacing w:after="130" w:line="340" w:lineRule="exact"/>
        <w:jc w:val="both"/>
        <w:rPr>
          <w:rFonts w:ascii="SimHei" w:eastAsia="SimHei" w:hint="eastAsia"/>
          <w:bCs/>
          <w:color w:val="FF0000"/>
          <w:sz w:val="21"/>
          <w:szCs w:val="24"/>
        </w:rPr>
      </w:pPr>
      <w:r>
        <w:rPr>
          <w:rFonts w:ascii="SimHei" w:eastAsia="SimHei"/>
          <w:bCs/>
          <w:color w:val="FF0000"/>
          <w:sz w:val="21"/>
          <w:szCs w:val="24"/>
        </w:rPr>
        <w:tab/>
      </w:r>
      <w:r>
        <w:rPr>
          <w:rFonts w:ascii="SimHei" w:eastAsia="SimHei"/>
          <w:bCs/>
          <w:color w:val="FF0000"/>
          <w:sz w:val="21"/>
          <w:szCs w:val="24"/>
        </w:rPr>
        <w:tab/>
      </w:r>
      <w:r>
        <w:rPr>
          <w:rFonts w:ascii="SimHei" w:eastAsia="SimHei"/>
          <w:bCs/>
          <w:color w:val="FF0000"/>
          <w:sz w:val="21"/>
          <w:szCs w:val="24"/>
        </w:rPr>
        <w:tab/>
      </w:r>
      <w:r>
        <w:rPr>
          <w:rFonts w:ascii="SimHei" w:eastAsia="SimHei"/>
          <w:bCs/>
          <w:color w:val="FF0000"/>
          <w:sz w:val="21"/>
          <w:szCs w:val="24"/>
        </w:rPr>
        <w:tab/>
      </w:r>
      <w:r>
        <w:rPr>
          <w:rFonts w:ascii="SimHei" w:eastAsia="SimHei"/>
          <w:bCs/>
          <w:color w:val="FF0000"/>
          <w:sz w:val="21"/>
          <w:szCs w:val="24"/>
        </w:rPr>
        <w:tab/>
        <w:t>5.1</w:t>
      </w:r>
      <w:r>
        <w:rPr>
          <w:rFonts w:ascii="SimHei" w:eastAsia="SimHei"/>
          <w:bCs/>
          <w:color w:val="FF0000"/>
          <w:sz w:val="21"/>
          <w:szCs w:val="24"/>
        </w:rPr>
        <w:tab/>
        <w:t>《消除对妇女一切形式歧视公约》</w:t>
      </w:r>
      <w:r>
        <w:rPr>
          <w:rFonts w:ascii="SimHei" w:eastAsia="SimHei" w:hint="eastAsia"/>
          <w:bCs/>
          <w:color w:val="FF0000"/>
          <w:sz w:val="21"/>
          <w:szCs w:val="24"/>
        </w:rPr>
        <w:t>标准</w:t>
      </w:r>
    </w:p>
    <w:p w:rsidR="005052D3" w:rsidRDefault="005052D3">
      <w:pPr>
        <w:tabs>
          <w:tab w:val="left" w:pos="840"/>
        </w:tabs>
        <w:spacing w:after="130" w:line="340" w:lineRule="exact"/>
        <w:rPr>
          <w:rFonts w:ascii="KaiTi_GB2312" w:eastAsia="KaiTi_GB2312"/>
          <w:color w:val="0000FF"/>
        </w:rPr>
      </w:pPr>
      <w:r>
        <w:rPr>
          <w:rFonts w:ascii="KaiTi_GB2312" w:eastAsia="KaiTi_GB2312"/>
          <w:color w:val="0000FF"/>
        </w:rPr>
        <w:tab/>
      </w:r>
      <w:r>
        <w:rPr>
          <w:rFonts w:ascii="KaiTi_GB2312" w:eastAsia="KaiTi_GB2312"/>
          <w:color w:val="0000FF"/>
        </w:rPr>
        <w:tab/>
      </w:r>
      <w:r>
        <w:rPr>
          <w:rFonts w:ascii="KaiTi_GB2312" w:eastAsia="KaiTi_GB2312"/>
          <w:color w:val="0000FF"/>
        </w:rPr>
        <w:tab/>
      </w:r>
      <w:r>
        <w:rPr>
          <w:rFonts w:ascii="KaiTi_GB2312" w:eastAsia="KaiTi_GB2312" w:hint="eastAsia"/>
          <w:color w:val="0000FF"/>
        </w:rPr>
        <w:t>第</w:t>
      </w:r>
      <w:r>
        <w:rPr>
          <w:rFonts w:ascii="KaiTi_GB2312" w:eastAsia="KaiTi_GB2312"/>
          <w:color w:val="0000FF"/>
        </w:rPr>
        <w:t>5</w:t>
      </w:r>
      <w:r>
        <w:rPr>
          <w:rFonts w:ascii="KaiTi_GB2312" w:eastAsia="KaiTi_GB2312" w:hint="eastAsia"/>
          <w:color w:val="0000FF"/>
        </w:rPr>
        <w:t>条</w:t>
      </w:r>
      <w:r>
        <w:rPr>
          <w:rFonts w:ascii="KaiTi_GB2312" w:eastAsia="KaiTi_GB2312"/>
          <w:color w:val="0000FF"/>
        </w:rPr>
        <w:t>.</w:t>
      </w:r>
      <w:r>
        <w:rPr>
          <w:rFonts w:ascii="KaiTi_GB2312" w:eastAsia="KaiTi_GB2312"/>
          <w:color w:val="0000FF"/>
        </w:rPr>
        <w:tab/>
      </w:r>
      <w:r>
        <w:rPr>
          <w:rFonts w:ascii="KaiTi_GB2312" w:eastAsia="KaiTi_GB2312" w:hint="eastAsia"/>
          <w:color w:val="0000FF"/>
        </w:rPr>
        <w:t xml:space="preserve">缔约各国应采取一切适当措施： </w:t>
      </w:r>
    </w:p>
    <w:p w:rsidR="005052D3" w:rsidRDefault="005052D3">
      <w:pPr>
        <w:pStyle w:val="SingleTxt"/>
        <w:spacing w:after="130" w:line="340" w:lineRule="exact"/>
        <w:ind w:left="2126" w:hanging="431"/>
        <w:rPr>
          <w:rFonts w:hint="eastAsia"/>
        </w:rPr>
      </w:pPr>
      <w:r>
        <w:rPr>
          <w:rFonts w:ascii="KaiTi_GB2312" w:eastAsia="KaiTi_GB2312" w:hint="eastAsia"/>
          <w:color w:val="0000FF"/>
        </w:rPr>
        <w:t xml:space="preserve">(a) </w:t>
      </w:r>
      <w:r>
        <w:rPr>
          <w:rFonts w:ascii="KaiTi_GB2312" w:eastAsia="KaiTi_GB2312"/>
          <w:color w:val="0000FF"/>
        </w:rPr>
        <w:tab/>
      </w:r>
      <w:r>
        <w:rPr>
          <w:rFonts w:ascii="KaiTi_GB2312" w:eastAsia="KaiTi_GB2312" w:hint="eastAsia"/>
          <w:color w:val="0000FF"/>
        </w:rPr>
        <w:t>改变男女的社会和文化行为模式，以消除基于性别而分尊卑观念或基于男女定型任务所产生的偏见、习俗和一切其他做法</w:t>
      </w:r>
      <w:r>
        <w:rPr>
          <w:rFonts w:hint="eastAsia"/>
        </w:rPr>
        <w:t xml:space="preserve">； </w:t>
      </w:r>
    </w:p>
    <w:p w:rsidR="005052D3" w:rsidRDefault="005052D3">
      <w:pPr>
        <w:pStyle w:val="SingleTxt"/>
        <w:spacing w:after="130" w:line="340" w:lineRule="exact"/>
        <w:ind w:left="2126" w:hanging="431"/>
        <w:rPr>
          <w:rFonts w:ascii="KaiTi_GB2312" w:eastAsia="KaiTi_GB2312" w:hint="eastAsia"/>
          <w:color w:val="0000FF"/>
        </w:rPr>
      </w:pPr>
      <w:r>
        <w:rPr>
          <w:rFonts w:ascii="KaiTi_GB2312" w:eastAsia="KaiTi_GB2312" w:hint="eastAsia"/>
          <w:color w:val="0000FF"/>
        </w:rPr>
        <w:t xml:space="preserve">(b) </w:t>
      </w:r>
      <w:r>
        <w:rPr>
          <w:rFonts w:ascii="KaiTi_GB2312" w:eastAsia="KaiTi_GB2312"/>
          <w:color w:val="0000FF"/>
        </w:rPr>
        <w:tab/>
      </w:r>
      <w:r>
        <w:rPr>
          <w:rFonts w:ascii="KaiTi_GB2312" w:eastAsia="KaiTi_GB2312" w:hint="eastAsia"/>
          <w:color w:val="0000FF"/>
        </w:rPr>
        <w:t>保证家庭教育应包括正确了解母性的社会功能和确认教养子女是父母的共同责任，当然在任何情况下都应首先考虑子女的利益。</w:t>
      </w:r>
    </w:p>
    <w:p w:rsidR="005052D3" w:rsidRDefault="005052D3">
      <w:pPr>
        <w:numPr>
          <w:ilvl w:val="1"/>
          <w:numId w:val="14"/>
        </w:numPr>
        <w:tabs>
          <w:tab w:val="left" w:pos="840"/>
        </w:tabs>
        <w:spacing w:after="130" w:line="340" w:lineRule="exact"/>
        <w:ind w:left="2013"/>
        <w:rPr>
          <w:rFonts w:eastAsia="SimHei"/>
          <w:bCs/>
          <w:color w:val="FF0000"/>
        </w:rPr>
      </w:pPr>
      <w:r>
        <w:rPr>
          <w:rFonts w:eastAsia="SimHei" w:hint="eastAsia"/>
          <w:bCs/>
          <w:color w:val="FF0000"/>
        </w:rPr>
        <w:t>导言</w:t>
      </w:r>
    </w:p>
    <w:p w:rsidR="005052D3" w:rsidRDefault="005052D3">
      <w:pPr>
        <w:pStyle w:val="SingleTxt"/>
        <w:spacing w:line="340" w:lineRule="exact"/>
      </w:pPr>
      <w:r>
        <w:t xml:space="preserve">5.2.1  </w:t>
      </w:r>
      <w:r>
        <w:rPr>
          <w:rFonts w:hint="eastAsia"/>
        </w:rPr>
        <w:t>马拉维的性别关系和角色在很大程度上受到文化规范和信仰的影响。大多数做法都是基于妇女地位低下的观念，女孩从出生到长大、青春期、结婚、成人甚至死亡，都经历性暴力、角色定位以及男女态度。</w:t>
      </w:r>
    </w:p>
    <w:p w:rsidR="005052D3" w:rsidRDefault="005052D3">
      <w:pPr>
        <w:pStyle w:val="SingleTxt"/>
      </w:pPr>
      <w:r>
        <w:t xml:space="preserve">5.2.2  </w:t>
      </w:r>
      <w:r>
        <w:rPr>
          <w:rFonts w:hint="eastAsia"/>
        </w:rPr>
        <w:t>马拉维的宪法要求实现男女平等，但并没有特别强调解决性别定位、男女关系和传统观念问题的重要性。《消除对妇女一切形式歧视公约》全国工作委员会在与社区交流过程中发现，马拉维社会中对妇女的定型观念根深蒂固，但是，由于收入过低、缺乏基本需求以及有关对男女平等的宣传使得马拉维正处于性别角色和态度正在从父权制向坚决反抗变化的过渡阶段。</w:t>
      </w:r>
    </w:p>
    <w:p w:rsidR="005052D3" w:rsidRDefault="005052D3">
      <w:pPr>
        <w:numPr>
          <w:ilvl w:val="1"/>
          <w:numId w:val="14"/>
        </w:numPr>
        <w:tabs>
          <w:tab w:val="left" w:pos="840"/>
        </w:tabs>
        <w:spacing w:after="120" w:line="320" w:lineRule="atLeast"/>
        <w:ind w:left="1293" w:firstLine="0"/>
        <w:rPr>
          <w:rFonts w:eastAsia="SimHei" w:hint="eastAsia"/>
          <w:bCs/>
          <w:color w:val="FF0000"/>
        </w:rPr>
      </w:pPr>
      <w:r>
        <w:rPr>
          <w:rFonts w:eastAsia="SimHei" w:hint="eastAsia"/>
          <w:bCs/>
          <w:color w:val="FF0000"/>
        </w:rPr>
        <w:t>性别角色的定位和马拉维国内存在的传统观念</w:t>
      </w:r>
    </w:p>
    <w:p w:rsidR="005052D3" w:rsidRDefault="005052D3">
      <w:pPr>
        <w:pStyle w:val="SingleTxt"/>
      </w:pPr>
      <w:r>
        <w:t xml:space="preserve">5.3.1  </w:t>
      </w:r>
      <w:r>
        <w:rPr>
          <w:rFonts w:hint="eastAsia"/>
        </w:rPr>
        <w:t>性别角色和关系的定位以及长期存在的定型观念是从人出生时就开始的。在马拉维，孩子出生后就要根据性别命名。虽然不是普遍偏爱男孩，但许多父母都盼望家里第一个孩子是男孩。认为男孩在体力、社会和经济方面均可能优于女孩，是家庭的保护者、供养者和一家之主，受到所有家庭成员的尊重。</w:t>
      </w:r>
      <w:r>
        <w:t xml:space="preserve"> </w:t>
      </w:r>
    </w:p>
    <w:p w:rsidR="005052D3" w:rsidRDefault="005052D3">
      <w:pPr>
        <w:pStyle w:val="SingleTxt"/>
      </w:pPr>
      <w:r>
        <w:t xml:space="preserve">5.3.2  </w:t>
      </w:r>
      <w:r>
        <w:rPr>
          <w:rFonts w:hint="eastAsia"/>
        </w:rPr>
        <w:t>男孩女孩的抚养根据孩子和父母的性别确定。《消除对妇女一切形式歧视公约》全国工作委员会从所访问的社区了解到，非常小的孩子大都由母亲照管，因为孩子需要哺育。初学走路时，父母双方共同为孩子长大成人做些准备，孩子快到青春期时，女孩成为母亲及其他妇女的责任，而男孩从父亲和其他男人那里学到东西。在这一阶段，农村地区的大多数马拉维人认为男孩和女孩要尽量分开。</w:t>
      </w:r>
    </w:p>
    <w:p w:rsidR="005052D3" w:rsidRDefault="005052D3">
      <w:pPr>
        <w:pStyle w:val="SingleTxt"/>
      </w:pPr>
      <w:r>
        <w:t xml:space="preserve">5.3.3  </w:t>
      </w:r>
      <w:r>
        <w:rPr>
          <w:rFonts w:hint="eastAsia"/>
        </w:rPr>
        <w:t>家庭中男孩和女孩的角色分配是按性别进行的。女孩一般和母亲一起照顾父亲和兄弟，没有太多的时间玩耍和学习。马拉维各家中的女孩所做的事情就是做饭、打水、打扫家里卫生、磨玉米面等。男孩从父亲那儿学习如何完成某些任务，并保护姐妹别与不合适的男孩和男人来往，免遭暴力。总之，女孩当学徒，在父亲干活时当助手，同时要照顾其他老人。父亲干的活要比母亲的少，所以男孩有更多的时间玩耍和学习。在没有女孩的家庭中，男孩在不知不觉中也扮演女孩的角色。农村地区的女孩学习在与老人说话、照顾老人时双膝跪地，而男孩只需蹲下即可。</w:t>
      </w:r>
    </w:p>
    <w:p w:rsidR="005052D3" w:rsidRDefault="005052D3">
      <w:pPr>
        <w:pStyle w:val="SingleTxt"/>
      </w:pPr>
      <w:r>
        <w:t xml:space="preserve">5.3.4  </w:t>
      </w:r>
      <w:r>
        <w:rPr>
          <w:rFonts w:hint="eastAsia"/>
        </w:rPr>
        <w:t>家庭的社会化也使得社区参与到男女孩子的抚养中来。通过礼仪、仪式、咨询会议使男孩和女孩分别长成男人和女人。这样的做法通常是秘密进行的，使用一定口令和编码语言。这种做法的一个例子便是</w:t>
      </w:r>
      <w:r>
        <w:t>kumeta</w:t>
      </w:r>
      <w:r>
        <w:rPr>
          <w:rFonts w:hint="eastAsia"/>
        </w:rPr>
        <w:t>，这是</w:t>
      </w:r>
      <w:r>
        <w:rPr>
          <w:rFonts w:eastAsia="KaiTi_GB2312"/>
        </w:rPr>
        <w:t>Chewa</w:t>
      </w:r>
      <w:r>
        <w:rPr>
          <w:rFonts w:hint="eastAsia"/>
        </w:rPr>
        <w:t>在</w:t>
      </w:r>
      <w:r>
        <w:t xml:space="preserve"> Nyau</w:t>
      </w:r>
      <w:r>
        <w:rPr>
          <w:rFonts w:hint="eastAsia"/>
        </w:rPr>
        <w:t>秘密社团中进行的，还有一种叫作</w:t>
      </w:r>
      <w:r>
        <w:rPr>
          <w:rFonts w:eastAsia="KaiTi_GB2312"/>
        </w:rPr>
        <w:t>jando</w:t>
      </w:r>
      <w:r>
        <w:rPr>
          <w:rFonts w:hint="eastAsia"/>
        </w:rPr>
        <w:t>，</w:t>
      </w:r>
      <w:r>
        <w:t xml:space="preserve"> </w:t>
      </w:r>
      <w:r>
        <w:rPr>
          <w:rFonts w:hint="eastAsia"/>
        </w:rPr>
        <w:t>是Yao中男孩的割礼。教学方法不是参与式的，有时还要挨耳光。其他形式的暴力和强硬的语言，特别是那些被认为很难对付或背离男子或女性角色而且在语言和姿势上表现出对老人不尊重的男孩和女孩，都要受到惩罚。</w:t>
      </w:r>
    </w:p>
    <w:p w:rsidR="005052D3" w:rsidRDefault="005052D3">
      <w:pPr>
        <w:pStyle w:val="SingleTxt"/>
      </w:pPr>
      <w:r>
        <w:t xml:space="preserve">5.3.5  </w:t>
      </w:r>
      <w:r>
        <w:rPr>
          <w:rFonts w:hint="eastAsia"/>
        </w:rPr>
        <w:t>尽管在城市地区和受过教育的人中间仪式并不常见，但咨询会却是很常见的。对属于同一宗教的人来说，咨询会有时是他们的宗教组织提供的，城市和农村地区都一样。除宗教仪式和咨询仪式外，农村地区的男孩和女孩不能在其父母过夜的地方睡觉。相反，女孩要在女孩房间过夜，与男孩的房间隔开。这些做法随着社会的变化正慢慢减少。</w:t>
      </w:r>
    </w:p>
    <w:p w:rsidR="005052D3" w:rsidRDefault="005052D3">
      <w:pPr>
        <w:pStyle w:val="SingleTxt"/>
      </w:pPr>
      <w:r>
        <w:t xml:space="preserve">5.3.6  </w:t>
      </w:r>
      <w:r>
        <w:rPr>
          <w:rFonts w:hint="eastAsia"/>
        </w:rPr>
        <w:t>传统仪式，通常被称作</w:t>
      </w:r>
      <w:r>
        <w:rPr>
          <w:rFonts w:eastAsia="KaiTi_GB2312"/>
        </w:rPr>
        <w:t>kumeta</w:t>
      </w:r>
      <w:r>
        <w:rPr>
          <w:rFonts w:hint="eastAsia"/>
        </w:rPr>
        <w:t>，是根据性别来完成的。男人完成仪式是使男孩成为男人，女人完成仪式是使女孩成为可以被丈夫和社会接受的女人。这些仪式或咨询会上宣传的妇女形象是一个持家的人，是一个地位低下而又驯服顺从的人，时刻准备为丈夫提供性服务和做家务，而且还是个能干的母亲。女孩还学习卫生规则，照顾自己和未来的家庭。另一方面，</w:t>
      </w:r>
      <w:r>
        <w:t xml:space="preserve"> </w:t>
      </w:r>
      <w:r>
        <w:rPr>
          <w:rFonts w:hint="eastAsia"/>
        </w:rPr>
        <w:t>咨询仪式上宣传的男人形象是有男子气概的，是能控制性、家务和妻子的人，对妻子及其子女具有约束力。这些仪式和咨询仪式使得男女的角色和任务都更加男性化或女性化。</w:t>
      </w:r>
    </w:p>
    <w:p w:rsidR="005052D3" w:rsidRDefault="005052D3">
      <w:pPr>
        <w:pStyle w:val="SingleTxt"/>
      </w:pPr>
      <w:r>
        <w:t xml:space="preserve">5.3.7  </w:t>
      </w:r>
      <w:r>
        <w:rPr>
          <w:rFonts w:hint="eastAsia"/>
        </w:rPr>
        <w:t>定型观念中的角色和不平等的性别关系的长期存在部分是因为马拉维的歌舞角色引起的。反映性角色和传统形象的歌曲通过仪式、舞蹈和单纯的娱乐从一个社区传到另一个社区，从一代传到下一代。这样的歌曲在马拉维广播电台也是经常播出的。在一些社区，歌曲和舞蹈是有力的交际工具，可以改变社区的行为或者某个人的行为，以实现社会的理想或共同目标。</w:t>
      </w:r>
    </w:p>
    <w:p w:rsidR="005052D3" w:rsidRDefault="005052D3">
      <w:pPr>
        <w:pStyle w:val="SingleTxt"/>
      </w:pPr>
      <w:r>
        <w:t xml:space="preserve">5.3.8  </w:t>
      </w:r>
      <w:r>
        <w:rPr>
          <w:rFonts w:hint="eastAsia"/>
        </w:rPr>
        <w:t>根据马拉维社区的观念，一旦青春期到来，婚姻就可提到日程上来。这对女孩来说尤其如此，因为女孩被认为比男孩成熟早，可以在丈夫的支持下成为准妻子而生儿育女。在结婚前，为女孩举行咨询仪式，但不为男孩举行这样的仪式。上了年纪的妇女和老师通常被称作</w:t>
      </w:r>
      <w:r>
        <w:rPr>
          <w:rFonts w:eastAsia="KaiTi_GB2312"/>
        </w:rPr>
        <w:t>Anamkungwi</w:t>
      </w:r>
      <w:r>
        <w:rPr>
          <w:rFonts w:hint="eastAsia"/>
        </w:rPr>
        <w:t>，她们与这位准妻子呆上一段时间，教会她如何成为一名好妻子。无论是城市还是乡村，这些仪式以厨房宴会或新娘沐浴，都由妇女们主持，告诉准新娘如果不能使自己的丈夫满意，就不一定有美满的婚姻，当然还有持家服务。在这些仪式上，就像在传统仪式上一样，女孩不能问任何问题，而只能洗耳恭听。</w:t>
      </w:r>
      <w:r>
        <w:t xml:space="preserve"> </w:t>
      </w:r>
    </w:p>
    <w:p w:rsidR="005052D3" w:rsidRDefault="005052D3">
      <w:pPr>
        <w:pStyle w:val="SingleTxt"/>
      </w:pPr>
      <w:r>
        <w:t xml:space="preserve">5.3.9  </w:t>
      </w:r>
      <w:r>
        <w:rPr>
          <w:rFonts w:hint="eastAsia"/>
        </w:rPr>
        <w:t>婚姻中，妇女和男人的任务一般就是开始扮演传统的男女角色。这样的角色符合家庭和社区生活。家庭和社区中，男人处于领导地位，而女人必须提供持家和养育孩子。所以，马拉维的酋长大都是男子。</w:t>
      </w:r>
      <w:r>
        <w:t xml:space="preserve"> </w:t>
      </w:r>
    </w:p>
    <w:p w:rsidR="005052D3" w:rsidRDefault="005052D3">
      <w:pPr>
        <w:pStyle w:val="SingleTxt"/>
      </w:pPr>
      <w:r>
        <w:t xml:space="preserve">5.3.10  </w:t>
      </w:r>
      <w:r>
        <w:rPr>
          <w:rFonts w:hint="eastAsia"/>
        </w:rPr>
        <w:t>习惯法中的每一婚姻都由婚姻顾问为丈夫和妻子提供咨询服务。在很多情况下，宗教组织、朋友和亲戚越来越多地扮演这一角色。其他形式的咨询包括妇女理事会，如北方省的</w:t>
      </w:r>
      <w:r>
        <w:rPr>
          <w:rFonts w:eastAsia="KaiTi_GB2312"/>
        </w:rPr>
        <w:t>Nthembere Ilala</w:t>
      </w:r>
      <w:r>
        <w:rPr>
          <w:rFonts w:hint="eastAsia"/>
        </w:rPr>
        <w:t>，</w:t>
      </w:r>
      <w:r>
        <w:rPr>
          <w:rFonts w:eastAsia="KaiTi_GB2312"/>
        </w:rPr>
        <w:t>Nthembere Ilala</w:t>
      </w:r>
      <w:r>
        <w:t xml:space="preserve"> </w:t>
      </w:r>
      <w:r>
        <w:rPr>
          <w:rFonts w:hint="eastAsia"/>
        </w:rPr>
        <w:t>可以根据妻子的投诉而传唤丈夫。</w:t>
      </w:r>
      <w:r>
        <w:t xml:space="preserve"> </w:t>
      </w:r>
    </w:p>
    <w:p w:rsidR="005052D3" w:rsidRDefault="005052D3">
      <w:pPr>
        <w:tabs>
          <w:tab w:val="left" w:pos="840"/>
        </w:tabs>
        <w:spacing w:after="120" w:line="320" w:lineRule="atLeast"/>
        <w:ind w:left="1293"/>
        <w:rPr>
          <w:rFonts w:eastAsia="SimHei"/>
          <w:bCs/>
          <w:color w:val="FF0000"/>
        </w:rPr>
      </w:pPr>
      <w:r>
        <w:rPr>
          <w:rFonts w:eastAsia="SimHei"/>
          <w:bCs/>
          <w:color w:val="FF0000"/>
        </w:rPr>
        <w:t>5.4</w:t>
      </w:r>
      <w:r>
        <w:rPr>
          <w:rFonts w:eastAsia="SimHei"/>
          <w:bCs/>
          <w:color w:val="FF0000"/>
        </w:rPr>
        <w:tab/>
      </w:r>
      <w:r>
        <w:rPr>
          <w:rFonts w:eastAsia="SimHei" w:hint="eastAsia"/>
          <w:bCs/>
          <w:color w:val="FF0000"/>
        </w:rPr>
        <w:t>修正社会文化模式的措施及一些成效</w:t>
      </w:r>
    </w:p>
    <w:p w:rsidR="005052D3" w:rsidRDefault="005052D3">
      <w:pPr>
        <w:pStyle w:val="SingleTxt"/>
      </w:pPr>
      <w:r>
        <w:t xml:space="preserve">5.4.1  </w:t>
      </w:r>
      <w:r>
        <w:rPr>
          <w:rFonts w:hint="eastAsia"/>
        </w:rPr>
        <w:t>修正马拉维一些根深蒂固的模式的大部分工作需要宣传和教育。例如，从2000年起，马拉维政府和非政府组织联合参加了为期16天的激进主义行动，这是一项宣传禁止对妇女施加暴力的活动。</w:t>
      </w:r>
      <w:r>
        <w:t xml:space="preserve"> </w:t>
      </w:r>
    </w:p>
    <w:p w:rsidR="005052D3" w:rsidRDefault="005052D3">
      <w:pPr>
        <w:pStyle w:val="SingleTxt"/>
      </w:pPr>
      <w:r>
        <w:t xml:space="preserve">5.4.2  </w:t>
      </w:r>
      <w:r>
        <w:rPr>
          <w:rFonts w:hint="eastAsia"/>
        </w:rPr>
        <w:t>马拉维媒体是宣传男女平等的有效途径。报纸专门开设专栏，讨论人权方面有害的文化传统。广播节目专门讨论对妇女的暴力，包括家庭暴力。包括总统在内的政治家也宣传男女平等以及废除有害的传统习俗。</w:t>
      </w:r>
    </w:p>
    <w:p w:rsidR="005052D3" w:rsidRDefault="005052D3">
      <w:pPr>
        <w:pStyle w:val="SingleTxt"/>
      </w:pPr>
      <w:r>
        <w:t xml:space="preserve">5.4.3  </w:t>
      </w:r>
      <w:r>
        <w:rPr>
          <w:rFonts w:hint="eastAsia"/>
        </w:rPr>
        <w:t>小学课程已经得到修正，考虑到了性别问题。《消除对妇女一切形式歧视公约》全国工作委员会委员从教师和学生那里得到证实，教学中真正涉及到了性别问题。</w:t>
      </w:r>
      <w:r>
        <w:t xml:space="preserve"> </w:t>
      </w:r>
    </w:p>
    <w:p w:rsidR="005052D3" w:rsidRDefault="005052D3">
      <w:pPr>
        <w:pStyle w:val="SingleTxt"/>
      </w:pPr>
      <w:r>
        <w:t xml:space="preserve">5.4.4  </w:t>
      </w:r>
      <w:r>
        <w:rPr>
          <w:rFonts w:hint="eastAsia"/>
        </w:rPr>
        <w:t>关于性别的宣传与教育正产生积极的效果。《消除对妇女一切形式歧视公约》全国工作委员会观察到，年轻人比成年人更多地意识到性别问题，部分原因是学校的教育，因此，一些年轻人成立了宣传男女平等的俱乐部。有趣的是，这样的组织中很多都是以女青年为领导的。</w:t>
      </w:r>
    </w:p>
    <w:p w:rsidR="005052D3" w:rsidRDefault="005052D3">
      <w:pPr>
        <w:pStyle w:val="SingleTxt"/>
        <w:rPr>
          <w:spacing w:val="2"/>
        </w:rPr>
      </w:pPr>
      <w:r>
        <w:rPr>
          <w:spacing w:val="2"/>
        </w:rPr>
        <w:t xml:space="preserve">5.4.5  </w:t>
      </w:r>
      <w:r>
        <w:rPr>
          <w:rFonts w:hint="eastAsia"/>
          <w:spacing w:val="2"/>
        </w:rPr>
        <w:t>另一个引人注目的成就是，一些传统上被认为是以男子为主导的部门开始招收女性。其中一例就是军队。从1999年起，部队开始征收女兵，为女兵提供与男兵相同的基础训练。部队最近还开始就性别问题开展人事培训计划。</w:t>
      </w:r>
    </w:p>
    <w:p w:rsidR="005052D3" w:rsidRDefault="005052D3">
      <w:pPr>
        <w:pStyle w:val="SingleTxt"/>
        <w:rPr>
          <w:spacing w:val="4"/>
        </w:rPr>
      </w:pPr>
      <w:r>
        <w:rPr>
          <w:spacing w:val="4"/>
        </w:rPr>
        <w:t xml:space="preserve">5.4.6  </w:t>
      </w:r>
      <w:r>
        <w:rPr>
          <w:rFonts w:hint="eastAsia"/>
          <w:spacing w:val="4"/>
        </w:rPr>
        <w:t>最重要的是，《消除对妇女一切形式歧视公约》全国工作委员会得知，一些性别角色正在发生变化。一些男子表示，他们与自己的妻子一道共同完成传统上被认为是妇女责任的任务。妇女承认，一些男子现在开始做饭、打水、买食品。这在城市郊区以及其他受到男女平等宣传的地区很是普遍。但是，不论在城市郊区还是农村地区，角色的变化归因于极度贫困以及对付贫困和饥饿的需要。许多社区成员现在认为，如果家人的生存都成问题，那么固守传统角色和态度是徒劳无益的。值得注意的还有，在所有地区，一些角色仍然未发生变化。这样的角色包括家长和家务活中的责任均摊问题。只有在没有有能力的男人支撑的情况下，家长才可能由妇女担任，而为数极少的男子则暗暗帮忙做些家务。</w:t>
      </w:r>
    </w:p>
    <w:p w:rsidR="005052D3" w:rsidRDefault="005052D3">
      <w:pPr>
        <w:pStyle w:val="SingleTxt"/>
      </w:pPr>
      <w:r>
        <w:t xml:space="preserve">5.4.7  </w:t>
      </w:r>
      <w:r>
        <w:rPr>
          <w:rFonts w:hint="eastAsia"/>
        </w:rPr>
        <w:t>在改变对妇女的陈旧的社会文化模式方面还存在很大的限制。马拉维男女关系、角色和态度等结构根深蒂固，而且在学校和工作场所这样的地方得以重现。例如，如果妇女报名参加男子主导的课程，如工程和汽车机械，她们往往会遭到拒绝。通常会为妇女提供“软”一些的课程，如木工，因为这样的课程看起来并不十分“男性化”。提供这些职业的院校大都由男子管理，要改变这些由文化造成的妇女该做什么、不该做什么的观念，要付出不懈的努力。人们在很大程度上还认为，有些职业或事业注定是由妇女完成的，比如护理和秘书工作。甚至连司机这样的基本工作传统上也被看作是男子的职业，只在最近四年，女司机的人数才开始增加，特别是公共部门的女司机人数。同时，近年来有更多的男子从事护理工作，这本是由女性主导的行业。</w:t>
      </w:r>
    </w:p>
    <w:p w:rsidR="005052D3" w:rsidRDefault="005052D3">
      <w:pPr>
        <w:tabs>
          <w:tab w:val="left" w:pos="840"/>
        </w:tabs>
        <w:spacing w:after="120" w:line="320" w:lineRule="atLeast"/>
        <w:rPr>
          <w:rFonts w:eastAsia="SimHei"/>
          <w:bCs/>
          <w:color w:val="FF0000"/>
        </w:rPr>
      </w:pPr>
      <w:r>
        <w:rPr>
          <w:rFonts w:eastAsia="SimHei"/>
          <w:bCs/>
          <w:color w:val="FF0000"/>
        </w:rPr>
        <w:tab/>
      </w:r>
      <w:r>
        <w:rPr>
          <w:rFonts w:eastAsia="SimHei"/>
          <w:bCs/>
          <w:color w:val="FF0000"/>
        </w:rPr>
        <w:tab/>
      </w:r>
      <w:r>
        <w:rPr>
          <w:rFonts w:eastAsia="SimHei"/>
          <w:bCs/>
          <w:color w:val="FF0000"/>
        </w:rPr>
        <w:tab/>
        <w:t>5.5</w:t>
      </w:r>
      <w:r>
        <w:rPr>
          <w:rFonts w:eastAsia="SimHei"/>
          <w:bCs/>
          <w:color w:val="FF0000"/>
        </w:rPr>
        <w:tab/>
      </w:r>
      <w:r>
        <w:rPr>
          <w:rFonts w:eastAsia="SimHei" w:hint="eastAsia"/>
          <w:bCs/>
          <w:color w:val="FF0000"/>
        </w:rPr>
        <w:t>结论</w:t>
      </w:r>
    </w:p>
    <w:p w:rsidR="005052D3" w:rsidRDefault="005052D3">
      <w:pPr>
        <w:pStyle w:val="SingleTxt"/>
      </w:pPr>
      <w:r>
        <w:rPr>
          <w:rFonts w:hint="eastAsia"/>
        </w:rPr>
        <w:t>5</w:t>
      </w:r>
      <w:r>
        <w:t>.</w:t>
      </w:r>
      <w:r>
        <w:rPr>
          <w:rFonts w:hint="eastAsia"/>
        </w:rPr>
        <w:t>5</w:t>
      </w:r>
      <w:r>
        <w:t xml:space="preserve">.1  </w:t>
      </w:r>
      <w:r>
        <w:rPr>
          <w:rFonts w:hint="eastAsia"/>
        </w:rPr>
        <w:t>虽然政府及其合作伙伴共同努力修正对妇女的社会文化偏见，但对妇女的观念仍然存在，使她们处于权力的底层，被当作二等公民对待。人们对男女角色还持有陈旧的传统观念，有时在妇女中间也根深蒂固，她们已经习惯于自己的顺从地位。</w:t>
      </w:r>
    </w:p>
    <w:p w:rsidR="005052D3" w:rsidRDefault="005052D3">
      <w:pPr>
        <w:pStyle w:val="H1"/>
        <w:spacing w:after="120"/>
      </w:pPr>
      <w:bookmarkStart w:id="21" w:name="_Toc33784413"/>
      <w:bookmarkStart w:id="22" w:name="_Toc377350752"/>
      <w:bookmarkStart w:id="23" w:name="_Toc83142694"/>
      <w:r>
        <w:tab/>
      </w:r>
      <w:r>
        <w:tab/>
      </w:r>
      <w:r>
        <w:tab/>
      </w:r>
      <w:r>
        <w:rPr>
          <w:rFonts w:hint="eastAsia"/>
        </w:rPr>
        <w:t>第</w:t>
      </w:r>
      <w:r>
        <w:t>6</w:t>
      </w:r>
      <w:r>
        <w:rPr>
          <w:rFonts w:hint="eastAsia"/>
        </w:rPr>
        <w:t>条：对妇女的剥削</w:t>
      </w:r>
      <w:bookmarkEnd w:id="21"/>
      <w:bookmarkEnd w:id="22"/>
      <w:bookmarkEnd w:id="23"/>
    </w:p>
    <w:p w:rsidR="005052D3" w:rsidRDefault="005052D3">
      <w:pPr>
        <w:tabs>
          <w:tab w:val="left" w:pos="840"/>
        </w:tabs>
        <w:spacing w:after="120"/>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6.1</w:t>
      </w:r>
      <w:r>
        <w:rPr>
          <w:rFonts w:ascii="SimHei" w:eastAsia="SimHei"/>
          <w:bCs/>
          <w:color w:val="FF0000"/>
        </w:rPr>
        <w:tab/>
        <w:t>《消除对妇女一切形式歧视公约》</w:t>
      </w:r>
      <w:r>
        <w:rPr>
          <w:rFonts w:ascii="SimHei" w:eastAsia="SimHei" w:hint="eastAsia"/>
          <w:bCs/>
          <w:color w:val="FF0000"/>
        </w:rPr>
        <w:t>标准</w:t>
      </w:r>
    </w:p>
    <w:p w:rsidR="005052D3" w:rsidRDefault="005052D3">
      <w:pPr>
        <w:pStyle w:val="SingleTxt"/>
        <w:spacing w:after="120"/>
        <w:ind w:left="2115" w:hanging="851"/>
        <w:rPr>
          <w:rFonts w:ascii="KaiTi_GB2312" w:eastAsia="KaiTi_GB2312"/>
          <w:color w:val="0000FF"/>
        </w:rPr>
      </w:pPr>
      <w:r>
        <w:rPr>
          <w:rFonts w:ascii="KaiTi_GB2312" w:eastAsia="KaiTi_GB2312" w:hint="eastAsia"/>
          <w:color w:val="0000FF"/>
        </w:rPr>
        <w:t>第</w:t>
      </w:r>
      <w:r>
        <w:rPr>
          <w:rFonts w:ascii="KaiTi_GB2312" w:eastAsia="KaiTi_GB2312"/>
          <w:color w:val="0000FF"/>
        </w:rPr>
        <w:t>6</w:t>
      </w:r>
      <w:r>
        <w:rPr>
          <w:rFonts w:ascii="KaiTi_GB2312" w:eastAsia="KaiTi_GB2312" w:hint="eastAsia"/>
          <w:color w:val="0000FF"/>
        </w:rPr>
        <w:t>条</w:t>
      </w:r>
      <w:r>
        <w:rPr>
          <w:rFonts w:ascii="KaiTi_GB2312" w:eastAsia="KaiTi_GB2312"/>
          <w:color w:val="0000FF"/>
        </w:rPr>
        <w:t>.</w:t>
      </w:r>
      <w:r>
        <w:rPr>
          <w:rFonts w:ascii="KaiTi_GB2312" w:eastAsia="KaiTi_GB2312"/>
          <w:color w:val="0000FF"/>
        </w:rPr>
        <w:tab/>
      </w:r>
      <w:r>
        <w:rPr>
          <w:rFonts w:ascii="KaiTi_GB2312" w:eastAsia="KaiTi_GB2312" w:hAnsi="_GB2312" w:hint="eastAsia"/>
          <w:color w:val="0000FF"/>
          <w:szCs w:val="16"/>
        </w:rPr>
        <w:t>缔</w:t>
      </w:r>
      <w:r>
        <w:rPr>
          <w:rFonts w:ascii="KaiTi_GB2312" w:eastAsia="KaiTi_GB2312" w:hint="eastAsia"/>
          <w:color w:val="0000FF"/>
        </w:rPr>
        <w:t>约各国应采取一切适当措施，包括制定法律，以禁止一切形式贩卖妇女及意图营利使妇女卖淫的行为。</w:t>
      </w:r>
      <w:r>
        <w:rPr>
          <w:rFonts w:ascii="KaiTi_GB2312" w:eastAsia="KaiTi_GB2312"/>
          <w:color w:val="0000FF"/>
        </w:rPr>
        <w:t xml:space="preserve"> </w:t>
      </w:r>
    </w:p>
    <w:p w:rsidR="005052D3" w:rsidRDefault="005052D3">
      <w:pPr>
        <w:tabs>
          <w:tab w:val="left" w:pos="840"/>
        </w:tabs>
        <w:spacing w:after="120"/>
        <w:rPr>
          <w:rFonts w:eastAsia="SimHei"/>
          <w:bCs/>
          <w:color w:val="FF0000"/>
        </w:rPr>
      </w:pPr>
      <w:r>
        <w:rPr>
          <w:rFonts w:eastAsia="SimHei"/>
          <w:bCs/>
          <w:color w:val="FF0000"/>
        </w:rPr>
        <w:tab/>
      </w:r>
      <w:r>
        <w:rPr>
          <w:rFonts w:eastAsia="SimHei"/>
          <w:bCs/>
          <w:color w:val="FF0000"/>
        </w:rPr>
        <w:tab/>
      </w:r>
      <w:r>
        <w:rPr>
          <w:rFonts w:eastAsia="SimHei"/>
          <w:bCs/>
          <w:color w:val="FF0000"/>
        </w:rPr>
        <w:tab/>
        <w:t>6.2</w:t>
      </w:r>
      <w:r>
        <w:rPr>
          <w:rFonts w:eastAsia="SimHei"/>
          <w:bCs/>
          <w:color w:val="FF0000"/>
        </w:rPr>
        <w:tab/>
      </w:r>
      <w:r>
        <w:rPr>
          <w:rFonts w:eastAsia="SimHei" w:hint="eastAsia"/>
          <w:bCs/>
          <w:color w:val="FF0000"/>
        </w:rPr>
        <w:t>导言</w:t>
      </w:r>
    </w:p>
    <w:p w:rsidR="005052D3" w:rsidRDefault="005052D3">
      <w:pPr>
        <w:pStyle w:val="SingleTxt"/>
        <w:spacing w:line="340" w:lineRule="exact"/>
      </w:pPr>
      <w:r>
        <w:t xml:space="preserve">6.2.1  </w:t>
      </w:r>
      <w:r>
        <w:rPr>
          <w:rFonts w:hint="eastAsia"/>
        </w:rPr>
        <w:t>许多马拉维妇女免受性剥削的权利正受到威胁，这一点通过卖淫、贩运和有害的文化习俗可以显示出来。由于贫困程度的加深和扩大，农村地区对妇女的性剥削正以惊人的速度增长。在农村地区，性活动明显成为穷人舒适的来源，尽管地方对这种做法持谴责的态度。</w:t>
      </w:r>
    </w:p>
    <w:p w:rsidR="005052D3" w:rsidRDefault="005052D3">
      <w:pPr>
        <w:pStyle w:val="SingleTxt"/>
        <w:spacing w:line="340" w:lineRule="exact"/>
      </w:pPr>
      <w:r>
        <w:t xml:space="preserve">6.2.2  </w:t>
      </w:r>
      <w:r>
        <w:rPr>
          <w:rFonts w:hint="eastAsia"/>
        </w:rPr>
        <w:t>早婚、青少年怀孕、奸污案件和强奸在警察和媒体报道方面均司空见惯。</w:t>
      </w:r>
    </w:p>
    <w:p w:rsidR="005052D3" w:rsidRDefault="005052D3">
      <w:pPr>
        <w:pStyle w:val="SingleTxt"/>
        <w:spacing w:line="340" w:lineRule="exact"/>
        <w:rPr>
          <w:rFonts w:hint="eastAsia"/>
        </w:rPr>
      </w:pPr>
      <w:r>
        <w:t xml:space="preserve">6.2.3  </w:t>
      </w:r>
      <w:r>
        <w:rPr>
          <w:rFonts w:hint="eastAsia"/>
        </w:rPr>
        <w:t>国家难民营的报告揭露出这样一个现象：许多女孩在此滞留的时间不长。相反，她们跑到城市中心去，人们认为她们大多从事卖淫活动。</w:t>
      </w:r>
      <w:r>
        <w:t xml:space="preserve"> </w:t>
      </w:r>
    </w:p>
    <w:p w:rsidR="005052D3" w:rsidRDefault="005052D3">
      <w:pPr>
        <w:pStyle w:val="SingleTxt"/>
        <w:spacing w:line="340" w:lineRule="exact"/>
      </w:pPr>
      <w:r>
        <w:t xml:space="preserve">6.2.4  </w:t>
      </w:r>
      <w:r>
        <w:rPr>
          <w:rFonts w:hint="eastAsia"/>
        </w:rPr>
        <w:t>目前，对以性为目的贩运和剥削妇女的问题还没有法律规定。即使可以诉诸法律的案件，惩罚也不具威慑力。但是，已经有了支持受害人恢复社会生活和罪犯改造的机制，但这些机制还不完善。</w:t>
      </w:r>
    </w:p>
    <w:p w:rsidR="005052D3" w:rsidRDefault="005052D3">
      <w:pPr>
        <w:tabs>
          <w:tab w:val="left" w:pos="840"/>
        </w:tabs>
        <w:spacing w:after="120" w:line="340" w:lineRule="exac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6.3</w:t>
      </w:r>
      <w:r>
        <w:rPr>
          <w:rFonts w:ascii="SimHei" w:eastAsia="SimHei"/>
          <w:bCs/>
          <w:color w:val="FF0000"/>
        </w:rPr>
        <w:tab/>
      </w:r>
      <w:r>
        <w:rPr>
          <w:rFonts w:ascii="SimHei" w:eastAsia="SimHei" w:hint="eastAsia"/>
          <w:bCs/>
          <w:color w:val="FF0000"/>
        </w:rPr>
        <w:t>贩运妇女</w:t>
      </w:r>
    </w:p>
    <w:p w:rsidR="005052D3" w:rsidRDefault="005052D3">
      <w:pPr>
        <w:pStyle w:val="SingleTxt"/>
        <w:spacing w:line="340" w:lineRule="exact"/>
      </w:pPr>
      <w:r>
        <w:t xml:space="preserve">6.3.1  </w:t>
      </w:r>
      <w:r>
        <w:rPr>
          <w:rFonts w:hint="eastAsia"/>
        </w:rPr>
        <w:t>马拉维妇女贩运事件不断上升。例如，1998/1999年，有14名马拉维女孩被驱逐出布鲁塞尔，她们是被贩运到这里做性工作者的。国际移徙组织</w:t>
      </w:r>
      <w:r>
        <w:t xml:space="preserve">Jonathan Martens </w:t>
      </w:r>
      <w:r>
        <w:rPr>
          <w:rFonts w:hint="eastAsia"/>
        </w:rPr>
        <w:t>等起草的一份报告中指出，马拉维是女孩输出国，南非是过境国，欧洲是目的地。在马拉维，男孩和女孩都容易被贩运。来自湖岸地区的男孩已经被贩运到欧洲从事色情服务，而全国各地均有女孩被贩运，去从事卖淫活动。</w:t>
      </w:r>
    </w:p>
    <w:p w:rsidR="005052D3" w:rsidRDefault="005052D3">
      <w:pPr>
        <w:pStyle w:val="SingleTxt"/>
        <w:spacing w:line="340" w:lineRule="exact"/>
      </w:pPr>
      <w:r>
        <w:t xml:space="preserve">6.3.2  </w:t>
      </w:r>
      <w:r>
        <w:rPr>
          <w:rFonts w:hint="eastAsia"/>
        </w:rPr>
        <w:t>到国外接受教育或谋求工作的妇女和女孩在性和经济两方面都受到剥削。有些父母鼓励自己的孩子到国外读书，希望孩子能找到更好的工作谋生并承担自己的学费。其他年轻妇女到欧洲去也是为了过上更好的生活。但有证据表明，这些女孩和年轻妇女中间有人最终沦为妓女。</w:t>
      </w:r>
    </w:p>
    <w:p w:rsidR="005052D3" w:rsidRDefault="005052D3">
      <w:pPr>
        <w:pStyle w:val="SingleTxt"/>
        <w:spacing w:line="340" w:lineRule="exact"/>
      </w:pPr>
      <w:r>
        <w:t xml:space="preserve">6.3.3  </w:t>
      </w:r>
      <w:r>
        <w:rPr>
          <w:rFonts w:hint="eastAsia"/>
        </w:rPr>
        <w:t>马拉维政府很清楚地认识到这个问题，目前正在制定制度来解决这一问题。例如，有三个贩运团伙被抓获，案件已交法院审理。由于缺乏上诉的法律基础，不能对这些案件做出判决。刑法特别法律委员会发现，马拉雅没有直接惩罚贩运人的法律。所以，该委员会建议在刑法中加入一条新的规定来惩治这样的犯罪行为。该项建议旨在通过新的法律解决人口贩运问题，特别是妇女和儿童贩运问题，这项建议已提交议会进行审议。</w:t>
      </w:r>
    </w:p>
    <w:p w:rsidR="005052D3" w:rsidRDefault="005052D3">
      <w:pPr>
        <w:pStyle w:val="SingleTxt"/>
        <w:rPr>
          <w:rFonts w:ascii="SimHei" w:eastAsia="SimHei"/>
          <w:color w:val="FF0000"/>
        </w:rPr>
      </w:pPr>
      <w:r>
        <w:br w:type="page"/>
      </w:r>
      <w:r>
        <w:rPr>
          <w:rFonts w:ascii="SimHei" w:eastAsia="SimHei"/>
          <w:color w:val="FF0000"/>
        </w:rPr>
        <w:t>6.4</w:t>
      </w:r>
      <w:r>
        <w:rPr>
          <w:rFonts w:ascii="SimHei" w:eastAsia="SimHei"/>
          <w:color w:val="FF0000"/>
        </w:rPr>
        <w:tab/>
      </w:r>
      <w:r>
        <w:rPr>
          <w:rFonts w:ascii="SimHei" w:eastAsia="SimHei" w:hint="eastAsia"/>
          <w:color w:val="FF0000"/>
        </w:rPr>
        <w:t>商业卖淫</w:t>
      </w:r>
    </w:p>
    <w:p w:rsidR="005052D3" w:rsidRDefault="005052D3">
      <w:pPr>
        <w:pStyle w:val="SingleTxt"/>
      </w:pPr>
      <w:r>
        <w:t xml:space="preserve">6.4.1  </w:t>
      </w:r>
      <w:r>
        <w:rPr>
          <w:rFonts w:hint="eastAsia"/>
        </w:rPr>
        <w:t>商业性剥削和性旅游业在马拉维城市和湖边度假胜地尤为流行。在城市地区，年轻女性在某些街道和娱乐场所通过性服务获得金钱和乐趣。在湖边地区，旅馆和度假村如雨后春笋，部分助长了卖淫和不断发展的性旅游业，迎合了非常年轻的女性获取金钱的利益。</w:t>
      </w:r>
    </w:p>
    <w:p w:rsidR="005052D3" w:rsidRDefault="005052D3">
      <w:pPr>
        <w:pStyle w:val="SingleTxt"/>
      </w:pPr>
      <w:r>
        <w:t xml:space="preserve">6.4.2  </w:t>
      </w:r>
      <w:r>
        <w:rPr>
          <w:rFonts w:hint="eastAsia"/>
        </w:rPr>
        <w:t>越来越多的老年男子和妇女、性旅游者和恋童癖对流浪儿童进行性剥削。媒体已经援引了许多对生活或流浪在街头的儿童进行性剥削的案例。这些儿童“通过赚钱获得保护、吃上一顿饭或找个睡觉的地方而从事非正规的性交易，从而染上了艾滋病毒/艾滋病”。马拉维政府于1995年进行了一项调查，</w:t>
      </w:r>
      <w:r>
        <w:t xml:space="preserve"> </w:t>
      </w:r>
      <w:r>
        <w:rPr>
          <w:rFonts w:hint="eastAsia"/>
        </w:rPr>
        <w:t>旨在确定“利隆圭和布兰太尔城市中的流浪儿童的人数”。这使得一些非政府组织选择致力于解决流浪儿童的问题，为他们的权力提供保护，促进他们享有自己的权利。同时还教授他们自救的知识和技能。因此，对儿童的性剥削已经成为马拉维面临的主要挑战之一。</w:t>
      </w:r>
    </w:p>
    <w:p w:rsidR="005052D3" w:rsidRDefault="005052D3">
      <w:pPr>
        <w:pStyle w:val="SingleTxt"/>
      </w:pPr>
      <w:r>
        <w:t xml:space="preserve">6.4.3  </w:t>
      </w:r>
      <w:r>
        <w:rPr>
          <w:rFonts w:hint="eastAsia"/>
        </w:rPr>
        <w:t>刑法没有把卖淫归为刑事犯罪，但把卖淫剥削视为犯罪。</w:t>
      </w:r>
      <w:r>
        <w:rPr>
          <w:rStyle w:val="FootnoteReference"/>
        </w:rPr>
        <w:footnoteReference w:id="78"/>
      </w:r>
      <w:r>
        <w:rPr>
          <w:rFonts w:hint="eastAsia"/>
        </w:rPr>
        <w:t>占有妇女或儿童、拉客、靠卖淫（</w:t>
      </w:r>
      <w:r>
        <w:t>pimping</w:t>
      </w:r>
      <w:r>
        <w:rPr>
          <w:rFonts w:hint="eastAsia"/>
        </w:rPr>
        <w:t>）和开办妓院生活等都是行为不端的刑事犯罪。</w:t>
      </w:r>
      <w:r>
        <w:rPr>
          <w:rStyle w:val="FootnoteReference"/>
        </w:rPr>
        <w:footnoteReference w:id="79"/>
      </w:r>
    </w:p>
    <w:p w:rsidR="005052D3" w:rsidRDefault="005052D3">
      <w:pPr>
        <w:pStyle w:val="SingleTxt"/>
      </w:pPr>
      <w:r>
        <w:t xml:space="preserve">6.4.4  </w:t>
      </w:r>
      <w:r>
        <w:rPr>
          <w:rFonts w:hint="eastAsia"/>
        </w:rPr>
        <w:t>尽管卖淫不属于刑事犯罪，但警察把妓女当作罪犯对待。这些妇女往往在“夜间无目的地游荡”时被当作流氓或流浪者逮捕。如果发现妓女同其男性伙伴在一起，只会逮捕妇女，而男子被放走。</w:t>
      </w:r>
    </w:p>
    <w:p w:rsidR="005052D3" w:rsidRDefault="005052D3">
      <w:pPr>
        <w:pStyle w:val="SingleTxt"/>
      </w:pPr>
      <w:r>
        <w:t xml:space="preserve">6.4.5  </w:t>
      </w:r>
      <w:r>
        <w:rPr>
          <w:rFonts w:hint="eastAsia"/>
        </w:rPr>
        <w:t>另外，商业性工作者可能被虐待，包括强奸。不幸的是，这些人得不到充分的与其他妇女平等的法律保护，因为从卖淫行业的性质来看，人们认为卖淫的妇女实际上是同意甚至是在欢迎这种非人性的虐待。</w:t>
      </w:r>
    </w:p>
    <w:p w:rsidR="005052D3" w:rsidRDefault="005052D3">
      <w:pPr>
        <w:tabs>
          <w:tab w:val="left" w:pos="840"/>
        </w:tabs>
        <w:spacing w:after="120" w:line="320" w:lineRule="atLeas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 xml:space="preserve">6.5 </w:t>
      </w:r>
      <w:r>
        <w:rPr>
          <w:rFonts w:ascii="SimHei" w:eastAsia="SimHei"/>
          <w:bCs/>
          <w:color w:val="FF0000"/>
        </w:rPr>
        <w:tab/>
      </w:r>
      <w:r>
        <w:rPr>
          <w:rFonts w:ascii="SimHei" w:eastAsia="SimHei" w:hint="eastAsia"/>
          <w:bCs/>
          <w:color w:val="FF0000"/>
        </w:rPr>
        <w:t>家庭和机构中的性剥削</w:t>
      </w:r>
    </w:p>
    <w:p w:rsidR="005052D3" w:rsidRDefault="005052D3">
      <w:pPr>
        <w:pStyle w:val="SingleTxt"/>
      </w:pPr>
      <w:r>
        <w:t xml:space="preserve">6.5.1  </w:t>
      </w:r>
      <w:r>
        <w:rPr>
          <w:rFonts w:hint="eastAsia"/>
        </w:rPr>
        <w:t>马拉维还有一些妇女在家里受到剥削。家中的男子有时对雇来的女佣和童工进行性虐待。报纸也报道了这些事件。这些妇女力量太弱，所以很少报告这种对她们的性勾引，因为这有可能使她们失去惟一的收入来源。对那些已婚者来说，许多丈夫认为妻子不应拒绝性交。这侵犯了妻子的权利，使她们染上了性传播疾病和艾滋病毒/艾滋病。</w:t>
      </w:r>
    </w:p>
    <w:p w:rsidR="005052D3" w:rsidRDefault="005052D3">
      <w:pPr>
        <w:pStyle w:val="SingleTxt"/>
      </w:pPr>
      <w:r>
        <w:t xml:space="preserve">6.5.2  </w:t>
      </w:r>
      <w:r>
        <w:rPr>
          <w:rFonts w:hint="eastAsia"/>
        </w:rPr>
        <w:t>中小学校的老师对年轻女生的性剥削事件愈来愈多。这可以从教育、科学和技术部越来越多的纪律案件中得到证实。政府采取了诸如停职和调到另一所学校的行政措施，但对犯罪者很少或没有任何刑事处罚，特别是在奸污案件中。很多家长不知到何处申诉。相反，还有一些父母鼓励自己的女儿与其教师发生性关系，目的是嫁给这位教师或有利于养家糊口。</w:t>
      </w:r>
    </w:p>
    <w:p w:rsidR="005052D3" w:rsidRDefault="005052D3">
      <w:pPr>
        <w:pStyle w:val="SingleTxt"/>
      </w:pPr>
      <w:r>
        <w:t xml:space="preserve">6.5.3  </w:t>
      </w:r>
      <w:r>
        <w:rPr>
          <w:rFonts w:hint="eastAsia"/>
        </w:rPr>
        <w:t>目前，马拉维政府与其重大利益相关者合作，正在制定《家庭暴力法案》，旨在刑事处罚夫妻之间的强奸和其他性暴力犯罪。一特别法律委员会拒绝把夫妻间的强奸视为刑事犯罪，认为这样做会使家庭私事变为公共审查的对象。</w:t>
      </w:r>
      <w:r>
        <w:rPr>
          <w:rStyle w:val="FootnoteReference"/>
        </w:rPr>
        <w:footnoteReference w:id="80"/>
      </w:r>
    </w:p>
    <w:p w:rsidR="005052D3" w:rsidRDefault="005052D3">
      <w:pPr>
        <w:tabs>
          <w:tab w:val="left" w:pos="840"/>
        </w:tabs>
        <w:spacing w:after="120" w:line="320" w:lineRule="atLeas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 xml:space="preserve">6.6 </w:t>
      </w:r>
      <w:r>
        <w:rPr>
          <w:rFonts w:ascii="SimHei" w:eastAsia="SimHei"/>
          <w:bCs/>
          <w:color w:val="FF0000"/>
        </w:rPr>
        <w:tab/>
      </w:r>
      <w:r>
        <w:rPr>
          <w:rFonts w:ascii="SimHei" w:eastAsia="SimHei" w:hint="eastAsia"/>
          <w:bCs/>
          <w:color w:val="FF0000"/>
        </w:rPr>
        <w:t>通过习惯法和文化习俗进行的性剥削</w:t>
      </w:r>
    </w:p>
    <w:p w:rsidR="005052D3" w:rsidRDefault="005052D3">
      <w:pPr>
        <w:pStyle w:val="SingleTxt"/>
        <w:rPr>
          <w:rFonts w:ascii="KaiTi_GB2312" w:eastAsia="KaiTi_GB2312"/>
          <w:color w:val="0000FF"/>
        </w:rPr>
      </w:pPr>
      <w:r>
        <w:t xml:space="preserve">6.6.1  </w:t>
      </w:r>
      <w:r>
        <w:rPr>
          <w:rFonts w:hint="eastAsia"/>
        </w:rPr>
        <w:t>随着加入《消除对妇女一切形式歧视公约》，保留条款被取消，马拉维在1995年对其宪法进行了审查。宪法第24条2（a）款规</w:t>
      </w:r>
      <w:r>
        <w:rPr>
          <w:rFonts w:hint="eastAsia"/>
          <w:color w:val="000000"/>
        </w:rPr>
        <w:t>定“</w:t>
      </w:r>
      <w:r>
        <w:rPr>
          <w:rFonts w:eastAsia="KaiTi_GB2312" w:hint="eastAsia"/>
          <w:iCs/>
          <w:color w:val="000000"/>
        </w:rPr>
        <w:t>应制定法律以消除对妇女歧视的风俗和习惯，特别是性虐待、性骚扰和性暴力</w:t>
      </w:r>
      <w:r>
        <w:rPr>
          <w:rFonts w:hint="eastAsia"/>
          <w:color w:val="000000"/>
        </w:rPr>
        <w:t>”。尽管有了这样的进</w:t>
      </w:r>
      <w:r>
        <w:rPr>
          <w:rFonts w:hint="eastAsia"/>
        </w:rPr>
        <w:t>步，但没有通过任何消除文化习俗的法律。有些文化习俗依然存在，如：－“</w:t>
      </w:r>
      <w:r>
        <w:rPr>
          <w:rFonts w:eastAsia="KaiTi_GB2312"/>
        </w:rPr>
        <w:t>Kuchotsa fumbi</w:t>
      </w:r>
      <w:r>
        <w:rPr>
          <w:rFonts w:hint="eastAsia"/>
        </w:rPr>
        <w:t>”（扫尘）、在指导下的性关系启蒙（</w:t>
      </w:r>
      <w:r>
        <w:t>initiation of sexual intercourse after initiation</w:t>
      </w:r>
      <w:r>
        <w:rPr>
          <w:rFonts w:hint="eastAsia"/>
        </w:rPr>
        <w:t>）。</w:t>
      </w:r>
      <w:r>
        <w:rPr>
          <w:rFonts w:eastAsia="KaiTi_GB2312"/>
        </w:rPr>
        <w:t>Gwamula</w:t>
      </w:r>
      <w:r>
        <w:t xml:space="preserve">, </w:t>
      </w:r>
      <w:r>
        <w:rPr>
          <w:rFonts w:hint="eastAsia"/>
        </w:rPr>
        <w:t>（被社会接受的强奸），是男孩成长为男人的仪式。父亲与自己的女儿乱伦，以决定“</w:t>
      </w:r>
      <w:r>
        <w:rPr>
          <w:rFonts w:eastAsia="KaiTi_GB2312"/>
        </w:rPr>
        <w:t>lobola</w:t>
      </w:r>
      <w:r>
        <w:rPr>
          <w:rFonts w:hint="eastAsia"/>
        </w:rPr>
        <w:t>”或新娘的价格。“</w:t>
      </w:r>
      <w:r>
        <w:rPr>
          <w:rFonts w:eastAsia="KaiTi_GB2312"/>
        </w:rPr>
        <w:t>kulowa kufa</w:t>
      </w:r>
      <w:r>
        <w:rPr>
          <w:rFonts w:hint="eastAsia"/>
        </w:rPr>
        <w:t>”（净化死亡）</w:t>
      </w:r>
      <w:r>
        <w:t xml:space="preserve"> </w:t>
      </w:r>
      <w:r>
        <w:rPr>
          <w:rFonts w:hint="eastAsia"/>
        </w:rPr>
        <w:t>，就是要另外一名男子与丈夫去世后的寡妇发生关系，以使其洁身。</w:t>
      </w:r>
      <w:r>
        <w:t xml:space="preserve"> </w:t>
      </w:r>
      <w:r>
        <w:t>“</w:t>
      </w:r>
      <w:r>
        <w:rPr>
          <w:rFonts w:eastAsia="KaiTi_GB2312"/>
        </w:rPr>
        <w:t>Chokolo</w:t>
      </w:r>
      <w:r>
        <w:rPr>
          <w:rFonts w:eastAsia="KaiTi_GB2312"/>
        </w:rPr>
        <w:t>”</w:t>
      </w:r>
      <w:r>
        <w:t xml:space="preserve"> </w:t>
      </w:r>
      <w:r>
        <w:rPr>
          <w:rFonts w:hint="eastAsia"/>
        </w:rPr>
        <w:t>，也叫对妻子的继承，即过世的男子的亲戚继承寡妇作为他的妻子。“</w:t>
      </w:r>
      <w:r>
        <w:rPr>
          <w:rFonts w:eastAsia="KaiTi_GB2312"/>
        </w:rPr>
        <w:t>Fisi</w:t>
      </w:r>
      <w:r>
        <w:rPr>
          <w:rFonts w:hint="eastAsia"/>
        </w:rPr>
        <w:t>”（土狼）指一个男子将在启蒙期或者丈夫未能生育时未经同意而秘密地与妇女发生关系。“</w:t>
      </w:r>
      <w:r>
        <w:rPr>
          <w:rFonts w:eastAsia="KaiTi_GB2312"/>
        </w:rPr>
        <w:t>kusunga mwamuna</w:t>
      </w:r>
      <w:r>
        <w:rPr>
          <w:rFonts w:hint="eastAsia"/>
        </w:rPr>
        <w:t>”或当妻子暂时不在时让丈夫留在家里，此时要选一名女子（通常是妻子的妹妹）和他生活在一起，照顾他，防止他去找别的女人。“</w:t>
      </w:r>
      <w:r>
        <w:rPr>
          <w:rFonts w:eastAsia="KaiTi_GB2312"/>
        </w:rPr>
        <w:t>kuhaha</w:t>
      </w:r>
      <w:r>
        <w:rPr>
          <w:rFonts w:hint="eastAsia"/>
        </w:rPr>
        <w:t>”</w:t>
      </w:r>
      <w:r>
        <w:rPr>
          <w:rFonts w:hint="eastAsia"/>
          <w:iCs/>
        </w:rPr>
        <w:t>是穷困的父母为年龄尚小的女儿定下的婚约。“</w:t>
      </w:r>
      <w:r>
        <w:rPr>
          <w:rFonts w:eastAsia="KaiTi_GB2312"/>
        </w:rPr>
        <w:t>Kuhahaza</w:t>
      </w:r>
      <w:r>
        <w:rPr>
          <w:rFonts w:hint="eastAsia"/>
        </w:rPr>
        <w:t>”，是男子有意与妇女发生性关系以显示其主导地位，却以寻求乐趣为借口。“</w:t>
      </w:r>
      <w:r>
        <w:rPr>
          <w:rFonts w:eastAsia="KaiTi_GB2312"/>
        </w:rPr>
        <w:t>Kutenga Mwana</w:t>
      </w:r>
      <w:r>
        <w:rPr>
          <w:rFonts w:hint="eastAsia"/>
        </w:rPr>
        <w:t>”指生完孩子后三个月，进行第一次性生活，把它看作是与丈夫或土狼（丈夫不在时）的洁身过程。“</w:t>
      </w:r>
      <w:r>
        <w:rPr>
          <w:rFonts w:eastAsia="KaiTi_GB2312"/>
        </w:rPr>
        <w:t>Chimwamaye</w:t>
      </w:r>
      <w:r>
        <w:rPr>
          <w:rFonts w:hint="eastAsia"/>
        </w:rPr>
        <w:t>”</w:t>
      </w:r>
      <w:r>
        <w:rPr>
          <w:rFonts w:hint="eastAsia"/>
          <w:iCs/>
        </w:rPr>
        <w:t>是妻子或丈夫与他人交易。</w:t>
      </w:r>
    </w:p>
    <w:p w:rsidR="005052D3" w:rsidRDefault="005052D3">
      <w:pPr>
        <w:pStyle w:val="SingleTxt"/>
      </w:pPr>
      <w:r>
        <w:t xml:space="preserve">6.6.2  </w:t>
      </w:r>
      <w:r>
        <w:rPr>
          <w:rFonts w:hint="eastAsia"/>
        </w:rPr>
        <w:t>马拉维政府很清楚这些习俗产生的负面影响，已经向性别特别法律委员会提出建议对这些习俗进行评估。另外，马拉维政府利用大众媒体提高对这些习俗以及这些习俗带给艾滋病毒/艾滋病影响的认识。贫困似乎使一些妇女为金钱而与他人发生性关系，以对付饥饿和贫困，这种情况正在恶化。更有甚者，还通过赊账发生性关系。贫穷和赤贫使一些男子在一些情况下，不顾一切花钱与他人发生性关系。一些丈夫无力供养家庭，就迫使自己的妻子与其他男人发生性关系。</w:t>
      </w:r>
    </w:p>
    <w:p w:rsidR="005052D3" w:rsidRDefault="005052D3">
      <w:pPr>
        <w:tabs>
          <w:tab w:val="left" w:pos="840"/>
        </w:tabs>
        <w:spacing w:after="120" w:line="320" w:lineRule="atLeas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6.7</w:t>
      </w:r>
      <w:r>
        <w:rPr>
          <w:rFonts w:ascii="SimHei" w:eastAsia="SimHei"/>
          <w:bCs/>
          <w:color w:val="FF0000"/>
        </w:rPr>
        <w:tab/>
      </w:r>
      <w:r>
        <w:rPr>
          <w:rFonts w:ascii="SimHei" w:eastAsia="SimHei" w:hint="eastAsia"/>
          <w:bCs/>
          <w:color w:val="FF0000"/>
        </w:rPr>
        <w:t>结论</w:t>
      </w:r>
    </w:p>
    <w:p w:rsidR="005052D3" w:rsidRDefault="005052D3">
      <w:pPr>
        <w:pStyle w:val="SingleTxt"/>
        <w:spacing w:after="120" w:line="310" w:lineRule="exact"/>
        <w:rPr>
          <w:rFonts w:hint="eastAsia"/>
        </w:rPr>
      </w:pPr>
      <w:r>
        <w:tab/>
      </w:r>
      <w:r>
        <w:rPr>
          <w:rFonts w:hint="eastAsia"/>
        </w:rPr>
        <w:t>马拉维国内，对妇女性剥削的存在主要是因为文化习俗和妇女在经济上的弱势引起。法律在处理这些问题上并不明确，无论是农村还是城市，新的剥削形式正在出现，并呈上升趋势。尽管一些传统习俗正在消除，但其他一些习俗在一些地区依然存在，这些习俗把妇女看作是男人性快乐的源泉。但是，非政府组织正在开展一些活动来解决这些问题，特别是在流动艾滋病毒/艾滋病之后。在这些活动中，有一项正在进行的活动就是，由性别特别法律委员会对新法律进行审查并颁布。</w:t>
      </w:r>
    </w:p>
    <w:p w:rsidR="005052D3" w:rsidRDefault="005052D3">
      <w:pPr>
        <w:pStyle w:val="H1"/>
        <w:spacing w:after="120" w:line="310" w:lineRule="exact"/>
      </w:pPr>
      <w:bookmarkStart w:id="24" w:name="_Toc33784414"/>
      <w:bookmarkStart w:id="25" w:name="_Toc377350753"/>
      <w:bookmarkStart w:id="26" w:name="_Toc83142695"/>
      <w:r>
        <w:tab/>
      </w:r>
      <w:r>
        <w:tab/>
      </w:r>
      <w:r>
        <w:tab/>
      </w:r>
      <w:r>
        <w:rPr>
          <w:rFonts w:hint="eastAsia"/>
        </w:rPr>
        <w:t>第7条：政治和公共生活</w:t>
      </w:r>
      <w:bookmarkEnd w:id="24"/>
      <w:bookmarkEnd w:id="25"/>
      <w:bookmarkEnd w:id="26"/>
    </w:p>
    <w:p w:rsidR="005052D3" w:rsidRDefault="005052D3">
      <w:pPr>
        <w:tabs>
          <w:tab w:val="left" w:pos="840"/>
        </w:tabs>
        <w:spacing w:after="120" w:line="310" w:lineRule="exact"/>
        <w:rPr>
          <w:rFonts w:eastAsia="SimHei"/>
          <w:bCs/>
          <w:color w:val="FF0000"/>
        </w:rPr>
      </w:pPr>
      <w:r>
        <w:rPr>
          <w:rFonts w:eastAsia="SimHei"/>
          <w:bCs/>
          <w:color w:val="FF0000"/>
        </w:rPr>
        <w:tab/>
      </w:r>
      <w:r>
        <w:rPr>
          <w:rFonts w:eastAsia="SimHei"/>
          <w:bCs/>
          <w:color w:val="FF0000"/>
        </w:rPr>
        <w:tab/>
      </w:r>
      <w:r>
        <w:rPr>
          <w:rFonts w:eastAsia="SimHei"/>
          <w:bCs/>
          <w:color w:val="FF0000"/>
        </w:rPr>
        <w:tab/>
        <w:t>7.1</w:t>
      </w:r>
      <w:r>
        <w:rPr>
          <w:rFonts w:eastAsia="SimHei"/>
          <w:bCs/>
          <w:color w:val="FF0000"/>
        </w:rPr>
        <w:tab/>
      </w:r>
      <w:r>
        <w:rPr>
          <w:rFonts w:eastAsia="SimHei"/>
          <w:bCs/>
          <w:color w:val="FF0000"/>
        </w:rPr>
        <w:t>《消除对妇女一切形式歧视公约》</w:t>
      </w:r>
      <w:r>
        <w:rPr>
          <w:rFonts w:eastAsia="SimHei" w:hint="eastAsia"/>
          <w:bCs/>
          <w:color w:val="FF0000"/>
        </w:rPr>
        <w:t>标准</w:t>
      </w:r>
    </w:p>
    <w:p w:rsidR="005052D3" w:rsidRDefault="005052D3">
      <w:pPr>
        <w:pStyle w:val="SingleTxt"/>
        <w:spacing w:after="120" w:line="310" w:lineRule="exact"/>
        <w:ind w:left="2115" w:hanging="851"/>
        <w:rPr>
          <w:rFonts w:ascii="KaiTi_GB2312" w:eastAsia="KaiTi_GB2312"/>
          <w:color w:val="0000FF"/>
        </w:rPr>
      </w:pPr>
      <w:r>
        <w:rPr>
          <w:rFonts w:ascii="KaiTi_GB2312" w:eastAsia="KaiTi_GB2312" w:hint="eastAsia"/>
          <w:color w:val="0000FF"/>
        </w:rPr>
        <w:t>第</w:t>
      </w:r>
      <w:r>
        <w:rPr>
          <w:rFonts w:ascii="KaiTi_GB2312" w:eastAsia="KaiTi_GB2312"/>
          <w:color w:val="0000FF"/>
        </w:rPr>
        <w:t>7</w:t>
      </w:r>
      <w:r>
        <w:rPr>
          <w:rFonts w:ascii="KaiTi_GB2312" w:eastAsia="KaiTi_GB2312" w:hint="eastAsia"/>
          <w:color w:val="0000FF"/>
        </w:rPr>
        <w:t>条</w:t>
      </w:r>
      <w:r>
        <w:rPr>
          <w:rFonts w:ascii="KaiTi_GB2312" w:eastAsia="KaiTi_GB2312"/>
          <w:color w:val="0000FF"/>
        </w:rPr>
        <w:t>.</w:t>
      </w:r>
      <w:r>
        <w:rPr>
          <w:rFonts w:ascii="KaiTi_GB2312" w:eastAsia="KaiTi_GB2312"/>
          <w:color w:val="0000FF"/>
        </w:rPr>
        <w:tab/>
      </w:r>
      <w:r>
        <w:rPr>
          <w:rFonts w:ascii="KaiTi_GB2312" w:eastAsia="KaiTi_GB2312" w:hint="eastAsia"/>
          <w:color w:val="0000FF"/>
        </w:rPr>
        <w:t xml:space="preserve">缔约各国应采取一切适当措施，消除在本国政治和公众事务中对妇女的歧视，特别应保证妇女在与男子平等的条件下： </w:t>
      </w:r>
    </w:p>
    <w:p w:rsidR="005052D3" w:rsidRDefault="005052D3">
      <w:pPr>
        <w:pStyle w:val="SingleTxt"/>
        <w:spacing w:after="120" w:line="310" w:lineRule="exact"/>
        <w:ind w:left="1695"/>
        <w:rPr>
          <w:rFonts w:ascii="KaiTi_GB2312" w:eastAsia="KaiTi_GB2312" w:hint="eastAsia"/>
          <w:color w:val="0000FF"/>
        </w:rPr>
      </w:pPr>
      <w:r>
        <w:rPr>
          <w:rFonts w:ascii="KaiTi_GB2312" w:eastAsia="KaiTi_GB2312" w:hint="eastAsia"/>
          <w:color w:val="0000FF"/>
        </w:rPr>
        <w:t>(a)</w:t>
      </w:r>
      <w:r>
        <w:rPr>
          <w:rFonts w:ascii="KaiTi_GB2312" w:eastAsia="KaiTi_GB2312"/>
          <w:color w:val="0000FF"/>
        </w:rPr>
        <w:tab/>
      </w:r>
      <w:r>
        <w:rPr>
          <w:rFonts w:ascii="KaiTi_GB2312" w:eastAsia="KaiTi_GB2312" w:hint="eastAsia"/>
          <w:color w:val="0000FF"/>
        </w:rPr>
        <w:t xml:space="preserve">在一切选举和公民投票中有选举权，并在一切民选机构有被选举权； </w:t>
      </w:r>
    </w:p>
    <w:p w:rsidR="005052D3" w:rsidRDefault="005052D3">
      <w:pPr>
        <w:pStyle w:val="SingleTxt"/>
        <w:spacing w:after="120" w:line="310" w:lineRule="exac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 xml:space="preserve">(b) </w:t>
      </w:r>
      <w:r>
        <w:rPr>
          <w:rFonts w:ascii="KaiTi_GB2312" w:eastAsia="KaiTi_GB2312"/>
          <w:color w:val="0000FF"/>
        </w:rPr>
        <w:tab/>
      </w:r>
      <w:r>
        <w:rPr>
          <w:rFonts w:ascii="KaiTi_GB2312" w:eastAsia="KaiTi_GB2312" w:hint="eastAsia"/>
          <w:color w:val="0000FF"/>
        </w:rPr>
        <w:t xml:space="preserve">参加政府政策的制订及其执行，并担任各级政府公职，执行一切公务； </w:t>
      </w:r>
    </w:p>
    <w:p w:rsidR="005052D3" w:rsidRDefault="005052D3">
      <w:pPr>
        <w:pStyle w:val="SingleTxt"/>
        <w:spacing w:after="120" w:line="310" w:lineRule="exact"/>
        <w:rPr>
          <w:rFonts w:hint="eastAsia"/>
        </w:rPr>
      </w:pPr>
      <w:r>
        <w:rPr>
          <w:rFonts w:ascii="KaiTi_GB2312" w:eastAsia="KaiTi_GB2312"/>
          <w:color w:val="0000FF"/>
        </w:rPr>
        <w:tab/>
      </w:r>
      <w:r>
        <w:rPr>
          <w:rFonts w:ascii="KaiTi_GB2312" w:eastAsia="KaiTi_GB2312" w:hint="eastAsia"/>
          <w:color w:val="0000FF"/>
        </w:rPr>
        <w:t xml:space="preserve">(c) </w:t>
      </w:r>
      <w:r>
        <w:rPr>
          <w:rFonts w:ascii="KaiTi_GB2312" w:eastAsia="KaiTi_GB2312"/>
          <w:color w:val="0000FF"/>
        </w:rPr>
        <w:tab/>
      </w:r>
      <w:r>
        <w:rPr>
          <w:rFonts w:ascii="KaiTi_GB2312" w:eastAsia="KaiTi_GB2312" w:hint="eastAsia"/>
          <w:color w:val="0000FF"/>
        </w:rPr>
        <w:t>参加有关本国公众和政治事务的非政府组织和协会。</w:t>
      </w:r>
    </w:p>
    <w:p w:rsidR="005052D3" w:rsidRDefault="005052D3">
      <w:pPr>
        <w:tabs>
          <w:tab w:val="left" w:pos="840"/>
        </w:tabs>
        <w:spacing w:after="120" w:line="310" w:lineRule="exact"/>
        <w:rPr>
          <w:rFonts w:ascii="SimHei" w:eastAsia="SimHei" w:hint="eastAsia"/>
          <w:bCs/>
          <w:color w:val="FF0000"/>
        </w:rPr>
      </w:pPr>
      <w:r>
        <w:rPr>
          <w:rFonts w:ascii="SimHei" w:eastAsia="SimHei"/>
          <w:bCs/>
          <w:color w:val="FF0000"/>
        </w:rPr>
        <w:tab/>
      </w:r>
      <w:r>
        <w:rPr>
          <w:rFonts w:ascii="SimHei" w:eastAsia="SimHei"/>
          <w:bCs/>
          <w:color w:val="FF0000"/>
        </w:rPr>
        <w:tab/>
      </w:r>
      <w:r>
        <w:rPr>
          <w:rFonts w:ascii="SimHei" w:eastAsia="SimHei"/>
          <w:bCs/>
          <w:color w:val="FF0000"/>
        </w:rPr>
        <w:tab/>
        <w:t xml:space="preserve">7.2 </w:t>
      </w:r>
      <w:r>
        <w:rPr>
          <w:rFonts w:ascii="SimHei" w:eastAsia="SimHei"/>
          <w:bCs/>
          <w:color w:val="FF0000"/>
        </w:rPr>
        <w:tab/>
      </w:r>
      <w:r>
        <w:rPr>
          <w:rFonts w:ascii="SimHei" w:eastAsia="SimHei" w:hint="eastAsia"/>
          <w:bCs/>
          <w:color w:val="FF0000"/>
        </w:rPr>
        <w:t>导言</w:t>
      </w:r>
    </w:p>
    <w:p w:rsidR="005052D3" w:rsidRDefault="005052D3">
      <w:pPr>
        <w:pStyle w:val="SingleTxt"/>
        <w:spacing w:after="120" w:line="310" w:lineRule="exact"/>
      </w:pPr>
      <w:r>
        <w:t xml:space="preserve">7.2.1  </w:t>
      </w:r>
      <w:r>
        <w:rPr>
          <w:rFonts w:hint="eastAsia"/>
        </w:rPr>
        <w:t>男女之间的不平等在政治和公共生活中进一步表现出来。在一切重要的决策岗位上，妇女的人数总是少于男子。即使她们担任了某一岗位，也处于服从的地位，很少被承认是发展活动制定和实施的重要决策人。</w:t>
      </w:r>
    </w:p>
    <w:p w:rsidR="005052D3" w:rsidRDefault="005052D3">
      <w:pPr>
        <w:pStyle w:val="SingleTxt"/>
        <w:spacing w:after="120" w:line="310" w:lineRule="exact"/>
      </w:pPr>
      <w:r>
        <w:t xml:space="preserve">7.2.2   </w:t>
      </w:r>
      <w:r>
        <w:rPr>
          <w:rFonts w:hint="eastAsia"/>
        </w:rPr>
        <w:t>马拉维宪法很进步，要求消除政治和公共生活中的差距。不幸的是，大多数法律还未能与马拉维已经加入的、旨在加强促进妇女参加关键决策岗位的国际规定相协调。这与各种旨在提高妇女参与决策的活动还存在矛盾。</w:t>
      </w:r>
    </w:p>
    <w:p w:rsidR="005052D3" w:rsidRDefault="005052D3">
      <w:pPr>
        <w:tabs>
          <w:tab w:val="left" w:pos="840"/>
        </w:tabs>
        <w:spacing w:after="120" w:line="310" w:lineRule="exac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7.3</w:t>
      </w:r>
      <w:r>
        <w:rPr>
          <w:rFonts w:ascii="SimHei" w:eastAsia="SimHei"/>
          <w:bCs/>
          <w:color w:val="FF0000"/>
        </w:rPr>
        <w:tab/>
      </w:r>
      <w:r>
        <w:rPr>
          <w:rFonts w:ascii="SimHei" w:eastAsia="SimHei" w:hint="eastAsia"/>
          <w:bCs/>
          <w:color w:val="FF0000"/>
        </w:rPr>
        <w:t>投票和参加选举的资格</w:t>
      </w:r>
    </w:p>
    <w:p w:rsidR="005052D3" w:rsidRDefault="005052D3">
      <w:pPr>
        <w:pStyle w:val="SingleTxt"/>
        <w:spacing w:after="120" w:line="310" w:lineRule="exact"/>
        <w:rPr>
          <w:rFonts w:hint="eastAsia"/>
          <w:spacing w:val="-2"/>
        </w:rPr>
      </w:pPr>
      <w:r>
        <w:pict>
          <v:roundrect id="_x0000_s2052" style="position:absolute;left:0;text-align:left;margin-left:3pt;margin-top:68pt;width:465pt;height:150.8pt;z-index:-9;mso-wrap-edited:f" arcsize="7773f" wrapcoords="557 0 348 130 -35 1561 -35 19258 105 20819 139 20949 523 21600 592 21600 21008 21600 21077 21600 21461 20949 21495 20819 21635 19258 21635 1561 21252 130 21043 0 557 0">
            <v:textbox style="mso-next-textbox:#_x0000_s2052">
              <w:txbxContent>
                <w:p w:rsidR="005052D3" w:rsidRDefault="005052D3">
                  <w:pPr>
                    <w:spacing w:afterLines="50" w:after="156"/>
                    <w:jc w:val="center"/>
                    <w:rPr>
                      <w:rFonts w:ascii="SimHei" w:eastAsia="SimHei" w:hAnsi="Arial Narrow"/>
                      <w:color w:val="FF0000"/>
                    </w:rPr>
                  </w:pPr>
                  <w:r>
                    <w:rPr>
                      <w:rFonts w:ascii="SimHei" w:eastAsia="SimHei" w:hAnsi="Arial Narrow" w:hint="eastAsia"/>
                      <w:color w:val="FF0000"/>
                    </w:rPr>
                    <w:t>1994年和1999年妇女在各政党中的人数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810"/>
                    <w:gridCol w:w="1004"/>
                    <w:gridCol w:w="796"/>
                    <w:gridCol w:w="1080"/>
                    <w:gridCol w:w="900"/>
                    <w:gridCol w:w="1004"/>
                    <w:gridCol w:w="796"/>
                    <w:gridCol w:w="990"/>
                  </w:tblGrid>
                  <w:tr w:rsidR="005052D3">
                    <w:tblPrEx>
                      <w:tblCellMar>
                        <w:top w:w="0" w:type="dxa"/>
                        <w:bottom w:w="0" w:type="dxa"/>
                      </w:tblCellMar>
                    </w:tblPrEx>
                    <w:tc>
                      <w:tcPr>
                        <w:tcW w:w="1350" w:type="dxa"/>
                      </w:tcPr>
                      <w:p w:rsidR="005052D3" w:rsidRDefault="005052D3">
                        <w:pPr>
                          <w:jc w:val="center"/>
                          <w:rPr>
                            <w:rFonts w:ascii="Arial Narrow" w:hAnsi="Arial Narrow"/>
                            <w:bCs/>
                            <w:i/>
                            <w:sz w:val="18"/>
                          </w:rPr>
                        </w:pPr>
                        <w:r>
                          <w:rPr>
                            <w:rFonts w:ascii="KaiTi_GB2312" w:eastAsia="KaiTi_GB2312" w:hAnsi="Arial Narrow" w:hint="eastAsia"/>
                            <w:bCs/>
                            <w:color w:val="0000FF"/>
                            <w:sz w:val="18"/>
                          </w:rPr>
                          <w:t>政党</w:t>
                        </w:r>
                      </w:p>
                    </w:tc>
                    <w:tc>
                      <w:tcPr>
                        <w:tcW w:w="810" w:type="dxa"/>
                      </w:tcPr>
                      <w:p w:rsidR="005052D3" w:rsidRDefault="005052D3">
                        <w:pPr>
                          <w:jc w:val="center"/>
                          <w:rPr>
                            <w:rFonts w:ascii="Arial Narrow" w:hAnsi="Arial Narrow"/>
                            <w:bCs/>
                            <w:i/>
                            <w:sz w:val="18"/>
                          </w:rPr>
                        </w:pPr>
                        <w:r>
                          <w:rPr>
                            <w:rFonts w:ascii="KaiTi_GB2312" w:eastAsia="KaiTi_GB2312" w:hAnsi="Arial Narrow" w:hint="eastAsia"/>
                            <w:bCs/>
                            <w:color w:val="0000FF"/>
                            <w:sz w:val="18"/>
                          </w:rPr>
                          <w:t>男子</w:t>
                        </w:r>
                        <w:r>
                          <w:rPr>
                            <w:rFonts w:ascii="KaiTi_GB2312" w:eastAsia="KaiTi_GB2312" w:hAnsi="Arial Narrow"/>
                            <w:bCs/>
                            <w:color w:val="0000FF"/>
                            <w:sz w:val="18"/>
                          </w:rPr>
                          <w:t>, 1994</w:t>
                        </w:r>
                      </w:p>
                    </w:tc>
                    <w:tc>
                      <w:tcPr>
                        <w:tcW w:w="1004" w:type="dxa"/>
                      </w:tcPr>
                      <w:p w:rsidR="005052D3" w:rsidRDefault="005052D3">
                        <w:pPr>
                          <w:jc w:val="center"/>
                          <w:rPr>
                            <w:rFonts w:ascii="Arial Narrow" w:hAnsi="Arial Narrow"/>
                            <w:bCs/>
                            <w:i/>
                            <w:sz w:val="18"/>
                          </w:rPr>
                        </w:pPr>
                        <w:r>
                          <w:rPr>
                            <w:rFonts w:ascii="KaiTi_GB2312" w:eastAsia="KaiTi_GB2312" w:hAnsi="Arial Narrow" w:hint="eastAsia"/>
                            <w:bCs/>
                            <w:color w:val="0000FF"/>
                            <w:sz w:val="18"/>
                          </w:rPr>
                          <w:t>妇女</w:t>
                        </w:r>
                        <w:r>
                          <w:rPr>
                            <w:rFonts w:ascii="KaiTi_GB2312" w:eastAsia="KaiTi_GB2312" w:hAnsi="Arial Narrow"/>
                            <w:bCs/>
                            <w:color w:val="0000FF"/>
                            <w:sz w:val="18"/>
                          </w:rPr>
                          <w:t>, 1994</w:t>
                        </w:r>
                      </w:p>
                    </w:tc>
                    <w:tc>
                      <w:tcPr>
                        <w:tcW w:w="796" w:type="dxa"/>
                      </w:tcPr>
                      <w:p w:rsidR="005052D3" w:rsidRDefault="005052D3">
                        <w:pPr>
                          <w:jc w:val="center"/>
                          <w:rPr>
                            <w:rFonts w:ascii="Arial Narrow" w:hAnsi="Arial Narrow"/>
                            <w:bCs/>
                            <w:i/>
                            <w:sz w:val="18"/>
                          </w:rPr>
                        </w:pPr>
                        <w:r>
                          <w:rPr>
                            <w:rFonts w:ascii="KaiTi_GB2312" w:eastAsia="KaiTi_GB2312" w:hAnsi="Arial Narrow" w:hint="eastAsia"/>
                            <w:bCs/>
                            <w:color w:val="0000FF"/>
                            <w:sz w:val="18"/>
                          </w:rPr>
                          <w:t>总计</w:t>
                        </w:r>
                        <w:r>
                          <w:rPr>
                            <w:rFonts w:ascii="KaiTi_GB2312" w:eastAsia="KaiTi_GB2312" w:hAnsi="Arial Narrow"/>
                            <w:bCs/>
                            <w:color w:val="0000FF"/>
                            <w:sz w:val="18"/>
                          </w:rPr>
                          <w:t>, 1994</w:t>
                        </w:r>
                      </w:p>
                    </w:tc>
                    <w:tc>
                      <w:tcPr>
                        <w:tcW w:w="1080" w:type="dxa"/>
                      </w:tcPr>
                      <w:p w:rsidR="005052D3" w:rsidRDefault="005052D3">
                        <w:pPr>
                          <w:jc w:val="center"/>
                          <w:rPr>
                            <w:rFonts w:ascii="Arial Narrow" w:hAnsi="Arial Narrow" w:hint="eastAsia"/>
                            <w:bCs/>
                            <w:i/>
                            <w:sz w:val="18"/>
                          </w:rPr>
                        </w:pPr>
                        <w:r>
                          <w:rPr>
                            <w:rFonts w:ascii="KaiTi_GB2312" w:eastAsia="KaiTi_GB2312" w:hAnsi="Arial Narrow" w:hint="eastAsia"/>
                            <w:bCs/>
                            <w:color w:val="0000FF"/>
                            <w:sz w:val="18"/>
                          </w:rPr>
                          <w:t>妇女比例</w:t>
                        </w:r>
                      </w:p>
                    </w:tc>
                    <w:tc>
                      <w:tcPr>
                        <w:tcW w:w="900" w:type="dxa"/>
                      </w:tcPr>
                      <w:p w:rsidR="005052D3" w:rsidRDefault="005052D3">
                        <w:pPr>
                          <w:jc w:val="center"/>
                          <w:rPr>
                            <w:rFonts w:ascii="Arial Narrow" w:hAnsi="Arial Narrow"/>
                            <w:bCs/>
                            <w:i/>
                            <w:sz w:val="18"/>
                          </w:rPr>
                        </w:pPr>
                        <w:r>
                          <w:rPr>
                            <w:rFonts w:ascii="KaiTi_GB2312" w:eastAsia="KaiTi_GB2312" w:hAnsi="Arial Narrow" w:hint="eastAsia"/>
                            <w:bCs/>
                            <w:color w:val="0000FF"/>
                            <w:sz w:val="18"/>
                          </w:rPr>
                          <w:t>男子</w:t>
                        </w:r>
                        <w:r>
                          <w:rPr>
                            <w:rFonts w:ascii="KaiTi_GB2312" w:eastAsia="KaiTi_GB2312" w:hAnsi="Arial Narrow"/>
                            <w:bCs/>
                            <w:color w:val="0000FF"/>
                            <w:sz w:val="18"/>
                          </w:rPr>
                          <w:t>, 1999</w:t>
                        </w:r>
                      </w:p>
                    </w:tc>
                    <w:tc>
                      <w:tcPr>
                        <w:tcW w:w="1004" w:type="dxa"/>
                      </w:tcPr>
                      <w:p w:rsidR="005052D3" w:rsidRDefault="005052D3">
                        <w:pPr>
                          <w:jc w:val="center"/>
                          <w:rPr>
                            <w:rFonts w:ascii="Arial Narrow" w:hAnsi="Arial Narrow"/>
                            <w:bCs/>
                            <w:i/>
                            <w:sz w:val="18"/>
                          </w:rPr>
                        </w:pPr>
                        <w:r>
                          <w:rPr>
                            <w:rFonts w:ascii="KaiTi_GB2312" w:eastAsia="KaiTi_GB2312" w:hAnsi="Arial Narrow" w:hint="eastAsia"/>
                            <w:bCs/>
                            <w:color w:val="0000FF"/>
                            <w:sz w:val="18"/>
                          </w:rPr>
                          <w:t>妇女，</w:t>
                        </w:r>
                        <w:r>
                          <w:rPr>
                            <w:rFonts w:ascii="KaiTi_GB2312" w:eastAsia="KaiTi_GB2312" w:hAnsi="Arial Narrow"/>
                            <w:bCs/>
                            <w:color w:val="0000FF"/>
                            <w:sz w:val="18"/>
                          </w:rPr>
                          <w:t>1999</w:t>
                        </w:r>
                      </w:p>
                    </w:tc>
                    <w:tc>
                      <w:tcPr>
                        <w:tcW w:w="796" w:type="dxa"/>
                      </w:tcPr>
                      <w:p w:rsidR="005052D3" w:rsidRDefault="005052D3">
                        <w:pPr>
                          <w:jc w:val="center"/>
                          <w:rPr>
                            <w:rFonts w:ascii="Arial Narrow" w:hAnsi="Arial Narrow" w:hint="eastAsia"/>
                            <w:bCs/>
                            <w:i/>
                            <w:sz w:val="18"/>
                          </w:rPr>
                        </w:pPr>
                        <w:r>
                          <w:rPr>
                            <w:rFonts w:ascii="KaiTi_GB2312" w:eastAsia="KaiTi_GB2312" w:hAnsi="Arial Narrow" w:hint="eastAsia"/>
                            <w:bCs/>
                            <w:color w:val="0000FF"/>
                            <w:sz w:val="18"/>
                          </w:rPr>
                          <w:t>总计</w:t>
                        </w:r>
                      </w:p>
                    </w:tc>
                    <w:tc>
                      <w:tcPr>
                        <w:tcW w:w="990" w:type="dxa"/>
                      </w:tcPr>
                      <w:p w:rsidR="005052D3" w:rsidRDefault="005052D3">
                        <w:pPr>
                          <w:jc w:val="center"/>
                          <w:rPr>
                            <w:rFonts w:ascii="KaiTi_GB2312" w:eastAsia="KaiTi_GB2312" w:hAnsi="Arial Narrow" w:hint="eastAsia"/>
                            <w:bCs/>
                            <w:color w:val="0000FF"/>
                            <w:sz w:val="18"/>
                          </w:rPr>
                        </w:pPr>
                        <w:r>
                          <w:rPr>
                            <w:rFonts w:ascii="KaiTi_GB2312" w:eastAsia="KaiTi_GB2312" w:hAnsi="Arial Narrow" w:hint="eastAsia"/>
                            <w:bCs/>
                            <w:color w:val="0000FF"/>
                            <w:sz w:val="18"/>
                          </w:rPr>
                          <w:t>妇女比例</w:t>
                        </w:r>
                      </w:p>
                    </w:tc>
                  </w:tr>
                  <w:tr w:rsidR="005052D3">
                    <w:tblPrEx>
                      <w:tblCellMar>
                        <w:top w:w="0" w:type="dxa"/>
                        <w:bottom w:w="0" w:type="dxa"/>
                      </w:tblCellMar>
                    </w:tblPrEx>
                    <w:tc>
                      <w:tcPr>
                        <w:tcW w:w="1350" w:type="dxa"/>
                      </w:tcPr>
                      <w:p w:rsidR="005052D3" w:rsidRDefault="005052D3">
                        <w:pPr>
                          <w:rPr>
                            <w:rFonts w:ascii="Arial Narrow" w:hAnsi="Arial Narrow" w:hint="eastAsia"/>
                            <w:sz w:val="18"/>
                          </w:rPr>
                        </w:pPr>
                        <w:r>
                          <w:rPr>
                            <w:rFonts w:ascii="Arial Narrow" w:hAnsi="Arial Narrow" w:hint="eastAsia"/>
                            <w:sz w:val="18"/>
                          </w:rPr>
                          <w:t>民主联盟</w:t>
                        </w:r>
                      </w:p>
                    </w:tc>
                    <w:tc>
                      <w:tcPr>
                        <w:tcW w:w="810" w:type="dxa"/>
                      </w:tcPr>
                      <w:p w:rsidR="005052D3" w:rsidRDefault="005052D3">
                        <w:pPr>
                          <w:jc w:val="center"/>
                          <w:rPr>
                            <w:sz w:val="18"/>
                          </w:rPr>
                        </w:pPr>
                        <w:r>
                          <w:rPr>
                            <w:sz w:val="18"/>
                          </w:rPr>
                          <w:t>32</w:t>
                        </w:r>
                      </w:p>
                    </w:tc>
                    <w:tc>
                      <w:tcPr>
                        <w:tcW w:w="1004" w:type="dxa"/>
                      </w:tcPr>
                      <w:p w:rsidR="005052D3" w:rsidRDefault="005052D3">
                        <w:pPr>
                          <w:jc w:val="center"/>
                          <w:rPr>
                            <w:sz w:val="18"/>
                          </w:rPr>
                        </w:pPr>
                        <w:r>
                          <w:rPr>
                            <w:sz w:val="18"/>
                          </w:rPr>
                          <w:t>1</w:t>
                        </w:r>
                      </w:p>
                    </w:tc>
                    <w:tc>
                      <w:tcPr>
                        <w:tcW w:w="796" w:type="dxa"/>
                      </w:tcPr>
                      <w:p w:rsidR="005052D3" w:rsidRDefault="005052D3">
                        <w:pPr>
                          <w:jc w:val="center"/>
                          <w:rPr>
                            <w:sz w:val="18"/>
                          </w:rPr>
                        </w:pPr>
                        <w:r>
                          <w:rPr>
                            <w:sz w:val="18"/>
                          </w:rPr>
                          <w:t>33</w:t>
                        </w:r>
                      </w:p>
                    </w:tc>
                    <w:tc>
                      <w:tcPr>
                        <w:tcW w:w="1080" w:type="dxa"/>
                      </w:tcPr>
                      <w:p w:rsidR="005052D3" w:rsidRDefault="005052D3">
                        <w:pPr>
                          <w:jc w:val="center"/>
                          <w:rPr>
                            <w:sz w:val="18"/>
                          </w:rPr>
                        </w:pPr>
                        <w:r>
                          <w:rPr>
                            <w:sz w:val="18"/>
                          </w:rPr>
                          <w:t>3</w:t>
                        </w:r>
                      </w:p>
                    </w:tc>
                    <w:tc>
                      <w:tcPr>
                        <w:tcW w:w="900" w:type="dxa"/>
                      </w:tcPr>
                      <w:p w:rsidR="005052D3" w:rsidRDefault="005052D3">
                        <w:pPr>
                          <w:jc w:val="center"/>
                          <w:rPr>
                            <w:sz w:val="18"/>
                          </w:rPr>
                        </w:pPr>
                        <w:r>
                          <w:rPr>
                            <w:sz w:val="18"/>
                          </w:rPr>
                          <w:t>29</w:t>
                        </w:r>
                      </w:p>
                    </w:tc>
                    <w:tc>
                      <w:tcPr>
                        <w:tcW w:w="1004" w:type="dxa"/>
                      </w:tcPr>
                      <w:p w:rsidR="005052D3" w:rsidRDefault="005052D3">
                        <w:pPr>
                          <w:jc w:val="center"/>
                          <w:rPr>
                            <w:sz w:val="18"/>
                          </w:rPr>
                        </w:pPr>
                        <w:r>
                          <w:rPr>
                            <w:sz w:val="18"/>
                          </w:rPr>
                          <w:t>1</w:t>
                        </w:r>
                      </w:p>
                    </w:tc>
                    <w:tc>
                      <w:tcPr>
                        <w:tcW w:w="796" w:type="dxa"/>
                      </w:tcPr>
                      <w:p w:rsidR="005052D3" w:rsidRDefault="005052D3">
                        <w:pPr>
                          <w:jc w:val="center"/>
                          <w:rPr>
                            <w:sz w:val="18"/>
                          </w:rPr>
                        </w:pPr>
                        <w:r>
                          <w:rPr>
                            <w:sz w:val="18"/>
                          </w:rPr>
                          <w:t>30</w:t>
                        </w:r>
                      </w:p>
                    </w:tc>
                    <w:tc>
                      <w:tcPr>
                        <w:tcW w:w="990" w:type="dxa"/>
                      </w:tcPr>
                      <w:p w:rsidR="005052D3" w:rsidRDefault="005052D3">
                        <w:pPr>
                          <w:jc w:val="center"/>
                          <w:rPr>
                            <w:sz w:val="18"/>
                          </w:rPr>
                        </w:pPr>
                        <w:r>
                          <w:rPr>
                            <w:sz w:val="18"/>
                          </w:rPr>
                          <w:t>3</w:t>
                        </w:r>
                      </w:p>
                    </w:tc>
                  </w:tr>
                  <w:tr w:rsidR="005052D3">
                    <w:tblPrEx>
                      <w:tblCellMar>
                        <w:top w:w="0" w:type="dxa"/>
                        <w:bottom w:w="0" w:type="dxa"/>
                      </w:tblCellMar>
                    </w:tblPrEx>
                    <w:tc>
                      <w:tcPr>
                        <w:tcW w:w="1350" w:type="dxa"/>
                      </w:tcPr>
                      <w:p w:rsidR="005052D3" w:rsidRDefault="005052D3">
                        <w:pPr>
                          <w:rPr>
                            <w:rFonts w:ascii="Arial Narrow" w:hAnsi="Arial Narrow" w:hint="eastAsia"/>
                            <w:sz w:val="18"/>
                          </w:rPr>
                        </w:pPr>
                        <w:r>
                          <w:rPr>
                            <w:rFonts w:ascii="Arial Narrow" w:hAnsi="Arial Narrow" w:hint="eastAsia"/>
                            <w:sz w:val="18"/>
                          </w:rPr>
                          <w:t>联合民主阵线</w:t>
                        </w:r>
                      </w:p>
                    </w:tc>
                    <w:tc>
                      <w:tcPr>
                        <w:tcW w:w="810" w:type="dxa"/>
                      </w:tcPr>
                      <w:p w:rsidR="005052D3" w:rsidRDefault="005052D3">
                        <w:pPr>
                          <w:jc w:val="center"/>
                          <w:rPr>
                            <w:sz w:val="18"/>
                          </w:rPr>
                        </w:pPr>
                        <w:r>
                          <w:rPr>
                            <w:sz w:val="18"/>
                          </w:rPr>
                          <w:t>79</w:t>
                        </w:r>
                      </w:p>
                    </w:tc>
                    <w:tc>
                      <w:tcPr>
                        <w:tcW w:w="1004" w:type="dxa"/>
                      </w:tcPr>
                      <w:p w:rsidR="005052D3" w:rsidRDefault="005052D3">
                        <w:pPr>
                          <w:jc w:val="center"/>
                          <w:rPr>
                            <w:sz w:val="18"/>
                          </w:rPr>
                        </w:pPr>
                        <w:r>
                          <w:rPr>
                            <w:sz w:val="18"/>
                          </w:rPr>
                          <w:t>5</w:t>
                        </w:r>
                      </w:p>
                    </w:tc>
                    <w:tc>
                      <w:tcPr>
                        <w:tcW w:w="796" w:type="dxa"/>
                      </w:tcPr>
                      <w:p w:rsidR="005052D3" w:rsidRDefault="005052D3">
                        <w:pPr>
                          <w:jc w:val="center"/>
                          <w:rPr>
                            <w:sz w:val="18"/>
                          </w:rPr>
                        </w:pPr>
                        <w:r>
                          <w:rPr>
                            <w:sz w:val="18"/>
                          </w:rPr>
                          <w:t>84</w:t>
                        </w:r>
                      </w:p>
                    </w:tc>
                    <w:tc>
                      <w:tcPr>
                        <w:tcW w:w="1080" w:type="dxa"/>
                      </w:tcPr>
                      <w:p w:rsidR="005052D3" w:rsidRDefault="005052D3">
                        <w:pPr>
                          <w:jc w:val="center"/>
                          <w:rPr>
                            <w:sz w:val="18"/>
                          </w:rPr>
                        </w:pPr>
                        <w:r>
                          <w:rPr>
                            <w:sz w:val="18"/>
                          </w:rPr>
                          <w:t>5.9</w:t>
                        </w:r>
                      </w:p>
                    </w:tc>
                    <w:tc>
                      <w:tcPr>
                        <w:tcW w:w="900" w:type="dxa"/>
                      </w:tcPr>
                      <w:p w:rsidR="005052D3" w:rsidRDefault="005052D3">
                        <w:pPr>
                          <w:jc w:val="center"/>
                          <w:rPr>
                            <w:sz w:val="18"/>
                          </w:rPr>
                        </w:pPr>
                        <w:r>
                          <w:rPr>
                            <w:sz w:val="18"/>
                          </w:rPr>
                          <w:t>83</w:t>
                        </w:r>
                      </w:p>
                    </w:tc>
                    <w:tc>
                      <w:tcPr>
                        <w:tcW w:w="1004" w:type="dxa"/>
                      </w:tcPr>
                      <w:p w:rsidR="005052D3" w:rsidRDefault="005052D3">
                        <w:pPr>
                          <w:jc w:val="center"/>
                          <w:rPr>
                            <w:sz w:val="18"/>
                          </w:rPr>
                        </w:pPr>
                        <w:r>
                          <w:rPr>
                            <w:sz w:val="18"/>
                          </w:rPr>
                          <w:t>12</w:t>
                        </w:r>
                      </w:p>
                    </w:tc>
                    <w:tc>
                      <w:tcPr>
                        <w:tcW w:w="796" w:type="dxa"/>
                      </w:tcPr>
                      <w:p w:rsidR="005052D3" w:rsidRDefault="005052D3">
                        <w:pPr>
                          <w:jc w:val="center"/>
                          <w:rPr>
                            <w:sz w:val="18"/>
                          </w:rPr>
                        </w:pPr>
                        <w:r>
                          <w:rPr>
                            <w:sz w:val="18"/>
                          </w:rPr>
                          <w:t>95</w:t>
                        </w:r>
                      </w:p>
                    </w:tc>
                    <w:tc>
                      <w:tcPr>
                        <w:tcW w:w="990" w:type="dxa"/>
                      </w:tcPr>
                      <w:p w:rsidR="005052D3" w:rsidRDefault="005052D3">
                        <w:pPr>
                          <w:jc w:val="center"/>
                          <w:rPr>
                            <w:sz w:val="18"/>
                          </w:rPr>
                        </w:pPr>
                        <w:r>
                          <w:rPr>
                            <w:sz w:val="18"/>
                          </w:rPr>
                          <w:t>12.6</w:t>
                        </w:r>
                      </w:p>
                    </w:tc>
                  </w:tr>
                  <w:tr w:rsidR="005052D3">
                    <w:tblPrEx>
                      <w:tblCellMar>
                        <w:top w:w="0" w:type="dxa"/>
                        <w:bottom w:w="0" w:type="dxa"/>
                      </w:tblCellMar>
                    </w:tblPrEx>
                    <w:tc>
                      <w:tcPr>
                        <w:tcW w:w="1350" w:type="dxa"/>
                        <w:tcBorders>
                          <w:bottom w:val="single" w:sz="4" w:space="0" w:color="auto"/>
                        </w:tcBorders>
                      </w:tcPr>
                      <w:p w:rsidR="005052D3" w:rsidRDefault="005052D3">
                        <w:pPr>
                          <w:rPr>
                            <w:rFonts w:ascii="Arial Narrow" w:hAnsi="Arial Narrow" w:hint="eastAsia"/>
                            <w:sz w:val="18"/>
                          </w:rPr>
                        </w:pPr>
                        <w:r>
                          <w:rPr>
                            <w:rFonts w:ascii="Arial Narrow" w:hAnsi="Arial Narrow" w:hint="eastAsia"/>
                            <w:sz w:val="18"/>
                          </w:rPr>
                          <w:t>马拉维大会党</w:t>
                        </w:r>
                      </w:p>
                    </w:tc>
                    <w:tc>
                      <w:tcPr>
                        <w:tcW w:w="810" w:type="dxa"/>
                        <w:tcBorders>
                          <w:bottom w:val="single" w:sz="4" w:space="0" w:color="auto"/>
                        </w:tcBorders>
                      </w:tcPr>
                      <w:p w:rsidR="005052D3" w:rsidRDefault="005052D3">
                        <w:pPr>
                          <w:jc w:val="center"/>
                          <w:rPr>
                            <w:sz w:val="18"/>
                          </w:rPr>
                        </w:pPr>
                        <w:r>
                          <w:rPr>
                            <w:sz w:val="18"/>
                          </w:rPr>
                          <w:t>50</w:t>
                        </w:r>
                      </w:p>
                    </w:tc>
                    <w:tc>
                      <w:tcPr>
                        <w:tcW w:w="1004" w:type="dxa"/>
                        <w:tcBorders>
                          <w:bottom w:val="single" w:sz="4" w:space="0" w:color="auto"/>
                        </w:tcBorders>
                      </w:tcPr>
                      <w:p w:rsidR="005052D3" w:rsidRDefault="005052D3">
                        <w:pPr>
                          <w:jc w:val="center"/>
                          <w:rPr>
                            <w:sz w:val="18"/>
                          </w:rPr>
                        </w:pPr>
                        <w:r>
                          <w:rPr>
                            <w:sz w:val="18"/>
                          </w:rPr>
                          <w:t>4</w:t>
                        </w:r>
                      </w:p>
                    </w:tc>
                    <w:tc>
                      <w:tcPr>
                        <w:tcW w:w="796" w:type="dxa"/>
                        <w:tcBorders>
                          <w:bottom w:val="single" w:sz="4" w:space="0" w:color="auto"/>
                        </w:tcBorders>
                      </w:tcPr>
                      <w:p w:rsidR="005052D3" w:rsidRDefault="005052D3">
                        <w:pPr>
                          <w:jc w:val="center"/>
                          <w:rPr>
                            <w:sz w:val="18"/>
                          </w:rPr>
                        </w:pPr>
                        <w:r>
                          <w:rPr>
                            <w:sz w:val="18"/>
                          </w:rPr>
                          <w:t>54</w:t>
                        </w:r>
                      </w:p>
                    </w:tc>
                    <w:tc>
                      <w:tcPr>
                        <w:tcW w:w="1080" w:type="dxa"/>
                        <w:tcBorders>
                          <w:bottom w:val="single" w:sz="4" w:space="0" w:color="auto"/>
                        </w:tcBorders>
                      </w:tcPr>
                      <w:p w:rsidR="005052D3" w:rsidRDefault="005052D3">
                        <w:pPr>
                          <w:jc w:val="center"/>
                          <w:rPr>
                            <w:sz w:val="18"/>
                          </w:rPr>
                        </w:pPr>
                        <w:r>
                          <w:rPr>
                            <w:sz w:val="18"/>
                          </w:rPr>
                          <w:t>7.4</w:t>
                        </w:r>
                      </w:p>
                    </w:tc>
                    <w:tc>
                      <w:tcPr>
                        <w:tcW w:w="900" w:type="dxa"/>
                        <w:tcBorders>
                          <w:bottom w:val="single" w:sz="4" w:space="0" w:color="auto"/>
                        </w:tcBorders>
                      </w:tcPr>
                      <w:p w:rsidR="005052D3" w:rsidRDefault="005052D3">
                        <w:pPr>
                          <w:jc w:val="center"/>
                          <w:rPr>
                            <w:sz w:val="18"/>
                          </w:rPr>
                        </w:pPr>
                        <w:r>
                          <w:rPr>
                            <w:sz w:val="18"/>
                          </w:rPr>
                          <w:t>58</w:t>
                        </w:r>
                      </w:p>
                    </w:tc>
                    <w:tc>
                      <w:tcPr>
                        <w:tcW w:w="1004" w:type="dxa"/>
                        <w:tcBorders>
                          <w:bottom w:val="single" w:sz="4" w:space="0" w:color="auto"/>
                        </w:tcBorders>
                      </w:tcPr>
                      <w:p w:rsidR="005052D3" w:rsidRDefault="005052D3">
                        <w:pPr>
                          <w:jc w:val="center"/>
                          <w:rPr>
                            <w:sz w:val="18"/>
                          </w:rPr>
                        </w:pPr>
                        <w:r>
                          <w:rPr>
                            <w:sz w:val="18"/>
                          </w:rPr>
                          <w:t>3</w:t>
                        </w:r>
                      </w:p>
                    </w:tc>
                    <w:tc>
                      <w:tcPr>
                        <w:tcW w:w="796" w:type="dxa"/>
                        <w:tcBorders>
                          <w:bottom w:val="single" w:sz="4" w:space="0" w:color="auto"/>
                        </w:tcBorders>
                      </w:tcPr>
                      <w:p w:rsidR="005052D3" w:rsidRDefault="005052D3">
                        <w:pPr>
                          <w:jc w:val="center"/>
                          <w:rPr>
                            <w:sz w:val="18"/>
                          </w:rPr>
                        </w:pPr>
                        <w:r>
                          <w:rPr>
                            <w:sz w:val="18"/>
                          </w:rPr>
                          <w:t>61</w:t>
                        </w:r>
                      </w:p>
                    </w:tc>
                    <w:tc>
                      <w:tcPr>
                        <w:tcW w:w="990" w:type="dxa"/>
                        <w:tcBorders>
                          <w:bottom w:val="single" w:sz="4" w:space="0" w:color="auto"/>
                        </w:tcBorders>
                      </w:tcPr>
                      <w:p w:rsidR="005052D3" w:rsidRDefault="005052D3">
                        <w:pPr>
                          <w:jc w:val="center"/>
                          <w:rPr>
                            <w:sz w:val="18"/>
                          </w:rPr>
                        </w:pPr>
                        <w:r>
                          <w:rPr>
                            <w:sz w:val="18"/>
                          </w:rPr>
                          <w:t>4.9</w:t>
                        </w:r>
                      </w:p>
                    </w:tc>
                  </w:tr>
                  <w:tr w:rsidR="005052D3">
                    <w:tblPrEx>
                      <w:tblCellMar>
                        <w:top w:w="0" w:type="dxa"/>
                        <w:bottom w:w="0" w:type="dxa"/>
                      </w:tblCellMar>
                    </w:tblPrEx>
                    <w:tc>
                      <w:tcPr>
                        <w:tcW w:w="1350" w:type="dxa"/>
                        <w:tcBorders>
                          <w:bottom w:val="single" w:sz="4" w:space="0" w:color="auto"/>
                        </w:tcBorders>
                      </w:tcPr>
                      <w:p w:rsidR="005052D3" w:rsidRDefault="005052D3">
                        <w:pPr>
                          <w:rPr>
                            <w:rFonts w:ascii="Arial Narrow" w:hAnsi="Arial Narrow" w:hint="eastAsia"/>
                            <w:sz w:val="18"/>
                          </w:rPr>
                        </w:pPr>
                        <w:r>
                          <w:rPr>
                            <w:rFonts w:ascii="Arial Narrow" w:hAnsi="Arial Narrow" w:hint="eastAsia"/>
                            <w:sz w:val="18"/>
                          </w:rPr>
                          <w:t>无党派</w:t>
                        </w:r>
                      </w:p>
                    </w:tc>
                    <w:tc>
                      <w:tcPr>
                        <w:tcW w:w="810" w:type="dxa"/>
                        <w:tcBorders>
                          <w:bottom w:val="single" w:sz="4" w:space="0" w:color="auto"/>
                        </w:tcBorders>
                      </w:tcPr>
                      <w:p w:rsidR="005052D3" w:rsidRDefault="005052D3">
                        <w:pPr>
                          <w:jc w:val="center"/>
                          <w:rPr>
                            <w:sz w:val="18"/>
                          </w:rPr>
                        </w:pPr>
                        <w:r>
                          <w:rPr>
                            <w:sz w:val="18"/>
                          </w:rPr>
                          <w:t>-</w:t>
                        </w:r>
                      </w:p>
                    </w:tc>
                    <w:tc>
                      <w:tcPr>
                        <w:tcW w:w="1004" w:type="dxa"/>
                        <w:tcBorders>
                          <w:bottom w:val="single" w:sz="4" w:space="0" w:color="auto"/>
                        </w:tcBorders>
                      </w:tcPr>
                      <w:p w:rsidR="005052D3" w:rsidRDefault="005052D3">
                        <w:pPr>
                          <w:jc w:val="center"/>
                          <w:rPr>
                            <w:sz w:val="18"/>
                          </w:rPr>
                        </w:pPr>
                        <w:r>
                          <w:rPr>
                            <w:sz w:val="18"/>
                          </w:rPr>
                          <w:t>-</w:t>
                        </w:r>
                      </w:p>
                    </w:tc>
                    <w:tc>
                      <w:tcPr>
                        <w:tcW w:w="796" w:type="dxa"/>
                        <w:tcBorders>
                          <w:bottom w:val="single" w:sz="4" w:space="0" w:color="auto"/>
                        </w:tcBorders>
                      </w:tcPr>
                      <w:p w:rsidR="005052D3" w:rsidRDefault="005052D3">
                        <w:pPr>
                          <w:jc w:val="center"/>
                          <w:rPr>
                            <w:sz w:val="18"/>
                          </w:rPr>
                        </w:pPr>
                        <w:r>
                          <w:rPr>
                            <w:sz w:val="18"/>
                          </w:rPr>
                          <w:t>-</w:t>
                        </w:r>
                      </w:p>
                    </w:tc>
                    <w:tc>
                      <w:tcPr>
                        <w:tcW w:w="1080" w:type="dxa"/>
                        <w:tcBorders>
                          <w:bottom w:val="single" w:sz="4" w:space="0" w:color="auto"/>
                        </w:tcBorders>
                      </w:tcPr>
                      <w:p w:rsidR="005052D3" w:rsidRDefault="005052D3">
                        <w:pPr>
                          <w:jc w:val="center"/>
                          <w:rPr>
                            <w:sz w:val="18"/>
                          </w:rPr>
                        </w:pPr>
                        <w:r>
                          <w:rPr>
                            <w:sz w:val="18"/>
                          </w:rPr>
                          <w:t>-</w:t>
                        </w:r>
                      </w:p>
                    </w:tc>
                    <w:tc>
                      <w:tcPr>
                        <w:tcW w:w="900" w:type="dxa"/>
                        <w:tcBorders>
                          <w:bottom w:val="single" w:sz="4" w:space="0" w:color="auto"/>
                        </w:tcBorders>
                      </w:tcPr>
                      <w:p w:rsidR="005052D3" w:rsidRDefault="005052D3">
                        <w:pPr>
                          <w:jc w:val="center"/>
                          <w:rPr>
                            <w:sz w:val="18"/>
                          </w:rPr>
                        </w:pPr>
                        <w:r>
                          <w:rPr>
                            <w:sz w:val="18"/>
                          </w:rPr>
                          <w:t>5</w:t>
                        </w:r>
                      </w:p>
                    </w:tc>
                    <w:tc>
                      <w:tcPr>
                        <w:tcW w:w="1004" w:type="dxa"/>
                        <w:tcBorders>
                          <w:bottom w:val="single" w:sz="4" w:space="0" w:color="auto"/>
                        </w:tcBorders>
                      </w:tcPr>
                      <w:p w:rsidR="005052D3" w:rsidRDefault="005052D3">
                        <w:pPr>
                          <w:jc w:val="center"/>
                          <w:rPr>
                            <w:sz w:val="18"/>
                          </w:rPr>
                        </w:pPr>
                        <w:r>
                          <w:rPr>
                            <w:sz w:val="18"/>
                          </w:rPr>
                          <w:t>1</w:t>
                        </w:r>
                      </w:p>
                    </w:tc>
                    <w:tc>
                      <w:tcPr>
                        <w:tcW w:w="796" w:type="dxa"/>
                        <w:tcBorders>
                          <w:bottom w:val="single" w:sz="4" w:space="0" w:color="auto"/>
                        </w:tcBorders>
                      </w:tcPr>
                      <w:p w:rsidR="005052D3" w:rsidRDefault="005052D3">
                        <w:pPr>
                          <w:jc w:val="center"/>
                          <w:rPr>
                            <w:sz w:val="18"/>
                          </w:rPr>
                        </w:pPr>
                        <w:r>
                          <w:rPr>
                            <w:sz w:val="18"/>
                          </w:rPr>
                          <w:t>6</w:t>
                        </w:r>
                      </w:p>
                    </w:tc>
                    <w:tc>
                      <w:tcPr>
                        <w:tcW w:w="990" w:type="dxa"/>
                        <w:tcBorders>
                          <w:bottom w:val="single" w:sz="4" w:space="0" w:color="auto"/>
                        </w:tcBorders>
                      </w:tcPr>
                      <w:p w:rsidR="005052D3" w:rsidRDefault="005052D3">
                        <w:pPr>
                          <w:jc w:val="center"/>
                          <w:rPr>
                            <w:sz w:val="18"/>
                          </w:rPr>
                        </w:pPr>
                        <w:r>
                          <w:rPr>
                            <w:sz w:val="18"/>
                          </w:rPr>
                          <w:t>16.7</w:t>
                        </w:r>
                      </w:p>
                    </w:tc>
                  </w:tr>
                  <w:tr w:rsidR="005052D3">
                    <w:tblPrEx>
                      <w:tblCellMar>
                        <w:top w:w="0" w:type="dxa"/>
                        <w:bottom w:w="0" w:type="dxa"/>
                      </w:tblCellMar>
                    </w:tblPrEx>
                    <w:tc>
                      <w:tcPr>
                        <w:tcW w:w="1350" w:type="dxa"/>
                        <w:tcBorders>
                          <w:top w:val="single" w:sz="4" w:space="0" w:color="auto"/>
                          <w:left w:val="nil"/>
                          <w:bottom w:val="nil"/>
                          <w:right w:val="nil"/>
                        </w:tcBorders>
                      </w:tcPr>
                      <w:p w:rsidR="005052D3" w:rsidRDefault="005052D3">
                        <w:pPr>
                          <w:rPr>
                            <w:rFonts w:ascii="Arial Narrow" w:hAnsi="Arial Narrow" w:hint="eastAsia"/>
                            <w:sz w:val="18"/>
                          </w:rPr>
                        </w:pPr>
                      </w:p>
                    </w:tc>
                    <w:tc>
                      <w:tcPr>
                        <w:tcW w:w="810" w:type="dxa"/>
                        <w:tcBorders>
                          <w:top w:val="single" w:sz="4" w:space="0" w:color="auto"/>
                          <w:left w:val="nil"/>
                          <w:bottom w:val="nil"/>
                          <w:right w:val="nil"/>
                        </w:tcBorders>
                      </w:tcPr>
                      <w:p w:rsidR="005052D3" w:rsidRDefault="005052D3">
                        <w:pPr>
                          <w:rPr>
                            <w:rFonts w:ascii="Arial Narrow" w:hAnsi="Arial Narrow"/>
                            <w:sz w:val="18"/>
                          </w:rPr>
                        </w:pPr>
                      </w:p>
                    </w:tc>
                    <w:tc>
                      <w:tcPr>
                        <w:tcW w:w="1004" w:type="dxa"/>
                        <w:tcBorders>
                          <w:top w:val="single" w:sz="4" w:space="0" w:color="auto"/>
                          <w:left w:val="nil"/>
                          <w:bottom w:val="nil"/>
                          <w:right w:val="nil"/>
                        </w:tcBorders>
                      </w:tcPr>
                      <w:p w:rsidR="005052D3" w:rsidRDefault="005052D3">
                        <w:pPr>
                          <w:rPr>
                            <w:rFonts w:ascii="Arial Narrow" w:hAnsi="Arial Narrow"/>
                            <w:sz w:val="18"/>
                          </w:rPr>
                        </w:pPr>
                      </w:p>
                    </w:tc>
                    <w:tc>
                      <w:tcPr>
                        <w:tcW w:w="796" w:type="dxa"/>
                        <w:tcBorders>
                          <w:top w:val="single" w:sz="4" w:space="0" w:color="auto"/>
                          <w:left w:val="nil"/>
                          <w:bottom w:val="nil"/>
                          <w:right w:val="nil"/>
                        </w:tcBorders>
                      </w:tcPr>
                      <w:p w:rsidR="005052D3" w:rsidRDefault="005052D3">
                        <w:pPr>
                          <w:rPr>
                            <w:rFonts w:ascii="Arial Narrow" w:hAnsi="Arial Narrow"/>
                            <w:sz w:val="18"/>
                          </w:rPr>
                        </w:pPr>
                      </w:p>
                    </w:tc>
                    <w:tc>
                      <w:tcPr>
                        <w:tcW w:w="1080" w:type="dxa"/>
                        <w:tcBorders>
                          <w:top w:val="single" w:sz="4" w:space="0" w:color="auto"/>
                          <w:left w:val="nil"/>
                          <w:bottom w:val="nil"/>
                          <w:right w:val="nil"/>
                        </w:tcBorders>
                      </w:tcPr>
                      <w:p w:rsidR="005052D3" w:rsidRDefault="005052D3">
                        <w:pPr>
                          <w:rPr>
                            <w:rFonts w:ascii="Arial Narrow" w:hAnsi="Arial Narrow"/>
                            <w:sz w:val="18"/>
                          </w:rPr>
                        </w:pPr>
                      </w:p>
                    </w:tc>
                    <w:tc>
                      <w:tcPr>
                        <w:tcW w:w="900" w:type="dxa"/>
                        <w:tcBorders>
                          <w:top w:val="single" w:sz="4" w:space="0" w:color="auto"/>
                          <w:left w:val="nil"/>
                          <w:bottom w:val="nil"/>
                          <w:right w:val="nil"/>
                        </w:tcBorders>
                      </w:tcPr>
                      <w:p w:rsidR="005052D3" w:rsidRDefault="005052D3">
                        <w:pPr>
                          <w:rPr>
                            <w:rFonts w:ascii="Arial Narrow" w:hAnsi="Arial Narrow"/>
                            <w:sz w:val="18"/>
                          </w:rPr>
                        </w:pPr>
                      </w:p>
                    </w:tc>
                    <w:tc>
                      <w:tcPr>
                        <w:tcW w:w="1004" w:type="dxa"/>
                        <w:tcBorders>
                          <w:top w:val="single" w:sz="4" w:space="0" w:color="auto"/>
                          <w:left w:val="nil"/>
                          <w:bottom w:val="nil"/>
                          <w:right w:val="nil"/>
                        </w:tcBorders>
                      </w:tcPr>
                      <w:p w:rsidR="005052D3" w:rsidRDefault="005052D3">
                        <w:pPr>
                          <w:rPr>
                            <w:rFonts w:ascii="Arial Narrow" w:hAnsi="Arial Narrow"/>
                            <w:sz w:val="18"/>
                          </w:rPr>
                        </w:pPr>
                      </w:p>
                    </w:tc>
                    <w:tc>
                      <w:tcPr>
                        <w:tcW w:w="796" w:type="dxa"/>
                        <w:tcBorders>
                          <w:top w:val="single" w:sz="4" w:space="0" w:color="auto"/>
                          <w:left w:val="nil"/>
                          <w:bottom w:val="nil"/>
                          <w:right w:val="nil"/>
                        </w:tcBorders>
                      </w:tcPr>
                      <w:p w:rsidR="005052D3" w:rsidRDefault="005052D3">
                        <w:pPr>
                          <w:rPr>
                            <w:rFonts w:ascii="Arial Narrow" w:hAnsi="Arial Narrow"/>
                            <w:sz w:val="18"/>
                          </w:rPr>
                        </w:pPr>
                      </w:p>
                    </w:tc>
                    <w:tc>
                      <w:tcPr>
                        <w:tcW w:w="990" w:type="dxa"/>
                        <w:tcBorders>
                          <w:top w:val="single" w:sz="4" w:space="0" w:color="auto"/>
                          <w:left w:val="nil"/>
                          <w:bottom w:val="nil"/>
                          <w:right w:val="nil"/>
                        </w:tcBorders>
                      </w:tcPr>
                      <w:p w:rsidR="005052D3" w:rsidRDefault="005052D3">
                        <w:pPr>
                          <w:rPr>
                            <w:rFonts w:ascii="Arial Narrow" w:hAnsi="Arial Narrow"/>
                            <w:sz w:val="18"/>
                          </w:rPr>
                        </w:pPr>
                      </w:p>
                    </w:tc>
                  </w:tr>
                </w:tbl>
                <w:p w:rsidR="005052D3" w:rsidRDefault="005052D3">
                  <w:pPr>
                    <w:pStyle w:val="FootnoteText"/>
                  </w:pPr>
                </w:p>
              </w:txbxContent>
            </v:textbox>
            <w10:wrap type="tight"/>
          </v:roundrect>
        </w:pict>
      </w:r>
      <w:r>
        <w:rPr>
          <w:spacing w:val="-2"/>
        </w:rPr>
        <w:t xml:space="preserve">7.3.1  </w:t>
      </w:r>
      <w:r>
        <w:rPr>
          <w:rFonts w:hint="eastAsia"/>
          <w:spacing w:val="-2"/>
        </w:rPr>
        <w:t>妇女有资格参加投票，并可代表马拉维的任何岗位。“人人”均有成立和加入政党并为之吸收成员的权利。人人有为某政党或某事业开展活动的权利。</w:t>
      </w:r>
      <w:r>
        <w:rPr>
          <w:spacing w:val="-2"/>
          <w:vertAlign w:val="superscript"/>
        </w:rPr>
        <w:footnoteReference w:id="81"/>
      </w:r>
      <w:r>
        <w:rPr>
          <w:spacing w:val="-2"/>
          <w:vertAlign w:val="superscript"/>
        </w:rPr>
        <w:t xml:space="preserve"> </w:t>
      </w:r>
      <w:r>
        <w:rPr>
          <w:rFonts w:hint="eastAsia"/>
          <w:spacing w:val="-2"/>
        </w:rPr>
        <w:t>另外，人人在法律上都能自由参加和平的、旨在影响政府结构和政策的政治活动，有权自由进行政治选择。</w:t>
      </w:r>
      <w:r>
        <w:rPr>
          <w:spacing w:val="-2"/>
          <w:vertAlign w:val="superscript"/>
        </w:rPr>
        <w:footnoteReference w:id="82"/>
      </w:r>
      <w:r>
        <w:rPr>
          <w:spacing w:val="-2"/>
        </w:rPr>
        <w:t xml:space="preserve"> </w:t>
      </w:r>
      <w:r>
        <w:rPr>
          <w:rFonts w:hint="eastAsia"/>
          <w:spacing w:val="-2"/>
        </w:rPr>
        <w:t>而且，人人有权进行无记名投票，并代表公共部门。</w:t>
      </w:r>
      <w:r>
        <w:rPr>
          <w:rStyle w:val="FootnoteReference"/>
          <w:spacing w:val="-2"/>
        </w:rPr>
        <w:footnoteReference w:id="83"/>
      </w: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rPr>
          <w:rFonts w:hint="eastAsia"/>
        </w:rPr>
      </w:pPr>
    </w:p>
    <w:p w:rsidR="005052D3" w:rsidRDefault="005052D3">
      <w:pPr>
        <w:tabs>
          <w:tab w:val="left" w:pos="840"/>
        </w:tabs>
        <w:spacing w:after="240" w:line="360" w:lineRule="atLeast"/>
      </w:pPr>
    </w:p>
    <w:p w:rsidR="005052D3" w:rsidRDefault="005052D3">
      <w:pPr>
        <w:tabs>
          <w:tab w:val="left" w:pos="840"/>
        </w:tabs>
        <w:spacing w:after="240" w:line="360" w:lineRule="atLeast"/>
      </w:pPr>
    </w:p>
    <w:p w:rsidR="005052D3" w:rsidRDefault="005052D3">
      <w:pPr>
        <w:pStyle w:val="SingleTxt"/>
        <w:spacing w:after="160" w:line="340" w:lineRule="exact"/>
      </w:pPr>
      <w:r>
        <w:t xml:space="preserve">7.3.2  </w:t>
      </w:r>
      <w:r>
        <w:rPr>
          <w:rFonts w:hint="eastAsia"/>
        </w:rPr>
        <w:t>尽管参加投票的妇女人数超过了男子，但大多数妇女并不准备参与政治，因为其文化倾向于拒绝妇女参与公共生活。</w:t>
      </w:r>
      <w:r>
        <w:t xml:space="preserve"> </w:t>
      </w:r>
    </w:p>
    <w:p w:rsidR="005052D3" w:rsidRDefault="005052D3">
      <w:pPr>
        <w:numPr>
          <w:ilvl w:val="1"/>
          <w:numId w:val="16"/>
        </w:numPr>
        <w:tabs>
          <w:tab w:val="left" w:pos="840"/>
        </w:tabs>
        <w:spacing w:after="160" w:line="340" w:lineRule="exact"/>
        <w:ind w:left="1293" w:firstLine="0"/>
        <w:rPr>
          <w:rFonts w:eastAsia="SimHei"/>
          <w:bCs/>
          <w:color w:val="FF0000"/>
        </w:rPr>
      </w:pPr>
      <w:r>
        <w:rPr>
          <w:rFonts w:eastAsia="SimHei" w:hint="eastAsia"/>
          <w:bCs/>
          <w:color w:val="FF0000"/>
        </w:rPr>
        <w:t>议会中的代表</w:t>
      </w:r>
    </w:p>
    <w:p w:rsidR="005052D3" w:rsidRDefault="005052D3">
      <w:pPr>
        <w:pStyle w:val="SingleTxt"/>
        <w:spacing w:after="160" w:line="340" w:lineRule="exact"/>
      </w:pPr>
      <w:r>
        <w:t xml:space="preserve">7.4.1  </w:t>
      </w:r>
      <w:r>
        <w:rPr>
          <w:rFonts w:hint="eastAsia"/>
        </w:rPr>
        <w:t>自独立后，马拉维法律就要求在议会中使用英语。要求熟练掌握英语不利于那些无法用英语交流的人，而且议会中没有翻译设备。此外，参与高层政治活动被视为男子的活动领域，多数妇女满足于充当支持者。另外，许多妇女缺少进行政治运动的资金来源，政党也主要倾向于男子候选人。</w:t>
      </w:r>
      <w:r>
        <w:t xml:space="preserve"> </w:t>
      </w:r>
    </w:p>
    <w:p w:rsidR="005052D3" w:rsidRDefault="005052D3">
      <w:pPr>
        <w:pStyle w:val="SingleTxt"/>
        <w:spacing w:after="160" w:line="340" w:lineRule="exact"/>
      </w:pPr>
      <w:r>
        <w:t xml:space="preserve">7.4.2  </w:t>
      </w:r>
      <w:r>
        <w:rPr>
          <w:rFonts w:hint="eastAsia"/>
        </w:rPr>
        <w:t>尽管国家签署的《南部非洲发展共同体关于妇女与发展的声明》中要求所有的关键岗位至少应有30%的妇女代表，但是政党（注册和管理）法、议会选举法以及其他选举法并没有要求为妇女保留一定的名额。</w:t>
      </w:r>
    </w:p>
    <w:p w:rsidR="005052D3" w:rsidRDefault="005052D3">
      <w:pPr>
        <w:pStyle w:val="SingleTxt"/>
        <w:spacing w:after="160" w:line="340" w:lineRule="exact"/>
      </w:pPr>
      <w:r>
        <w:t xml:space="preserve">7.4.3  </w:t>
      </w:r>
      <w:r>
        <w:rPr>
          <w:rFonts w:hint="eastAsia"/>
        </w:rPr>
        <w:t>在一党专制的体制下，前总统于1977年首次任命女议员。1966年到1992年期间，累计共有363名男子和23名女性当选议员。除累计以外，还有92人被任命为议会议员，其中40名为妇女。这种任命使一些妇女参与了政治。</w:t>
      </w:r>
    </w:p>
    <w:p w:rsidR="005052D3" w:rsidRDefault="005052D3">
      <w:pPr>
        <w:pStyle w:val="SingleTxt"/>
        <w:spacing w:after="160" w:line="340" w:lineRule="exact"/>
      </w:pPr>
      <w:r>
        <w:t xml:space="preserve">7.4.4  </w:t>
      </w:r>
      <w:r>
        <w:rPr>
          <w:rFonts w:hint="eastAsia"/>
        </w:rPr>
        <w:t>1994年和1999年大选期间，政府与民间社团合作，开展了有关选举女议员重要性的宣传运动。1999年选举中，有62名妇女与606名男子展开竞选，这在马拉维历史上还是第一次。其中59名妇女通过了第一阶段的选举，准备竞选议会席位，最后17名妇女正式当选。</w:t>
      </w:r>
      <w:r>
        <w:t xml:space="preserve"> </w:t>
      </w:r>
    </w:p>
    <w:p w:rsidR="005052D3" w:rsidRDefault="005052D3">
      <w:pPr>
        <w:pStyle w:val="SingleTxt"/>
        <w:spacing w:after="160" w:line="340" w:lineRule="exact"/>
        <w:rPr>
          <w:rFonts w:hint="eastAsia"/>
        </w:rPr>
      </w:pPr>
      <w:r>
        <w:t xml:space="preserve">7.4.5  </w:t>
      </w:r>
      <w:r>
        <w:rPr>
          <w:rFonts w:hint="eastAsia"/>
        </w:rPr>
        <w:t>当选的女议员在妇女与发展问题上的敏感程度得到提高，她们还接受辩护游说、沟通和判断技巧培训，以使她们能够有效地参与议会的工作。</w:t>
      </w:r>
      <w:r>
        <w:t xml:space="preserve"> </w:t>
      </w:r>
    </w:p>
    <w:p w:rsidR="005052D3" w:rsidRDefault="005052D3">
      <w:pPr>
        <w:numPr>
          <w:ilvl w:val="1"/>
          <w:numId w:val="16"/>
        </w:numPr>
        <w:tabs>
          <w:tab w:val="left" w:pos="840"/>
        </w:tabs>
        <w:spacing w:after="160" w:line="340" w:lineRule="exact"/>
        <w:ind w:left="1293" w:firstLine="0"/>
        <w:rPr>
          <w:rFonts w:eastAsia="SimHei" w:hint="eastAsia"/>
          <w:bCs/>
          <w:color w:val="FF0000"/>
        </w:rPr>
      </w:pPr>
      <w:r>
        <w:rPr>
          <w:rFonts w:eastAsia="SimHei" w:hint="eastAsia"/>
          <w:bCs/>
          <w:color w:val="FF0000"/>
        </w:rPr>
        <w:t>内阁和其他高层中的代表</w:t>
      </w:r>
    </w:p>
    <w:p w:rsidR="005052D3" w:rsidRDefault="005052D3">
      <w:pPr>
        <w:tabs>
          <w:tab w:val="left" w:pos="840"/>
        </w:tabs>
        <w:spacing w:after="160" w:line="340" w:lineRule="exact"/>
        <w:ind w:left="1293"/>
        <w:rPr>
          <w:rFonts w:eastAsia="SimHei"/>
          <w:bCs/>
          <w:color w:val="FF0000"/>
        </w:rPr>
      </w:pPr>
      <w:r>
        <w:rPr>
          <w:rFonts w:eastAsia="SimHei" w:hint="eastAsia"/>
          <w:bCs/>
          <w:color w:val="FF0000"/>
        </w:rPr>
        <w:t>其他高层</w:t>
      </w:r>
    </w:p>
    <w:p w:rsidR="005052D3" w:rsidRDefault="005052D3">
      <w:pPr>
        <w:pStyle w:val="SingleTxt"/>
        <w:spacing w:after="160" w:line="340" w:lineRule="exact"/>
      </w:pPr>
      <w:r>
        <w:t xml:space="preserve">7.5.1  </w:t>
      </w:r>
      <w:r>
        <w:rPr>
          <w:rFonts w:hint="eastAsia"/>
        </w:rPr>
        <w:t>内阁和其他高层中的妇女代表依然很少。目前，全部内阁部长中妇女占13.8%，副部长中占21%。</w:t>
      </w:r>
      <w:r>
        <w:t xml:space="preserve"> </w:t>
      </w:r>
    </w:p>
    <w:p w:rsidR="005052D3" w:rsidRDefault="005052D3">
      <w:pPr>
        <w:numPr>
          <w:ilvl w:val="1"/>
          <w:numId w:val="16"/>
        </w:numPr>
        <w:tabs>
          <w:tab w:val="left" w:pos="840"/>
        </w:tabs>
        <w:spacing w:after="160" w:line="340" w:lineRule="exact"/>
        <w:ind w:left="1293" w:firstLine="0"/>
        <w:rPr>
          <w:rFonts w:eastAsia="SimHei"/>
          <w:bCs/>
          <w:color w:val="FF0000"/>
        </w:rPr>
      </w:pPr>
      <w:r>
        <w:rPr>
          <w:rFonts w:eastAsia="SimHei" w:hint="eastAsia"/>
          <w:bCs/>
          <w:color w:val="FF0000"/>
        </w:rPr>
        <w:t>参与地方政府的情况</w:t>
      </w:r>
    </w:p>
    <w:p w:rsidR="005052D3" w:rsidRDefault="005052D3">
      <w:pPr>
        <w:pStyle w:val="SingleTxt"/>
        <w:spacing w:after="160" w:line="340" w:lineRule="exact"/>
        <w:rPr>
          <w:rFonts w:hint="eastAsia"/>
        </w:rPr>
      </w:pPr>
      <w:r>
        <w:t xml:space="preserve">7.6.1  </w:t>
      </w:r>
      <w:r>
        <w:rPr>
          <w:rFonts w:hint="eastAsia"/>
        </w:rPr>
        <w:t>2000年地方政府选举中，76名妇女当选，仅占全国市镇议员总数的10.7%。不过，4个副市长中有三个是妇女，占75%。只有3.7%的区级专员是妇女。205个传统当局中，只有13名妇女。在选择传统当局的过程中，酋长协会保护并加强父权制，因为协会中男子占主导地位。</w:t>
      </w:r>
    </w:p>
    <w:p w:rsidR="005052D3" w:rsidRDefault="005052D3">
      <w:pPr>
        <w:pStyle w:val="SingleTxt"/>
        <w:spacing w:after="160" w:line="340" w:lineRule="exact"/>
        <w:rPr>
          <w:rFonts w:hint="eastAsia"/>
        </w:rPr>
      </w:pPr>
    </w:p>
    <w:p w:rsidR="005052D3" w:rsidRDefault="005052D3">
      <w:pPr>
        <w:pStyle w:val="SingleTxt"/>
        <w:spacing w:after="160" w:line="340" w:lineRule="exact"/>
      </w:pPr>
    </w:p>
    <w:p w:rsidR="005052D3" w:rsidRDefault="005052D3">
      <w:pPr>
        <w:numPr>
          <w:ilvl w:val="1"/>
          <w:numId w:val="16"/>
        </w:numPr>
        <w:tabs>
          <w:tab w:val="left" w:pos="840"/>
        </w:tabs>
        <w:spacing w:after="160" w:line="340" w:lineRule="exact"/>
        <w:ind w:left="1293" w:firstLine="0"/>
        <w:rPr>
          <w:rFonts w:eastAsia="SimHei"/>
          <w:bCs/>
          <w:color w:val="FF0000"/>
        </w:rPr>
      </w:pPr>
      <w:r>
        <w:rPr>
          <w:rFonts w:eastAsia="SimHei" w:hint="eastAsia"/>
          <w:bCs/>
          <w:color w:val="FF0000"/>
        </w:rPr>
        <w:t>高层公务员和法定职位中的代表</w:t>
      </w:r>
      <w:r>
        <w:rPr>
          <w:rFonts w:eastAsia="SimHei"/>
          <w:bCs/>
          <w:color w:val="FF0000"/>
        </w:rPr>
        <w:t xml:space="preserve"> </w:t>
      </w:r>
    </w:p>
    <w:p w:rsidR="005052D3" w:rsidRDefault="005052D3">
      <w:pPr>
        <w:pStyle w:val="BodyText"/>
        <w:tabs>
          <w:tab w:val="left" w:pos="840"/>
        </w:tabs>
        <w:spacing w:after="240" w:line="360" w:lineRule="atLeast"/>
      </w:pPr>
      <w:r>
        <w:pict>
          <v:roundrect id="_x0000_s2053" style="position:absolute;margin-left:102pt;margin-top:1.2pt;width:4in;height:234pt;z-index:4" arcsize="10923f">
            <v:textbox style="mso-next-textbox:#_x0000_s2053">
              <w:txbxContent>
                <w:p w:rsidR="005052D3" w:rsidRDefault="005052D3">
                  <w:pPr>
                    <w:jc w:val="center"/>
                    <w:rPr>
                      <w:rFonts w:ascii="Tahoma" w:eastAsia="SimHei" w:hAnsi="Tahoma"/>
                      <w:bCs/>
                      <w:color w:val="FF0000"/>
                    </w:rPr>
                  </w:pPr>
                  <w:r>
                    <w:rPr>
                      <w:rFonts w:ascii="Tahoma" w:eastAsia="SimHei" w:hAnsi="Tahoma" w:hint="eastAsia"/>
                      <w:bCs/>
                      <w:color w:val="FF0000"/>
                    </w:rPr>
                    <w:t>马拉维公务员中的高层决策者</w:t>
                  </w:r>
                </w:p>
                <w:p w:rsidR="005052D3" w:rsidRDefault="005052D3">
                  <w:pPr>
                    <w:jc w:val="center"/>
                    <w:rPr>
                      <w:rFonts w:ascii="Tahoma" w:eastAsia="SimHei" w:hAnsi="Tahoma"/>
                      <w:bCs/>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8"/>
                    <w:gridCol w:w="1080"/>
                    <w:gridCol w:w="881"/>
                    <w:gridCol w:w="1165"/>
                  </w:tblGrid>
                  <w:tr w:rsidR="005052D3">
                    <w:tblPrEx>
                      <w:tblCellMar>
                        <w:top w:w="0" w:type="dxa"/>
                        <w:bottom w:w="0" w:type="dxa"/>
                      </w:tblCellMar>
                    </w:tblPrEx>
                    <w:tc>
                      <w:tcPr>
                        <w:tcW w:w="2028" w:type="dxa"/>
                      </w:tcPr>
                      <w:p w:rsidR="005052D3" w:rsidRDefault="005052D3">
                        <w:pPr>
                          <w:jc w:val="center"/>
                          <w:rPr>
                            <w:rFonts w:ascii="KaiTi_GB2312" w:eastAsia="KaiTi_GB2312" w:hAnsi="Tahoma"/>
                            <w:bCs/>
                            <w:color w:val="0000FF"/>
                            <w:sz w:val="18"/>
                          </w:rPr>
                        </w:pPr>
                        <w:r>
                          <w:rPr>
                            <w:rFonts w:ascii="KaiTi_GB2312" w:eastAsia="KaiTi_GB2312" w:hAnsi="Tahoma" w:hint="eastAsia"/>
                            <w:bCs/>
                            <w:color w:val="0000FF"/>
                            <w:sz w:val="18"/>
                          </w:rPr>
                          <w:t>等级</w:t>
                        </w:r>
                      </w:p>
                    </w:tc>
                    <w:tc>
                      <w:tcPr>
                        <w:tcW w:w="1080" w:type="dxa"/>
                      </w:tcPr>
                      <w:p w:rsidR="005052D3" w:rsidRDefault="005052D3">
                        <w:pPr>
                          <w:jc w:val="center"/>
                          <w:rPr>
                            <w:rFonts w:ascii="KaiTi_GB2312" w:eastAsia="KaiTi_GB2312" w:hAnsi="Tahoma"/>
                            <w:bCs/>
                            <w:color w:val="0000FF"/>
                            <w:sz w:val="18"/>
                          </w:rPr>
                        </w:pPr>
                        <w:r>
                          <w:rPr>
                            <w:rFonts w:ascii="KaiTi_GB2312" w:eastAsia="KaiTi_GB2312" w:hAnsi="Tahoma" w:hint="eastAsia"/>
                            <w:bCs/>
                            <w:color w:val="0000FF"/>
                            <w:sz w:val="18"/>
                          </w:rPr>
                          <w:t>该等级的官员数量</w:t>
                        </w:r>
                      </w:p>
                    </w:tc>
                    <w:tc>
                      <w:tcPr>
                        <w:tcW w:w="881" w:type="dxa"/>
                      </w:tcPr>
                      <w:p w:rsidR="005052D3" w:rsidRDefault="005052D3">
                        <w:pPr>
                          <w:jc w:val="center"/>
                          <w:rPr>
                            <w:rFonts w:ascii="KaiTi_GB2312" w:eastAsia="KaiTi_GB2312" w:hAnsi="Tahoma"/>
                            <w:bCs/>
                            <w:color w:val="0000FF"/>
                            <w:sz w:val="18"/>
                          </w:rPr>
                        </w:pPr>
                        <w:r>
                          <w:rPr>
                            <w:rFonts w:ascii="KaiTi_GB2312" w:eastAsia="KaiTi_GB2312" w:hAnsi="Tahoma" w:hint="eastAsia"/>
                            <w:bCs/>
                            <w:color w:val="0000FF"/>
                            <w:sz w:val="18"/>
                          </w:rPr>
                          <w:t>女性雇员的</w:t>
                        </w:r>
                        <w:r>
                          <w:rPr>
                            <w:rFonts w:ascii="KaiTi_GB2312" w:eastAsia="KaiTi_GB2312" w:hAnsi="Tahoma"/>
                            <w:bCs/>
                            <w:color w:val="0000FF"/>
                            <w:sz w:val="18"/>
                          </w:rPr>
                          <w:br/>
                        </w:r>
                        <w:r>
                          <w:rPr>
                            <w:rFonts w:ascii="KaiTi_GB2312" w:eastAsia="KaiTi_GB2312" w:hAnsi="Tahoma" w:hint="eastAsia"/>
                            <w:bCs/>
                            <w:color w:val="0000FF"/>
                            <w:sz w:val="18"/>
                          </w:rPr>
                          <w:t>数量</w:t>
                        </w:r>
                      </w:p>
                    </w:tc>
                    <w:tc>
                      <w:tcPr>
                        <w:tcW w:w="1165" w:type="dxa"/>
                      </w:tcPr>
                      <w:p w:rsidR="005052D3" w:rsidRDefault="005052D3">
                        <w:pPr>
                          <w:jc w:val="center"/>
                          <w:rPr>
                            <w:rFonts w:ascii="KaiTi_GB2312" w:eastAsia="KaiTi_GB2312" w:hAnsi="Tahoma"/>
                            <w:bCs/>
                            <w:color w:val="0000FF"/>
                            <w:sz w:val="18"/>
                          </w:rPr>
                        </w:pPr>
                        <w:r>
                          <w:rPr>
                            <w:rFonts w:ascii="KaiTi_GB2312" w:eastAsia="KaiTi_GB2312" w:hAnsi="Tahoma" w:hint="eastAsia"/>
                            <w:bCs/>
                            <w:color w:val="0000FF"/>
                            <w:sz w:val="18"/>
                          </w:rPr>
                          <w:t>妇女在各等级中所占的百分比（</w:t>
                        </w:r>
                        <w:r>
                          <w:rPr>
                            <w:rFonts w:ascii="KaiTi_GB2312" w:eastAsia="KaiTi_GB2312" w:hAnsi="Tahoma"/>
                            <w:bCs/>
                            <w:color w:val="0000FF"/>
                            <w:sz w:val="18"/>
                          </w:rPr>
                          <w:t>%</w:t>
                        </w:r>
                        <w:r>
                          <w:rPr>
                            <w:rFonts w:ascii="KaiTi_GB2312" w:eastAsia="KaiTi_GB2312" w:hAnsi="Tahoma" w:hint="eastAsia"/>
                            <w:bCs/>
                            <w:color w:val="0000FF"/>
                            <w:sz w:val="18"/>
                          </w:rPr>
                          <w:t>）</w:t>
                        </w:r>
                      </w:p>
                    </w:tc>
                  </w:tr>
                  <w:tr w:rsidR="005052D3">
                    <w:tblPrEx>
                      <w:tblCellMar>
                        <w:top w:w="0" w:type="dxa"/>
                        <w:bottom w:w="0" w:type="dxa"/>
                      </w:tblCellMar>
                    </w:tblPrEx>
                    <w:tc>
                      <w:tcPr>
                        <w:tcW w:w="2028" w:type="dxa"/>
                      </w:tcPr>
                      <w:p w:rsidR="005052D3" w:rsidRDefault="005052D3">
                        <w:pPr>
                          <w:rPr>
                            <w:sz w:val="18"/>
                          </w:rPr>
                        </w:pPr>
                        <w:r>
                          <w:rPr>
                            <w:sz w:val="18"/>
                          </w:rPr>
                          <w:t>SPC (P1)</w:t>
                        </w:r>
                      </w:p>
                    </w:tc>
                    <w:tc>
                      <w:tcPr>
                        <w:tcW w:w="1080" w:type="dxa"/>
                      </w:tcPr>
                      <w:p w:rsidR="005052D3" w:rsidRDefault="005052D3">
                        <w:pPr>
                          <w:jc w:val="center"/>
                          <w:rPr>
                            <w:sz w:val="18"/>
                          </w:rPr>
                        </w:pPr>
                        <w:r>
                          <w:rPr>
                            <w:sz w:val="18"/>
                          </w:rPr>
                          <w:t>1</w:t>
                        </w:r>
                      </w:p>
                    </w:tc>
                    <w:tc>
                      <w:tcPr>
                        <w:tcW w:w="881" w:type="dxa"/>
                      </w:tcPr>
                      <w:p w:rsidR="005052D3" w:rsidRDefault="005052D3">
                        <w:pPr>
                          <w:jc w:val="center"/>
                          <w:rPr>
                            <w:sz w:val="18"/>
                          </w:rPr>
                        </w:pPr>
                        <w:r>
                          <w:rPr>
                            <w:sz w:val="18"/>
                          </w:rPr>
                          <w:t>0</w:t>
                        </w:r>
                      </w:p>
                    </w:tc>
                    <w:tc>
                      <w:tcPr>
                        <w:tcW w:w="1165" w:type="dxa"/>
                      </w:tcPr>
                      <w:p w:rsidR="005052D3" w:rsidRDefault="005052D3">
                        <w:pPr>
                          <w:jc w:val="center"/>
                          <w:rPr>
                            <w:sz w:val="18"/>
                          </w:rPr>
                        </w:pPr>
                        <w:r>
                          <w:rPr>
                            <w:sz w:val="18"/>
                          </w:rPr>
                          <w:t>0</w:t>
                        </w:r>
                      </w:p>
                    </w:tc>
                  </w:tr>
                  <w:tr w:rsidR="005052D3">
                    <w:tblPrEx>
                      <w:tblCellMar>
                        <w:top w:w="0" w:type="dxa"/>
                        <w:bottom w:w="0" w:type="dxa"/>
                      </w:tblCellMar>
                    </w:tblPrEx>
                    <w:tc>
                      <w:tcPr>
                        <w:tcW w:w="2028" w:type="dxa"/>
                      </w:tcPr>
                      <w:p w:rsidR="005052D3" w:rsidRDefault="005052D3">
                        <w:pPr>
                          <w:rPr>
                            <w:sz w:val="18"/>
                          </w:rPr>
                        </w:pPr>
                        <w:r>
                          <w:rPr>
                            <w:sz w:val="18"/>
                          </w:rPr>
                          <w:t>DSPC (S2)</w:t>
                        </w:r>
                      </w:p>
                    </w:tc>
                    <w:tc>
                      <w:tcPr>
                        <w:tcW w:w="1080" w:type="dxa"/>
                      </w:tcPr>
                      <w:p w:rsidR="005052D3" w:rsidRDefault="005052D3">
                        <w:pPr>
                          <w:jc w:val="center"/>
                          <w:rPr>
                            <w:sz w:val="18"/>
                          </w:rPr>
                        </w:pPr>
                        <w:r>
                          <w:rPr>
                            <w:sz w:val="18"/>
                          </w:rPr>
                          <w:t>1</w:t>
                        </w:r>
                      </w:p>
                    </w:tc>
                    <w:tc>
                      <w:tcPr>
                        <w:tcW w:w="881" w:type="dxa"/>
                      </w:tcPr>
                      <w:p w:rsidR="005052D3" w:rsidRDefault="005052D3">
                        <w:pPr>
                          <w:jc w:val="center"/>
                          <w:rPr>
                            <w:sz w:val="18"/>
                          </w:rPr>
                        </w:pPr>
                        <w:r>
                          <w:rPr>
                            <w:sz w:val="18"/>
                          </w:rPr>
                          <w:t>0</w:t>
                        </w:r>
                      </w:p>
                    </w:tc>
                    <w:tc>
                      <w:tcPr>
                        <w:tcW w:w="1165" w:type="dxa"/>
                      </w:tcPr>
                      <w:p w:rsidR="005052D3" w:rsidRDefault="005052D3">
                        <w:pPr>
                          <w:jc w:val="center"/>
                          <w:rPr>
                            <w:sz w:val="18"/>
                          </w:rPr>
                        </w:pPr>
                        <w:r>
                          <w:rPr>
                            <w:sz w:val="18"/>
                          </w:rPr>
                          <w:t>0</w:t>
                        </w:r>
                      </w:p>
                    </w:tc>
                  </w:tr>
                  <w:tr w:rsidR="005052D3">
                    <w:tblPrEx>
                      <w:tblCellMar>
                        <w:top w:w="0" w:type="dxa"/>
                        <w:bottom w:w="0" w:type="dxa"/>
                      </w:tblCellMar>
                    </w:tblPrEx>
                    <w:tc>
                      <w:tcPr>
                        <w:tcW w:w="2028" w:type="dxa"/>
                      </w:tcPr>
                      <w:p w:rsidR="005052D3" w:rsidRDefault="005052D3">
                        <w:pPr>
                          <w:rPr>
                            <w:sz w:val="18"/>
                          </w:rPr>
                        </w:pPr>
                        <w:r>
                          <w:rPr>
                            <w:sz w:val="18"/>
                          </w:rPr>
                          <w:t>PS (S2)</w:t>
                        </w:r>
                      </w:p>
                    </w:tc>
                    <w:tc>
                      <w:tcPr>
                        <w:tcW w:w="1080" w:type="dxa"/>
                      </w:tcPr>
                      <w:p w:rsidR="005052D3" w:rsidRDefault="005052D3">
                        <w:pPr>
                          <w:jc w:val="center"/>
                          <w:rPr>
                            <w:sz w:val="18"/>
                          </w:rPr>
                        </w:pPr>
                        <w:r>
                          <w:rPr>
                            <w:sz w:val="18"/>
                          </w:rPr>
                          <w:t>48</w:t>
                        </w:r>
                      </w:p>
                    </w:tc>
                    <w:tc>
                      <w:tcPr>
                        <w:tcW w:w="881" w:type="dxa"/>
                      </w:tcPr>
                      <w:p w:rsidR="005052D3" w:rsidRDefault="005052D3">
                        <w:pPr>
                          <w:jc w:val="center"/>
                          <w:rPr>
                            <w:sz w:val="18"/>
                          </w:rPr>
                        </w:pPr>
                        <w:r>
                          <w:rPr>
                            <w:sz w:val="18"/>
                          </w:rPr>
                          <w:t>11</w:t>
                        </w:r>
                      </w:p>
                    </w:tc>
                    <w:tc>
                      <w:tcPr>
                        <w:tcW w:w="1165" w:type="dxa"/>
                      </w:tcPr>
                      <w:p w:rsidR="005052D3" w:rsidRDefault="005052D3">
                        <w:pPr>
                          <w:jc w:val="center"/>
                          <w:rPr>
                            <w:sz w:val="18"/>
                          </w:rPr>
                        </w:pPr>
                        <w:r>
                          <w:rPr>
                            <w:sz w:val="18"/>
                          </w:rPr>
                          <w:t>22.9</w:t>
                        </w:r>
                      </w:p>
                    </w:tc>
                  </w:tr>
                  <w:tr w:rsidR="005052D3">
                    <w:tblPrEx>
                      <w:tblCellMar>
                        <w:top w:w="0" w:type="dxa"/>
                        <w:bottom w:w="0" w:type="dxa"/>
                      </w:tblCellMar>
                    </w:tblPrEx>
                    <w:tc>
                      <w:tcPr>
                        <w:tcW w:w="2028" w:type="dxa"/>
                      </w:tcPr>
                      <w:p w:rsidR="005052D3" w:rsidRDefault="005052D3">
                        <w:pPr>
                          <w:rPr>
                            <w:sz w:val="18"/>
                          </w:rPr>
                        </w:pPr>
                        <w:r>
                          <w:rPr>
                            <w:rFonts w:hint="eastAsia"/>
                            <w:sz w:val="18"/>
                          </w:rPr>
                          <w:t>部门主管</w:t>
                        </w:r>
                      </w:p>
                    </w:tc>
                    <w:tc>
                      <w:tcPr>
                        <w:tcW w:w="1080" w:type="dxa"/>
                      </w:tcPr>
                      <w:p w:rsidR="005052D3" w:rsidRDefault="005052D3">
                        <w:pPr>
                          <w:jc w:val="center"/>
                          <w:rPr>
                            <w:sz w:val="18"/>
                          </w:rPr>
                        </w:pPr>
                        <w:r>
                          <w:rPr>
                            <w:sz w:val="18"/>
                          </w:rPr>
                          <w:t>52</w:t>
                        </w:r>
                      </w:p>
                    </w:tc>
                    <w:tc>
                      <w:tcPr>
                        <w:tcW w:w="881" w:type="dxa"/>
                      </w:tcPr>
                      <w:p w:rsidR="005052D3" w:rsidRDefault="005052D3">
                        <w:pPr>
                          <w:jc w:val="center"/>
                          <w:rPr>
                            <w:sz w:val="18"/>
                          </w:rPr>
                        </w:pPr>
                        <w:r>
                          <w:rPr>
                            <w:sz w:val="18"/>
                          </w:rPr>
                          <w:t>5</w:t>
                        </w:r>
                      </w:p>
                    </w:tc>
                    <w:tc>
                      <w:tcPr>
                        <w:tcW w:w="1165" w:type="dxa"/>
                      </w:tcPr>
                      <w:p w:rsidR="005052D3" w:rsidRDefault="005052D3">
                        <w:pPr>
                          <w:jc w:val="center"/>
                          <w:rPr>
                            <w:sz w:val="18"/>
                          </w:rPr>
                        </w:pPr>
                        <w:r>
                          <w:rPr>
                            <w:sz w:val="18"/>
                          </w:rPr>
                          <w:t>9.62</w:t>
                        </w:r>
                      </w:p>
                    </w:tc>
                  </w:tr>
                  <w:tr w:rsidR="005052D3">
                    <w:tblPrEx>
                      <w:tblCellMar>
                        <w:top w:w="0" w:type="dxa"/>
                        <w:bottom w:w="0" w:type="dxa"/>
                      </w:tblCellMar>
                    </w:tblPrEx>
                    <w:tc>
                      <w:tcPr>
                        <w:tcW w:w="2028" w:type="dxa"/>
                      </w:tcPr>
                      <w:p w:rsidR="005052D3" w:rsidRDefault="005052D3">
                        <w:pPr>
                          <w:rPr>
                            <w:sz w:val="18"/>
                          </w:rPr>
                        </w:pPr>
                        <w:r>
                          <w:rPr>
                            <w:rFonts w:hint="eastAsia"/>
                            <w:sz w:val="18"/>
                          </w:rPr>
                          <w:t>高级副执行干事</w:t>
                        </w:r>
                        <w:r>
                          <w:rPr>
                            <w:sz w:val="18"/>
                          </w:rPr>
                          <w:t>(S3)</w:t>
                        </w:r>
                      </w:p>
                    </w:tc>
                    <w:tc>
                      <w:tcPr>
                        <w:tcW w:w="1080" w:type="dxa"/>
                      </w:tcPr>
                      <w:p w:rsidR="005052D3" w:rsidRDefault="005052D3">
                        <w:pPr>
                          <w:jc w:val="center"/>
                          <w:rPr>
                            <w:sz w:val="18"/>
                          </w:rPr>
                        </w:pPr>
                        <w:r>
                          <w:rPr>
                            <w:sz w:val="18"/>
                          </w:rPr>
                          <w:t>26</w:t>
                        </w:r>
                      </w:p>
                    </w:tc>
                    <w:tc>
                      <w:tcPr>
                        <w:tcW w:w="881" w:type="dxa"/>
                      </w:tcPr>
                      <w:p w:rsidR="005052D3" w:rsidRDefault="005052D3">
                        <w:pPr>
                          <w:jc w:val="center"/>
                          <w:rPr>
                            <w:sz w:val="18"/>
                          </w:rPr>
                        </w:pPr>
                        <w:r>
                          <w:rPr>
                            <w:sz w:val="18"/>
                          </w:rPr>
                          <w:t>3</w:t>
                        </w:r>
                      </w:p>
                    </w:tc>
                    <w:tc>
                      <w:tcPr>
                        <w:tcW w:w="1165" w:type="dxa"/>
                      </w:tcPr>
                      <w:p w:rsidR="005052D3" w:rsidRDefault="005052D3">
                        <w:pPr>
                          <w:jc w:val="center"/>
                          <w:rPr>
                            <w:sz w:val="18"/>
                          </w:rPr>
                        </w:pPr>
                        <w:r>
                          <w:rPr>
                            <w:sz w:val="18"/>
                          </w:rPr>
                          <w:t>11.54</w:t>
                        </w:r>
                      </w:p>
                    </w:tc>
                  </w:tr>
                  <w:tr w:rsidR="005052D3">
                    <w:tblPrEx>
                      <w:tblCellMar>
                        <w:top w:w="0" w:type="dxa"/>
                        <w:bottom w:w="0" w:type="dxa"/>
                      </w:tblCellMar>
                    </w:tblPrEx>
                    <w:tc>
                      <w:tcPr>
                        <w:tcW w:w="2028" w:type="dxa"/>
                        <w:tcBorders>
                          <w:bottom w:val="single" w:sz="4" w:space="0" w:color="auto"/>
                        </w:tcBorders>
                      </w:tcPr>
                      <w:p w:rsidR="005052D3" w:rsidRDefault="005052D3">
                        <w:pPr>
                          <w:rPr>
                            <w:sz w:val="18"/>
                          </w:rPr>
                        </w:pPr>
                        <w:r>
                          <w:rPr>
                            <w:rFonts w:hint="eastAsia"/>
                            <w:sz w:val="18"/>
                          </w:rPr>
                          <w:t>部门高级副主管</w:t>
                        </w:r>
                      </w:p>
                    </w:tc>
                    <w:tc>
                      <w:tcPr>
                        <w:tcW w:w="1080" w:type="dxa"/>
                        <w:tcBorders>
                          <w:bottom w:val="single" w:sz="4" w:space="0" w:color="auto"/>
                        </w:tcBorders>
                      </w:tcPr>
                      <w:p w:rsidR="005052D3" w:rsidRDefault="005052D3">
                        <w:pPr>
                          <w:jc w:val="center"/>
                          <w:rPr>
                            <w:sz w:val="18"/>
                          </w:rPr>
                        </w:pPr>
                        <w:r>
                          <w:rPr>
                            <w:sz w:val="18"/>
                          </w:rPr>
                          <w:t>54</w:t>
                        </w:r>
                      </w:p>
                    </w:tc>
                    <w:tc>
                      <w:tcPr>
                        <w:tcW w:w="881" w:type="dxa"/>
                        <w:tcBorders>
                          <w:bottom w:val="single" w:sz="4" w:space="0" w:color="auto"/>
                        </w:tcBorders>
                      </w:tcPr>
                      <w:p w:rsidR="005052D3" w:rsidRDefault="005052D3">
                        <w:pPr>
                          <w:jc w:val="center"/>
                          <w:rPr>
                            <w:sz w:val="18"/>
                          </w:rPr>
                        </w:pPr>
                        <w:r>
                          <w:rPr>
                            <w:sz w:val="18"/>
                          </w:rPr>
                          <w:t>6</w:t>
                        </w:r>
                      </w:p>
                    </w:tc>
                    <w:tc>
                      <w:tcPr>
                        <w:tcW w:w="1165" w:type="dxa"/>
                        <w:tcBorders>
                          <w:bottom w:val="single" w:sz="4" w:space="0" w:color="auto"/>
                        </w:tcBorders>
                      </w:tcPr>
                      <w:p w:rsidR="005052D3" w:rsidRDefault="005052D3">
                        <w:pPr>
                          <w:jc w:val="center"/>
                          <w:rPr>
                            <w:sz w:val="18"/>
                          </w:rPr>
                        </w:pPr>
                        <w:r>
                          <w:rPr>
                            <w:sz w:val="18"/>
                          </w:rPr>
                          <w:t>11.11</w:t>
                        </w:r>
                      </w:p>
                    </w:tc>
                  </w:tr>
                  <w:tr w:rsidR="005052D3">
                    <w:tblPrEx>
                      <w:tblCellMar>
                        <w:top w:w="0" w:type="dxa"/>
                        <w:bottom w:w="0" w:type="dxa"/>
                      </w:tblCellMar>
                    </w:tblPrEx>
                    <w:tc>
                      <w:tcPr>
                        <w:tcW w:w="2028" w:type="dxa"/>
                        <w:tcBorders>
                          <w:bottom w:val="single" w:sz="4" w:space="0" w:color="auto"/>
                        </w:tcBorders>
                      </w:tcPr>
                      <w:p w:rsidR="005052D3" w:rsidRDefault="005052D3">
                        <w:pPr>
                          <w:rPr>
                            <w:sz w:val="18"/>
                          </w:rPr>
                        </w:pPr>
                        <w:r>
                          <w:rPr>
                            <w:rFonts w:hint="eastAsia"/>
                            <w:sz w:val="18"/>
                          </w:rPr>
                          <w:t>副执行干事</w:t>
                        </w:r>
                      </w:p>
                    </w:tc>
                    <w:tc>
                      <w:tcPr>
                        <w:tcW w:w="1080" w:type="dxa"/>
                        <w:tcBorders>
                          <w:bottom w:val="single" w:sz="4" w:space="0" w:color="auto"/>
                        </w:tcBorders>
                      </w:tcPr>
                      <w:p w:rsidR="005052D3" w:rsidRDefault="005052D3">
                        <w:pPr>
                          <w:jc w:val="center"/>
                          <w:rPr>
                            <w:sz w:val="18"/>
                          </w:rPr>
                        </w:pPr>
                        <w:r>
                          <w:rPr>
                            <w:sz w:val="18"/>
                          </w:rPr>
                          <w:t>86</w:t>
                        </w:r>
                      </w:p>
                    </w:tc>
                    <w:tc>
                      <w:tcPr>
                        <w:tcW w:w="881" w:type="dxa"/>
                        <w:tcBorders>
                          <w:bottom w:val="single" w:sz="4" w:space="0" w:color="auto"/>
                        </w:tcBorders>
                      </w:tcPr>
                      <w:p w:rsidR="005052D3" w:rsidRDefault="005052D3">
                        <w:pPr>
                          <w:jc w:val="center"/>
                          <w:rPr>
                            <w:sz w:val="18"/>
                          </w:rPr>
                        </w:pPr>
                        <w:r>
                          <w:rPr>
                            <w:sz w:val="18"/>
                          </w:rPr>
                          <w:t>16</w:t>
                        </w:r>
                      </w:p>
                    </w:tc>
                    <w:tc>
                      <w:tcPr>
                        <w:tcW w:w="1165" w:type="dxa"/>
                        <w:tcBorders>
                          <w:bottom w:val="single" w:sz="4" w:space="0" w:color="auto"/>
                        </w:tcBorders>
                      </w:tcPr>
                      <w:p w:rsidR="005052D3" w:rsidRDefault="005052D3">
                        <w:pPr>
                          <w:jc w:val="center"/>
                          <w:rPr>
                            <w:sz w:val="18"/>
                          </w:rPr>
                        </w:pPr>
                        <w:r>
                          <w:rPr>
                            <w:sz w:val="18"/>
                          </w:rPr>
                          <w:t>18.6</w:t>
                        </w:r>
                      </w:p>
                    </w:tc>
                  </w:tr>
                  <w:tr w:rsidR="005052D3">
                    <w:tblPrEx>
                      <w:tblCellMar>
                        <w:top w:w="0" w:type="dxa"/>
                        <w:bottom w:w="0" w:type="dxa"/>
                      </w:tblCellMar>
                    </w:tblPrEx>
                    <w:tc>
                      <w:tcPr>
                        <w:tcW w:w="2028" w:type="dxa"/>
                        <w:tcBorders>
                          <w:top w:val="single" w:sz="4" w:space="0" w:color="auto"/>
                          <w:left w:val="nil"/>
                          <w:bottom w:val="nil"/>
                          <w:right w:val="nil"/>
                        </w:tcBorders>
                      </w:tcPr>
                      <w:p w:rsidR="005052D3" w:rsidRDefault="005052D3">
                        <w:pPr>
                          <w:rPr>
                            <w:sz w:val="18"/>
                          </w:rPr>
                        </w:pPr>
                      </w:p>
                    </w:tc>
                    <w:tc>
                      <w:tcPr>
                        <w:tcW w:w="1080" w:type="dxa"/>
                        <w:tcBorders>
                          <w:top w:val="single" w:sz="4" w:space="0" w:color="auto"/>
                          <w:left w:val="nil"/>
                          <w:bottom w:val="nil"/>
                          <w:right w:val="nil"/>
                        </w:tcBorders>
                      </w:tcPr>
                      <w:p w:rsidR="005052D3" w:rsidRDefault="005052D3">
                        <w:pPr>
                          <w:jc w:val="center"/>
                          <w:rPr>
                            <w:sz w:val="18"/>
                          </w:rPr>
                        </w:pPr>
                      </w:p>
                    </w:tc>
                    <w:tc>
                      <w:tcPr>
                        <w:tcW w:w="881" w:type="dxa"/>
                        <w:tcBorders>
                          <w:top w:val="single" w:sz="4" w:space="0" w:color="auto"/>
                          <w:left w:val="nil"/>
                          <w:bottom w:val="nil"/>
                          <w:right w:val="nil"/>
                        </w:tcBorders>
                      </w:tcPr>
                      <w:p w:rsidR="005052D3" w:rsidRDefault="005052D3">
                        <w:pPr>
                          <w:jc w:val="center"/>
                          <w:rPr>
                            <w:sz w:val="18"/>
                          </w:rPr>
                        </w:pPr>
                      </w:p>
                    </w:tc>
                    <w:tc>
                      <w:tcPr>
                        <w:tcW w:w="1165" w:type="dxa"/>
                        <w:tcBorders>
                          <w:top w:val="single" w:sz="4" w:space="0" w:color="auto"/>
                          <w:left w:val="nil"/>
                          <w:bottom w:val="nil"/>
                          <w:right w:val="nil"/>
                        </w:tcBorders>
                      </w:tcPr>
                      <w:p w:rsidR="005052D3" w:rsidRDefault="005052D3">
                        <w:pPr>
                          <w:jc w:val="center"/>
                          <w:rPr>
                            <w:sz w:val="18"/>
                          </w:rPr>
                        </w:pPr>
                      </w:p>
                    </w:tc>
                  </w:tr>
                </w:tbl>
                <w:p w:rsidR="005052D3" w:rsidRDefault="005052D3"/>
              </w:txbxContent>
            </v:textbox>
            <w10:wrap type="square"/>
          </v:roundrect>
        </w:pict>
      </w:r>
    </w:p>
    <w:p w:rsidR="005052D3" w:rsidRDefault="005052D3">
      <w:pPr>
        <w:pStyle w:val="BodyText"/>
        <w:tabs>
          <w:tab w:val="left" w:pos="840"/>
        </w:tabs>
        <w:spacing w:after="240" w:line="360" w:lineRule="atLeast"/>
      </w:pPr>
    </w:p>
    <w:p w:rsidR="005052D3" w:rsidRDefault="005052D3">
      <w:pPr>
        <w:pStyle w:val="BodyText"/>
        <w:tabs>
          <w:tab w:val="left" w:pos="840"/>
        </w:tabs>
        <w:spacing w:after="240" w:line="360" w:lineRule="atLeast"/>
      </w:pPr>
    </w:p>
    <w:p w:rsidR="005052D3" w:rsidRDefault="005052D3">
      <w:pPr>
        <w:pStyle w:val="BodyText"/>
        <w:tabs>
          <w:tab w:val="left" w:pos="840"/>
        </w:tabs>
        <w:spacing w:after="240" w:line="360" w:lineRule="atLeast"/>
        <w:rPr>
          <w:rFonts w:hint="eastAsia"/>
        </w:rPr>
      </w:pPr>
    </w:p>
    <w:p w:rsidR="005052D3" w:rsidRDefault="005052D3">
      <w:pPr>
        <w:pStyle w:val="BodyText"/>
        <w:tabs>
          <w:tab w:val="left" w:pos="840"/>
        </w:tabs>
        <w:spacing w:after="240" w:line="360" w:lineRule="atLeast"/>
        <w:rPr>
          <w:rFonts w:hint="eastAsia"/>
        </w:rPr>
      </w:pPr>
    </w:p>
    <w:p w:rsidR="005052D3" w:rsidRDefault="005052D3">
      <w:pPr>
        <w:pStyle w:val="BodyText"/>
        <w:tabs>
          <w:tab w:val="left" w:pos="840"/>
        </w:tabs>
        <w:spacing w:after="240" w:line="360" w:lineRule="atLeast"/>
        <w:rPr>
          <w:rFonts w:hint="eastAsia"/>
        </w:rPr>
      </w:pPr>
    </w:p>
    <w:p w:rsidR="005052D3" w:rsidRDefault="005052D3">
      <w:pPr>
        <w:pStyle w:val="BodyText"/>
        <w:tabs>
          <w:tab w:val="left" w:pos="840"/>
        </w:tabs>
        <w:spacing w:after="240" w:line="360" w:lineRule="atLeast"/>
        <w:rPr>
          <w:rFonts w:hint="eastAsia"/>
        </w:rPr>
      </w:pPr>
    </w:p>
    <w:p w:rsidR="005052D3" w:rsidRDefault="005052D3">
      <w:pPr>
        <w:pStyle w:val="BodyText"/>
        <w:tabs>
          <w:tab w:val="left" w:pos="840"/>
        </w:tabs>
        <w:spacing w:after="240" w:line="360" w:lineRule="atLeast"/>
        <w:rPr>
          <w:rFonts w:hint="eastAsia"/>
        </w:rPr>
      </w:pPr>
    </w:p>
    <w:p w:rsidR="005052D3" w:rsidRDefault="005052D3">
      <w:pPr>
        <w:pStyle w:val="SingleTxt"/>
        <w:spacing w:after="0" w:line="120" w:lineRule="exact"/>
        <w:rPr>
          <w:sz w:val="10"/>
        </w:rPr>
      </w:pPr>
    </w:p>
    <w:p w:rsidR="005052D3" w:rsidRDefault="005052D3">
      <w:pPr>
        <w:pStyle w:val="SingleTxt"/>
        <w:spacing w:line="340" w:lineRule="exact"/>
      </w:pPr>
      <w:r>
        <w:t xml:space="preserve">7.7.1  </w:t>
      </w:r>
      <w:r>
        <w:rPr>
          <w:rFonts w:hint="eastAsia"/>
        </w:rPr>
        <w:t>男子在公务员最高级别的职位中也占有优势。法定联合首席执行干事中只有25%为妇女。公务员中，22.9%的首席干事或部委的技术负责人是妇女。22名法官中3人为妇女，占13.6%。19名大使中只有3人为妇女，占15.8%。不过，比马拉维上次报告中的情况有所改进，尤其是女性首席干事的人数从1992年的2人增加到目前的11人。</w:t>
      </w:r>
    </w:p>
    <w:p w:rsidR="005052D3" w:rsidRDefault="005052D3">
      <w:pPr>
        <w:pStyle w:val="SingleTxt"/>
        <w:spacing w:line="340" w:lineRule="exact"/>
      </w:pPr>
      <w:r>
        <w:t xml:space="preserve">7.7.2  </w:t>
      </w:r>
      <w:r>
        <w:rPr>
          <w:rFonts w:hint="eastAsia"/>
        </w:rPr>
        <w:t>行政机构是马拉维最大的雇主，雇员人数超过128</w:t>
      </w:r>
      <w:r>
        <w:t xml:space="preserve"> </w:t>
      </w:r>
      <w:r>
        <w:rPr>
          <w:rFonts w:hint="eastAsia"/>
        </w:rPr>
        <w:t>000名。行政机构的首脑是总统和内阁的执行干事，助手为总统和内阁的副执行干事，他们均为男子。自1964年独立以来，政府于2003年任命了第一位马拉维储备银行的女副总裁；2000年，任命了第一位女警监。</w:t>
      </w:r>
    </w:p>
    <w:p w:rsidR="005052D3" w:rsidRDefault="005052D3">
      <w:pPr>
        <w:numPr>
          <w:ilvl w:val="1"/>
          <w:numId w:val="16"/>
        </w:numPr>
        <w:tabs>
          <w:tab w:val="left" w:pos="840"/>
        </w:tabs>
        <w:spacing w:after="120" w:line="340" w:lineRule="exact"/>
        <w:ind w:left="1293" w:firstLine="0"/>
        <w:rPr>
          <w:rFonts w:eastAsia="SimHei" w:hint="eastAsia"/>
          <w:bCs/>
          <w:color w:val="FF0000"/>
        </w:rPr>
      </w:pPr>
      <w:r>
        <w:rPr>
          <w:rFonts w:eastAsia="SimHei" w:hint="eastAsia"/>
          <w:bCs/>
          <w:color w:val="FF0000"/>
        </w:rPr>
        <w:t>参与政府政策制定和执行</w:t>
      </w:r>
    </w:p>
    <w:p w:rsidR="005052D3" w:rsidRDefault="005052D3">
      <w:pPr>
        <w:pStyle w:val="SingleTxt"/>
        <w:spacing w:line="340" w:lineRule="exact"/>
        <w:rPr>
          <w:rFonts w:hint="eastAsia"/>
        </w:rPr>
      </w:pPr>
      <w:r>
        <w:rPr>
          <w:rFonts w:hint="eastAsia"/>
        </w:rPr>
        <w:t>7.8.1</w:t>
      </w:r>
      <w:r>
        <w:t xml:space="preserve">  </w:t>
      </w:r>
      <w:r>
        <w:rPr>
          <w:rFonts w:hint="eastAsia"/>
        </w:rPr>
        <w:t>1995年前，政府制定和执行的所有政策均未采取公开参与的方式。目前，大多数政策制定，如2020远景规划、马拉维减贫战略文件、国家性别政策和土地政策都采用了共同参与的方式，由男女共同协商。</w:t>
      </w:r>
    </w:p>
    <w:p w:rsidR="005052D3" w:rsidRDefault="005052D3">
      <w:pPr>
        <w:pStyle w:val="SingleTxt"/>
        <w:spacing w:line="340" w:lineRule="exact"/>
      </w:pPr>
      <w:r>
        <w:t>7.8.2</w:t>
      </w:r>
      <w:r>
        <w:rPr>
          <w:rFonts w:hint="eastAsia"/>
        </w:rPr>
        <w:t>大部分情况下，政策制定是在政府高级层面上开始的，在这个层面上，高级职位很少由妇女担任。在有些领域，参与政策制定的主要是有权发表意见的领导人物，如酋长，而这些人大部分是男子。这很明显地意味着，妇女的观点可能在最终的政策或计划产品中没有得到充分反映，因为在这一阶段，高级官员大多是男子。</w:t>
      </w:r>
    </w:p>
    <w:p w:rsidR="005052D3" w:rsidRDefault="005052D3">
      <w:pPr>
        <w:pStyle w:val="SingleTxt"/>
        <w:rPr>
          <w:rFonts w:ascii="SimHei" w:eastAsia="SimHei"/>
          <w:color w:val="FF0000"/>
        </w:rPr>
      </w:pPr>
      <w:r>
        <w:rPr>
          <w:rFonts w:ascii="SimHei" w:eastAsia="SimHei"/>
          <w:color w:val="FF0000"/>
        </w:rPr>
        <w:t xml:space="preserve">7.9 </w:t>
      </w:r>
      <w:r>
        <w:rPr>
          <w:rFonts w:ascii="SimHei" w:eastAsia="SimHei"/>
          <w:color w:val="FF0000"/>
        </w:rPr>
        <w:tab/>
      </w:r>
      <w:r>
        <w:rPr>
          <w:rFonts w:ascii="SimHei" w:eastAsia="SimHei" w:hint="eastAsia"/>
          <w:color w:val="FF0000"/>
        </w:rPr>
        <w:t>参与民间社会</w:t>
      </w:r>
    </w:p>
    <w:p w:rsidR="005052D3" w:rsidRDefault="005052D3">
      <w:pPr>
        <w:pStyle w:val="SingleTxt"/>
      </w:pPr>
      <w:r>
        <w:t xml:space="preserve">7.9.1  </w:t>
      </w:r>
      <w:r>
        <w:rPr>
          <w:rFonts w:hint="eastAsia"/>
        </w:rPr>
        <w:t>马拉维宪法声称：“人人有结社自由的权利。”这包括成立协会的自由。但没有人会被迫属于任何协会。</w:t>
      </w:r>
      <w:r>
        <w:rPr>
          <w:rStyle w:val="FootnoteReference"/>
        </w:rPr>
        <w:footnoteReference w:id="84"/>
      </w:r>
    </w:p>
    <w:p w:rsidR="005052D3" w:rsidRDefault="005052D3">
      <w:pPr>
        <w:pStyle w:val="SingleTxt"/>
      </w:pPr>
      <w:r>
        <w:t xml:space="preserve">7.9.2  </w:t>
      </w:r>
      <w:r>
        <w:rPr>
          <w:rFonts w:hint="eastAsia"/>
        </w:rPr>
        <w:t>不幸的是，男子如果领导了有关妇女权利的非政府组织，就会感觉不舒服。在宗教领域，就像政治领域一样，妇女受到男子的领导和支配。马拉维几乎所有的宗教都有妇女组织，直接由妇女领导，但完全从属于男子的领导。最近，马拉维注意到新教教堂中女教职人员的等级地位。尽管这些人被授予牧师的称号，但她们没有人处于决策的较高层次。</w:t>
      </w:r>
    </w:p>
    <w:p w:rsidR="005052D3" w:rsidRDefault="005052D3">
      <w:pPr>
        <w:pStyle w:val="SingleTxt"/>
        <w:rPr>
          <w:rFonts w:eastAsia="SimHei"/>
          <w:bCs/>
          <w:color w:val="FF0000"/>
        </w:rPr>
      </w:pPr>
      <w:r>
        <w:rPr>
          <w:rFonts w:eastAsia="SimHei"/>
          <w:bCs/>
          <w:color w:val="FF0000"/>
        </w:rPr>
        <w:t xml:space="preserve">7.10 </w:t>
      </w:r>
      <w:r>
        <w:rPr>
          <w:rFonts w:eastAsia="SimHei" w:hint="eastAsia"/>
          <w:bCs/>
          <w:color w:val="FF0000"/>
        </w:rPr>
        <w:t>结论</w:t>
      </w:r>
    </w:p>
    <w:p w:rsidR="005052D3" w:rsidRDefault="005052D3">
      <w:pPr>
        <w:pStyle w:val="SingleTxt"/>
      </w:pPr>
      <w:r>
        <w:tab/>
      </w:r>
      <w:r>
        <w:rPr>
          <w:rFonts w:hint="eastAsia"/>
        </w:rPr>
        <w:t>一切政治、经济和公共生活领域均由男子主宰，妇女的人数极少。角色或者男性化，或者女性化。妇女的角色往往从属于男子的角色，或在其中处于辅助的地位。法盲和盛行的风俗中均不把妇女看作是领导者，这是妇女无法担任有影响职位的原因之一。文化传统以及对穷人利益的忽视恶化了妇女参与政治和公共生活的困境。</w:t>
      </w:r>
    </w:p>
    <w:p w:rsidR="005052D3" w:rsidRDefault="005052D3">
      <w:pPr>
        <w:pStyle w:val="H1"/>
        <w:spacing w:after="120"/>
      </w:pPr>
      <w:bookmarkStart w:id="27" w:name="_Toc33784415"/>
      <w:bookmarkStart w:id="28" w:name="_Toc377350754"/>
      <w:bookmarkStart w:id="29" w:name="_Toc83142696"/>
      <w:r>
        <w:tab/>
      </w:r>
      <w:r>
        <w:tab/>
      </w:r>
      <w:r>
        <w:tab/>
      </w:r>
      <w:r>
        <w:rPr>
          <w:rFonts w:hint="eastAsia"/>
        </w:rPr>
        <w:t>第8条：国际代表和参与</w:t>
      </w:r>
      <w:bookmarkEnd w:id="27"/>
      <w:bookmarkEnd w:id="28"/>
      <w:bookmarkEnd w:id="29"/>
    </w:p>
    <w:p w:rsidR="005052D3" w:rsidRDefault="005052D3">
      <w:pPr>
        <w:tabs>
          <w:tab w:val="left" w:pos="840"/>
        </w:tabs>
        <w:spacing w:after="120"/>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8.1</w:t>
      </w:r>
      <w:r>
        <w:rPr>
          <w:rFonts w:ascii="SimHei" w:eastAsia="SimHei"/>
          <w:bCs/>
          <w:color w:val="FF0000"/>
        </w:rPr>
        <w:tab/>
        <w:t>《消除对妇女一切形式歧视公约》</w:t>
      </w:r>
      <w:r>
        <w:rPr>
          <w:rFonts w:ascii="SimHei" w:eastAsia="SimHei" w:hint="eastAsia"/>
          <w:bCs/>
          <w:color w:val="FF0000"/>
        </w:rPr>
        <w:t>标准</w:t>
      </w:r>
    </w:p>
    <w:p w:rsidR="005052D3" w:rsidRDefault="005052D3">
      <w:pPr>
        <w:pStyle w:val="SingleTxt"/>
        <w:ind w:left="2115" w:hanging="851"/>
        <w:rPr>
          <w:rFonts w:ascii="KaiTi_GB2312" w:eastAsia="KaiTi_GB2312"/>
          <w:color w:val="0000FF"/>
        </w:rPr>
      </w:pPr>
      <w:r>
        <w:rPr>
          <w:rFonts w:ascii="KaiTi_GB2312" w:eastAsia="KaiTi_GB2312" w:hint="eastAsia"/>
          <w:color w:val="0000FF"/>
        </w:rPr>
        <w:t>第8条</w:t>
      </w:r>
      <w:r>
        <w:rPr>
          <w:rFonts w:ascii="KaiTi_GB2312" w:eastAsia="KaiTi_GB2312" w:hint="eastAsia"/>
          <w:color w:val="0000FF"/>
          <w:lang w:val="en-GB"/>
        </w:rPr>
        <w:t>．</w:t>
      </w:r>
      <w:r>
        <w:rPr>
          <w:rFonts w:ascii="KaiTi_GB2312" w:eastAsia="KaiTi_GB2312" w:hint="eastAsia"/>
          <w:color w:val="0000FF"/>
        </w:rPr>
        <w:t>缔约各国应采取一切适当措施，保证妇女在与男子平等不受任何歧视的条件下，有机会在国际上代表本国政府参加各国际组织的工作。</w:t>
      </w:r>
    </w:p>
    <w:p w:rsidR="005052D3" w:rsidRDefault="005052D3">
      <w:pPr>
        <w:numPr>
          <w:ilvl w:val="1"/>
          <w:numId w:val="15"/>
        </w:numPr>
        <w:tabs>
          <w:tab w:val="left" w:pos="840"/>
        </w:tabs>
        <w:spacing w:after="120"/>
        <w:ind w:left="1293" w:firstLine="0"/>
        <w:rPr>
          <w:rFonts w:eastAsia="SimHei"/>
          <w:bCs/>
          <w:color w:val="FF0000"/>
        </w:rPr>
      </w:pPr>
      <w:r>
        <w:rPr>
          <w:rFonts w:eastAsia="SimHei" w:hint="eastAsia"/>
          <w:bCs/>
          <w:color w:val="FF0000"/>
        </w:rPr>
        <w:t>导言</w:t>
      </w:r>
    </w:p>
    <w:p w:rsidR="005052D3" w:rsidRDefault="005052D3">
      <w:pPr>
        <w:pStyle w:val="SingleTxt"/>
      </w:pPr>
      <w:r>
        <w:t xml:space="preserve">8.2.1  </w:t>
      </w:r>
      <w:r>
        <w:rPr>
          <w:rFonts w:hint="eastAsia"/>
        </w:rPr>
        <w:t>马拉维的性别差距还反映在国家在国际一级的参与程度上。尽管妇女经常参加国家的代表团出席国际和其他论坛，但代表团中的大多数有影响的职位都由男子担任。</w:t>
      </w:r>
    </w:p>
    <w:p w:rsidR="005052D3" w:rsidRDefault="005052D3">
      <w:pPr>
        <w:pStyle w:val="SingleTxt"/>
      </w:pPr>
      <w:r>
        <w:t xml:space="preserve">8.2.2  </w:t>
      </w:r>
      <w:r>
        <w:rPr>
          <w:rFonts w:hint="eastAsia"/>
        </w:rPr>
        <w:t>尽管国家的宪法已经做出要求，但马拉维妇女在国际一级的参与程度很低。宪法规定，“妇女应该在与男子平等的基础上，全面参与马拉维社会的各个领域”。</w:t>
      </w:r>
      <w:r>
        <w:rPr>
          <w:rStyle w:val="FootnoteReference"/>
          <w:szCs w:val="24"/>
        </w:rPr>
        <w:footnoteReference w:id="85"/>
      </w:r>
    </w:p>
    <w:p w:rsidR="005052D3" w:rsidRDefault="005052D3">
      <w:pPr>
        <w:numPr>
          <w:ilvl w:val="1"/>
          <w:numId w:val="15"/>
        </w:numPr>
        <w:tabs>
          <w:tab w:val="left" w:pos="840"/>
        </w:tabs>
        <w:spacing w:after="120"/>
        <w:ind w:left="1293" w:firstLine="0"/>
        <w:rPr>
          <w:rFonts w:eastAsia="SimHei"/>
          <w:bCs/>
          <w:color w:val="FF0000"/>
        </w:rPr>
      </w:pPr>
      <w:r>
        <w:rPr>
          <w:rFonts w:eastAsia="SimHei" w:hint="eastAsia"/>
          <w:bCs/>
          <w:color w:val="FF0000"/>
        </w:rPr>
        <w:t>在国际一级代表政府的机会</w:t>
      </w:r>
    </w:p>
    <w:p w:rsidR="005052D3" w:rsidRDefault="005052D3">
      <w:pPr>
        <w:pStyle w:val="SingleTxt"/>
      </w:pPr>
      <w:r>
        <w:t xml:space="preserve">8.3.1  </w:t>
      </w:r>
      <w:r>
        <w:rPr>
          <w:rFonts w:hint="eastAsia"/>
        </w:rPr>
        <w:t>自初始报告提交以后，妇女在国际事务中的参与程度已经有所提高。目前代表马拉维的有19名大使和一名高级专员，其中三名妇女是在议会公共任命委员会的同意下由总统任命的。</w:t>
      </w:r>
      <w:r>
        <w:t xml:space="preserve"> </w:t>
      </w:r>
    </w:p>
    <w:p w:rsidR="005052D3" w:rsidRDefault="005052D3">
      <w:pPr>
        <w:pStyle w:val="SingleTxt"/>
        <w:spacing w:after="120"/>
      </w:pPr>
      <w:r>
        <w:t xml:space="preserve">8.3.2  </w:t>
      </w:r>
      <w:r>
        <w:rPr>
          <w:rFonts w:hint="eastAsia"/>
        </w:rPr>
        <w:t>例如在内阁中，外交事务和国际合作部部长是妇女，这是自1964年马拉维独立以来第一位担任这样职位的妇女。</w:t>
      </w:r>
      <w:r>
        <w:t xml:space="preserve"> </w:t>
      </w:r>
    </w:p>
    <w:p w:rsidR="005052D3" w:rsidRDefault="005052D3">
      <w:pPr>
        <w:pStyle w:val="SingleTxt"/>
        <w:spacing w:after="120"/>
      </w:pPr>
      <w:r>
        <w:t xml:space="preserve">8.3.3  </w:t>
      </w:r>
      <w:r>
        <w:rPr>
          <w:rFonts w:hint="eastAsia"/>
        </w:rPr>
        <w:t>但是，在国家外事部门工作的大多数妇女都处于从属地位或者说是配角。该趋势在外交部内部就反映出来。该部的44名高级决策和职业工作人员中有9名妇女。</w:t>
      </w:r>
    </w:p>
    <w:p w:rsidR="005052D3" w:rsidRDefault="005052D3">
      <w:pPr>
        <w:numPr>
          <w:ilvl w:val="1"/>
          <w:numId w:val="15"/>
        </w:numPr>
        <w:tabs>
          <w:tab w:val="left" w:pos="840"/>
        </w:tabs>
        <w:spacing w:after="120"/>
        <w:ind w:left="1293" w:firstLine="0"/>
        <w:rPr>
          <w:rFonts w:eastAsia="SimHei"/>
          <w:bCs/>
          <w:color w:val="FF0000"/>
        </w:rPr>
      </w:pPr>
      <w:r>
        <w:rPr>
          <w:rFonts w:eastAsia="SimHei" w:hint="eastAsia"/>
          <w:bCs/>
          <w:color w:val="FF0000"/>
        </w:rPr>
        <w:t>参与国际组织</w:t>
      </w:r>
    </w:p>
    <w:p w:rsidR="005052D3" w:rsidRDefault="005052D3">
      <w:pPr>
        <w:pStyle w:val="SingleTxt"/>
        <w:spacing w:after="120"/>
      </w:pPr>
      <w:r>
        <w:t xml:space="preserve">8.4.1  </w:t>
      </w:r>
      <w:r>
        <w:rPr>
          <w:rFonts w:hint="eastAsia"/>
        </w:rPr>
        <w:t>在马拉维开展工作的国际组织根据组织需要和政策招聘马拉维人。但是，多数被招聘的马拉维妇女担任的是助理职员，这反映了国家的总体状况。</w:t>
      </w:r>
    </w:p>
    <w:p w:rsidR="005052D3" w:rsidRDefault="005052D3">
      <w:pPr>
        <w:numPr>
          <w:ilvl w:val="1"/>
          <w:numId w:val="15"/>
        </w:numPr>
        <w:tabs>
          <w:tab w:val="left" w:pos="840"/>
        </w:tabs>
        <w:spacing w:after="120"/>
        <w:ind w:left="1293" w:firstLine="0"/>
        <w:rPr>
          <w:rFonts w:eastAsia="SimHei"/>
          <w:bCs/>
          <w:color w:val="FF0000"/>
        </w:rPr>
      </w:pPr>
      <w:r>
        <w:rPr>
          <w:rFonts w:eastAsia="SimHei" w:hint="eastAsia"/>
          <w:bCs/>
          <w:color w:val="FF0000"/>
        </w:rPr>
        <w:t>结论</w:t>
      </w:r>
    </w:p>
    <w:p w:rsidR="005052D3" w:rsidRDefault="005052D3">
      <w:pPr>
        <w:pStyle w:val="SingleTxt"/>
        <w:spacing w:after="120"/>
        <w:rPr>
          <w:rFonts w:hint="eastAsia"/>
        </w:rPr>
      </w:pPr>
      <w:r>
        <w:tab/>
      </w:r>
      <w:r>
        <w:rPr>
          <w:rFonts w:hint="eastAsia"/>
        </w:rPr>
        <w:t>尽管存在着性别不平等，但在报告期内，马拉维已经在任命妇女担任国际决策职位方面取得了可喜的进步，如外交事务和国际合作部长及三位大使。还需要做更多的工作以使妇女担任马拉维最有影响力的职位。</w:t>
      </w:r>
    </w:p>
    <w:p w:rsidR="005052D3" w:rsidRDefault="005052D3">
      <w:pPr>
        <w:pStyle w:val="H1"/>
        <w:spacing w:after="120"/>
      </w:pPr>
      <w:bookmarkStart w:id="30" w:name="_Toc33784416"/>
      <w:bookmarkStart w:id="31" w:name="_Toc377350755"/>
      <w:bookmarkStart w:id="32" w:name="_Toc83142697"/>
      <w:r>
        <w:tab/>
      </w:r>
      <w:r>
        <w:tab/>
      </w:r>
      <w:r>
        <w:tab/>
      </w:r>
      <w:r>
        <w:rPr>
          <w:rFonts w:hint="eastAsia"/>
        </w:rPr>
        <w:t>第</w:t>
      </w:r>
      <w:r>
        <w:t>9</w:t>
      </w:r>
      <w:r>
        <w:rPr>
          <w:rFonts w:hint="eastAsia"/>
        </w:rPr>
        <w:t>条：</w:t>
      </w:r>
      <w:bookmarkEnd w:id="30"/>
      <w:bookmarkEnd w:id="31"/>
      <w:r>
        <w:rPr>
          <w:rFonts w:hint="eastAsia"/>
        </w:rPr>
        <w:t>国籍</w:t>
      </w:r>
      <w:bookmarkEnd w:id="32"/>
    </w:p>
    <w:p w:rsidR="005052D3" w:rsidRDefault="005052D3">
      <w:pPr>
        <w:tabs>
          <w:tab w:val="left" w:pos="840"/>
        </w:tabs>
        <w:spacing w:after="120"/>
        <w:rPr>
          <w:rFonts w:ascii="SimHei" w:eastAsia="SimHei" w:hint="eastAsia"/>
          <w:bCs/>
          <w:color w:val="FF0000"/>
        </w:rPr>
      </w:pPr>
      <w:r>
        <w:rPr>
          <w:rFonts w:ascii="SimHei" w:eastAsia="SimHei"/>
          <w:bCs/>
          <w:color w:val="FF0000"/>
        </w:rPr>
        <w:tab/>
      </w:r>
      <w:r>
        <w:rPr>
          <w:rFonts w:ascii="SimHei" w:eastAsia="SimHei"/>
          <w:bCs/>
          <w:color w:val="FF0000"/>
        </w:rPr>
        <w:tab/>
      </w:r>
      <w:r>
        <w:rPr>
          <w:rFonts w:ascii="SimHei" w:eastAsia="SimHei"/>
          <w:bCs/>
          <w:color w:val="FF0000"/>
        </w:rPr>
        <w:tab/>
        <w:t xml:space="preserve">9.1 </w:t>
      </w:r>
      <w:r>
        <w:rPr>
          <w:rFonts w:ascii="SimHei" w:eastAsia="SimHei"/>
          <w:bCs/>
          <w:color w:val="FF0000"/>
        </w:rPr>
        <w:tab/>
        <w:t>《消除对妇女一切形式歧视公约》</w:t>
      </w:r>
      <w:r>
        <w:rPr>
          <w:rFonts w:ascii="SimHei" w:eastAsia="SimHei" w:hint="eastAsia"/>
          <w:bCs/>
          <w:color w:val="FF0000"/>
        </w:rPr>
        <w:t>标准</w:t>
      </w:r>
    </w:p>
    <w:p w:rsidR="005052D3" w:rsidRDefault="005052D3">
      <w:pPr>
        <w:pStyle w:val="SingleTxt"/>
        <w:spacing w:after="120"/>
        <w:ind w:left="2149" w:hanging="454"/>
      </w:pPr>
      <w:r>
        <w:rPr>
          <w:rFonts w:ascii="KaiTi_GB2312" w:eastAsia="KaiTi_GB2312" w:hint="eastAsia"/>
          <w:color w:val="0000FF"/>
        </w:rPr>
        <w:t>1.</w:t>
      </w:r>
      <w:r>
        <w:rPr>
          <w:rFonts w:ascii="KaiTi_GB2312" w:eastAsia="KaiTi_GB2312" w:hint="eastAsia"/>
          <w:color w:val="0000FF"/>
        </w:rPr>
        <w:tab/>
        <w:t>第9条规定，缔约各国应给予妇女与男子有取得、改变或保留国籍的同等权利。它们应特别保证，与外国人结婚或于婚姻存续期间丈夫改变国籍均不应当然改变妻子的国籍，使她成为无国籍人，或把丈夫的国籍强加于她</w:t>
      </w:r>
      <w:r>
        <w:rPr>
          <w:rFonts w:hint="eastAsia"/>
        </w:rPr>
        <w:t xml:space="preserve">。 </w:t>
      </w:r>
    </w:p>
    <w:p w:rsidR="005052D3" w:rsidRDefault="005052D3">
      <w:pPr>
        <w:pStyle w:val="SingleTxt"/>
        <w:spacing w:after="120"/>
        <w:ind w:left="2149" w:hanging="454"/>
        <w:rPr>
          <w:rFonts w:ascii="KaiTi_GB2312" w:eastAsia="KaiTi_GB2312" w:hint="eastAsia"/>
          <w:color w:val="0000FF"/>
        </w:rPr>
      </w:pPr>
      <w:r>
        <w:rPr>
          <w:rFonts w:ascii="KaiTi_GB2312" w:eastAsia="KaiTi_GB2312" w:hint="eastAsia"/>
          <w:color w:val="0000FF"/>
        </w:rPr>
        <w:t xml:space="preserve">2. </w:t>
      </w:r>
      <w:r>
        <w:rPr>
          <w:rFonts w:ascii="KaiTi_GB2312" w:eastAsia="KaiTi_GB2312"/>
          <w:color w:val="0000FF"/>
        </w:rPr>
        <w:t xml:space="preserve"> </w:t>
      </w:r>
      <w:r>
        <w:rPr>
          <w:rFonts w:ascii="KaiTi_GB2312" w:eastAsia="KaiTi_GB2312" w:hint="eastAsia"/>
          <w:color w:val="0000FF"/>
        </w:rPr>
        <w:t>缔约各国在关于子女的国籍方面，应给予妇女与男子平等的权利。</w:t>
      </w:r>
    </w:p>
    <w:p w:rsidR="005052D3" w:rsidRDefault="005052D3">
      <w:pPr>
        <w:numPr>
          <w:ilvl w:val="1"/>
          <w:numId w:val="18"/>
        </w:numPr>
        <w:tabs>
          <w:tab w:val="left" w:pos="840"/>
        </w:tabs>
        <w:spacing w:after="120"/>
        <w:ind w:left="1293" w:firstLine="0"/>
        <w:rPr>
          <w:rFonts w:eastAsia="SimHei"/>
          <w:bCs/>
          <w:color w:val="FF0000"/>
        </w:rPr>
      </w:pPr>
      <w:r>
        <w:rPr>
          <w:rFonts w:eastAsia="SimHei" w:hint="eastAsia"/>
          <w:bCs/>
          <w:color w:val="FF0000"/>
        </w:rPr>
        <w:t>导言</w:t>
      </w:r>
    </w:p>
    <w:p w:rsidR="005052D3" w:rsidRDefault="005052D3">
      <w:pPr>
        <w:pStyle w:val="SingleTxt"/>
        <w:spacing w:after="120"/>
      </w:pPr>
      <w:r>
        <w:t>9.2.1</w:t>
      </w:r>
      <w:r>
        <w:rPr>
          <w:rFonts w:hint="eastAsia"/>
        </w:rPr>
        <w:t>宪法在男女平等的基础上赋予妇女获得和保持公民身份及国籍的权利。</w:t>
      </w:r>
      <w:r>
        <w:rPr>
          <w:rStyle w:val="FootnoteReference"/>
        </w:rPr>
        <w:footnoteReference w:id="86"/>
      </w:r>
      <w:r>
        <w:t xml:space="preserve"> </w:t>
      </w:r>
      <w:r>
        <w:rPr>
          <w:rFonts w:hint="eastAsia"/>
        </w:rPr>
        <w:t>与宪法相反，管理获得和丧失马拉维国籍的法律仍然对嫁给非马拉维人的妇女存在偏见。</w:t>
      </w:r>
      <w:r>
        <w:t xml:space="preserve"> </w:t>
      </w:r>
    </w:p>
    <w:p w:rsidR="005052D3" w:rsidRDefault="005052D3">
      <w:pPr>
        <w:pStyle w:val="SingleTxt"/>
        <w:spacing w:after="120"/>
      </w:pPr>
      <w:r>
        <w:t xml:space="preserve">9.2.2  </w:t>
      </w:r>
      <w:r>
        <w:rPr>
          <w:rFonts w:hint="eastAsia"/>
        </w:rPr>
        <w:t>宪法第47（1）条承认男女拥有公民身份和国籍的权利。宪法还对任何人获得或丧失马拉维国籍做出了规定，但同时也规定，不得随意取消或剥夺公民身份。</w:t>
      </w:r>
      <w:r>
        <w:rPr>
          <w:rStyle w:val="FootnoteReference"/>
        </w:rPr>
        <w:footnoteReference w:id="87"/>
      </w:r>
    </w:p>
    <w:p w:rsidR="005052D3" w:rsidRDefault="005052D3">
      <w:pPr>
        <w:numPr>
          <w:ilvl w:val="1"/>
          <w:numId w:val="18"/>
        </w:numPr>
        <w:tabs>
          <w:tab w:val="left" w:pos="840"/>
        </w:tabs>
        <w:spacing w:after="120"/>
        <w:ind w:left="1293" w:firstLine="0"/>
        <w:rPr>
          <w:rFonts w:eastAsia="SimHei"/>
          <w:bCs/>
          <w:color w:val="FF0000"/>
        </w:rPr>
      </w:pPr>
      <w:r>
        <w:rPr>
          <w:rFonts w:eastAsia="SimHei" w:hint="eastAsia"/>
          <w:bCs/>
          <w:color w:val="FF0000"/>
        </w:rPr>
        <w:t>公民身份的获得或改变</w:t>
      </w:r>
    </w:p>
    <w:p w:rsidR="005052D3" w:rsidRDefault="005052D3">
      <w:pPr>
        <w:pStyle w:val="SingleTxt"/>
      </w:pPr>
      <w:r>
        <w:t>9.3.</w:t>
      </w:r>
      <w:r>
        <w:rPr>
          <w:rFonts w:hint="eastAsia"/>
        </w:rPr>
        <w:t>1  《公民身份法》规定，通过出身、血统或登记获得公民身份。该法允许通过婚姻获得其他国家的公民身份，但此条件仅限于妇女。</w:t>
      </w:r>
      <w:r>
        <w:rPr>
          <w:rStyle w:val="FootnoteReference"/>
        </w:rPr>
        <w:footnoteReference w:id="88"/>
      </w:r>
      <w:r>
        <w:t xml:space="preserve"> </w:t>
      </w:r>
      <w:r>
        <w:rPr>
          <w:rFonts w:hint="eastAsia"/>
        </w:rPr>
        <w:t>不过，马拉维男子的外国妻子可以不通过婚姻而是通过登记获得公民身份。</w:t>
      </w:r>
    </w:p>
    <w:p w:rsidR="005052D3" w:rsidRDefault="005052D3">
      <w:pPr>
        <w:pStyle w:val="SingleTxt"/>
        <w:spacing w:after="120"/>
      </w:pPr>
      <w:r>
        <w:t xml:space="preserve">9.3.2  </w:t>
      </w:r>
      <w:r>
        <w:rPr>
          <w:rFonts w:hint="eastAsia"/>
        </w:rPr>
        <w:t>与外国人结婚的马拉维妇女如果未能在结婚第一年内声明放弃丈夫的国籍，则她们的公民身份可能被剥夺，而与马拉维男子结婚的非马拉维妇女也必须在她们结婚后第一年做出类似的选择。与此相反，马拉维和非马拉维男子却无须做出选择。因此，法律似乎受到妇女在婚姻中遵从男子的传统观念影响而造成了不平等。</w:t>
      </w:r>
      <w:r>
        <w:t xml:space="preserve"> </w:t>
      </w:r>
    </w:p>
    <w:p w:rsidR="005052D3" w:rsidRDefault="005052D3">
      <w:pPr>
        <w:numPr>
          <w:ilvl w:val="1"/>
          <w:numId w:val="18"/>
        </w:numPr>
        <w:tabs>
          <w:tab w:val="left" w:pos="840"/>
        </w:tabs>
        <w:spacing w:after="120"/>
        <w:ind w:left="1293" w:firstLine="0"/>
        <w:rPr>
          <w:rFonts w:eastAsia="SimHei"/>
          <w:bCs/>
          <w:color w:val="FF0000"/>
        </w:rPr>
      </w:pPr>
      <w:r>
        <w:rPr>
          <w:rFonts w:eastAsia="SimHei" w:hint="eastAsia"/>
          <w:bCs/>
          <w:color w:val="FF0000"/>
        </w:rPr>
        <w:t>移民和国籍权利</w:t>
      </w:r>
    </w:p>
    <w:p w:rsidR="005052D3" w:rsidRDefault="005052D3">
      <w:pPr>
        <w:pStyle w:val="SingleTxt"/>
        <w:spacing w:after="120"/>
      </w:pPr>
      <w:r>
        <w:t xml:space="preserve">9.4.1  </w:t>
      </w:r>
      <w:r>
        <w:rPr>
          <w:rFonts w:hint="eastAsia"/>
        </w:rPr>
        <w:t>根据移民法，妇女被视为父亲、丈夫或叔父等男子形象的依附者。如果没有丈夫的监护，已婚妇女不允许迁移。尽管不满18岁的子女可以根据自己的权利获得护照或利用其母亲的护照旅行，但是要征得他们的父亲或其他男子监护人的同意，否则，他们不能移民。此外，跨国婚姻的子女在18岁以前具有双重公民身份，18岁时，他们需要在其父母的公民身份之间做出选择。</w:t>
      </w:r>
    </w:p>
    <w:p w:rsidR="005052D3" w:rsidRDefault="005052D3">
      <w:pPr>
        <w:pStyle w:val="SingleTxt"/>
        <w:spacing w:after="120"/>
      </w:pPr>
      <w:r>
        <w:t xml:space="preserve">9.4.2  </w:t>
      </w:r>
      <w:r>
        <w:rPr>
          <w:rFonts w:hint="eastAsia"/>
        </w:rPr>
        <w:t>家庭事务部已经计划着手提高效率。该部已经安排官员对非法移民展开调查。对妇女的影响尚不清楚，但与非法移民结婚的妇女可能会受到消极影响。</w:t>
      </w:r>
    </w:p>
    <w:p w:rsidR="005052D3" w:rsidRDefault="005052D3">
      <w:pPr>
        <w:pStyle w:val="SingleTxt"/>
        <w:spacing w:after="120"/>
      </w:pPr>
      <w:r>
        <w:t xml:space="preserve">9.4.3  </w:t>
      </w:r>
      <w:r>
        <w:rPr>
          <w:rFonts w:hint="eastAsia"/>
        </w:rPr>
        <w:t>已经对马拉维护照进行了重新设计，通过打孔以及扫描持有人的照片，现在护照已经不容易被伪造了。</w:t>
      </w:r>
    </w:p>
    <w:p w:rsidR="005052D3" w:rsidRDefault="005052D3">
      <w:pPr>
        <w:numPr>
          <w:ilvl w:val="1"/>
          <w:numId w:val="18"/>
        </w:numPr>
        <w:tabs>
          <w:tab w:val="left" w:pos="840"/>
        </w:tabs>
        <w:spacing w:after="120" w:line="320" w:lineRule="atLeast"/>
        <w:ind w:left="1293" w:firstLine="0"/>
        <w:rPr>
          <w:rFonts w:eastAsia="SimHei"/>
          <w:bCs/>
          <w:color w:val="FF0000"/>
        </w:rPr>
      </w:pPr>
      <w:r>
        <w:rPr>
          <w:rFonts w:eastAsia="SimHei" w:hint="eastAsia"/>
          <w:bCs/>
          <w:color w:val="FF0000"/>
        </w:rPr>
        <w:t>国籍权的行使</w:t>
      </w:r>
    </w:p>
    <w:p w:rsidR="005052D3" w:rsidRDefault="005052D3">
      <w:pPr>
        <w:pStyle w:val="SingleTxt"/>
        <w:spacing w:after="120"/>
      </w:pPr>
      <w:r>
        <w:t xml:space="preserve">9.5.1  </w:t>
      </w:r>
      <w:r>
        <w:rPr>
          <w:rFonts w:hint="eastAsia"/>
        </w:rPr>
        <w:t>虽然根据宪法和公民身份法允许大部分妇女享有她们的国籍权，但是婚姻往往决定着她们能否享有这种权利。在文化上，马拉维妇女被假定为与其丈夫在一起，而丈夫则被视为家长。因此，没有她们丈夫的同意，大部分妇女无法获得或改变她们的国籍。</w:t>
      </w:r>
    </w:p>
    <w:p w:rsidR="005052D3" w:rsidRDefault="005052D3">
      <w:pPr>
        <w:pStyle w:val="SingleTxt"/>
        <w:spacing w:after="120"/>
      </w:pPr>
      <w:r>
        <w:t>9.5.</w:t>
      </w:r>
      <w:r>
        <w:rPr>
          <w:rFonts w:hint="eastAsia"/>
        </w:rPr>
        <w:t>2</w:t>
      </w:r>
      <w:r>
        <w:t xml:space="preserve">  </w:t>
      </w:r>
      <w:r>
        <w:rPr>
          <w:rFonts w:hint="eastAsia"/>
        </w:rPr>
        <w:t>有关外国妇女应声明放弃她们国籍的要求使她们在没有采用丈夫国籍的情况下无法成为某些公共职位的候选人。这些职位包括总统、议会和地方议会的成员资格。</w:t>
      </w:r>
    </w:p>
    <w:p w:rsidR="005052D3" w:rsidRDefault="005052D3">
      <w:pPr>
        <w:numPr>
          <w:ilvl w:val="1"/>
          <w:numId w:val="18"/>
        </w:numPr>
        <w:tabs>
          <w:tab w:val="left" w:pos="840"/>
        </w:tabs>
        <w:spacing w:after="120" w:line="320" w:lineRule="atLeast"/>
        <w:ind w:left="1293" w:firstLine="0"/>
        <w:rPr>
          <w:rFonts w:eastAsia="SimHei"/>
          <w:bCs/>
          <w:color w:val="FF0000"/>
        </w:rPr>
      </w:pPr>
      <w:r>
        <w:rPr>
          <w:rFonts w:eastAsia="SimHei" w:hint="eastAsia"/>
          <w:bCs/>
          <w:color w:val="FF0000"/>
        </w:rPr>
        <w:t>结论</w:t>
      </w:r>
    </w:p>
    <w:p w:rsidR="005052D3" w:rsidRDefault="005052D3">
      <w:pPr>
        <w:pStyle w:val="SingleTxt"/>
        <w:spacing w:after="120"/>
      </w:pPr>
      <w:r>
        <w:tab/>
      </w:r>
      <w:r>
        <w:rPr>
          <w:rFonts w:hint="eastAsia"/>
        </w:rPr>
        <w:t>马拉维宪法注意到必须对某些法律进行修改以促进男女平等。有关享有国籍权的法律就是例子。公民身份法和移民法中含有与马拉维宪法和《消除对妇女一切形式歧视公约》相反的规定。在高等法院宣布这些法律无效或被议会废除之前，这些保护男女不平等、提倡歧视的规定仍然是马拉维法律的一部分。</w:t>
      </w:r>
    </w:p>
    <w:p w:rsidR="005052D3" w:rsidRDefault="005052D3">
      <w:pPr>
        <w:pStyle w:val="H1"/>
        <w:spacing w:after="120" w:line="300" w:lineRule="exact"/>
      </w:pPr>
      <w:bookmarkStart w:id="33" w:name="_Toc33784417"/>
      <w:bookmarkStart w:id="34" w:name="_Toc377350756"/>
      <w:bookmarkStart w:id="35" w:name="_Toc83142698"/>
      <w:r>
        <w:tab/>
      </w:r>
      <w:r>
        <w:tab/>
      </w:r>
      <w:r>
        <w:tab/>
      </w:r>
      <w:r>
        <w:rPr>
          <w:rFonts w:hint="eastAsia"/>
        </w:rPr>
        <w:t>第10条：教育和培训</w:t>
      </w:r>
      <w:bookmarkEnd w:id="33"/>
      <w:bookmarkEnd w:id="34"/>
      <w:bookmarkEnd w:id="35"/>
    </w:p>
    <w:p w:rsidR="005052D3" w:rsidRDefault="005052D3">
      <w:pPr>
        <w:tabs>
          <w:tab w:val="left" w:pos="840"/>
        </w:tabs>
        <w:spacing w:after="120" w:line="300" w:lineRule="exact"/>
        <w:rPr>
          <w:rFonts w:ascii="SimHei" w:eastAsia="SimHei"/>
          <w:bCs/>
          <w:color w:val="FF0000"/>
        </w:rPr>
      </w:pPr>
      <w:r>
        <w:rPr>
          <w:rFonts w:ascii="SimHei" w:eastAsia="SimHei"/>
          <w:bCs/>
          <w:color w:val="FF0000"/>
        </w:rPr>
        <w:tab/>
      </w:r>
      <w:r>
        <w:rPr>
          <w:rFonts w:ascii="SimHei" w:eastAsia="SimHei"/>
          <w:bCs/>
          <w:color w:val="FF0000"/>
        </w:rPr>
        <w:tab/>
      </w:r>
      <w:r>
        <w:rPr>
          <w:rFonts w:ascii="SimHei" w:eastAsia="SimHei"/>
          <w:bCs/>
          <w:color w:val="FF0000"/>
        </w:rPr>
        <w:tab/>
        <w:t>10.1</w:t>
      </w:r>
      <w:r>
        <w:rPr>
          <w:rFonts w:ascii="SimHei" w:eastAsia="SimHei"/>
          <w:bCs/>
          <w:color w:val="FF0000"/>
        </w:rPr>
        <w:tab/>
        <w:t>《消除对妇女一切形式歧视公约》</w:t>
      </w:r>
      <w:r>
        <w:rPr>
          <w:rFonts w:ascii="SimHei" w:eastAsia="SimHei" w:hint="eastAsia"/>
          <w:bCs/>
          <w:color w:val="FF0000"/>
        </w:rPr>
        <w:t>标准</w:t>
      </w:r>
    </w:p>
    <w:p w:rsidR="005052D3" w:rsidRDefault="005052D3">
      <w:pPr>
        <w:pStyle w:val="SingleTxt"/>
        <w:ind w:left="2115" w:hanging="851"/>
        <w:rPr>
          <w:rFonts w:ascii="KaiTi_GB2312" w:eastAsia="KaiTi_GB2312"/>
          <w:color w:val="0000FF"/>
        </w:rPr>
      </w:pPr>
      <w:r>
        <w:rPr>
          <w:rFonts w:ascii="KaiTi_GB2312" w:eastAsia="KaiTi_GB2312" w:hint="eastAsia"/>
          <w:color w:val="0000FF"/>
        </w:rPr>
        <w:t>第10条</w:t>
      </w:r>
      <w:r>
        <w:rPr>
          <w:rFonts w:ascii="KaiTi_GB2312" w:eastAsia="KaiTi_GB2312"/>
          <w:color w:val="0000FF"/>
        </w:rPr>
        <w:t>.</w:t>
      </w:r>
      <w:r>
        <w:rPr>
          <w:rFonts w:ascii="KaiTi_GB2312" w:eastAsia="KaiTi_GB2312" w:hint="eastAsia"/>
          <w:color w:val="0000FF"/>
        </w:rPr>
        <w:t xml:space="preserve">缔约各国应采取一切适当措施以消除对妇女的歧视，并保证妇女在教育方面享有与男子平等的权利，特别是在男女平等的基础上保证： </w:t>
      </w:r>
    </w:p>
    <w:p w:rsidR="005052D3" w:rsidRDefault="005052D3">
      <w:pPr>
        <w:pStyle w:val="SingleTxt"/>
        <w:ind w:left="2126" w:hanging="431"/>
        <w:rPr>
          <w:rFonts w:ascii="KaiTi_GB2312" w:eastAsia="KaiTi_GB2312" w:hint="eastAsia"/>
          <w:color w:val="0000FF"/>
        </w:rPr>
      </w:pPr>
      <w:r>
        <w:rPr>
          <w:rFonts w:ascii="KaiTi_GB2312" w:eastAsia="KaiTi_GB2312" w:hint="eastAsia"/>
          <w:color w:val="0000FF"/>
        </w:rPr>
        <w:t xml:space="preserve">(a) </w:t>
      </w:r>
      <w:r>
        <w:rPr>
          <w:rFonts w:ascii="KaiTi_GB2312" w:eastAsia="KaiTi_GB2312"/>
          <w:color w:val="0000FF"/>
        </w:rPr>
        <w:tab/>
      </w:r>
      <w:r>
        <w:rPr>
          <w:rFonts w:ascii="KaiTi_GB2312" w:eastAsia="KaiTi_GB2312" w:hint="eastAsia"/>
          <w:color w:val="0000FF"/>
        </w:rPr>
        <w:t xml:space="preserve">在各类教育机构，不论其在城市或农村，职业和行业辅导、学习的机会和文凭的取得，条件相同。在学前教育、普通教育、技术、专业和高等技术教育以及各种职业训练方面，都应保证这种平等； </w:t>
      </w:r>
    </w:p>
    <w:p w:rsidR="005052D3" w:rsidRDefault="005052D3">
      <w:pPr>
        <w:pStyle w:val="SingleTxt"/>
        <w:ind w:left="2126" w:hanging="431"/>
        <w:rPr>
          <w:rFonts w:hint="eastAsia"/>
        </w:rPr>
      </w:pPr>
      <w:r>
        <w:rPr>
          <w:rFonts w:hint="eastAsia"/>
        </w:rPr>
        <w:t xml:space="preserve">(b) </w:t>
      </w:r>
      <w:r>
        <w:tab/>
      </w:r>
      <w:r>
        <w:rPr>
          <w:rFonts w:ascii="KaiTi_GB2312" w:eastAsia="KaiTi_GB2312" w:hint="eastAsia"/>
          <w:color w:val="0000FF"/>
        </w:rPr>
        <w:t>课程、考试、师资的标准、校舍和设备的质量一律相同</w:t>
      </w:r>
      <w:r>
        <w:rPr>
          <w:rFonts w:hint="eastAsia"/>
        </w:rPr>
        <w:t xml:space="preserve">； </w:t>
      </w:r>
    </w:p>
    <w:p w:rsidR="005052D3" w:rsidRDefault="005052D3">
      <w:pPr>
        <w:pStyle w:val="SingleTxt"/>
        <w:ind w:left="2126" w:hanging="431"/>
        <w:rPr>
          <w:rFonts w:hint="eastAsia"/>
        </w:rPr>
      </w:pPr>
      <w:r>
        <w:rPr>
          <w:rFonts w:hint="eastAsia"/>
        </w:rPr>
        <w:t xml:space="preserve">(c) </w:t>
      </w:r>
      <w:r>
        <w:tab/>
      </w:r>
      <w:r>
        <w:rPr>
          <w:rFonts w:ascii="KaiTi_GB2312" w:eastAsia="KaiTi_GB2312" w:hint="eastAsia"/>
          <w:color w:val="0000FF"/>
        </w:rPr>
        <w:t>为消除在各级和各种方式的教育中对男女任务的任何定型观念，应鼓励实行男女同校和其他有助于实现这个目的的教育形式，并特别应修订教科书和课程以及相应地修改教学方法</w:t>
      </w:r>
      <w:r>
        <w:rPr>
          <w:rFonts w:hint="eastAsia"/>
        </w:rPr>
        <w:t xml:space="preserve">； </w:t>
      </w:r>
    </w:p>
    <w:p w:rsidR="005052D3" w:rsidRDefault="005052D3">
      <w:pPr>
        <w:pStyle w:val="SingleTxt"/>
        <w:ind w:left="2126" w:hanging="431"/>
        <w:rPr>
          <w:rFonts w:hint="eastAsia"/>
        </w:rPr>
      </w:pPr>
      <w:r>
        <w:rPr>
          <w:rFonts w:hint="eastAsia"/>
        </w:rPr>
        <w:t xml:space="preserve">(d) </w:t>
      </w:r>
      <w:r>
        <w:tab/>
      </w:r>
      <w:r>
        <w:rPr>
          <w:rFonts w:ascii="KaiTi_GB2312" w:eastAsia="KaiTi_GB2312" w:hint="eastAsia"/>
          <w:color w:val="0000FF"/>
        </w:rPr>
        <w:t>领受奖学金和其他研究补助金的机会相同</w:t>
      </w:r>
      <w:r>
        <w:rPr>
          <w:rFonts w:hint="eastAsia"/>
        </w:rPr>
        <w:t xml:space="preserve">； </w:t>
      </w:r>
    </w:p>
    <w:p w:rsidR="005052D3" w:rsidRDefault="005052D3">
      <w:pPr>
        <w:pStyle w:val="SingleTxt"/>
        <w:ind w:left="2126" w:hanging="431"/>
        <w:rPr>
          <w:rFonts w:hint="eastAsia"/>
        </w:rPr>
      </w:pPr>
      <w:r>
        <w:rPr>
          <w:rFonts w:hint="eastAsia"/>
        </w:rPr>
        <w:t xml:space="preserve">(e) </w:t>
      </w:r>
      <w:r>
        <w:tab/>
      </w:r>
      <w:r>
        <w:rPr>
          <w:rFonts w:ascii="KaiTi_GB2312" w:eastAsia="KaiTi_GB2312" w:hint="eastAsia"/>
          <w:color w:val="0000FF"/>
        </w:rPr>
        <w:t>接受成人教育、包括成人识字和实用识字教育的机会相同，特别是为了尽早缩短男女之间存在的教育水平上的一切差距</w:t>
      </w:r>
      <w:r>
        <w:rPr>
          <w:rFonts w:hint="eastAsia"/>
        </w:rPr>
        <w:t xml:space="preserve">； </w:t>
      </w:r>
    </w:p>
    <w:p w:rsidR="005052D3" w:rsidRDefault="005052D3">
      <w:pPr>
        <w:pStyle w:val="SingleTxt"/>
        <w:ind w:left="2126" w:hanging="431"/>
        <w:rPr>
          <w:rFonts w:hint="eastAsia"/>
        </w:rPr>
      </w:pPr>
      <w:r>
        <w:rPr>
          <w:rFonts w:hint="eastAsia"/>
        </w:rPr>
        <w:t xml:space="preserve">(f) </w:t>
      </w:r>
      <w:r>
        <w:tab/>
      </w:r>
      <w:r>
        <w:rPr>
          <w:rFonts w:ascii="KaiTi_GB2312" w:eastAsia="KaiTi_GB2312" w:hint="eastAsia"/>
          <w:color w:val="0000FF"/>
        </w:rPr>
        <w:t>减少女生退学率，并为离校过早的少女和妇女办理各种方案</w:t>
      </w:r>
      <w:r>
        <w:rPr>
          <w:rFonts w:hint="eastAsia"/>
        </w:rPr>
        <w:t xml:space="preserve">； </w:t>
      </w:r>
    </w:p>
    <w:p w:rsidR="005052D3" w:rsidRDefault="005052D3">
      <w:pPr>
        <w:pStyle w:val="SingleTxt"/>
        <w:ind w:left="2126" w:hanging="431"/>
        <w:rPr>
          <w:rFonts w:hint="eastAsia"/>
        </w:rPr>
      </w:pPr>
      <w:r>
        <w:rPr>
          <w:rFonts w:hint="eastAsia"/>
        </w:rPr>
        <w:t xml:space="preserve">(g) </w:t>
      </w:r>
      <w:r>
        <w:tab/>
      </w:r>
      <w:r>
        <w:rPr>
          <w:rFonts w:ascii="KaiTi_GB2312" w:eastAsia="KaiTi_GB2312" w:hint="eastAsia"/>
          <w:color w:val="0000FF"/>
        </w:rPr>
        <w:t>积极参加运动和体育的机会相同</w:t>
      </w:r>
      <w:r>
        <w:rPr>
          <w:rFonts w:hint="eastAsia"/>
        </w:rPr>
        <w:t xml:space="preserve">； </w:t>
      </w:r>
    </w:p>
    <w:p w:rsidR="005052D3" w:rsidRDefault="005052D3">
      <w:pPr>
        <w:pStyle w:val="SingleTxt"/>
        <w:ind w:left="2126" w:hanging="431"/>
        <w:rPr>
          <w:rFonts w:hint="eastAsia"/>
        </w:rPr>
      </w:pPr>
      <w:r>
        <w:rPr>
          <w:rFonts w:hint="eastAsia"/>
        </w:rPr>
        <w:t xml:space="preserve">(h) </w:t>
      </w:r>
      <w:r>
        <w:tab/>
      </w:r>
      <w:r>
        <w:rPr>
          <w:rFonts w:ascii="KaiTi_GB2312" w:eastAsia="KaiTi_GB2312" w:hint="eastAsia"/>
          <w:color w:val="0000FF"/>
        </w:rPr>
        <w:t>有接受特殊教育性辅导的机会，以保障家庭健康和幸福，包括关于计划生育的知识和辅导在内</w:t>
      </w:r>
      <w:r>
        <w:rPr>
          <w:rFonts w:hint="eastAsia"/>
        </w:rPr>
        <w:t xml:space="preserve">。 </w:t>
      </w:r>
    </w:p>
    <w:p w:rsidR="005052D3" w:rsidRDefault="005052D3">
      <w:pPr>
        <w:numPr>
          <w:ilvl w:val="1"/>
          <w:numId w:val="17"/>
        </w:numPr>
        <w:tabs>
          <w:tab w:val="left" w:pos="840"/>
        </w:tabs>
        <w:spacing w:after="140"/>
        <w:ind w:left="1293" w:firstLine="0"/>
        <w:rPr>
          <w:rFonts w:eastAsia="SimHei"/>
          <w:bCs/>
          <w:color w:val="FF0000"/>
        </w:rPr>
      </w:pPr>
      <w:r>
        <w:rPr>
          <w:rFonts w:eastAsia="SimHei"/>
          <w:bCs/>
          <w:color w:val="FF0000"/>
        </w:rPr>
        <w:t xml:space="preserve">  </w:t>
      </w:r>
      <w:r>
        <w:rPr>
          <w:rFonts w:eastAsia="SimHei" w:hint="eastAsia"/>
          <w:bCs/>
          <w:color w:val="FF0000"/>
        </w:rPr>
        <w:t>导言</w:t>
      </w:r>
    </w:p>
    <w:p w:rsidR="005052D3" w:rsidRDefault="005052D3">
      <w:pPr>
        <w:pStyle w:val="SingleTxt"/>
      </w:pPr>
      <w:r>
        <w:t xml:space="preserve">10.2.1  </w:t>
      </w:r>
      <w:r>
        <w:rPr>
          <w:rFonts w:hint="eastAsia"/>
        </w:rPr>
        <w:t>马拉维的教育指标很低，而且具有明显的性别不平等现象。接受教育、保留中小学生、教育内容和教育方法以及中小学生的成绩都是很低的。缺乏职业指导和教育，特别是对妇女的教育。成人和继续教育特别是在农村妇女中间是极其必要的。</w:t>
      </w:r>
    </w:p>
    <w:p w:rsidR="005052D3" w:rsidRDefault="005052D3">
      <w:pPr>
        <w:pStyle w:val="SingleTxt"/>
      </w:pPr>
      <w:r>
        <w:t xml:space="preserve">10.2.2  </w:t>
      </w:r>
      <w:r>
        <w:rPr>
          <w:rFonts w:hint="eastAsia"/>
        </w:rPr>
        <w:t>1994年宪法规定了免费和义务教育，里面写到“人人有受教育的自由”，要求国家分配足够的资源改善马拉维的教育。</w:t>
      </w:r>
      <w:r>
        <w:rPr>
          <w:rStyle w:val="FootnoteReference"/>
        </w:rPr>
        <w:footnoteReference w:id="89"/>
      </w:r>
      <w:r>
        <w:t xml:space="preserve"> </w:t>
      </w:r>
      <w:r>
        <w:rPr>
          <w:rFonts w:hint="eastAsia"/>
        </w:rPr>
        <w:t>马拉维政府自1994年以来实施一项免费小学教育政策，但整个教育还不是义务的。</w:t>
      </w:r>
    </w:p>
    <w:p w:rsidR="005052D3" w:rsidRDefault="005052D3">
      <w:pPr>
        <w:pStyle w:val="SingleTxt"/>
        <w:rPr>
          <w:b/>
        </w:rPr>
      </w:pPr>
      <w:r>
        <w:t xml:space="preserve">10.2.3  </w:t>
      </w:r>
      <w:r>
        <w:rPr>
          <w:rFonts w:hint="eastAsia"/>
        </w:rPr>
        <w:t>女生获得基础识字和教育计划是一项积极的行动计划，在1993年到1998年开展，促进了学校中女生的入学率和保留率。该计划为小学中所有通过考试并进入其他班级的女孩提供学费，为所有的学生提供学习材料并对符合标准1到4的每名儿童采用分级学费。大约50万名女孩从该计划中获益。1994年实行免费小学教育以后，女孩的学费转向中学教育。</w:t>
      </w:r>
      <w:r>
        <w:t xml:space="preserve"> </w:t>
      </w:r>
    </w:p>
    <w:p w:rsidR="005052D3" w:rsidRDefault="005052D3">
      <w:pPr>
        <w:numPr>
          <w:ilvl w:val="1"/>
          <w:numId w:val="17"/>
        </w:numPr>
        <w:tabs>
          <w:tab w:val="left" w:pos="840"/>
        </w:tabs>
        <w:spacing w:after="140"/>
        <w:ind w:left="1293" w:firstLine="0"/>
        <w:rPr>
          <w:rFonts w:eastAsia="SimHei"/>
          <w:bCs/>
          <w:color w:val="FF0000"/>
        </w:rPr>
      </w:pPr>
      <w:r>
        <w:rPr>
          <w:rFonts w:eastAsia="SimHei"/>
          <w:bCs/>
          <w:color w:val="FF0000"/>
        </w:rPr>
        <w:t xml:space="preserve">  </w:t>
      </w:r>
      <w:r>
        <w:rPr>
          <w:rFonts w:eastAsia="SimHei" w:hint="eastAsia"/>
          <w:bCs/>
          <w:color w:val="FF0000"/>
        </w:rPr>
        <w:t>入学和保留</w:t>
      </w:r>
    </w:p>
    <w:p w:rsidR="005052D3" w:rsidRDefault="005052D3">
      <w:pPr>
        <w:pStyle w:val="SingleTxt"/>
      </w:pPr>
      <w:r>
        <w:t xml:space="preserve">10.3.1  </w:t>
      </w:r>
      <w:r>
        <w:rPr>
          <w:rFonts w:hint="eastAsia"/>
        </w:rPr>
        <w:t>1994年前后，马拉维的学前教育并未得到充分重视。1994年，只有1%的的适龄儿童进入幼儿园。到1999年，入学率增加到26.6%。这主要是因为性别和社区服务部下属的社区幼儿园和私人管理的幼儿园数量有所增加。2003年6月，马拉维政府采取了一项幼儿发展政策，覆盖了学前教育领域。</w:t>
      </w:r>
    </w:p>
    <w:p w:rsidR="005052D3" w:rsidRDefault="005052D3">
      <w:pPr>
        <w:pStyle w:val="SingleTxt"/>
      </w:pPr>
      <w:r>
        <w:t xml:space="preserve">10.3.2  </w:t>
      </w:r>
      <w:r>
        <w:rPr>
          <w:rFonts w:hint="eastAsia"/>
        </w:rPr>
        <w:t>马拉维的入学率一直较低，直到1994年，新政府分阶段采取了免费小学教育政策并将统一的政策变得更加灵活。入学人数从1993年的100万猛增到1994年的320万。1993年，政府将其政策变为允许因怀孕而辍学的女孩重返学校。1994年采取免费的小学教育政策之后，政府还取消了学生统一着装的规定。</w:t>
      </w:r>
      <w:r>
        <w:t xml:space="preserve"> </w:t>
      </w:r>
      <w:r>
        <w:rPr>
          <w:rFonts w:hint="eastAsia"/>
        </w:rPr>
        <w:t>这些政策措施在一定程度上减少了入学中的性别差异。</w:t>
      </w:r>
    </w:p>
    <w:p w:rsidR="005052D3" w:rsidRDefault="005052D3">
      <w:pPr>
        <w:tabs>
          <w:tab w:val="left" w:pos="840"/>
        </w:tabs>
        <w:spacing w:after="240" w:line="240" w:lineRule="auto"/>
      </w:pPr>
      <w:r>
        <w:rPr>
          <w:noProof/>
          <w:sz w:val="20"/>
        </w:rPr>
        <w:pict>
          <v:shape id="_x0000_s2057" type="#_x0000_t202" style="position:absolute;margin-left:6pt;margin-top:10.4pt;width:474pt;height:171.6pt;z-index:8" filled="f" stroked="f">
            <v:textbox>
              <w:txbxContent>
                <w:p w:rsidR="005052D3" w:rsidRDefault="005052D3">
                  <w:pPr>
                    <w:spacing w:line="240" w:lineRule="auto"/>
                    <w:jc w:val="center"/>
                  </w:pPr>
                  <w:r>
                    <w:object w:dxaOrig="9088" w:dyaOrig="3176">
                      <v:shape id="_x0000_i1032" type="#_x0000_t75" style="width:454.5pt;height:159pt" o:ole="">
                        <v:imagedata r:id="rId15" o:title=""/>
                      </v:shape>
                      <o:OLEObject Type="Embed" ProgID="MSGraph.Chart.8" ShapeID="_x0000_i1032" DrawAspect="Content" ObjectID="_1395246301" r:id="rId16">
                        <o:FieldCodes>\s</o:FieldCodes>
                      </o:OLEObject>
                    </w:object>
                  </w:r>
                </w:p>
                <w:p w:rsidR="005052D3" w:rsidRDefault="005052D3">
                  <w:pPr>
                    <w:spacing w:line="240" w:lineRule="auto"/>
                    <w:jc w:val="center"/>
                  </w:pPr>
                </w:p>
              </w:txbxContent>
            </v:textbox>
          </v:shape>
        </w:pict>
      </w:r>
    </w:p>
    <w:p w:rsidR="005052D3" w:rsidRDefault="005052D3">
      <w:pPr>
        <w:tabs>
          <w:tab w:val="left" w:pos="840"/>
        </w:tabs>
        <w:spacing w:after="240" w:line="240" w:lineRule="auto"/>
      </w:pPr>
    </w:p>
    <w:p w:rsidR="005052D3" w:rsidRDefault="005052D3">
      <w:pPr>
        <w:tabs>
          <w:tab w:val="left" w:pos="840"/>
        </w:tabs>
        <w:spacing w:after="240" w:line="360" w:lineRule="atLeast"/>
      </w:pPr>
    </w:p>
    <w:p w:rsidR="005052D3" w:rsidRDefault="005052D3">
      <w:pPr>
        <w:tabs>
          <w:tab w:val="left" w:pos="840"/>
        </w:tabs>
        <w:spacing w:after="240" w:line="360" w:lineRule="atLeast"/>
      </w:pPr>
    </w:p>
    <w:p w:rsidR="005052D3" w:rsidRDefault="005052D3">
      <w:pPr>
        <w:tabs>
          <w:tab w:val="left" w:pos="840"/>
        </w:tabs>
        <w:spacing w:after="240" w:line="360" w:lineRule="atLeast"/>
      </w:pPr>
    </w:p>
    <w:p w:rsidR="005052D3" w:rsidRDefault="005052D3">
      <w:pPr>
        <w:tabs>
          <w:tab w:val="left" w:pos="840"/>
        </w:tabs>
        <w:spacing w:after="240" w:line="360" w:lineRule="atLeast"/>
      </w:pPr>
    </w:p>
    <w:p w:rsidR="005052D3" w:rsidRDefault="005052D3">
      <w:pPr>
        <w:tabs>
          <w:tab w:val="left" w:pos="840"/>
        </w:tabs>
        <w:spacing w:before="360" w:after="120" w:line="360" w:lineRule="atLeast"/>
        <w:rPr>
          <w:rFonts w:ascii="KaiTi_GB2312" w:eastAsia="KaiTi_GB2312"/>
          <w:b/>
          <w:bCs/>
          <w:color w:val="0000FF"/>
        </w:rPr>
      </w:pPr>
      <w:r>
        <w:rPr>
          <w:rFonts w:ascii="KaiTi_GB2312" w:eastAsia="KaiTi_GB2312"/>
          <w:b/>
          <w:bCs/>
          <w:color w:val="0000FF"/>
        </w:rPr>
        <w:tab/>
      </w:r>
      <w:r>
        <w:rPr>
          <w:rFonts w:ascii="KaiTi_GB2312" w:eastAsia="KaiTi_GB2312"/>
          <w:b/>
          <w:bCs/>
          <w:color w:val="0000FF"/>
        </w:rPr>
        <w:tab/>
      </w:r>
      <w:r>
        <w:rPr>
          <w:rFonts w:ascii="KaiTi_GB2312" w:eastAsia="KaiTi_GB2312" w:hint="eastAsia"/>
          <w:b/>
          <w:bCs/>
          <w:color w:val="0000FF"/>
        </w:rPr>
        <w:t>根据性别和学年统计的入学率</w:t>
      </w:r>
    </w:p>
    <w:p w:rsidR="005052D3" w:rsidRDefault="005052D3">
      <w:pPr>
        <w:pStyle w:val="SingleTxt"/>
        <w:spacing w:after="160" w:line="340" w:lineRule="exact"/>
      </w:pPr>
      <w:r>
        <w:t xml:space="preserve">10.3.3  </w:t>
      </w:r>
      <w:r>
        <w:rPr>
          <w:rFonts w:hint="eastAsia"/>
        </w:rPr>
        <w:t>入学率似乎变得稳定了，特别是在1999年之后。这主要是因为父母对免费小学教育政策的认可，这种政策虽然已经执行，但仍然是父母付不起的，因为政府没有提供足够的资金，所以学校要父母给予一定的贡献，以管理和发展学校。另外，教育质量已经下降，大多数学校设施还不能满足女生的需要。</w:t>
      </w:r>
      <w:r>
        <w:t xml:space="preserve">  </w:t>
      </w:r>
    </w:p>
    <w:p w:rsidR="005052D3" w:rsidRDefault="005052D3">
      <w:pPr>
        <w:pStyle w:val="SingleTxt"/>
        <w:spacing w:after="160" w:line="340" w:lineRule="exact"/>
      </w:pPr>
      <w:r>
        <w:t xml:space="preserve">10.3.4  </w:t>
      </w:r>
      <w:r>
        <w:rPr>
          <w:rFonts w:hint="eastAsia"/>
        </w:rPr>
        <w:t>尽管男女生的录取差距已经缩小，但从辍学率来看，差别依然存在。从一年级到四年级，男孩的辍学率高于女孩。但从五年级起，由于家里需要女孩的劳动，而且女孩到了青春期，女孩的辍学率便高于男孩，导致了更少的女孩完成小学教育。除家里需要女孩劳动外，青春期的女孩辍学主要还因为父母更愿意让男孩接受教育。还有一些因素就是早婚、青少年怀孕和使女孩成为看护人的艾滋病毒/艾滋病高发率。由于教师对班上的女生与男生给予不同的对待，所以这种情形进一步恶化。</w:t>
      </w:r>
      <w:r>
        <w:t xml:space="preserve">  </w:t>
      </w:r>
    </w:p>
    <w:p w:rsidR="005052D3" w:rsidRDefault="005052D3">
      <w:pPr>
        <w:tabs>
          <w:tab w:val="left" w:pos="840"/>
        </w:tabs>
        <w:spacing w:after="160" w:line="340" w:lineRule="exact"/>
        <w:rPr>
          <w:rFonts w:ascii="KaiTi_GB2312" w:eastAsia="KaiTi_GB2312"/>
          <w:b/>
          <w:bCs/>
          <w:color w:val="0000FF"/>
        </w:rPr>
      </w:pPr>
      <w:r>
        <w:rPr>
          <w:rFonts w:ascii="KaiTi_GB2312" w:eastAsia="KaiTi_GB2312"/>
          <w:b/>
          <w:bCs/>
          <w:color w:val="0000FF"/>
        </w:rPr>
        <w:tab/>
      </w:r>
      <w:r>
        <w:rPr>
          <w:rFonts w:ascii="KaiTi_GB2312" w:eastAsia="KaiTi_GB2312"/>
          <w:b/>
          <w:bCs/>
          <w:color w:val="0000FF"/>
        </w:rPr>
        <w:tab/>
      </w:r>
      <w:r>
        <w:rPr>
          <w:rFonts w:ascii="KaiTi_GB2312" w:eastAsia="KaiTi_GB2312"/>
          <w:b/>
          <w:bCs/>
          <w:color w:val="0000FF"/>
        </w:rPr>
        <w:tab/>
      </w:r>
      <w:r>
        <w:rPr>
          <w:rFonts w:ascii="KaiTi_GB2312" w:eastAsia="KaiTi_GB2312" w:hint="eastAsia"/>
          <w:b/>
          <w:bCs/>
          <w:color w:val="0000FF"/>
        </w:rPr>
        <w:t>按班级和性别统计的小学辍学人数</w:t>
      </w:r>
    </w:p>
    <w:p w:rsidR="005052D3" w:rsidRDefault="005052D3">
      <w:pPr>
        <w:tabs>
          <w:tab w:val="left" w:pos="840"/>
        </w:tabs>
        <w:spacing w:after="240" w:line="360" w:lineRule="atLeast"/>
        <w:jc w:val="center"/>
      </w:pPr>
      <w:r>
        <w:object w:dxaOrig="8656" w:dyaOrig="3960">
          <v:shape id="_x0000_i1025" type="#_x0000_t75" style="width:432.75pt;height:198pt" o:ole="" fillcolor="window">
            <v:imagedata r:id="rId17" o:title=""/>
          </v:shape>
          <o:OLEObject Type="Embed" ProgID="MSGraph.Chart.8" ShapeID="_x0000_i1025" DrawAspect="Content" ObjectID="_1395246296" r:id="rId18">
            <o:FieldCodes>\s</o:FieldCodes>
          </o:OLEObject>
        </w:object>
      </w:r>
    </w:p>
    <w:p w:rsidR="005052D3" w:rsidRDefault="005052D3">
      <w:pPr>
        <w:pStyle w:val="SingleTxt"/>
      </w:pPr>
      <w:r>
        <w:t xml:space="preserve">10.3.5  </w:t>
      </w:r>
      <w:r>
        <w:rPr>
          <w:rFonts w:hint="eastAsia"/>
        </w:rPr>
        <w:t>政府及其发展伙伴已经采取措施以改善女孩接受中等教育和职业教育的情况。最重要的计划是1994年女孩获得基础识字和教育计划——社会动员运动（GABLE）I和II，和由美国国际开发署（美援署）资助的教育质量社会动员运动。女孩获得基础识字和教育计划项目的目标是改变社会对女孩教育的态度从而支持她们的教育。</w:t>
      </w:r>
    </w:p>
    <w:p w:rsidR="005052D3" w:rsidRDefault="005052D3">
      <w:pPr>
        <w:pStyle w:val="SingleTxt"/>
      </w:pPr>
      <w:r>
        <w:t xml:space="preserve">10.3.6  </w:t>
      </w:r>
      <w:r>
        <w:rPr>
          <w:rFonts w:hint="eastAsia"/>
        </w:rPr>
        <w:t>第二项措施是将偏远的教育中心（DECs）转变为社区走读中学。这增加了那些未能进入传统中学的女孩的入学机会。但是</w:t>
      </w:r>
      <w:r>
        <w:rPr>
          <w:rFonts w:hint="eastAsia"/>
          <w:lang w:val="en-GB"/>
        </w:rPr>
        <w:t>，</w:t>
      </w:r>
      <w:r>
        <w:rPr>
          <w:rFonts w:hint="eastAsia"/>
        </w:rPr>
        <w:t>学习材料和合格教师的缺乏以及拙劣的管理导致更多的女孩因为学校离家太远而没有住处、不安全以及怀孕等原因而辍学。</w:t>
      </w:r>
      <w:r>
        <w:t xml:space="preserve"> </w:t>
      </w:r>
      <w:r>
        <w:rPr>
          <w:rFonts w:hint="eastAsia"/>
        </w:rPr>
        <w:t>例如，在3 380例与怀孕有关的辍学中，有2 704例或80%来自社区走读中学。</w:t>
      </w:r>
      <w:r>
        <w:rPr>
          <w:rStyle w:val="FootnoteReference"/>
        </w:rPr>
        <w:footnoteReference w:id="90"/>
      </w:r>
    </w:p>
    <w:p w:rsidR="005052D3" w:rsidRDefault="005052D3">
      <w:pPr>
        <w:pStyle w:val="SingleTxt"/>
      </w:pPr>
      <w:r>
        <w:t xml:space="preserve">10.3.7  </w:t>
      </w:r>
      <w:r>
        <w:rPr>
          <w:rFonts w:hint="eastAsia"/>
        </w:rPr>
        <w:t>第三项措施是于1997年确立的技术企业家和职业教育培训（TEVET）项目。该计划提供技术、企业家和职业的教育和培训技能以及劳动力市场所需的能力。为鼓励女孩参加，技术企业家和职业教育培训项目已经制定了一个奖学金方案。</w:t>
      </w:r>
    </w:p>
    <w:p w:rsidR="005052D3" w:rsidRDefault="005052D3">
      <w:pPr>
        <w:pStyle w:val="SingleTxt"/>
      </w:pPr>
      <w:r>
        <w:t xml:space="preserve">10.3.8  </w:t>
      </w:r>
      <w:r>
        <w:rPr>
          <w:rFonts w:hint="eastAsia"/>
        </w:rPr>
        <w:t>在中学，由于择取比例变为男女各占50%的政策，女孩的入学率</w:t>
      </w:r>
      <w:r>
        <w:rPr>
          <w:rStyle w:val="FootnoteReference"/>
        </w:rPr>
        <w:footnoteReference w:id="91"/>
      </w:r>
      <w:r>
        <w:rPr>
          <w:rFonts w:hint="eastAsia"/>
        </w:rPr>
        <w:t>已经上升。1997年，有68 689名女孩入学，106 798名男孩入学。1998年，进入中学的男孩人数为120 446，女孩为71 826。1999年，女孩的入学总人数继续增长，为91 524人，男孩为151 216人。2000年，美国国际开发署对女孩获得基础识字和教育计划积极行动中女孩中学学费的资助逐渐停止，女孩的入学人数大幅度降至66 205，低于1997年。</w:t>
      </w:r>
    </w:p>
    <w:p w:rsidR="005052D3" w:rsidRDefault="005052D3">
      <w:pPr>
        <w:tabs>
          <w:tab w:val="left" w:pos="840"/>
        </w:tabs>
        <w:spacing w:after="240" w:line="360" w:lineRule="atLeast"/>
        <w:jc w:val="center"/>
        <w:rPr>
          <w:rFonts w:hint="eastAsia"/>
        </w:rPr>
      </w:pPr>
      <w:r>
        <w:object w:dxaOrig="7816" w:dyaOrig="3376">
          <v:shape id="_x0000_i1026" type="#_x0000_t75" style="width:390.75pt;height:168.75pt" o:ole="" fillcolor="window">
            <v:imagedata r:id="rId19" o:title=""/>
          </v:shape>
          <o:OLEObject Type="Embed" ProgID="MSGraph.Chart.8" ShapeID="_x0000_i1026" DrawAspect="Content" ObjectID="_1395246297" r:id="rId20">
            <o:FieldCodes>\s</o:FieldCodes>
          </o:OLEObject>
        </w:object>
      </w:r>
    </w:p>
    <w:p w:rsidR="005052D3" w:rsidRDefault="005052D3">
      <w:pPr>
        <w:pStyle w:val="SingleTxt"/>
        <w:rPr>
          <w:rFonts w:hint="eastAsia"/>
        </w:rPr>
      </w:pPr>
      <w:r>
        <w:t xml:space="preserve">10.3.9  </w:t>
      </w:r>
      <w:r>
        <w:rPr>
          <w:rFonts w:hint="eastAsia"/>
        </w:rPr>
        <w:t>在中学，男孩的辍学总人数高于女孩，因为更多的男孩因不守纪律而被开除。怀孕则是女孩在中学辍学的主要原因。</w:t>
      </w:r>
    </w:p>
    <w:p w:rsidR="005052D3" w:rsidRDefault="005052D3">
      <w:pPr>
        <w:tabs>
          <w:tab w:val="left" w:pos="840"/>
        </w:tabs>
        <w:spacing w:after="240" w:line="360" w:lineRule="atLeast"/>
        <w:jc w:val="center"/>
      </w:pPr>
      <w:r>
        <w:object w:dxaOrig="8280" w:dyaOrig="3888">
          <v:shape id="_x0000_i1027" type="#_x0000_t75" style="width:414pt;height:194.25pt" o:ole="" fillcolor="window">
            <v:imagedata r:id="rId21" o:title=""/>
          </v:shape>
          <o:OLEObject Type="Embed" ProgID="MSGraph.Chart.8" ShapeID="_x0000_i1027" DrawAspect="Content" ObjectID="_1395246298" r:id="rId22">
            <o:FieldCodes>\s</o:FieldCodes>
          </o:OLEObject>
        </w:object>
      </w:r>
    </w:p>
    <w:p w:rsidR="005052D3" w:rsidRDefault="005052D3">
      <w:pPr>
        <w:pStyle w:val="SingleTxt"/>
      </w:pPr>
      <w:r>
        <w:t xml:space="preserve">10.3.10  </w:t>
      </w:r>
      <w:r>
        <w:rPr>
          <w:rFonts w:hint="eastAsia"/>
        </w:rPr>
        <w:t>在高等教育阶段，马拉维的六个教师培训学院的女子总入学率低于男子。最新的入学统计表明，在全部12 129名被录取的受培训者中，女子占35%，为4 248人。技术和职业学院的男女入学人数都很低。例如，1997年，女子的入学人数为1 290人；1998年略有增加，为1 308人，1999年又降至1 305人，2000年增至1 504人。</w:t>
      </w:r>
      <w:r>
        <w:t xml:space="preserve"> </w:t>
      </w:r>
    </w:p>
    <w:p w:rsidR="005052D3" w:rsidRDefault="005052D3">
      <w:pPr>
        <w:pStyle w:val="SingleTxt"/>
      </w:pPr>
      <w:r>
        <w:t xml:space="preserve">10.3.11 </w:t>
      </w:r>
      <w:r>
        <w:rPr>
          <w:rFonts w:hint="eastAsia"/>
        </w:rPr>
        <w:t xml:space="preserve"> 在马拉维，识字率有很大的差别。1998年，农村女子和男子的识字率分别为47%和61%，而在城市地区，女子的识字率为75%，男子为83%。</w:t>
      </w:r>
    </w:p>
    <w:p w:rsidR="005052D3" w:rsidRDefault="005052D3">
      <w:pPr>
        <w:pStyle w:val="SingleTxt"/>
      </w:pPr>
      <w:r>
        <w:t xml:space="preserve">10.3.12 </w:t>
      </w:r>
      <w:r>
        <w:rPr>
          <w:rFonts w:hint="eastAsia"/>
        </w:rPr>
        <w:t xml:space="preserve"> 1994年之前，马拉维政府实行了一项广泛的成人识字计划，女子的参加人数超过了男子。但是，这项计划的缺陷是，课程中存在着有关性别的定型观念以及政府的政治意识形态和宣传。此外，成人教育预算分配不足导致许多班级不开课。</w:t>
      </w:r>
    </w:p>
    <w:p w:rsidR="005052D3" w:rsidRDefault="005052D3">
      <w:pPr>
        <w:pStyle w:val="SingleTxt"/>
      </w:pPr>
      <w:r>
        <w:t xml:space="preserve">10.3.13 </w:t>
      </w:r>
      <w:r>
        <w:rPr>
          <w:rFonts w:hint="eastAsia"/>
        </w:rPr>
        <w:t xml:space="preserve"> 在报告的编写过程中，注意到社区非常需要成人教育。政府（性别和社区服务部）及其重大利益相关者已经于1999年/2000年前后将基层的成人识字计划作为减少马拉维贫困的一种方法予以加强。与此相适应，编写并分发了新材料；教师人数从1 500人增加到4 500人以满足需求；教师的工资也从每月200克瓦查增加到每月500克瓦查；还开设了新的班级。此外，一项成人识字计划正在起草中。</w:t>
      </w:r>
    </w:p>
    <w:p w:rsidR="005052D3" w:rsidRDefault="005052D3">
      <w:pPr>
        <w:pStyle w:val="SingleTxt"/>
      </w:pPr>
      <w:r>
        <w:t xml:space="preserve">10.3.14 </w:t>
      </w:r>
      <w:r>
        <w:rPr>
          <w:rFonts w:hint="eastAsia"/>
        </w:rPr>
        <w:t xml:space="preserve"> 在马拉维，进入识字班的妇女人数超过男子。这是因为男子不愿在女子面前暴露自己的无知。男子羞于和女子在同一班级学习。政府目前正在探索可能的战略以解决这一问题。</w:t>
      </w:r>
    </w:p>
    <w:p w:rsidR="005052D3" w:rsidRDefault="005052D3">
      <w:pPr>
        <w:pStyle w:val="SingleTxt"/>
      </w:pPr>
      <w:r>
        <w:t xml:space="preserve">10.3.15 </w:t>
      </w:r>
      <w:r>
        <w:rPr>
          <w:rFonts w:hint="eastAsia"/>
        </w:rPr>
        <w:t xml:space="preserve"> 在大学一级，马拉维大学已经在实施一项优先录取女孩和妇女的政策。在政府的支持下，大学允许女孩和妇女以低于男童和男子的分数线进入大学，并至少为女童和妇女保留30%的床位。尽管为女子保留的30%的床位已经有所增加，但是Kamuzu护理学院录取的学生中75%为女生。</w:t>
      </w:r>
    </w:p>
    <w:p w:rsidR="005052D3" w:rsidRDefault="005052D3">
      <w:pPr>
        <w:pStyle w:val="SingleTxt"/>
      </w:pPr>
      <w:r>
        <w:t xml:space="preserve">10.3.16 </w:t>
      </w:r>
      <w:r>
        <w:rPr>
          <w:rFonts w:hint="eastAsia"/>
        </w:rPr>
        <w:t xml:space="preserve"> 国内有两所大学。马拉维大学有五个学院，分别是：Bunda农学院、大臣学院、Kamuzu护理学院、马拉维医学院和理工学院。还有一个由理事会提供的由大学支助的技术教育服务，设在马拉维大学理工学院内。该学院开设工程、会计学、商业研究、管理和技术教育等课程。医学院专门研究培训医生，是马拉维大学众多学院中最新的学院。Kamuzu护理学院在两个校区内培训护士，Bunda学院专门培养农业人才，而大臣学院开设教育、人文、科学、社会科学和法律课程。第二所大学在Mzuzu，于2001年开办，开设教育方面的课程。目前有制定高等教育法的动向，这部法律将为更多大学的成立开辟道路。</w:t>
      </w:r>
    </w:p>
    <w:p w:rsidR="005052D3" w:rsidRDefault="005052D3">
      <w:pPr>
        <w:pStyle w:val="SingleTxt"/>
        <w:rPr>
          <w:rFonts w:ascii="SimHei" w:eastAsia="SimHei"/>
          <w:color w:val="FF0000"/>
        </w:rPr>
      </w:pPr>
      <w:r>
        <w:rPr>
          <w:rFonts w:ascii="SimHei" w:eastAsia="SimHei" w:hint="eastAsia"/>
          <w:color w:val="FF0000"/>
        </w:rPr>
        <w:t>1997年到1999年间大学各学院的男女注册人数（来源：马拉维政府，“2000年马拉维教育基础统计”（利隆圭；教育部，2000年）</w:t>
      </w:r>
      <w:r>
        <w:rPr>
          <w:rFonts w:ascii="SimHei" w:eastAsia="SimHei"/>
          <w:color w:val="FF0000"/>
        </w:rPr>
        <w:t xml:space="preserve"> </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8"/>
        <w:gridCol w:w="719"/>
        <w:gridCol w:w="696"/>
        <w:gridCol w:w="506"/>
        <w:gridCol w:w="716"/>
        <w:gridCol w:w="400"/>
        <w:gridCol w:w="689"/>
        <w:gridCol w:w="718"/>
        <w:gridCol w:w="421"/>
        <w:gridCol w:w="778"/>
        <w:gridCol w:w="445"/>
        <w:gridCol w:w="734"/>
        <w:gridCol w:w="624"/>
        <w:gridCol w:w="470"/>
        <w:gridCol w:w="608"/>
        <w:gridCol w:w="480"/>
      </w:tblGrid>
      <w:tr w:rsidR="005052D3">
        <w:tblPrEx>
          <w:tblCellMar>
            <w:top w:w="0" w:type="dxa"/>
            <w:bottom w:w="0" w:type="dxa"/>
          </w:tblCellMar>
        </w:tblPrEx>
        <w:trPr>
          <w:cantSplit/>
          <w:tblHeader/>
        </w:trPr>
        <w:tc>
          <w:tcPr>
            <w:tcW w:w="425" w:type="pct"/>
            <w:tcBorders>
              <w:bottom w:val="nil"/>
            </w:tcBorders>
          </w:tcPr>
          <w:p w:rsidR="005052D3" w:rsidRDefault="005052D3">
            <w:pPr>
              <w:tabs>
                <w:tab w:val="left" w:pos="840"/>
              </w:tabs>
              <w:spacing w:after="120" w:line="320" w:lineRule="atLeast"/>
              <w:rPr>
                <w:rFonts w:ascii="KaiTi_GB2312" w:eastAsia="KaiTi_GB2312"/>
                <w:color w:val="0000FF"/>
                <w:sz w:val="14"/>
              </w:rPr>
            </w:pPr>
            <w:r>
              <w:rPr>
                <w:rFonts w:ascii="KaiTi_GB2312" w:eastAsia="KaiTi_GB2312" w:hint="eastAsia"/>
                <w:bCs/>
                <w:color w:val="0000FF"/>
                <w:sz w:val="14"/>
              </w:rPr>
              <w:t>学院</w:t>
            </w:r>
          </w:p>
        </w:tc>
        <w:tc>
          <w:tcPr>
            <w:tcW w:w="1542" w:type="pct"/>
            <w:gridSpan w:val="5"/>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bCs/>
                <w:color w:val="0000FF"/>
                <w:sz w:val="14"/>
              </w:rPr>
              <w:t>1997</w:t>
            </w:r>
          </w:p>
        </w:tc>
        <w:tc>
          <w:tcPr>
            <w:tcW w:w="1550" w:type="pct"/>
            <w:gridSpan w:val="5"/>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bCs/>
                <w:color w:val="0000FF"/>
                <w:sz w:val="14"/>
              </w:rPr>
              <w:t>1998</w:t>
            </w:r>
          </w:p>
        </w:tc>
        <w:tc>
          <w:tcPr>
            <w:tcW w:w="1482" w:type="pct"/>
            <w:gridSpan w:val="5"/>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bCs/>
                <w:color w:val="0000FF"/>
                <w:sz w:val="14"/>
              </w:rPr>
              <w:t>1999</w:t>
            </w:r>
          </w:p>
        </w:tc>
      </w:tr>
      <w:tr w:rsidR="005052D3">
        <w:tblPrEx>
          <w:tblCellMar>
            <w:top w:w="0" w:type="dxa"/>
            <w:bottom w:w="0" w:type="dxa"/>
          </w:tblCellMar>
        </w:tblPrEx>
        <w:trPr>
          <w:cantSplit/>
          <w:tblHeader/>
        </w:trPr>
        <w:tc>
          <w:tcPr>
            <w:tcW w:w="425" w:type="pct"/>
            <w:tcBorders>
              <w:top w:val="nil"/>
            </w:tcBorders>
          </w:tcPr>
          <w:p w:rsidR="005052D3" w:rsidRDefault="005052D3">
            <w:pPr>
              <w:tabs>
                <w:tab w:val="left" w:pos="840"/>
              </w:tabs>
              <w:spacing w:after="120" w:line="320" w:lineRule="atLeast"/>
              <w:rPr>
                <w:rFonts w:ascii="KaiTi_GB2312" w:eastAsia="KaiTi_GB2312"/>
                <w:color w:val="0000FF"/>
                <w:sz w:val="14"/>
              </w:rPr>
            </w:pPr>
          </w:p>
        </w:tc>
        <w:tc>
          <w:tcPr>
            <w:tcW w:w="365" w:type="pct"/>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hint="eastAsia"/>
                <w:color w:val="0000FF"/>
                <w:sz w:val="14"/>
              </w:rPr>
              <w:t>男女</w:t>
            </w:r>
          </w:p>
        </w:tc>
        <w:tc>
          <w:tcPr>
            <w:tcW w:w="353" w:type="pct"/>
            <w:tcBorders>
              <w:right w:val="nil"/>
            </w:tcBorders>
          </w:tcPr>
          <w:p w:rsidR="005052D3" w:rsidRDefault="005052D3">
            <w:pPr>
              <w:pStyle w:val="Header"/>
              <w:tabs>
                <w:tab w:val="clear" w:pos="4320"/>
                <w:tab w:val="clear" w:pos="8640"/>
                <w:tab w:val="left" w:pos="840"/>
              </w:tabs>
              <w:spacing w:after="120" w:line="320" w:lineRule="atLeast"/>
              <w:rPr>
                <w:rFonts w:ascii="KaiTi_GB2312" w:eastAsia="KaiTi_GB2312"/>
                <w:color w:val="0000FF"/>
                <w:sz w:val="14"/>
              </w:rPr>
            </w:pPr>
            <w:r>
              <w:rPr>
                <w:rFonts w:ascii="KaiTi_GB2312" w:eastAsia="KaiTi_GB2312" w:hint="eastAsia"/>
                <w:color w:val="0000FF"/>
                <w:sz w:val="14"/>
              </w:rPr>
              <w:t>男</w:t>
            </w:r>
          </w:p>
        </w:tc>
        <w:tc>
          <w:tcPr>
            <w:tcW w:w="257" w:type="pct"/>
            <w:tcBorders>
              <w:left w:val="nil"/>
            </w:tcBorders>
          </w:tcPr>
          <w:p w:rsidR="005052D3" w:rsidRDefault="005052D3">
            <w:pPr>
              <w:pStyle w:val="Header"/>
              <w:tabs>
                <w:tab w:val="clear" w:pos="4320"/>
                <w:tab w:val="clear" w:pos="8640"/>
                <w:tab w:val="left" w:pos="840"/>
              </w:tabs>
              <w:spacing w:after="120" w:line="320" w:lineRule="atLeast"/>
              <w:rPr>
                <w:rFonts w:ascii="KaiTi_GB2312" w:eastAsia="KaiTi_GB2312"/>
                <w:color w:val="0000FF"/>
                <w:sz w:val="14"/>
              </w:rPr>
            </w:pPr>
            <w:r>
              <w:rPr>
                <w:rFonts w:ascii="KaiTi_GB2312" w:eastAsia="KaiTi_GB2312"/>
                <w:color w:val="0000FF"/>
                <w:sz w:val="14"/>
              </w:rPr>
              <w:t>%</w:t>
            </w:r>
          </w:p>
        </w:tc>
        <w:tc>
          <w:tcPr>
            <w:tcW w:w="364" w:type="pct"/>
            <w:tcBorders>
              <w:right w:val="nil"/>
            </w:tcBorders>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hint="eastAsia"/>
                <w:color w:val="0000FF"/>
                <w:sz w:val="14"/>
              </w:rPr>
              <w:t>女</w:t>
            </w:r>
          </w:p>
        </w:tc>
        <w:tc>
          <w:tcPr>
            <w:tcW w:w="202" w:type="pct"/>
            <w:tcBorders>
              <w:left w:val="nil"/>
            </w:tcBorders>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color w:val="0000FF"/>
                <w:sz w:val="14"/>
              </w:rPr>
              <w:t>%</w:t>
            </w:r>
          </w:p>
        </w:tc>
        <w:tc>
          <w:tcPr>
            <w:tcW w:w="350" w:type="pct"/>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hint="eastAsia"/>
                <w:color w:val="0000FF"/>
                <w:sz w:val="14"/>
              </w:rPr>
              <w:t>男女</w:t>
            </w:r>
          </w:p>
        </w:tc>
        <w:tc>
          <w:tcPr>
            <w:tcW w:w="365" w:type="pct"/>
            <w:tcBorders>
              <w:right w:val="nil"/>
            </w:tcBorders>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hint="eastAsia"/>
                <w:color w:val="0000FF"/>
                <w:sz w:val="14"/>
              </w:rPr>
              <w:t>男</w:t>
            </w:r>
          </w:p>
        </w:tc>
        <w:tc>
          <w:tcPr>
            <w:tcW w:w="214" w:type="pct"/>
            <w:tcBorders>
              <w:left w:val="nil"/>
            </w:tcBorders>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color w:val="0000FF"/>
                <w:sz w:val="14"/>
              </w:rPr>
              <w:t>%</w:t>
            </w:r>
          </w:p>
        </w:tc>
        <w:tc>
          <w:tcPr>
            <w:tcW w:w="395" w:type="pct"/>
            <w:tcBorders>
              <w:right w:val="nil"/>
            </w:tcBorders>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hint="eastAsia"/>
                <w:color w:val="0000FF"/>
                <w:sz w:val="14"/>
              </w:rPr>
              <w:t>女</w:t>
            </w:r>
          </w:p>
        </w:tc>
        <w:tc>
          <w:tcPr>
            <w:tcW w:w="226" w:type="pct"/>
            <w:tcBorders>
              <w:left w:val="nil"/>
            </w:tcBorders>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color w:val="0000FF"/>
                <w:sz w:val="14"/>
              </w:rPr>
              <w:t>%</w:t>
            </w:r>
          </w:p>
        </w:tc>
        <w:tc>
          <w:tcPr>
            <w:tcW w:w="373" w:type="pct"/>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hint="eastAsia"/>
                <w:color w:val="0000FF"/>
                <w:sz w:val="14"/>
              </w:rPr>
              <w:t>男女</w:t>
            </w:r>
          </w:p>
        </w:tc>
        <w:tc>
          <w:tcPr>
            <w:tcW w:w="317" w:type="pct"/>
            <w:tcBorders>
              <w:right w:val="nil"/>
            </w:tcBorders>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hint="eastAsia"/>
                <w:color w:val="0000FF"/>
                <w:sz w:val="14"/>
              </w:rPr>
              <w:t>男</w:t>
            </w:r>
          </w:p>
        </w:tc>
        <w:tc>
          <w:tcPr>
            <w:tcW w:w="239" w:type="pct"/>
            <w:tcBorders>
              <w:left w:val="nil"/>
            </w:tcBorders>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color w:val="0000FF"/>
                <w:sz w:val="14"/>
              </w:rPr>
              <w:t>%</w:t>
            </w:r>
          </w:p>
        </w:tc>
        <w:tc>
          <w:tcPr>
            <w:tcW w:w="309" w:type="pct"/>
            <w:tcBorders>
              <w:right w:val="nil"/>
            </w:tcBorders>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hint="eastAsia"/>
                <w:color w:val="0000FF"/>
                <w:sz w:val="14"/>
              </w:rPr>
              <w:t>女</w:t>
            </w:r>
          </w:p>
        </w:tc>
        <w:tc>
          <w:tcPr>
            <w:tcW w:w="244" w:type="pct"/>
            <w:tcBorders>
              <w:left w:val="nil"/>
            </w:tcBorders>
          </w:tcPr>
          <w:p w:rsidR="005052D3" w:rsidRDefault="005052D3">
            <w:pPr>
              <w:tabs>
                <w:tab w:val="left" w:pos="840"/>
              </w:tabs>
              <w:spacing w:after="120" w:line="320" w:lineRule="atLeast"/>
              <w:jc w:val="center"/>
              <w:rPr>
                <w:rFonts w:ascii="KaiTi_GB2312" w:eastAsia="KaiTi_GB2312"/>
                <w:color w:val="0000FF"/>
                <w:sz w:val="14"/>
              </w:rPr>
            </w:pPr>
            <w:r>
              <w:rPr>
                <w:rFonts w:ascii="KaiTi_GB2312" w:eastAsia="KaiTi_GB2312"/>
                <w:color w:val="0000FF"/>
                <w:sz w:val="14"/>
              </w:rPr>
              <w:t>%</w:t>
            </w:r>
          </w:p>
        </w:tc>
      </w:tr>
      <w:tr w:rsidR="005052D3">
        <w:tblPrEx>
          <w:tblCellMar>
            <w:top w:w="0" w:type="dxa"/>
            <w:bottom w:w="0" w:type="dxa"/>
          </w:tblCellMar>
        </w:tblPrEx>
        <w:trPr>
          <w:cantSplit/>
        </w:trPr>
        <w:tc>
          <w:tcPr>
            <w:tcW w:w="425" w:type="pct"/>
          </w:tcPr>
          <w:p w:rsidR="005052D3" w:rsidRDefault="005052D3">
            <w:pPr>
              <w:tabs>
                <w:tab w:val="left" w:pos="840"/>
              </w:tabs>
              <w:spacing w:after="120" w:line="320" w:lineRule="atLeast"/>
              <w:rPr>
                <w:sz w:val="18"/>
              </w:rPr>
            </w:pPr>
            <w:r>
              <w:rPr>
                <w:sz w:val="18"/>
              </w:rPr>
              <w:t>Bunda</w:t>
            </w:r>
          </w:p>
        </w:tc>
        <w:tc>
          <w:tcPr>
            <w:tcW w:w="365" w:type="pct"/>
          </w:tcPr>
          <w:p w:rsidR="005052D3" w:rsidRDefault="005052D3">
            <w:pPr>
              <w:tabs>
                <w:tab w:val="left" w:pos="840"/>
              </w:tabs>
              <w:spacing w:after="120" w:line="320" w:lineRule="atLeast"/>
              <w:jc w:val="right"/>
              <w:rPr>
                <w:sz w:val="18"/>
              </w:rPr>
            </w:pPr>
            <w:r>
              <w:rPr>
                <w:sz w:val="18"/>
              </w:rPr>
              <w:t>616</w:t>
            </w:r>
          </w:p>
        </w:tc>
        <w:tc>
          <w:tcPr>
            <w:tcW w:w="353" w:type="pct"/>
          </w:tcPr>
          <w:p w:rsidR="005052D3" w:rsidRDefault="005052D3">
            <w:pPr>
              <w:tabs>
                <w:tab w:val="left" w:pos="840"/>
              </w:tabs>
              <w:spacing w:after="120" w:line="320" w:lineRule="atLeast"/>
              <w:jc w:val="right"/>
              <w:rPr>
                <w:sz w:val="18"/>
              </w:rPr>
            </w:pPr>
            <w:r>
              <w:rPr>
                <w:sz w:val="18"/>
              </w:rPr>
              <w:t>423</w:t>
            </w:r>
          </w:p>
        </w:tc>
        <w:tc>
          <w:tcPr>
            <w:tcW w:w="257" w:type="pct"/>
          </w:tcPr>
          <w:p w:rsidR="005052D3" w:rsidRDefault="005052D3">
            <w:pPr>
              <w:tabs>
                <w:tab w:val="left" w:pos="840"/>
              </w:tabs>
              <w:spacing w:after="120" w:line="320" w:lineRule="atLeast"/>
              <w:jc w:val="right"/>
              <w:rPr>
                <w:sz w:val="18"/>
              </w:rPr>
            </w:pPr>
            <w:r>
              <w:rPr>
                <w:sz w:val="18"/>
              </w:rPr>
              <w:t>69</w:t>
            </w:r>
          </w:p>
        </w:tc>
        <w:tc>
          <w:tcPr>
            <w:tcW w:w="364" w:type="pct"/>
          </w:tcPr>
          <w:p w:rsidR="005052D3" w:rsidRDefault="005052D3">
            <w:pPr>
              <w:tabs>
                <w:tab w:val="left" w:pos="840"/>
              </w:tabs>
              <w:spacing w:after="120" w:line="320" w:lineRule="atLeast"/>
              <w:jc w:val="right"/>
              <w:rPr>
                <w:sz w:val="18"/>
              </w:rPr>
            </w:pPr>
            <w:r>
              <w:rPr>
                <w:sz w:val="18"/>
              </w:rPr>
              <w:t>193</w:t>
            </w:r>
          </w:p>
        </w:tc>
        <w:tc>
          <w:tcPr>
            <w:tcW w:w="202" w:type="pct"/>
          </w:tcPr>
          <w:p w:rsidR="005052D3" w:rsidRDefault="005052D3">
            <w:pPr>
              <w:tabs>
                <w:tab w:val="left" w:pos="840"/>
              </w:tabs>
              <w:spacing w:after="120" w:line="320" w:lineRule="atLeast"/>
              <w:jc w:val="right"/>
              <w:rPr>
                <w:sz w:val="18"/>
              </w:rPr>
            </w:pPr>
            <w:r>
              <w:rPr>
                <w:sz w:val="18"/>
              </w:rPr>
              <w:t>31</w:t>
            </w:r>
          </w:p>
        </w:tc>
        <w:tc>
          <w:tcPr>
            <w:tcW w:w="350" w:type="pct"/>
          </w:tcPr>
          <w:p w:rsidR="005052D3" w:rsidRDefault="005052D3">
            <w:pPr>
              <w:tabs>
                <w:tab w:val="left" w:pos="840"/>
              </w:tabs>
              <w:spacing w:after="120" w:line="320" w:lineRule="atLeast"/>
              <w:jc w:val="right"/>
              <w:rPr>
                <w:sz w:val="18"/>
              </w:rPr>
            </w:pPr>
            <w:r>
              <w:rPr>
                <w:sz w:val="18"/>
              </w:rPr>
              <w:t>490</w:t>
            </w:r>
          </w:p>
        </w:tc>
        <w:tc>
          <w:tcPr>
            <w:tcW w:w="365" w:type="pct"/>
          </w:tcPr>
          <w:p w:rsidR="005052D3" w:rsidRDefault="005052D3">
            <w:pPr>
              <w:tabs>
                <w:tab w:val="left" w:pos="840"/>
              </w:tabs>
              <w:spacing w:after="120" w:line="320" w:lineRule="atLeast"/>
              <w:jc w:val="right"/>
              <w:rPr>
                <w:sz w:val="18"/>
              </w:rPr>
            </w:pPr>
            <w:r>
              <w:rPr>
                <w:sz w:val="18"/>
              </w:rPr>
              <w:t>370</w:t>
            </w:r>
          </w:p>
        </w:tc>
        <w:tc>
          <w:tcPr>
            <w:tcW w:w="214" w:type="pct"/>
          </w:tcPr>
          <w:p w:rsidR="005052D3" w:rsidRDefault="005052D3">
            <w:pPr>
              <w:tabs>
                <w:tab w:val="left" w:pos="840"/>
              </w:tabs>
              <w:spacing w:after="120" w:line="320" w:lineRule="atLeast"/>
              <w:jc w:val="right"/>
              <w:rPr>
                <w:sz w:val="18"/>
              </w:rPr>
            </w:pPr>
            <w:r>
              <w:rPr>
                <w:sz w:val="18"/>
              </w:rPr>
              <w:t>76</w:t>
            </w:r>
          </w:p>
        </w:tc>
        <w:tc>
          <w:tcPr>
            <w:tcW w:w="395" w:type="pct"/>
          </w:tcPr>
          <w:p w:rsidR="005052D3" w:rsidRDefault="005052D3">
            <w:pPr>
              <w:tabs>
                <w:tab w:val="left" w:pos="840"/>
              </w:tabs>
              <w:spacing w:after="120" w:line="320" w:lineRule="atLeast"/>
              <w:jc w:val="right"/>
              <w:rPr>
                <w:sz w:val="18"/>
              </w:rPr>
            </w:pPr>
            <w:r>
              <w:rPr>
                <w:sz w:val="18"/>
              </w:rPr>
              <w:t>120</w:t>
            </w:r>
          </w:p>
        </w:tc>
        <w:tc>
          <w:tcPr>
            <w:tcW w:w="226" w:type="pct"/>
          </w:tcPr>
          <w:p w:rsidR="005052D3" w:rsidRDefault="005052D3">
            <w:pPr>
              <w:tabs>
                <w:tab w:val="left" w:pos="840"/>
              </w:tabs>
              <w:spacing w:after="120" w:line="320" w:lineRule="atLeast"/>
              <w:jc w:val="right"/>
              <w:rPr>
                <w:sz w:val="18"/>
              </w:rPr>
            </w:pPr>
            <w:r>
              <w:rPr>
                <w:sz w:val="18"/>
              </w:rPr>
              <w:t>24</w:t>
            </w:r>
          </w:p>
        </w:tc>
        <w:tc>
          <w:tcPr>
            <w:tcW w:w="373" w:type="pct"/>
          </w:tcPr>
          <w:p w:rsidR="005052D3" w:rsidRDefault="005052D3">
            <w:pPr>
              <w:tabs>
                <w:tab w:val="left" w:pos="840"/>
              </w:tabs>
              <w:spacing w:after="120" w:line="320" w:lineRule="atLeast"/>
              <w:jc w:val="right"/>
              <w:rPr>
                <w:sz w:val="18"/>
              </w:rPr>
            </w:pPr>
            <w:r>
              <w:rPr>
                <w:sz w:val="18"/>
              </w:rPr>
              <w:t>509</w:t>
            </w:r>
          </w:p>
        </w:tc>
        <w:tc>
          <w:tcPr>
            <w:tcW w:w="317" w:type="pct"/>
          </w:tcPr>
          <w:p w:rsidR="005052D3" w:rsidRDefault="005052D3">
            <w:pPr>
              <w:tabs>
                <w:tab w:val="left" w:pos="840"/>
              </w:tabs>
              <w:spacing w:after="120" w:line="320" w:lineRule="atLeast"/>
              <w:jc w:val="right"/>
              <w:rPr>
                <w:sz w:val="18"/>
              </w:rPr>
            </w:pPr>
            <w:r>
              <w:rPr>
                <w:sz w:val="18"/>
              </w:rPr>
              <w:t>400</w:t>
            </w:r>
          </w:p>
        </w:tc>
        <w:tc>
          <w:tcPr>
            <w:tcW w:w="239" w:type="pct"/>
          </w:tcPr>
          <w:p w:rsidR="005052D3" w:rsidRDefault="005052D3">
            <w:pPr>
              <w:tabs>
                <w:tab w:val="left" w:pos="840"/>
              </w:tabs>
              <w:spacing w:after="120" w:line="320" w:lineRule="atLeast"/>
              <w:jc w:val="right"/>
              <w:rPr>
                <w:sz w:val="18"/>
              </w:rPr>
            </w:pPr>
            <w:r>
              <w:rPr>
                <w:sz w:val="18"/>
              </w:rPr>
              <w:t>79</w:t>
            </w:r>
          </w:p>
        </w:tc>
        <w:tc>
          <w:tcPr>
            <w:tcW w:w="309" w:type="pct"/>
          </w:tcPr>
          <w:p w:rsidR="005052D3" w:rsidRDefault="005052D3">
            <w:pPr>
              <w:tabs>
                <w:tab w:val="left" w:pos="840"/>
              </w:tabs>
              <w:spacing w:after="120" w:line="320" w:lineRule="atLeast"/>
              <w:jc w:val="right"/>
              <w:rPr>
                <w:sz w:val="18"/>
              </w:rPr>
            </w:pPr>
            <w:r>
              <w:rPr>
                <w:sz w:val="18"/>
              </w:rPr>
              <w:t>109</w:t>
            </w:r>
          </w:p>
        </w:tc>
        <w:tc>
          <w:tcPr>
            <w:tcW w:w="244" w:type="pct"/>
          </w:tcPr>
          <w:p w:rsidR="005052D3" w:rsidRDefault="005052D3">
            <w:pPr>
              <w:tabs>
                <w:tab w:val="left" w:pos="840"/>
              </w:tabs>
              <w:spacing w:after="120" w:line="320" w:lineRule="atLeast"/>
              <w:jc w:val="right"/>
              <w:rPr>
                <w:sz w:val="18"/>
              </w:rPr>
            </w:pPr>
            <w:r>
              <w:rPr>
                <w:sz w:val="18"/>
              </w:rPr>
              <w:t>21</w:t>
            </w:r>
          </w:p>
        </w:tc>
      </w:tr>
      <w:tr w:rsidR="005052D3">
        <w:tblPrEx>
          <w:tblCellMar>
            <w:top w:w="0" w:type="dxa"/>
            <w:bottom w:w="0" w:type="dxa"/>
          </w:tblCellMar>
        </w:tblPrEx>
        <w:trPr>
          <w:cantSplit/>
        </w:trPr>
        <w:tc>
          <w:tcPr>
            <w:tcW w:w="425" w:type="pct"/>
          </w:tcPr>
          <w:p w:rsidR="005052D3" w:rsidRDefault="005052D3">
            <w:pPr>
              <w:tabs>
                <w:tab w:val="left" w:pos="840"/>
              </w:tabs>
              <w:spacing w:after="120" w:line="320" w:lineRule="atLeast"/>
              <w:rPr>
                <w:sz w:val="18"/>
              </w:rPr>
            </w:pPr>
            <w:r>
              <w:rPr>
                <w:rFonts w:hint="eastAsia"/>
                <w:sz w:val="18"/>
              </w:rPr>
              <w:t>大臣</w:t>
            </w:r>
          </w:p>
        </w:tc>
        <w:tc>
          <w:tcPr>
            <w:tcW w:w="365" w:type="pct"/>
          </w:tcPr>
          <w:p w:rsidR="005052D3" w:rsidRDefault="005052D3">
            <w:pPr>
              <w:tabs>
                <w:tab w:val="left" w:pos="840"/>
              </w:tabs>
              <w:spacing w:after="120" w:line="320" w:lineRule="atLeast"/>
              <w:jc w:val="right"/>
              <w:rPr>
                <w:sz w:val="18"/>
              </w:rPr>
            </w:pPr>
            <w:r>
              <w:rPr>
                <w:sz w:val="18"/>
              </w:rPr>
              <w:t>1</w:t>
            </w:r>
            <w:r>
              <w:rPr>
                <w:rFonts w:hint="eastAsia"/>
                <w:sz w:val="18"/>
              </w:rPr>
              <w:t xml:space="preserve"> </w:t>
            </w:r>
            <w:r>
              <w:rPr>
                <w:sz w:val="18"/>
              </w:rPr>
              <w:t>596</w:t>
            </w:r>
          </w:p>
        </w:tc>
        <w:tc>
          <w:tcPr>
            <w:tcW w:w="353" w:type="pct"/>
          </w:tcPr>
          <w:p w:rsidR="005052D3" w:rsidRDefault="005052D3">
            <w:pPr>
              <w:tabs>
                <w:tab w:val="left" w:pos="840"/>
              </w:tabs>
              <w:spacing w:after="120" w:line="320" w:lineRule="atLeast"/>
              <w:jc w:val="right"/>
              <w:rPr>
                <w:sz w:val="18"/>
              </w:rPr>
            </w:pPr>
            <w:r>
              <w:rPr>
                <w:sz w:val="18"/>
              </w:rPr>
              <w:t>1</w:t>
            </w:r>
            <w:r>
              <w:rPr>
                <w:rFonts w:hint="eastAsia"/>
                <w:sz w:val="18"/>
              </w:rPr>
              <w:t xml:space="preserve"> </w:t>
            </w:r>
            <w:r>
              <w:rPr>
                <w:sz w:val="18"/>
              </w:rPr>
              <w:t>129</w:t>
            </w:r>
          </w:p>
        </w:tc>
        <w:tc>
          <w:tcPr>
            <w:tcW w:w="257" w:type="pct"/>
          </w:tcPr>
          <w:p w:rsidR="005052D3" w:rsidRDefault="005052D3">
            <w:pPr>
              <w:tabs>
                <w:tab w:val="left" w:pos="840"/>
              </w:tabs>
              <w:spacing w:after="120" w:line="320" w:lineRule="atLeast"/>
              <w:jc w:val="right"/>
              <w:rPr>
                <w:sz w:val="18"/>
              </w:rPr>
            </w:pPr>
            <w:r>
              <w:rPr>
                <w:sz w:val="18"/>
              </w:rPr>
              <w:t>71</w:t>
            </w:r>
          </w:p>
        </w:tc>
        <w:tc>
          <w:tcPr>
            <w:tcW w:w="364" w:type="pct"/>
          </w:tcPr>
          <w:p w:rsidR="005052D3" w:rsidRDefault="005052D3">
            <w:pPr>
              <w:tabs>
                <w:tab w:val="left" w:pos="840"/>
              </w:tabs>
              <w:spacing w:after="120" w:line="320" w:lineRule="atLeast"/>
              <w:jc w:val="right"/>
              <w:rPr>
                <w:sz w:val="18"/>
              </w:rPr>
            </w:pPr>
            <w:r>
              <w:rPr>
                <w:sz w:val="18"/>
              </w:rPr>
              <w:t>467</w:t>
            </w:r>
          </w:p>
        </w:tc>
        <w:tc>
          <w:tcPr>
            <w:tcW w:w="202" w:type="pct"/>
          </w:tcPr>
          <w:p w:rsidR="005052D3" w:rsidRDefault="005052D3">
            <w:pPr>
              <w:tabs>
                <w:tab w:val="left" w:pos="840"/>
              </w:tabs>
              <w:spacing w:after="120" w:line="320" w:lineRule="atLeast"/>
              <w:jc w:val="right"/>
              <w:rPr>
                <w:sz w:val="18"/>
              </w:rPr>
            </w:pPr>
            <w:r>
              <w:rPr>
                <w:sz w:val="18"/>
              </w:rPr>
              <w:t>29</w:t>
            </w:r>
          </w:p>
        </w:tc>
        <w:tc>
          <w:tcPr>
            <w:tcW w:w="350" w:type="pct"/>
          </w:tcPr>
          <w:p w:rsidR="005052D3" w:rsidRDefault="005052D3">
            <w:pPr>
              <w:tabs>
                <w:tab w:val="left" w:pos="840"/>
              </w:tabs>
              <w:spacing w:after="120" w:line="320" w:lineRule="atLeast"/>
              <w:jc w:val="right"/>
              <w:rPr>
                <w:sz w:val="18"/>
              </w:rPr>
            </w:pPr>
            <w:r>
              <w:rPr>
                <w:sz w:val="18"/>
              </w:rPr>
              <w:t>1</w:t>
            </w:r>
            <w:r>
              <w:rPr>
                <w:rFonts w:hint="eastAsia"/>
                <w:sz w:val="18"/>
              </w:rPr>
              <w:t xml:space="preserve"> </w:t>
            </w:r>
            <w:r>
              <w:rPr>
                <w:sz w:val="18"/>
              </w:rPr>
              <w:t>292</w:t>
            </w:r>
          </w:p>
        </w:tc>
        <w:tc>
          <w:tcPr>
            <w:tcW w:w="365" w:type="pct"/>
          </w:tcPr>
          <w:p w:rsidR="005052D3" w:rsidRDefault="005052D3">
            <w:pPr>
              <w:tabs>
                <w:tab w:val="left" w:pos="840"/>
              </w:tabs>
              <w:spacing w:after="120" w:line="320" w:lineRule="atLeast"/>
              <w:jc w:val="right"/>
              <w:rPr>
                <w:sz w:val="18"/>
              </w:rPr>
            </w:pPr>
            <w:r>
              <w:rPr>
                <w:sz w:val="18"/>
              </w:rPr>
              <w:t>931</w:t>
            </w:r>
          </w:p>
        </w:tc>
        <w:tc>
          <w:tcPr>
            <w:tcW w:w="214" w:type="pct"/>
          </w:tcPr>
          <w:p w:rsidR="005052D3" w:rsidRDefault="005052D3">
            <w:pPr>
              <w:tabs>
                <w:tab w:val="left" w:pos="840"/>
              </w:tabs>
              <w:spacing w:after="120" w:line="320" w:lineRule="atLeast"/>
              <w:jc w:val="right"/>
              <w:rPr>
                <w:sz w:val="18"/>
              </w:rPr>
            </w:pPr>
            <w:r>
              <w:rPr>
                <w:sz w:val="18"/>
              </w:rPr>
              <w:t>72</w:t>
            </w:r>
          </w:p>
        </w:tc>
        <w:tc>
          <w:tcPr>
            <w:tcW w:w="395" w:type="pct"/>
          </w:tcPr>
          <w:p w:rsidR="005052D3" w:rsidRDefault="005052D3">
            <w:pPr>
              <w:tabs>
                <w:tab w:val="left" w:pos="840"/>
              </w:tabs>
              <w:spacing w:after="120" w:line="320" w:lineRule="atLeast"/>
              <w:jc w:val="right"/>
              <w:rPr>
                <w:sz w:val="18"/>
              </w:rPr>
            </w:pPr>
            <w:r>
              <w:rPr>
                <w:sz w:val="18"/>
              </w:rPr>
              <w:t>361</w:t>
            </w:r>
          </w:p>
        </w:tc>
        <w:tc>
          <w:tcPr>
            <w:tcW w:w="226" w:type="pct"/>
          </w:tcPr>
          <w:p w:rsidR="005052D3" w:rsidRDefault="005052D3">
            <w:pPr>
              <w:tabs>
                <w:tab w:val="left" w:pos="840"/>
              </w:tabs>
              <w:spacing w:after="120" w:line="320" w:lineRule="atLeast"/>
              <w:jc w:val="right"/>
              <w:rPr>
                <w:sz w:val="18"/>
              </w:rPr>
            </w:pPr>
            <w:r>
              <w:rPr>
                <w:sz w:val="18"/>
              </w:rPr>
              <w:t>28</w:t>
            </w:r>
          </w:p>
        </w:tc>
        <w:tc>
          <w:tcPr>
            <w:tcW w:w="373" w:type="pct"/>
          </w:tcPr>
          <w:p w:rsidR="005052D3" w:rsidRDefault="005052D3">
            <w:pPr>
              <w:tabs>
                <w:tab w:val="left" w:pos="840"/>
              </w:tabs>
              <w:spacing w:after="120" w:line="320" w:lineRule="atLeast"/>
              <w:jc w:val="right"/>
              <w:rPr>
                <w:sz w:val="18"/>
              </w:rPr>
            </w:pPr>
            <w:r>
              <w:rPr>
                <w:sz w:val="18"/>
              </w:rPr>
              <w:t>1</w:t>
            </w:r>
            <w:r>
              <w:rPr>
                <w:rFonts w:hint="eastAsia"/>
                <w:sz w:val="18"/>
              </w:rPr>
              <w:t xml:space="preserve"> </w:t>
            </w:r>
            <w:r>
              <w:rPr>
                <w:sz w:val="18"/>
              </w:rPr>
              <w:t>448</w:t>
            </w:r>
          </w:p>
        </w:tc>
        <w:tc>
          <w:tcPr>
            <w:tcW w:w="317" w:type="pct"/>
          </w:tcPr>
          <w:p w:rsidR="005052D3" w:rsidRDefault="005052D3">
            <w:pPr>
              <w:tabs>
                <w:tab w:val="left" w:pos="840"/>
              </w:tabs>
              <w:spacing w:after="120" w:line="320" w:lineRule="atLeast"/>
              <w:jc w:val="right"/>
              <w:rPr>
                <w:sz w:val="18"/>
              </w:rPr>
            </w:pPr>
            <w:r>
              <w:rPr>
                <w:sz w:val="18"/>
              </w:rPr>
              <w:t>1</w:t>
            </w:r>
            <w:r>
              <w:rPr>
                <w:rFonts w:hint="eastAsia"/>
                <w:sz w:val="18"/>
              </w:rPr>
              <w:t xml:space="preserve"> </w:t>
            </w:r>
            <w:r>
              <w:rPr>
                <w:sz w:val="18"/>
              </w:rPr>
              <w:t>078</w:t>
            </w:r>
          </w:p>
        </w:tc>
        <w:tc>
          <w:tcPr>
            <w:tcW w:w="239" w:type="pct"/>
          </w:tcPr>
          <w:p w:rsidR="005052D3" w:rsidRDefault="005052D3">
            <w:pPr>
              <w:tabs>
                <w:tab w:val="left" w:pos="840"/>
              </w:tabs>
              <w:spacing w:after="120" w:line="320" w:lineRule="atLeast"/>
              <w:jc w:val="right"/>
              <w:rPr>
                <w:sz w:val="18"/>
              </w:rPr>
            </w:pPr>
            <w:r>
              <w:rPr>
                <w:sz w:val="18"/>
              </w:rPr>
              <w:t>74</w:t>
            </w:r>
          </w:p>
        </w:tc>
        <w:tc>
          <w:tcPr>
            <w:tcW w:w="309" w:type="pct"/>
          </w:tcPr>
          <w:p w:rsidR="005052D3" w:rsidRDefault="005052D3">
            <w:pPr>
              <w:tabs>
                <w:tab w:val="left" w:pos="840"/>
              </w:tabs>
              <w:spacing w:after="120" w:line="320" w:lineRule="atLeast"/>
              <w:jc w:val="right"/>
              <w:rPr>
                <w:sz w:val="18"/>
              </w:rPr>
            </w:pPr>
            <w:r>
              <w:rPr>
                <w:sz w:val="18"/>
              </w:rPr>
              <w:t>370</w:t>
            </w:r>
          </w:p>
        </w:tc>
        <w:tc>
          <w:tcPr>
            <w:tcW w:w="244" w:type="pct"/>
          </w:tcPr>
          <w:p w:rsidR="005052D3" w:rsidRDefault="005052D3">
            <w:pPr>
              <w:tabs>
                <w:tab w:val="left" w:pos="840"/>
              </w:tabs>
              <w:spacing w:after="120" w:line="320" w:lineRule="atLeast"/>
              <w:jc w:val="right"/>
              <w:rPr>
                <w:sz w:val="18"/>
              </w:rPr>
            </w:pPr>
            <w:r>
              <w:rPr>
                <w:sz w:val="18"/>
              </w:rPr>
              <w:t>26</w:t>
            </w:r>
          </w:p>
        </w:tc>
      </w:tr>
      <w:tr w:rsidR="005052D3">
        <w:tblPrEx>
          <w:tblCellMar>
            <w:top w:w="0" w:type="dxa"/>
            <w:bottom w:w="0" w:type="dxa"/>
          </w:tblCellMar>
        </w:tblPrEx>
        <w:trPr>
          <w:cantSplit/>
        </w:trPr>
        <w:tc>
          <w:tcPr>
            <w:tcW w:w="425" w:type="pct"/>
          </w:tcPr>
          <w:p w:rsidR="005052D3" w:rsidRDefault="005052D3">
            <w:pPr>
              <w:tabs>
                <w:tab w:val="left" w:pos="840"/>
              </w:tabs>
              <w:spacing w:after="120" w:line="320" w:lineRule="atLeast"/>
              <w:rPr>
                <w:rFonts w:hint="eastAsia"/>
                <w:sz w:val="18"/>
              </w:rPr>
            </w:pPr>
            <w:r>
              <w:rPr>
                <w:sz w:val="18"/>
              </w:rPr>
              <w:t xml:space="preserve">Kamuzu </w:t>
            </w:r>
            <w:r>
              <w:rPr>
                <w:rFonts w:hint="eastAsia"/>
                <w:sz w:val="18"/>
              </w:rPr>
              <w:t>护理</w:t>
            </w:r>
          </w:p>
        </w:tc>
        <w:tc>
          <w:tcPr>
            <w:tcW w:w="365" w:type="pct"/>
          </w:tcPr>
          <w:p w:rsidR="005052D3" w:rsidRDefault="005052D3">
            <w:pPr>
              <w:tabs>
                <w:tab w:val="left" w:pos="840"/>
              </w:tabs>
              <w:spacing w:after="120" w:line="320" w:lineRule="atLeast"/>
              <w:jc w:val="right"/>
              <w:rPr>
                <w:sz w:val="18"/>
              </w:rPr>
            </w:pPr>
            <w:r>
              <w:rPr>
                <w:sz w:val="18"/>
              </w:rPr>
              <w:t>325</w:t>
            </w:r>
          </w:p>
        </w:tc>
        <w:tc>
          <w:tcPr>
            <w:tcW w:w="353" w:type="pct"/>
          </w:tcPr>
          <w:p w:rsidR="005052D3" w:rsidRDefault="005052D3">
            <w:pPr>
              <w:tabs>
                <w:tab w:val="left" w:pos="840"/>
              </w:tabs>
              <w:spacing w:after="120" w:line="320" w:lineRule="atLeast"/>
              <w:jc w:val="right"/>
              <w:rPr>
                <w:sz w:val="18"/>
              </w:rPr>
            </w:pPr>
            <w:r>
              <w:rPr>
                <w:sz w:val="18"/>
              </w:rPr>
              <w:t>46</w:t>
            </w:r>
          </w:p>
        </w:tc>
        <w:tc>
          <w:tcPr>
            <w:tcW w:w="257" w:type="pct"/>
          </w:tcPr>
          <w:p w:rsidR="005052D3" w:rsidRDefault="005052D3">
            <w:pPr>
              <w:tabs>
                <w:tab w:val="left" w:pos="840"/>
              </w:tabs>
              <w:spacing w:after="120" w:line="320" w:lineRule="atLeast"/>
              <w:jc w:val="right"/>
              <w:rPr>
                <w:sz w:val="18"/>
              </w:rPr>
            </w:pPr>
            <w:r>
              <w:rPr>
                <w:sz w:val="18"/>
              </w:rPr>
              <w:t>14</w:t>
            </w:r>
          </w:p>
        </w:tc>
        <w:tc>
          <w:tcPr>
            <w:tcW w:w="364" w:type="pct"/>
          </w:tcPr>
          <w:p w:rsidR="005052D3" w:rsidRDefault="005052D3">
            <w:pPr>
              <w:tabs>
                <w:tab w:val="left" w:pos="840"/>
              </w:tabs>
              <w:spacing w:after="120" w:line="320" w:lineRule="atLeast"/>
              <w:jc w:val="right"/>
              <w:rPr>
                <w:sz w:val="18"/>
              </w:rPr>
            </w:pPr>
            <w:r>
              <w:rPr>
                <w:sz w:val="18"/>
              </w:rPr>
              <w:t>279</w:t>
            </w:r>
          </w:p>
        </w:tc>
        <w:tc>
          <w:tcPr>
            <w:tcW w:w="202" w:type="pct"/>
          </w:tcPr>
          <w:p w:rsidR="005052D3" w:rsidRDefault="005052D3">
            <w:pPr>
              <w:tabs>
                <w:tab w:val="left" w:pos="840"/>
              </w:tabs>
              <w:spacing w:after="120" w:line="320" w:lineRule="atLeast"/>
              <w:jc w:val="right"/>
              <w:rPr>
                <w:sz w:val="18"/>
              </w:rPr>
            </w:pPr>
            <w:r>
              <w:rPr>
                <w:sz w:val="18"/>
              </w:rPr>
              <w:t>86</w:t>
            </w:r>
          </w:p>
        </w:tc>
        <w:tc>
          <w:tcPr>
            <w:tcW w:w="350" w:type="pct"/>
          </w:tcPr>
          <w:p w:rsidR="005052D3" w:rsidRDefault="005052D3">
            <w:pPr>
              <w:tabs>
                <w:tab w:val="left" w:pos="840"/>
              </w:tabs>
              <w:spacing w:after="120" w:line="320" w:lineRule="atLeast"/>
              <w:jc w:val="right"/>
              <w:rPr>
                <w:sz w:val="18"/>
              </w:rPr>
            </w:pPr>
            <w:r>
              <w:rPr>
                <w:sz w:val="18"/>
              </w:rPr>
              <w:t>263</w:t>
            </w:r>
          </w:p>
        </w:tc>
        <w:tc>
          <w:tcPr>
            <w:tcW w:w="365" w:type="pct"/>
          </w:tcPr>
          <w:p w:rsidR="005052D3" w:rsidRDefault="005052D3">
            <w:pPr>
              <w:tabs>
                <w:tab w:val="left" w:pos="840"/>
              </w:tabs>
              <w:spacing w:after="120" w:line="320" w:lineRule="atLeast"/>
              <w:jc w:val="right"/>
              <w:rPr>
                <w:sz w:val="18"/>
              </w:rPr>
            </w:pPr>
            <w:r>
              <w:rPr>
                <w:sz w:val="18"/>
              </w:rPr>
              <w:t>65</w:t>
            </w:r>
          </w:p>
        </w:tc>
        <w:tc>
          <w:tcPr>
            <w:tcW w:w="214" w:type="pct"/>
          </w:tcPr>
          <w:p w:rsidR="005052D3" w:rsidRDefault="005052D3">
            <w:pPr>
              <w:tabs>
                <w:tab w:val="left" w:pos="840"/>
              </w:tabs>
              <w:spacing w:after="120" w:line="320" w:lineRule="atLeast"/>
              <w:jc w:val="right"/>
              <w:rPr>
                <w:sz w:val="18"/>
              </w:rPr>
            </w:pPr>
            <w:r>
              <w:rPr>
                <w:sz w:val="18"/>
              </w:rPr>
              <w:t>25</w:t>
            </w:r>
          </w:p>
        </w:tc>
        <w:tc>
          <w:tcPr>
            <w:tcW w:w="395" w:type="pct"/>
          </w:tcPr>
          <w:p w:rsidR="005052D3" w:rsidRDefault="005052D3">
            <w:pPr>
              <w:tabs>
                <w:tab w:val="left" w:pos="840"/>
              </w:tabs>
              <w:spacing w:after="120" w:line="320" w:lineRule="atLeast"/>
              <w:jc w:val="right"/>
              <w:rPr>
                <w:sz w:val="18"/>
              </w:rPr>
            </w:pPr>
            <w:r>
              <w:rPr>
                <w:sz w:val="18"/>
              </w:rPr>
              <w:t>198</w:t>
            </w:r>
          </w:p>
        </w:tc>
        <w:tc>
          <w:tcPr>
            <w:tcW w:w="226" w:type="pct"/>
          </w:tcPr>
          <w:p w:rsidR="005052D3" w:rsidRDefault="005052D3">
            <w:pPr>
              <w:tabs>
                <w:tab w:val="left" w:pos="840"/>
              </w:tabs>
              <w:spacing w:after="120" w:line="320" w:lineRule="atLeast"/>
              <w:jc w:val="right"/>
              <w:rPr>
                <w:sz w:val="18"/>
              </w:rPr>
            </w:pPr>
            <w:r>
              <w:rPr>
                <w:sz w:val="18"/>
              </w:rPr>
              <w:t>75</w:t>
            </w:r>
          </w:p>
        </w:tc>
        <w:tc>
          <w:tcPr>
            <w:tcW w:w="373" w:type="pct"/>
          </w:tcPr>
          <w:p w:rsidR="005052D3" w:rsidRDefault="005052D3">
            <w:pPr>
              <w:tabs>
                <w:tab w:val="left" w:pos="840"/>
              </w:tabs>
              <w:spacing w:after="120" w:line="320" w:lineRule="atLeast"/>
              <w:jc w:val="right"/>
              <w:rPr>
                <w:sz w:val="18"/>
              </w:rPr>
            </w:pPr>
            <w:r>
              <w:rPr>
                <w:sz w:val="18"/>
              </w:rPr>
              <w:t>231</w:t>
            </w:r>
          </w:p>
        </w:tc>
        <w:tc>
          <w:tcPr>
            <w:tcW w:w="317" w:type="pct"/>
          </w:tcPr>
          <w:p w:rsidR="005052D3" w:rsidRDefault="005052D3">
            <w:pPr>
              <w:tabs>
                <w:tab w:val="left" w:pos="840"/>
              </w:tabs>
              <w:spacing w:after="120" w:line="320" w:lineRule="atLeast"/>
              <w:jc w:val="right"/>
              <w:rPr>
                <w:sz w:val="18"/>
              </w:rPr>
            </w:pPr>
            <w:r>
              <w:rPr>
                <w:sz w:val="18"/>
              </w:rPr>
              <w:t>67</w:t>
            </w:r>
          </w:p>
        </w:tc>
        <w:tc>
          <w:tcPr>
            <w:tcW w:w="239" w:type="pct"/>
          </w:tcPr>
          <w:p w:rsidR="005052D3" w:rsidRDefault="005052D3">
            <w:pPr>
              <w:tabs>
                <w:tab w:val="left" w:pos="840"/>
              </w:tabs>
              <w:spacing w:after="120" w:line="320" w:lineRule="atLeast"/>
              <w:jc w:val="right"/>
              <w:rPr>
                <w:sz w:val="18"/>
              </w:rPr>
            </w:pPr>
            <w:r>
              <w:rPr>
                <w:sz w:val="18"/>
              </w:rPr>
              <w:t>29</w:t>
            </w:r>
          </w:p>
        </w:tc>
        <w:tc>
          <w:tcPr>
            <w:tcW w:w="309" w:type="pct"/>
          </w:tcPr>
          <w:p w:rsidR="005052D3" w:rsidRDefault="005052D3">
            <w:pPr>
              <w:tabs>
                <w:tab w:val="left" w:pos="840"/>
              </w:tabs>
              <w:spacing w:after="120" w:line="320" w:lineRule="atLeast"/>
              <w:jc w:val="right"/>
              <w:rPr>
                <w:sz w:val="18"/>
              </w:rPr>
            </w:pPr>
            <w:r>
              <w:rPr>
                <w:sz w:val="18"/>
              </w:rPr>
              <w:t>164</w:t>
            </w:r>
          </w:p>
        </w:tc>
        <w:tc>
          <w:tcPr>
            <w:tcW w:w="244" w:type="pct"/>
          </w:tcPr>
          <w:p w:rsidR="005052D3" w:rsidRDefault="005052D3">
            <w:pPr>
              <w:tabs>
                <w:tab w:val="left" w:pos="840"/>
              </w:tabs>
              <w:spacing w:after="120" w:line="320" w:lineRule="atLeast"/>
              <w:jc w:val="right"/>
              <w:rPr>
                <w:sz w:val="18"/>
              </w:rPr>
            </w:pPr>
            <w:r>
              <w:rPr>
                <w:sz w:val="18"/>
              </w:rPr>
              <w:t>71</w:t>
            </w:r>
          </w:p>
        </w:tc>
      </w:tr>
      <w:tr w:rsidR="005052D3">
        <w:tblPrEx>
          <w:tblCellMar>
            <w:top w:w="0" w:type="dxa"/>
            <w:bottom w:w="0" w:type="dxa"/>
          </w:tblCellMar>
        </w:tblPrEx>
        <w:trPr>
          <w:cantSplit/>
        </w:trPr>
        <w:tc>
          <w:tcPr>
            <w:tcW w:w="425" w:type="pct"/>
          </w:tcPr>
          <w:p w:rsidR="005052D3" w:rsidRDefault="005052D3">
            <w:pPr>
              <w:tabs>
                <w:tab w:val="left" w:pos="840"/>
              </w:tabs>
              <w:spacing w:after="120" w:line="320" w:lineRule="atLeast"/>
              <w:rPr>
                <w:rFonts w:hint="eastAsia"/>
                <w:sz w:val="18"/>
              </w:rPr>
            </w:pPr>
            <w:r>
              <w:rPr>
                <w:rFonts w:hint="eastAsia"/>
                <w:sz w:val="18"/>
              </w:rPr>
              <w:t>理工</w:t>
            </w:r>
          </w:p>
        </w:tc>
        <w:tc>
          <w:tcPr>
            <w:tcW w:w="365" w:type="pct"/>
          </w:tcPr>
          <w:p w:rsidR="005052D3" w:rsidRDefault="005052D3">
            <w:pPr>
              <w:tabs>
                <w:tab w:val="left" w:pos="840"/>
              </w:tabs>
              <w:spacing w:after="120" w:line="320" w:lineRule="atLeast"/>
              <w:jc w:val="right"/>
              <w:rPr>
                <w:sz w:val="18"/>
              </w:rPr>
            </w:pPr>
            <w:r>
              <w:rPr>
                <w:sz w:val="18"/>
              </w:rPr>
              <w:t>1</w:t>
            </w:r>
            <w:r>
              <w:rPr>
                <w:rFonts w:hint="eastAsia"/>
                <w:sz w:val="18"/>
              </w:rPr>
              <w:t xml:space="preserve"> </w:t>
            </w:r>
            <w:r>
              <w:rPr>
                <w:sz w:val="18"/>
              </w:rPr>
              <w:t>089</w:t>
            </w:r>
          </w:p>
        </w:tc>
        <w:tc>
          <w:tcPr>
            <w:tcW w:w="353" w:type="pct"/>
          </w:tcPr>
          <w:p w:rsidR="005052D3" w:rsidRDefault="005052D3">
            <w:pPr>
              <w:tabs>
                <w:tab w:val="left" w:pos="840"/>
              </w:tabs>
              <w:spacing w:after="120" w:line="320" w:lineRule="atLeast"/>
              <w:jc w:val="right"/>
              <w:rPr>
                <w:sz w:val="18"/>
              </w:rPr>
            </w:pPr>
            <w:r>
              <w:rPr>
                <w:sz w:val="18"/>
              </w:rPr>
              <w:t>901</w:t>
            </w:r>
          </w:p>
        </w:tc>
        <w:tc>
          <w:tcPr>
            <w:tcW w:w="257" w:type="pct"/>
          </w:tcPr>
          <w:p w:rsidR="005052D3" w:rsidRDefault="005052D3">
            <w:pPr>
              <w:tabs>
                <w:tab w:val="left" w:pos="840"/>
              </w:tabs>
              <w:spacing w:after="120" w:line="320" w:lineRule="atLeast"/>
              <w:jc w:val="right"/>
              <w:rPr>
                <w:sz w:val="18"/>
              </w:rPr>
            </w:pPr>
            <w:r>
              <w:rPr>
                <w:sz w:val="18"/>
              </w:rPr>
              <w:t>83</w:t>
            </w:r>
          </w:p>
        </w:tc>
        <w:tc>
          <w:tcPr>
            <w:tcW w:w="364" w:type="pct"/>
          </w:tcPr>
          <w:p w:rsidR="005052D3" w:rsidRDefault="005052D3">
            <w:pPr>
              <w:tabs>
                <w:tab w:val="left" w:pos="840"/>
              </w:tabs>
              <w:spacing w:after="120" w:line="320" w:lineRule="atLeast"/>
              <w:jc w:val="right"/>
              <w:rPr>
                <w:sz w:val="18"/>
              </w:rPr>
            </w:pPr>
            <w:r>
              <w:rPr>
                <w:sz w:val="18"/>
              </w:rPr>
              <w:t>188</w:t>
            </w:r>
          </w:p>
        </w:tc>
        <w:tc>
          <w:tcPr>
            <w:tcW w:w="202" w:type="pct"/>
          </w:tcPr>
          <w:p w:rsidR="005052D3" w:rsidRDefault="005052D3">
            <w:pPr>
              <w:tabs>
                <w:tab w:val="left" w:pos="840"/>
              </w:tabs>
              <w:spacing w:after="120" w:line="320" w:lineRule="atLeast"/>
              <w:jc w:val="right"/>
              <w:rPr>
                <w:sz w:val="18"/>
              </w:rPr>
            </w:pPr>
            <w:r>
              <w:rPr>
                <w:sz w:val="18"/>
              </w:rPr>
              <w:t>17</w:t>
            </w:r>
          </w:p>
        </w:tc>
        <w:tc>
          <w:tcPr>
            <w:tcW w:w="350" w:type="pct"/>
          </w:tcPr>
          <w:p w:rsidR="005052D3" w:rsidRDefault="005052D3">
            <w:pPr>
              <w:tabs>
                <w:tab w:val="left" w:pos="840"/>
              </w:tabs>
              <w:spacing w:after="120" w:line="320" w:lineRule="atLeast"/>
              <w:jc w:val="right"/>
              <w:rPr>
                <w:sz w:val="18"/>
              </w:rPr>
            </w:pPr>
            <w:r>
              <w:rPr>
                <w:sz w:val="18"/>
              </w:rPr>
              <w:t>1</w:t>
            </w:r>
            <w:r>
              <w:rPr>
                <w:rFonts w:hint="eastAsia"/>
                <w:sz w:val="18"/>
              </w:rPr>
              <w:t xml:space="preserve"> </w:t>
            </w:r>
            <w:r>
              <w:rPr>
                <w:sz w:val="18"/>
              </w:rPr>
              <w:t>031</w:t>
            </w:r>
          </w:p>
        </w:tc>
        <w:tc>
          <w:tcPr>
            <w:tcW w:w="365" w:type="pct"/>
          </w:tcPr>
          <w:p w:rsidR="005052D3" w:rsidRDefault="005052D3">
            <w:pPr>
              <w:tabs>
                <w:tab w:val="left" w:pos="840"/>
              </w:tabs>
              <w:spacing w:after="120" w:line="320" w:lineRule="atLeast"/>
              <w:jc w:val="right"/>
              <w:rPr>
                <w:sz w:val="18"/>
              </w:rPr>
            </w:pPr>
            <w:r>
              <w:rPr>
                <w:sz w:val="18"/>
              </w:rPr>
              <w:t>856</w:t>
            </w:r>
          </w:p>
        </w:tc>
        <w:tc>
          <w:tcPr>
            <w:tcW w:w="214" w:type="pct"/>
          </w:tcPr>
          <w:p w:rsidR="005052D3" w:rsidRDefault="005052D3">
            <w:pPr>
              <w:tabs>
                <w:tab w:val="left" w:pos="840"/>
              </w:tabs>
              <w:spacing w:after="120" w:line="320" w:lineRule="atLeast"/>
              <w:jc w:val="right"/>
              <w:rPr>
                <w:sz w:val="18"/>
              </w:rPr>
            </w:pPr>
            <w:r>
              <w:rPr>
                <w:sz w:val="18"/>
              </w:rPr>
              <w:t>83</w:t>
            </w:r>
          </w:p>
        </w:tc>
        <w:tc>
          <w:tcPr>
            <w:tcW w:w="395" w:type="pct"/>
          </w:tcPr>
          <w:p w:rsidR="005052D3" w:rsidRDefault="005052D3">
            <w:pPr>
              <w:tabs>
                <w:tab w:val="left" w:pos="840"/>
              </w:tabs>
              <w:spacing w:after="120" w:line="320" w:lineRule="atLeast"/>
              <w:jc w:val="right"/>
              <w:rPr>
                <w:sz w:val="18"/>
              </w:rPr>
            </w:pPr>
            <w:r>
              <w:rPr>
                <w:sz w:val="18"/>
              </w:rPr>
              <w:t>175</w:t>
            </w:r>
          </w:p>
        </w:tc>
        <w:tc>
          <w:tcPr>
            <w:tcW w:w="226" w:type="pct"/>
          </w:tcPr>
          <w:p w:rsidR="005052D3" w:rsidRDefault="005052D3">
            <w:pPr>
              <w:tabs>
                <w:tab w:val="left" w:pos="840"/>
              </w:tabs>
              <w:spacing w:after="120" w:line="320" w:lineRule="atLeast"/>
              <w:jc w:val="right"/>
              <w:rPr>
                <w:sz w:val="18"/>
              </w:rPr>
            </w:pPr>
            <w:r>
              <w:rPr>
                <w:sz w:val="18"/>
              </w:rPr>
              <w:t>17</w:t>
            </w:r>
          </w:p>
        </w:tc>
        <w:tc>
          <w:tcPr>
            <w:tcW w:w="373" w:type="pct"/>
          </w:tcPr>
          <w:p w:rsidR="005052D3" w:rsidRDefault="005052D3">
            <w:pPr>
              <w:tabs>
                <w:tab w:val="left" w:pos="840"/>
              </w:tabs>
              <w:spacing w:after="120" w:line="320" w:lineRule="atLeast"/>
              <w:jc w:val="right"/>
              <w:rPr>
                <w:sz w:val="18"/>
              </w:rPr>
            </w:pPr>
            <w:r>
              <w:rPr>
                <w:sz w:val="18"/>
              </w:rPr>
              <w:t>1</w:t>
            </w:r>
            <w:r>
              <w:rPr>
                <w:rFonts w:hint="eastAsia"/>
                <w:sz w:val="18"/>
              </w:rPr>
              <w:t xml:space="preserve"> </w:t>
            </w:r>
            <w:r>
              <w:rPr>
                <w:sz w:val="18"/>
              </w:rPr>
              <w:t>088</w:t>
            </w:r>
          </w:p>
        </w:tc>
        <w:tc>
          <w:tcPr>
            <w:tcW w:w="317" w:type="pct"/>
          </w:tcPr>
          <w:p w:rsidR="005052D3" w:rsidRDefault="005052D3">
            <w:pPr>
              <w:tabs>
                <w:tab w:val="left" w:pos="840"/>
              </w:tabs>
              <w:spacing w:after="120" w:line="320" w:lineRule="atLeast"/>
              <w:jc w:val="right"/>
              <w:rPr>
                <w:sz w:val="18"/>
              </w:rPr>
            </w:pPr>
            <w:r>
              <w:rPr>
                <w:sz w:val="18"/>
              </w:rPr>
              <w:t>892</w:t>
            </w:r>
          </w:p>
        </w:tc>
        <w:tc>
          <w:tcPr>
            <w:tcW w:w="239" w:type="pct"/>
          </w:tcPr>
          <w:p w:rsidR="005052D3" w:rsidRDefault="005052D3">
            <w:pPr>
              <w:tabs>
                <w:tab w:val="left" w:pos="840"/>
              </w:tabs>
              <w:spacing w:after="120" w:line="320" w:lineRule="atLeast"/>
              <w:jc w:val="right"/>
              <w:rPr>
                <w:sz w:val="18"/>
              </w:rPr>
            </w:pPr>
            <w:r>
              <w:rPr>
                <w:sz w:val="18"/>
              </w:rPr>
              <w:t>82</w:t>
            </w:r>
          </w:p>
        </w:tc>
        <w:tc>
          <w:tcPr>
            <w:tcW w:w="309" w:type="pct"/>
          </w:tcPr>
          <w:p w:rsidR="005052D3" w:rsidRDefault="005052D3">
            <w:pPr>
              <w:tabs>
                <w:tab w:val="left" w:pos="840"/>
              </w:tabs>
              <w:spacing w:after="120" w:line="320" w:lineRule="atLeast"/>
              <w:jc w:val="right"/>
              <w:rPr>
                <w:sz w:val="18"/>
              </w:rPr>
            </w:pPr>
            <w:r>
              <w:rPr>
                <w:sz w:val="18"/>
              </w:rPr>
              <w:t>196</w:t>
            </w:r>
          </w:p>
        </w:tc>
        <w:tc>
          <w:tcPr>
            <w:tcW w:w="244" w:type="pct"/>
          </w:tcPr>
          <w:p w:rsidR="005052D3" w:rsidRDefault="005052D3">
            <w:pPr>
              <w:tabs>
                <w:tab w:val="left" w:pos="840"/>
              </w:tabs>
              <w:spacing w:after="120" w:line="320" w:lineRule="atLeast"/>
              <w:jc w:val="right"/>
              <w:rPr>
                <w:sz w:val="18"/>
              </w:rPr>
            </w:pPr>
            <w:r>
              <w:rPr>
                <w:sz w:val="18"/>
              </w:rPr>
              <w:t>18</w:t>
            </w:r>
          </w:p>
        </w:tc>
      </w:tr>
      <w:tr w:rsidR="005052D3">
        <w:tblPrEx>
          <w:tblCellMar>
            <w:top w:w="0" w:type="dxa"/>
            <w:bottom w:w="0" w:type="dxa"/>
          </w:tblCellMar>
        </w:tblPrEx>
        <w:trPr>
          <w:cantSplit/>
        </w:trPr>
        <w:tc>
          <w:tcPr>
            <w:tcW w:w="425" w:type="pct"/>
          </w:tcPr>
          <w:p w:rsidR="005052D3" w:rsidRDefault="005052D3">
            <w:pPr>
              <w:tabs>
                <w:tab w:val="left" w:pos="840"/>
              </w:tabs>
              <w:spacing w:after="120" w:line="320" w:lineRule="atLeast"/>
              <w:rPr>
                <w:rFonts w:hint="eastAsia"/>
                <w:sz w:val="18"/>
              </w:rPr>
            </w:pPr>
            <w:r>
              <w:rPr>
                <w:rFonts w:hint="eastAsia"/>
                <w:sz w:val="18"/>
              </w:rPr>
              <w:t>医学</w:t>
            </w:r>
          </w:p>
        </w:tc>
        <w:tc>
          <w:tcPr>
            <w:tcW w:w="365" w:type="pct"/>
          </w:tcPr>
          <w:p w:rsidR="005052D3" w:rsidRDefault="005052D3">
            <w:pPr>
              <w:tabs>
                <w:tab w:val="left" w:pos="840"/>
              </w:tabs>
              <w:spacing w:after="120" w:line="320" w:lineRule="atLeast"/>
              <w:jc w:val="right"/>
              <w:rPr>
                <w:sz w:val="18"/>
              </w:rPr>
            </w:pPr>
            <w:r>
              <w:rPr>
                <w:sz w:val="18"/>
              </w:rPr>
              <w:t>90</w:t>
            </w:r>
          </w:p>
        </w:tc>
        <w:tc>
          <w:tcPr>
            <w:tcW w:w="353" w:type="pct"/>
          </w:tcPr>
          <w:p w:rsidR="005052D3" w:rsidRDefault="005052D3">
            <w:pPr>
              <w:tabs>
                <w:tab w:val="left" w:pos="840"/>
              </w:tabs>
              <w:spacing w:after="120" w:line="320" w:lineRule="atLeast"/>
              <w:jc w:val="right"/>
              <w:rPr>
                <w:sz w:val="18"/>
              </w:rPr>
            </w:pPr>
            <w:r>
              <w:rPr>
                <w:sz w:val="18"/>
              </w:rPr>
              <w:t>68</w:t>
            </w:r>
          </w:p>
        </w:tc>
        <w:tc>
          <w:tcPr>
            <w:tcW w:w="257" w:type="pct"/>
          </w:tcPr>
          <w:p w:rsidR="005052D3" w:rsidRDefault="005052D3">
            <w:pPr>
              <w:tabs>
                <w:tab w:val="left" w:pos="840"/>
              </w:tabs>
              <w:spacing w:after="120" w:line="320" w:lineRule="atLeast"/>
              <w:jc w:val="right"/>
              <w:rPr>
                <w:sz w:val="18"/>
              </w:rPr>
            </w:pPr>
            <w:r>
              <w:rPr>
                <w:sz w:val="18"/>
              </w:rPr>
              <w:t>75</w:t>
            </w:r>
          </w:p>
        </w:tc>
        <w:tc>
          <w:tcPr>
            <w:tcW w:w="364" w:type="pct"/>
          </w:tcPr>
          <w:p w:rsidR="005052D3" w:rsidRDefault="005052D3">
            <w:pPr>
              <w:tabs>
                <w:tab w:val="left" w:pos="840"/>
              </w:tabs>
              <w:spacing w:after="120" w:line="320" w:lineRule="atLeast"/>
              <w:jc w:val="right"/>
              <w:rPr>
                <w:sz w:val="18"/>
              </w:rPr>
            </w:pPr>
            <w:r>
              <w:rPr>
                <w:sz w:val="18"/>
              </w:rPr>
              <w:t>22</w:t>
            </w:r>
          </w:p>
        </w:tc>
        <w:tc>
          <w:tcPr>
            <w:tcW w:w="202" w:type="pct"/>
          </w:tcPr>
          <w:p w:rsidR="005052D3" w:rsidRDefault="005052D3">
            <w:pPr>
              <w:tabs>
                <w:tab w:val="left" w:pos="840"/>
              </w:tabs>
              <w:spacing w:after="120" w:line="320" w:lineRule="atLeast"/>
              <w:jc w:val="right"/>
              <w:rPr>
                <w:sz w:val="18"/>
              </w:rPr>
            </w:pPr>
            <w:r>
              <w:rPr>
                <w:sz w:val="18"/>
              </w:rPr>
              <w:t>24</w:t>
            </w:r>
          </w:p>
        </w:tc>
        <w:tc>
          <w:tcPr>
            <w:tcW w:w="350" w:type="pct"/>
          </w:tcPr>
          <w:p w:rsidR="005052D3" w:rsidRDefault="005052D3">
            <w:pPr>
              <w:tabs>
                <w:tab w:val="left" w:pos="840"/>
              </w:tabs>
              <w:spacing w:after="120" w:line="320" w:lineRule="atLeast"/>
              <w:jc w:val="right"/>
              <w:rPr>
                <w:sz w:val="18"/>
              </w:rPr>
            </w:pPr>
            <w:r>
              <w:rPr>
                <w:sz w:val="18"/>
              </w:rPr>
              <w:t>93</w:t>
            </w:r>
          </w:p>
        </w:tc>
        <w:tc>
          <w:tcPr>
            <w:tcW w:w="365" w:type="pct"/>
          </w:tcPr>
          <w:p w:rsidR="005052D3" w:rsidRDefault="005052D3">
            <w:pPr>
              <w:tabs>
                <w:tab w:val="left" w:pos="840"/>
              </w:tabs>
              <w:spacing w:after="120" w:line="320" w:lineRule="atLeast"/>
              <w:jc w:val="right"/>
              <w:rPr>
                <w:sz w:val="18"/>
              </w:rPr>
            </w:pPr>
            <w:r>
              <w:rPr>
                <w:sz w:val="18"/>
              </w:rPr>
              <w:t>70</w:t>
            </w:r>
          </w:p>
        </w:tc>
        <w:tc>
          <w:tcPr>
            <w:tcW w:w="214" w:type="pct"/>
          </w:tcPr>
          <w:p w:rsidR="005052D3" w:rsidRDefault="005052D3">
            <w:pPr>
              <w:tabs>
                <w:tab w:val="left" w:pos="840"/>
              </w:tabs>
              <w:spacing w:after="120" w:line="320" w:lineRule="atLeast"/>
              <w:jc w:val="right"/>
              <w:rPr>
                <w:sz w:val="18"/>
              </w:rPr>
            </w:pPr>
            <w:r>
              <w:rPr>
                <w:sz w:val="18"/>
              </w:rPr>
              <w:t>75</w:t>
            </w:r>
          </w:p>
        </w:tc>
        <w:tc>
          <w:tcPr>
            <w:tcW w:w="395" w:type="pct"/>
          </w:tcPr>
          <w:p w:rsidR="005052D3" w:rsidRDefault="005052D3">
            <w:pPr>
              <w:tabs>
                <w:tab w:val="left" w:pos="840"/>
              </w:tabs>
              <w:spacing w:after="120" w:line="320" w:lineRule="atLeast"/>
              <w:jc w:val="right"/>
              <w:rPr>
                <w:sz w:val="18"/>
              </w:rPr>
            </w:pPr>
            <w:r>
              <w:rPr>
                <w:sz w:val="18"/>
              </w:rPr>
              <w:t>23</w:t>
            </w:r>
          </w:p>
        </w:tc>
        <w:tc>
          <w:tcPr>
            <w:tcW w:w="226" w:type="pct"/>
          </w:tcPr>
          <w:p w:rsidR="005052D3" w:rsidRDefault="005052D3">
            <w:pPr>
              <w:tabs>
                <w:tab w:val="left" w:pos="840"/>
              </w:tabs>
              <w:spacing w:after="120" w:line="320" w:lineRule="atLeast"/>
              <w:jc w:val="right"/>
              <w:rPr>
                <w:sz w:val="18"/>
              </w:rPr>
            </w:pPr>
            <w:r>
              <w:rPr>
                <w:sz w:val="18"/>
              </w:rPr>
              <w:t>25</w:t>
            </w:r>
          </w:p>
        </w:tc>
        <w:tc>
          <w:tcPr>
            <w:tcW w:w="373" w:type="pct"/>
          </w:tcPr>
          <w:p w:rsidR="005052D3" w:rsidRDefault="005052D3">
            <w:pPr>
              <w:tabs>
                <w:tab w:val="left" w:pos="840"/>
              </w:tabs>
              <w:spacing w:after="120" w:line="320" w:lineRule="atLeast"/>
              <w:jc w:val="right"/>
              <w:rPr>
                <w:sz w:val="18"/>
              </w:rPr>
            </w:pPr>
            <w:r>
              <w:rPr>
                <w:sz w:val="18"/>
              </w:rPr>
              <w:t>95</w:t>
            </w:r>
          </w:p>
        </w:tc>
        <w:tc>
          <w:tcPr>
            <w:tcW w:w="317" w:type="pct"/>
          </w:tcPr>
          <w:p w:rsidR="005052D3" w:rsidRDefault="005052D3">
            <w:pPr>
              <w:tabs>
                <w:tab w:val="left" w:pos="840"/>
              </w:tabs>
              <w:spacing w:after="120" w:line="320" w:lineRule="atLeast"/>
              <w:jc w:val="right"/>
              <w:rPr>
                <w:sz w:val="18"/>
              </w:rPr>
            </w:pPr>
            <w:r>
              <w:rPr>
                <w:sz w:val="18"/>
              </w:rPr>
              <w:t>73</w:t>
            </w:r>
          </w:p>
        </w:tc>
        <w:tc>
          <w:tcPr>
            <w:tcW w:w="239" w:type="pct"/>
          </w:tcPr>
          <w:p w:rsidR="005052D3" w:rsidRDefault="005052D3">
            <w:pPr>
              <w:tabs>
                <w:tab w:val="left" w:pos="840"/>
              </w:tabs>
              <w:spacing w:after="120" w:line="320" w:lineRule="atLeast"/>
              <w:jc w:val="right"/>
              <w:rPr>
                <w:sz w:val="18"/>
              </w:rPr>
            </w:pPr>
            <w:r>
              <w:rPr>
                <w:sz w:val="18"/>
              </w:rPr>
              <w:t>77</w:t>
            </w:r>
          </w:p>
        </w:tc>
        <w:tc>
          <w:tcPr>
            <w:tcW w:w="309" w:type="pct"/>
          </w:tcPr>
          <w:p w:rsidR="005052D3" w:rsidRDefault="005052D3">
            <w:pPr>
              <w:tabs>
                <w:tab w:val="left" w:pos="840"/>
              </w:tabs>
              <w:spacing w:after="120" w:line="320" w:lineRule="atLeast"/>
              <w:jc w:val="right"/>
              <w:rPr>
                <w:sz w:val="18"/>
              </w:rPr>
            </w:pPr>
            <w:r>
              <w:rPr>
                <w:sz w:val="18"/>
              </w:rPr>
              <w:t>22</w:t>
            </w:r>
          </w:p>
        </w:tc>
        <w:tc>
          <w:tcPr>
            <w:tcW w:w="244" w:type="pct"/>
          </w:tcPr>
          <w:p w:rsidR="005052D3" w:rsidRDefault="005052D3">
            <w:pPr>
              <w:tabs>
                <w:tab w:val="left" w:pos="840"/>
              </w:tabs>
              <w:spacing w:after="120" w:line="320" w:lineRule="atLeast"/>
              <w:jc w:val="right"/>
              <w:rPr>
                <w:sz w:val="18"/>
              </w:rPr>
            </w:pPr>
            <w:r>
              <w:rPr>
                <w:sz w:val="18"/>
              </w:rPr>
              <w:t>23</w:t>
            </w:r>
          </w:p>
        </w:tc>
      </w:tr>
      <w:tr w:rsidR="005052D3">
        <w:tblPrEx>
          <w:tblCellMar>
            <w:top w:w="0" w:type="dxa"/>
            <w:bottom w:w="0" w:type="dxa"/>
          </w:tblCellMar>
        </w:tblPrEx>
        <w:trPr>
          <w:cantSplit/>
        </w:trPr>
        <w:tc>
          <w:tcPr>
            <w:tcW w:w="425" w:type="pct"/>
          </w:tcPr>
          <w:p w:rsidR="005052D3" w:rsidRDefault="005052D3">
            <w:pPr>
              <w:tabs>
                <w:tab w:val="left" w:pos="840"/>
              </w:tabs>
              <w:spacing w:after="120" w:line="320" w:lineRule="atLeast"/>
              <w:rPr>
                <w:sz w:val="18"/>
              </w:rPr>
            </w:pPr>
            <w:r>
              <w:rPr>
                <w:sz w:val="18"/>
              </w:rPr>
              <w:t>Mzuzu</w:t>
            </w:r>
          </w:p>
        </w:tc>
        <w:tc>
          <w:tcPr>
            <w:tcW w:w="365" w:type="pct"/>
          </w:tcPr>
          <w:p w:rsidR="005052D3" w:rsidRDefault="005052D3">
            <w:pPr>
              <w:tabs>
                <w:tab w:val="left" w:pos="840"/>
              </w:tabs>
              <w:spacing w:after="120" w:line="320" w:lineRule="atLeast"/>
              <w:jc w:val="right"/>
              <w:rPr>
                <w:sz w:val="18"/>
              </w:rPr>
            </w:pPr>
            <w:r>
              <w:rPr>
                <w:sz w:val="18"/>
              </w:rPr>
              <w:t>0</w:t>
            </w:r>
          </w:p>
        </w:tc>
        <w:tc>
          <w:tcPr>
            <w:tcW w:w="353" w:type="pct"/>
          </w:tcPr>
          <w:p w:rsidR="005052D3" w:rsidRDefault="005052D3">
            <w:pPr>
              <w:tabs>
                <w:tab w:val="left" w:pos="840"/>
              </w:tabs>
              <w:spacing w:after="120" w:line="320" w:lineRule="atLeast"/>
              <w:jc w:val="right"/>
              <w:rPr>
                <w:sz w:val="18"/>
              </w:rPr>
            </w:pPr>
            <w:r>
              <w:rPr>
                <w:sz w:val="18"/>
              </w:rPr>
              <w:t>0</w:t>
            </w:r>
          </w:p>
        </w:tc>
        <w:tc>
          <w:tcPr>
            <w:tcW w:w="257" w:type="pct"/>
          </w:tcPr>
          <w:p w:rsidR="005052D3" w:rsidRDefault="005052D3">
            <w:pPr>
              <w:tabs>
                <w:tab w:val="left" w:pos="840"/>
              </w:tabs>
              <w:spacing w:after="120" w:line="320" w:lineRule="atLeast"/>
              <w:jc w:val="right"/>
              <w:rPr>
                <w:sz w:val="18"/>
              </w:rPr>
            </w:pPr>
            <w:r>
              <w:rPr>
                <w:sz w:val="18"/>
              </w:rPr>
              <w:t>0</w:t>
            </w:r>
          </w:p>
        </w:tc>
        <w:tc>
          <w:tcPr>
            <w:tcW w:w="364" w:type="pct"/>
          </w:tcPr>
          <w:p w:rsidR="005052D3" w:rsidRDefault="005052D3">
            <w:pPr>
              <w:tabs>
                <w:tab w:val="left" w:pos="840"/>
              </w:tabs>
              <w:spacing w:after="120" w:line="320" w:lineRule="atLeast"/>
              <w:jc w:val="right"/>
              <w:rPr>
                <w:sz w:val="18"/>
              </w:rPr>
            </w:pPr>
            <w:r>
              <w:rPr>
                <w:sz w:val="18"/>
              </w:rPr>
              <w:t>0</w:t>
            </w:r>
          </w:p>
        </w:tc>
        <w:tc>
          <w:tcPr>
            <w:tcW w:w="202" w:type="pct"/>
          </w:tcPr>
          <w:p w:rsidR="005052D3" w:rsidRDefault="005052D3">
            <w:pPr>
              <w:tabs>
                <w:tab w:val="left" w:pos="840"/>
              </w:tabs>
              <w:spacing w:after="120" w:line="320" w:lineRule="atLeast"/>
              <w:jc w:val="right"/>
              <w:rPr>
                <w:sz w:val="18"/>
              </w:rPr>
            </w:pPr>
            <w:r>
              <w:rPr>
                <w:sz w:val="18"/>
              </w:rPr>
              <w:t>0</w:t>
            </w:r>
          </w:p>
        </w:tc>
        <w:tc>
          <w:tcPr>
            <w:tcW w:w="350" w:type="pct"/>
          </w:tcPr>
          <w:p w:rsidR="005052D3" w:rsidRDefault="005052D3">
            <w:pPr>
              <w:tabs>
                <w:tab w:val="left" w:pos="840"/>
              </w:tabs>
              <w:spacing w:after="120" w:line="320" w:lineRule="atLeast"/>
              <w:jc w:val="right"/>
              <w:rPr>
                <w:sz w:val="18"/>
              </w:rPr>
            </w:pPr>
            <w:r>
              <w:rPr>
                <w:sz w:val="18"/>
              </w:rPr>
              <w:t>0</w:t>
            </w:r>
          </w:p>
        </w:tc>
        <w:tc>
          <w:tcPr>
            <w:tcW w:w="365" w:type="pct"/>
          </w:tcPr>
          <w:p w:rsidR="005052D3" w:rsidRDefault="005052D3">
            <w:pPr>
              <w:tabs>
                <w:tab w:val="left" w:pos="840"/>
              </w:tabs>
              <w:spacing w:after="120" w:line="320" w:lineRule="atLeast"/>
              <w:jc w:val="right"/>
              <w:rPr>
                <w:sz w:val="18"/>
              </w:rPr>
            </w:pPr>
            <w:r>
              <w:rPr>
                <w:sz w:val="18"/>
              </w:rPr>
              <w:t>0</w:t>
            </w:r>
          </w:p>
        </w:tc>
        <w:tc>
          <w:tcPr>
            <w:tcW w:w="214" w:type="pct"/>
          </w:tcPr>
          <w:p w:rsidR="005052D3" w:rsidRDefault="005052D3">
            <w:pPr>
              <w:tabs>
                <w:tab w:val="left" w:pos="840"/>
              </w:tabs>
              <w:spacing w:after="120" w:line="320" w:lineRule="atLeast"/>
              <w:jc w:val="right"/>
              <w:rPr>
                <w:sz w:val="18"/>
              </w:rPr>
            </w:pPr>
            <w:r>
              <w:rPr>
                <w:sz w:val="18"/>
              </w:rPr>
              <w:t>0</w:t>
            </w:r>
          </w:p>
        </w:tc>
        <w:tc>
          <w:tcPr>
            <w:tcW w:w="395" w:type="pct"/>
          </w:tcPr>
          <w:p w:rsidR="005052D3" w:rsidRDefault="005052D3">
            <w:pPr>
              <w:tabs>
                <w:tab w:val="left" w:pos="840"/>
              </w:tabs>
              <w:spacing w:after="120" w:line="320" w:lineRule="atLeast"/>
              <w:jc w:val="right"/>
              <w:rPr>
                <w:sz w:val="18"/>
              </w:rPr>
            </w:pPr>
            <w:r>
              <w:rPr>
                <w:sz w:val="18"/>
              </w:rPr>
              <w:t>0</w:t>
            </w:r>
          </w:p>
        </w:tc>
        <w:tc>
          <w:tcPr>
            <w:tcW w:w="226" w:type="pct"/>
          </w:tcPr>
          <w:p w:rsidR="005052D3" w:rsidRDefault="005052D3">
            <w:pPr>
              <w:tabs>
                <w:tab w:val="left" w:pos="840"/>
              </w:tabs>
              <w:spacing w:after="120" w:line="320" w:lineRule="atLeast"/>
              <w:jc w:val="right"/>
              <w:rPr>
                <w:sz w:val="18"/>
              </w:rPr>
            </w:pPr>
            <w:r>
              <w:rPr>
                <w:sz w:val="18"/>
              </w:rPr>
              <w:t>0</w:t>
            </w:r>
          </w:p>
        </w:tc>
        <w:tc>
          <w:tcPr>
            <w:tcW w:w="373" w:type="pct"/>
          </w:tcPr>
          <w:p w:rsidR="005052D3" w:rsidRDefault="005052D3">
            <w:pPr>
              <w:tabs>
                <w:tab w:val="left" w:pos="840"/>
              </w:tabs>
              <w:spacing w:after="120" w:line="320" w:lineRule="atLeast"/>
              <w:jc w:val="right"/>
              <w:rPr>
                <w:sz w:val="18"/>
              </w:rPr>
            </w:pPr>
            <w:r>
              <w:rPr>
                <w:sz w:val="18"/>
              </w:rPr>
              <w:t>194</w:t>
            </w:r>
          </w:p>
        </w:tc>
        <w:tc>
          <w:tcPr>
            <w:tcW w:w="317" w:type="pct"/>
          </w:tcPr>
          <w:p w:rsidR="005052D3" w:rsidRDefault="005052D3">
            <w:pPr>
              <w:tabs>
                <w:tab w:val="left" w:pos="840"/>
              </w:tabs>
              <w:spacing w:after="120" w:line="320" w:lineRule="atLeast"/>
              <w:jc w:val="right"/>
              <w:rPr>
                <w:sz w:val="18"/>
              </w:rPr>
            </w:pPr>
            <w:r>
              <w:rPr>
                <w:sz w:val="18"/>
              </w:rPr>
              <w:t>152</w:t>
            </w:r>
          </w:p>
        </w:tc>
        <w:tc>
          <w:tcPr>
            <w:tcW w:w="239" w:type="pct"/>
          </w:tcPr>
          <w:p w:rsidR="005052D3" w:rsidRDefault="005052D3">
            <w:pPr>
              <w:tabs>
                <w:tab w:val="left" w:pos="840"/>
              </w:tabs>
              <w:spacing w:after="120" w:line="320" w:lineRule="atLeast"/>
              <w:jc w:val="right"/>
              <w:rPr>
                <w:sz w:val="18"/>
              </w:rPr>
            </w:pPr>
            <w:r>
              <w:rPr>
                <w:sz w:val="18"/>
              </w:rPr>
              <w:t>78</w:t>
            </w:r>
          </w:p>
        </w:tc>
        <w:tc>
          <w:tcPr>
            <w:tcW w:w="309" w:type="pct"/>
          </w:tcPr>
          <w:p w:rsidR="005052D3" w:rsidRDefault="005052D3">
            <w:pPr>
              <w:tabs>
                <w:tab w:val="left" w:pos="840"/>
              </w:tabs>
              <w:spacing w:after="120" w:line="320" w:lineRule="atLeast"/>
              <w:jc w:val="right"/>
              <w:rPr>
                <w:sz w:val="18"/>
              </w:rPr>
            </w:pPr>
            <w:r>
              <w:rPr>
                <w:sz w:val="18"/>
              </w:rPr>
              <w:t>42</w:t>
            </w:r>
          </w:p>
        </w:tc>
        <w:tc>
          <w:tcPr>
            <w:tcW w:w="244" w:type="pct"/>
          </w:tcPr>
          <w:p w:rsidR="005052D3" w:rsidRDefault="005052D3">
            <w:pPr>
              <w:tabs>
                <w:tab w:val="left" w:pos="840"/>
              </w:tabs>
              <w:spacing w:after="120" w:line="320" w:lineRule="atLeast"/>
              <w:jc w:val="right"/>
              <w:rPr>
                <w:sz w:val="18"/>
              </w:rPr>
            </w:pPr>
            <w:r>
              <w:rPr>
                <w:sz w:val="18"/>
              </w:rPr>
              <w:t>22</w:t>
            </w:r>
          </w:p>
        </w:tc>
      </w:tr>
      <w:tr w:rsidR="005052D3">
        <w:tblPrEx>
          <w:tblCellMar>
            <w:top w:w="0" w:type="dxa"/>
            <w:bottom w:w="0" w:type="dxa"/>
          </w:tblCellMar>
        </w:tblPrEx>
        <w:trPr>
          <w:cantSplit/>
        </w:trPr>
        <w:tc>
          <w:tcPr>
            <w:tcW w:w="425" w:type="pct"/>
          </w:tcPr>
          <w:p w:rsidR="005052D3" w:rsidRDefault="005052D3">
            <w:pPr>
              <w:tabs>
                <w:tab w:val="left" w:pos="840"/>
              </w:tabs>
              <w:spacing w:after="120" w:line="320" w:lineRule="atLeast"/>
              <w:rPr>
                <w:rFonts w:hint="eastAsia"/>
                <w:sz w:val="18"/>
              </w:rPr>
            </w:pPr>
            <w:r>
              <w:rPr>
                <w:rFonts w:hint="eastAsia"/>
                <w:sz w:val="18"/>
              </w:rPr>
              <w:t>理事会</w:t>
            </w:r>
          </w:p>
        </w:tc>
        <w:tc>
          <w:tcPr>
            <w:tcW w:w="365" w:type="pct"/>
          </w:tcPr>
          <w:p w:rsidR="005052D3" w:rsidRDefault="005052D3">
            <w:pPr>
              <w:tabs>
                <w:tab w:val="left" w:pos="840"/>
              </w:tabs>
              <w:spacing w:after="120" w:line="320" w:lineRule="atLeast"/>
              <w:jc w:val="right"/>
              <w:rPr>
                <w:sz w:val="18"/>
              </w:rPr>
            </w:pPr>
            <w:r>
              <w:rPr>
                <w:sz w:val="18"/>
              </w:rPr>
              <w:t>477</w:t>
            </w:r>
          </w:p>
        </w:tc>
        <w:tc>
          <w:tcPr>
            <w:tcW w:w="353" w:type="pct"/>
          </w:tcPr>
          <w:p w:rsidR="005052D3" w:rsidRDefault="005052D3">
            <w:pPr>
              <w:tabs>
                <w:tab w:val="left" w:pos="840"/>
              </w:tabs>
              <w:spacing w:after="120" w:line="320" w:lineRule="atLeast"/>
              <w:jc w:val="right"/>
              <w:rPr>
                <w:sz w:val="18"/>
              </w:rPr>
            </w:pPr>
            <w:r>
              <w:rPr>
                <w:sz w:val="18"/>
              </w:rPr>
              <w:t>378</w:t>
            </w:r>
          </w:p>
        </w:tc>
        <w:tc>
          <w:tcPr>
            <w:tcW w:w="257" w:type="pct"/>
          </w:tcPr>
          <w:p w:rsidR="005052D3" w:rsidRDefault="005052D3">
            <w:pPr>
              <w:tabs>
                <w:tab w:val="left" w:pos="840"/>
              </w:tabs>
              <w:spacing w:after="120" w:line="320" w:lineRule="atLeast"/>
              <w:jc w:val="right"/>
              <w:rPr>
                <w:sz w:val="18"/>
              </w:rPr>
            </w:pPr>
            <w:r>
              <w:rPr>
                <w:sz w:val="18"/>
              </w:rPr>
              <w:t>79</w:t>
            </w:r>
          </w:p>
        </w:tc>
        <w:tc>
          <w:tcPr>
            <w:tcW w:w="364" w:type="pct"/>
          </w:tcPr>
          <w:p w:rsidR="005052D3" w:rsidRDefault="005052D3">
            <w:pPr>
              <w:tabs>
                <w:tab w:val="left" w:pos="840"/>
              </w:tabs>
              <w:spacing w:after="120" w:line="320" w:lineRule="atLeast"/>
              <w:jc w:val="right"/>
              <w:rPr>
                <w:sz w:val="18"/>
              </w:rPr>
            </w:pPr>
            <w:r>
              <w:rPr>
                <w:sz w:val="18"/>
              </w:rPr>
              <w:t>99</w:t>
            </w:r>
          </w:p>
        </w:tc>
        <w:tc>
          <w:tcPr>
            <w:tcW w:w="202" w:type="pct"/>
          </w:tcPr>
          <w:p w:rsidR="005052D3" w:rsidRDefault="005052D3">
            <w:pPr>
              <w:tabs>
                <w:tab w:val="left" w:pos="840"/>
              </w:tabs>
              <w:spacing w:after="120" w:line="320" w:lineRule="atLeast"/>
              <w:jc w:val="right"/>
              <w:rPr>
                <w:sz w:val="18"/>
              </w:rPr>
            </w:pPr>
            <w:r>
              <w:rPr>
                <w:sz w:val="18"/>
              </w:rPr>
              <w:t>21</w:t>
            </w:r>
          </w:p>
        </w:tc>
        <w:tc>
          <w:tcPr>
            <w:tcW w:w="350" w:type="pct"/>
          </w:tcPr>
          <w:p w:rsidR="005052D3" w:rsidRDefault="005052D3">
            <w:pPr>
              <w:tabs>
                <w:tab w:val="left" w:pos="840"/>
              </w:tabs>
              <w:spacing w:after="120" w:line="320" w:lineRule="atLeast"/>
              <w:jc w:val="right"/>
              <w:rPr>
                <w:sz w:val="18"/>
              </w:rPr>
            </w:pPr>
            <w:r>
              <w:rPr>
                <w:sz w:val="18"/>
              </w:rPr>
              <w:t>216</w:t>
            </w:r>
          </w:p>
        </w:tc>
        <w:tc>
          <w:tcPr>
            <w:tcW w:w="365" w:type="pct"/>
          </w:tcPr>
          <w:p w:rsidR="005052D3" w:rsidRDefault="005052D3">
            <w:pPr>
              <w:tabs>
                <w:tab w:val="left" w:pos="840"/>
              </w:tabs>
              <w:spacing w:after="120" w:line="320" w:lineRule="atLeast"/>
              <w:jc w:val="right"/>
              <w:rPr>
                <w:sz w:val="18"/>
              </w:rPr>
            </w:pPr>
            <w:r>
              <w:rPr>
                <w:sz w:val="18"/>
              </w:rPr>
              <w:t>161</w:t>
            </w:r>
          </w:p>
        </w:tc>
        <w:tc>
          <w:tcPr>
            <w:tcW w:w="214" w:type="pct"/>
          </w:tcPr>
          <w:p w:rsidR="005052D3" w:rsidRDefault="005052D3">
            <w:pPr>
              <w:tabs>
                <w:tab w:val="left" w:pos="840"/>
              </w:tabs>
              <w:spacing w:after="120" w:line="320" w:lineRule="atLeast"/>
              <w:jc w:val="right"/>
              <w:rPr>
                <w:sz w:val="18"/>
              </w:rPr>
            </w:pPr>
            <w:r>
              <w:rPr>
                <w:sz w:val="18"/>
              </w:rPr>
              <w:t>75</w:t>
            </w:r>
          </w:p>
        </w:tc>
        <w:tc>
          <w:tcPr>
            <w:tcW w:w="395" w:type="pct"/>
          </w:tcPr>
          <w:p w:rsidR="005052D3" w:rsidRDefault="005052D3">
            <w:pPr>
              <w:tabs>
                <w:tab w:val="left" w:pos="840"/>
              </w:tabs>
              <w:spacing w:after="120" w:line="320" w:lineRule="atLeast"/>
              <w:jc w:val="right"/>
              <w:rPr>
                <w:sz w:val="18"/>
              </w:rPr>
            </w:pPr>
            <w:r>
              <w:rPr>
                <w:sz w:val="18"/>
              </w:rPr>
              <w:t>55</w:t>
            </w:r>
          </w:p>
        </w:tc>
        <w:tc>
          <w:tcPr>
            <w:tcW w:w="226" w:type="pct"/>
          </w:tcPr>
          <w:p w:rsidR="005052D3" w:rsidRDefault="005052D3">
            <w:pPr>
              <w:tabs>
                <w:tab w:val="left" w:pos="840"/>
              </w:tabs>
              <w:spacing w:after="120" w:line="320" w:lineRule="atLeast"/>
              <w:jc w:val="right"/>
              <w:rPr>
                <w:sz w:val="18"/>
              </w:rPr>
            </w:pPr>
            <w:r>
              <w:rPr>
                <w:sz w:val="18"/>
              </w:rPr>
              <w:t>25</w:t>
            </w:r>
          </w:p>
        </w:tc>
        <w:tc>
          <w:tcPr>
            <w:tcW w:w="373" w:type="pct"/>
          </w:tcPr>
          <w:p w:rsidR="005052D3" w:rsidRDefault="005052D3">
            <w:pPr>
              <w:tabs>
                <w:tab w:val="left" w:pos="840"/>
              </w:tabs>
              <w:spacing w:after="120" w:line="320" w:lineRule="atLeast"/>
              <w:jc w:val="right"/>
              <w:rPr>
                <w:sz w:val="18"/>
              </w:rPr>
            </w:pPr>
            <w:r>
              <w:rPr>
                <w:sz w:val="18"/>
              </w:rPr>
              <w:t>390</w:t>
            </w:r>
          </w:p>
        </w:tc>
        <w:tc>
          <w:tcPr>
            <w:tcW w:w="317" w:type="pct"/>
          </w:tcPr>
          <w:p w:rsidR="005052D3" w:rsidRDefault="005052D3">
            <w:pPr>
              <w:tabs>
                <w:tab w:val="left" w:pos="840"/>
              </w:tabs>
              <w:spacing w:after="120" w:line="320" w:lineRule="atLeast"/>
              <w:jc w:val="right"/>
              <w:rPr>
                <w:sz w:val="18"/>
              </w:rPr>
            </w:pPr>
            <w:r>
              <w:rPr>
                <w:sz w:val="18"/>
              </w:rPr>
              <w:t>274</w:t>
            </w:r>
          </w:p>
        </w:tc>
        <w:tc>
          <w:tcPr>
            <w:tcW w:w="239" w:type="pct"/>
          </w:tcPr>
          <w:p w:rsidR="005052D3" w:rsidRDefault="005052D3">
            <w:pPr>
              <w:tabs>
                <w:tab w:val="left" w:pos="840"/>
              </w:tabs>
              <w:spacing w:after="120" w:line="320" w:lineRule="atLeast"/>
              <w:jc w:val="right"/>
              <w:rPr>
                <w:sz w:val="18"/>
              </w:rPr>
            </w:pPr>
            <w:r>
              <w:rPr>
                <w:sz w:val="18"/>
              </w:rPr>
              <w:t>70</w:t>
            </w:r>
          </w:p>
        </w:tc>
        <w:tc>
          <w:tcPr>
            <w:tcW w:w="309" w:type="pct"/>
          </w:tcPr>
          <w:p w:rsidR="005052D3" w:rsidRDefault="005052D3">
            <w:pPr>
              <w:tabs>
                <w:tab w:val="left" w:pos="840"/>
              </w:tabs>
              <w:spacing w:after="120" w:line="320" w:lineRule="atLeast"/>
              <w:jc w:val="right"/>
              <w:rPr>
                <w:sz w:val="18"/>
              </w:rPr>
            </w:pPr>
            <w:r>
              <w:rPr>
                <w:sz w:val="18"/>
              </w:rPr>
              <w:t>116</w:t>
            </w:r>
          </w:p>
        </w:tc>
        <w:tc>
          <w:tcPr>
            <w:tcW w:w="244" w:type="pct"/>
          </w:tcPr>
          <w:p w:rsidR="005052D3" w:rsidRDefault="005052D3">
            <w:pPr>
              <w:tabs>
                <w:tab w:val="left" w:pos="840"/>
              </w:tabs>
              <w:spacing w:after="120" w:line="320" w:lineRule="atLeast"/>
              <w:jc w:val="right"/>
              <w:rPr>
                <w:sz w:val="18"/>
              </w:rPr>
            </w:pPr>
            <w:r>
              <w:rPr>
                <w:sz w:val="18"/>
              </w:rPr>
              <w:t>30</w:t>
            </w:r>
          </w:p>
        </w:tc>
      </w:tr>
      <w:tr w:rsidR="005052D3">
        <w:tblPrEx>
          <w:tblCellMar>
            <w:top w:w="0" w:type="dxa"/>
            <w:bottom w:w="0" w:type="dxa"/>
          </w:tblCellMar>
        </w:tblPrEx>
        <w:trPr>
          <w:cantSplit/>
        </w:trPr>
        <w:tc>
          <w:tcPr>
            <w:tcW w:w="425" w:type="pct"/>
          </w:tcPr>
          <w:p w:rsidR="005052D3" w:rsidRDefault="005052D3">
            <w:pPr>
              <w:tabs>
                <w:tab w:val="left" w:pos="840"/>
              </w:tabs>
              <w:spacing w:after="120" w:line="320" w:lineRule="atLeast"/>
              <w:rPr>
                <w:rFonts w:hint="eastAsia"/>
                <w:sz w:val="18"/>
              </w:rPr>
            </w:pPr>
            <w:r>
              <w:rPr>
                <w:rFonts w:hint="eastAsia"/>
                <w:sz w:val="18"/>
              </w:rPr>
              <w:t>总计</w:t>
            </w:r>
          </w:p>
        </w:tc>
        <w:tc>
          <w:tcPr>
            <w:tcW w:w="365" w:type="pct"/>
          </w:tcPr>
          <w:p w:rsidR="005052D3" w:rsidRDefault="005052D3">
            <w:pPr>
              <w:tabs>
                <w:tab w:val="left" w:pos="840"/>
              </w:tabs>
              <w:spacing w:after="120" w:line="320" w:lineRule="atLeast"/>
              <w:jc w:val="right"/>
              <w:rPr>
                <w:sz w:val="18"/>
              </w:rPr>
            </w:pPr>
            <w:r>
              <w:rPr>
                <w:sz w:val="18"/>
              </w:rPr>
              <w:t>4</w:t>
            </w:r>
            <w:r>
              <w:rPr>
                <w:rFonts w:hint="eastAsia"/>
                <w:sz w:val="18"/>
              </w:rPr>
              <w:t xml:space="preserve"> </w:t>
            </w:r>
            <w:r>
              <w:rPr>
                <w:sz w:val="18"/>
              </w:rPr>
              <w:t>124</w:t>
            </w:r>
          </w:p>
        </w:tc>
        <w:tc>
          <w:tcPr>
            <w:tcW w:w="353" w:type="pct"/>
          </w:tcPr>
          <w:p w:rsidR="005052D3" w:rsidRDefault="005052D3">
            <w:pPr>
              <w:tabs>
                <w:tab w:val="left" w:pos="840"/>
              </w:tabs>
              <w:spacing w:after="120" w:line="320" w:lineRule="atLeast"/>
              <w:jc w:val="right"/>
              <w:rPr>
                <w:sz w:val="18"/>
              </w:rPr>
            </w:pPr>
            <w:r>
              <w:rPr>
                <w:sz w:val="18"/>
              </w:rPr>
              <w:t>2</w:t>
            </w:r>
            <w:r>
              <w:rPr>
                <w:rFonts w:hint="eastAsia"/>
                <w:sz w:val="18"/>
              </w:rPr>
              <w:t xml:space="preserve"> </w:t>
            </w:r>
            <w:r>
              <w:rPr>
                <w:sz w:val="18"/>
              </w:rPr>
              <w:t>960</w:t>
            </w:r>
          </w:p>
        </w:tc>
        <w:tc>
          <w:tcPr>
            <w:tcW w:w="257" w:type="pct"/>
          </w:tcPr>
          <w:p w:rsidR="005052D3" w:rsidRDefault="005052D3">
            <w:pPr>
              <w:tabs>
                <w:tab w:val="left" w:pos="840"/>
              </w:tabs>
              <w:spacing w:after="120" w:line="320" w:lineRule="atLeast"/>
              <w:jc w:val="right"/>
              <w:rPr>
                <w:sz w:val="18"/>
              </w:rPr>
            </w:pPr>
            <w:r>
              <w:rPr>
                <w:sz w:val="18"/>
              </w:rPr>
              <w:t>72</w:t>
            </w:r>
          </w:p>
        </w:tc>
        <w:tc>
          <w:tcPr>
            <w:tcW w:w="364" w:type="pct"/>
          </w:tcPr>
          <w:p w:rsidR="005052D3" w:rsidRDefault="005052D3">
            <w:pPr>
              <w:tabs>
                <w:tab w:val="left" w:pos="840"/>
              </w:tabs>
              <w:spacing w:after="120" w:line="320" w:lineRule="atLeast"/>
              <w:jc w:val="right"/>
              <w:rPr>
                <w:sz w:val="18"/>
              </w:rPr>
            </w:pPr>
            <w:r>
              <w:rPr>
                <w:sz w:val="18"/>
              </w:rPr>
              <w:t>1</w:t>
            </w:r>
            <w:r>
              <w:rPr>
                <w:rFonts w:hint="eastAsia"/>
                <w:sz w:val="18"/>
              </w:rPr>
              <w:t xml:space="preserve"> </w:t>
            </w:r>
            <w:r>
              <w:rPr>
                <w:sz w:val="18"/>
              </w:rPr>
              <w:t>164</w:t>
            </w:r>
          </w:p>
        </w:tc>
        <w:tc>
          <w:tcPr>
            <w:tcW w:w="202" w:type="pct"/>
          </w:tcPr>
          <w:p w:rsidR="005052D3" w:rsidRDefault="005052D3">
            <w:pPr>
              <w:tabs>
                <w:tab w:val="left" w:pos="840"/>
              </w:tabs>
              <w:spacing w:after="120" w:line="320" w:lineRule="atLeast"/>
              <w:jc w:val="right"/>
              <w:rPr>
                <w:sz w:val="18"/>
              </w:rPr>
            </w:pPr>
            <w:r>
              <w:rPr>
                <w:sz w:val="18"/>
              </w:rPr>
              <w:t>28</w:t>
            </w:r>
          </w:p>
        </w:tc>
        <w:tc>
          <w:tcPr>
            <w:tcW w:w="350" w:type="pct"/>
          </w:tcPr>
          <w:p w:rsidR="005052D3" w:rsidRDefault="005052D3">
            <w:pPr>
              <w:tabs>
                <w:tab w:val="left" w:pos="840"/>
              </w:tabs>
              <w:spacing w:after="120" w:line="320" w:lineRule="atLeast"/>
              <w:jc w:val="right"/>
              <w:rPr>
                <w:sz w:val="18"/>
              </w:rPr>
            </w:pPr>
            <w:r>
              <w:rPr>
                <w:sz w:val="18"/>
              </w:rPr>
              <w:t>3</w:t>
            </w:r>
            <w:r>
              <w:rPr>
                <w:rFonts w:hint="eastAsia"/>
                <w:sz w:val="18"/>
              </w:rPr>
              <w:t xml:space="preserve"> </w:t>
            </w:r>
            <w:r>
              <w:rPr>
                <w:sz w:val="18"/>
              </w:rPr>
              <w:t>179</w:t>
            </w:r>
          </w:p>
        </w:tc>
        <w:tc>
          <w:tcPr>
            <w:tcW w:w="365" w:type="pct"/>
          </w:tcPr>
          <w:p w:rsidR="005052D3" w:rsidRDefault="005052D3">
            <w:pPr>
              <w:tabs>
                <w:tab w:val="left" w:pos="840"/>
              </w:tabs>
              <w:spacing w:after="120" w:line="320" w:lineRule="atLeast"/>
              <w:jc w:val="right"/>
              <w:rPr>
                <w:sz w:val="18"/>
              </w:rPr>
            </w:pPr>
            <w:r>
              <w:rPr>
                <w:sz w:val="18"/>
              </w:rPr>
              <w:t>2</w:t>
            </w:r>
            <w:r>
              <w:rPr>
                <w:rFonts w:hint="eastAsia"/>
                <w:sz w:val="18"/>
              </w:rPr>
              <w:t xml:space="preserve"> </w:t>
            </w:r>
            <w:r>
              <w:rPr>
                <w:sz w:val="18"/>
              </w:rPr>
              <w:t>303</w:t>
            </w:r>
          </w:p>
        </w:tc>
        <w:tc>
          <w:tcPr>
            <w:tcW w:w="214" w:type="pct"/>
          </w:tcPr>
          <w:p w:rsidR="005052D3" w:rsidRDefault="005052D3">
            <w:pPr>
              <w:tabs>
                <w:tab w:val="left" w:pos="840"/>
              </w:tabs>
              <w:spacing w:after="120" w:line="320" w:lineRule="atLeast"/>
              <w:jc w:val="right"/>
              <w:rPr>
                <w:sz w:val="18"/>
              </w:rPr>
            </w:pPr>
            <w:r>
              <w:rPr>
                <w:sz w:val="18"/>
              </w:rPr>
              <w:t>72</w:t>
            </w:r>
          </w:p>
        </w:tc>
        <w:tc>
          <w:tcPr>
            <w:tcW w:w="395" w:type="pct"/>
          </w:tcPr>
          <w:p w:rsidR="005052D3" w:rsidRDefault="005052D3">
            <w:pPr>
              <w:tabs>
                <w:tab w:val="left" w:pos="840"/>
              </w:tabs>
              <w:spacing w:after="120" w:line="320" w:lineRule="atLeast"/>
              <w:jc w:val="right"/>
              <w:rPr>
                <w:sz w:val="18"/>
              </w:rPr>
            </w:pPr>
            <w:r>
              <w:rPr>
                <w:sz w:val="18"/>
              </w:rPr>
              <w:t>876</w:t>
            </w:r>
          </w:p>
        </w:tc>
        <w:tc>
          <w:tcPr>
            <w:tcW w:w="226" w:type="pct"/>
          </w:tcPr>
          <w:p w:rsidR="005052D3" w:rsidRDefault="005052D3">
            <w:pPr>
              <w:tabs>
                <w:tab w:val="left" w:pos="840"/>
              </w:tabs>
              <w:spacing w:after="120" w:line="320" w:lineRule="atLeast"/>
              <w:jc w:val="right"/>
              <w:rPr>
                <w:sz w:val="18"/>
              </w:rPr>
            </w:pPr>
            <w:r>
              <w:rPr>
                <w:sz w:val="18"/>
              </w:rPr>
              <w:t>28</w:t>
            </w:r>
          </w:p>
        </w:tc>
        <w:tc>
          <w:tcPr>
            <w:tcW w:w="373" w:type="pct"/>
          </w:tcPr>
          <w:p w:rsidR="005052D3" w:rsidRDefault="005052D3">
            <w:pPr>
              <w:tabs>
                <w:tab w:val="left" w:pos="840"/>
              </w:tabs>
              <w:spacing w:after="120" w:line="320" w:lineRule="atLeast"/>
              <w:jc w:val="right"/>
              <w:rPr>
                <w:sz w:val="18"/>
              </w:rPr>
            </w:pPr>
            <w:r>
              <w:rPr>
                <w:sz w:val="18"/>
              </w:rPr>
              <w:t>3</w:t>
            </w:r>
            <w:r>
              <w:rPr>
                <w:rFonts w:hint="eastAsia"/>
                <w:sz w:val="18"/>
              </w:rPr>
              <w:t xml:space="preserve"> </w:t>
            </w:r>
            <w:r>
              <w:rPr>
                <w:sz w:val="18"/>
              </w:rPr>
              <w:t>527</w:t>
            </w:r>
          </w:p>
        </w:tc>
        <w:tc>
          <w:tcPr>
            <w:tcW w:w="317" w:type="pct"/>
          </w:tcPr>
          <w:p w:rsidR="005052D3" w:rsidRDefault="005052D3">
            <w:pPr>
              <w:tabs>
                <w:tab w:val="left" w:pos="840"/>
              </w:tabs>
              <w:spacing w:after="120" w:line="320" w:lineRule="atLeast"/>
              <w:jc w:val="right"/>
              <w:rPr>
                <w:sz w:val="18"/>
              </w:rPr>
            </w:pPr>
            <w:r>
              <w:rPr>
                <w:sz w:val="18"/>
              </w:rPr>
              <w:t>2</w:t>
            </w:r>
            <w:r>
              <w:rPr>
                <w:rFonts w:hint="eastAsia"/>
                <w:sz w:val="18"/>
              </w:rPr>
              <w:t xml:space="preserve"> </w:t>
            </w:r>
            <w:r>
              <w:rPr>
                <w:sz w:val="18"/>
              </w:rPr>
              <w:t>632</w:t>
            </w:r>
          </w:p>
        </w:tc>
        <w:tc>
          <w:tcPr>
            <w:tcW w:w="239" w:type="pct"/>
          </w:tcPr>
          <w:p w:rsidR="005052D3" w:rsidRDefault="005052D3">
            <w:pPr>
              <w:tabs>
                <w:tab w:val="left" w:pos="840"/>
              </w:tabs>
              <w:spacing w:after="120" w:line="320" w:lineRule="atLeast"/>
              <w:jc w:val="right"/>
              <w:rPr>
                <w:sz w:val="18"/>
              </w:rPr>
            </w:pPr>
            <w:r>
              <w:rPr>
                <w:sz w:val="18"/>
              </w:rPr>
              <w:t>75</w:t>
            </w:r>
          </w:p>
        </w:tc>
        <w:tc>
          <w:tcPr>
            <w:tcW w:w="309" w:type="pct"/>
          </w:tcPr>
          <w:p w:rsidR="005052D3" w:rsidRDefault="005052D3">
            <w:pPr>
              <w:tabs>
                <w:tab w:val="left" w:pos="840"/>
              </w:tabs>
              <w:spacing w:after="120" w:line="320" w:lineRule="atLeast"/>
              <w:jc w:val="right"/>
              <w:rPr>
                <w:sz w:val="18"/>
              </w:rPr>
            </w:pPr>
            <w:r>
              <w:rPr>
                <w:sz w:val="18"/>
              </w:rPr>
              <w:t>895</w:t>
            </w:r>
          </w:p>
        </w:tc>
        <w:tc>
          <w:tcPr>
            <w:tcW w:w="244" w:type="pct"/>
          </w:tcPr>
          <w:p w:rsidR="005052D3" w:rsidRDefault="005052D3">
            <w:pPr>
              <w:tabs>
                <w:tab w:val="left" w:pos="840"/>
              </w:tabs>
              <w:spacing w:after="120" w:line="320" w:lineRule="atLeast"/>
              <w:jc w:val="right"/>
              <w:rPr>
                <w:sz w:val="18"/>
              </w:rPr>
            </w:pPr>
            <w:r>
              <w:rPr>
                <w:sz w:val="18"/>
              </w:rPr>
              <w:t>25</w:t>
            </w:r>
          </w:p>
        </w:tc>
      </w:tr>
    </w:tbl>
    <w:p w:rsidR="005052D3" w:rsidRDefault="005052D3">
      <w:pPr>
        <w:pStyle w:val="Date"/>
        <w:tabs>
          <w:tab w:val="left" w:pos="840"/>
        </w:tabs>
        <w:spacing w:line="360" w:lineRule="atLeast"/>
      </w:pPr>
    </w:p>
    <w:p w:rsidR="005052D3" w:rsidRDefault="005052D3">
      <w:pPr>
        <w:tabs>
          <w:tab w:val="left" w:pos="840"/>
        </w:tabs>
        <w:spacing w:after="240" w:line="360" w:lineRule="atLeast"/>
        <w:ind w:left="862"/>
        <w:rPr>
          <w:rFonts w:eastAsia="SimHei"/>
          <w:bCs/>
          <w:color w:val="FF0000"/>
        </w:rPr>
      </w:pPr>
      <w:r>
        <w:rPr>
          <w:rFonts w:eastAsia="SimHei"/>
          <w:bCs/>
          <w:color w:val="FF0000"/>
        </w:rPr>
        <w:tab/>
        <w:t xml:space="preserve">10.4  </w:t>
      </w:r>
      <w:r>
        <w:rPr>
          <w:rFonts w:eastAsia="SimHei" w:hint="eastAsia"/>
          <w:bCs/>
          <w:color w:val="FF0000"/>
        </w:rPr>
        <w:t>教育内容和性别定型观念</w:t>
      </w:r>
    </w:p>
    <w:p w:rsidR="005052D3" w:rsidRDefault="005052D3">
      <w:pPr>
        <w:pStyle w:val="SingleTxt"/>
      </w:pPr>
      <w:r>
        <w:t xml:space="preserve">10.4.1  </w:t>
      </w:r>
      <w:r>
        <w:rPr>
          <w:rFonts w:hint="eastAsia"/>
        </w:rPr>
        <w:t>政府试图通过课程消除性别的定型观念。1992年，马拉维政府开展了适合不同性别的课程计划，把性别意识融入小学和教师培训课程的性别意识当中。小学教师的教科书已经进行审核，使他们对性别问题变得敏感。中小学的课程不仅考虑到性别问题，还考虑到艾滋病毒和艾滋病以及人口研究问题。课程还包括计划生育和健康的主题。最近，还开展一些讨论，旨在把人权教育问题看成社会研究课程的一部分。</w:t>
      </w:r>
    </w:p>
    <w:p w:rsidR="005052D3" w:rsidRDefault="005052D3">
      <w:pPr>
        <w:pStyle w:val="SingleTxt"/>
      </w:pPr>
      <w:r>
        <w:t xml:space="preserve">10.4.2  </w:t>
      </w:r>
      <w:r>
        <w:rPr>
          <w:rFonts w:hint="eastAsia"/>
        </w:rPr>
        <w:t>女孩和男孩都证实课堂上确实教授性别问题。但大多数老师并没有受过性别主流化培训，在新课程中没有为教师定位，但已经开展计划，在从业前和从业中广泛地为教师定位。</w:t>
      </w:r>
      <w:r>
        <w:t xml:space="preserve"> </w:t>
      </w:r>
    </w:p>
    <w:p w:rsidR="005052D3" w:rsidRDefault="005052D3">
      <w:pPr>
        <w:pStyle w:val="SingleTxt"/>
        <w:rPr>
          <w:rFonts w:hint="eastAsia"/>
        </w:rPr>
      </w:pPr>
      <w:r>
        <w:t xml:space="preserve">10.4.3  </w:t>
      </w:r>
      <w:r>
        <w:rPr>
          <w:rFonts w:hint="eastAsia"/>
        </w:rPr>
        <w:t>反对性别定型观念的变化已经延伸到学校的体育运动中。愈来愈多的女孩和妇女正在参加体育活动，如足球（这本来是男人的运动）。运动设施、活动和体育课由于分配给这些活动的资金不足而呈下降趋势。</w:t>
      </w:r>
    </w:p>
    <w:p w:rsidR="005052D3" w:rsidRDefault="005052D3">
      <w:pPr>
        <w:pStyle w:val="SingleTxt"/>
      </w:pPr>
      <w:r>
        <w:rPr>
          <w:rFonts w:hint="eastAsia"/>
        </w:rPr>
        <w:t xml:space="preserve">10.4.4 </w:t>
      </w:r>
      <w:r>
        <w:t xml:space="preserve"> </w:t>
      </w:r>
      <w:r>
        <w:rPr>
          <w:rFonts w:hint="eastAsia"/>
        </w:rPr>
        <w:t>另外，马拉维政府从20世纪90年代初期就撤消了一项科目限制政策。鼓励女生选择她们的课程。尽管定型观念依然存在，一些学生和教师没有经过有关性别的培训，仍然认为有些科目是男子的，如科学和工程。但是，已有越来越多的男学生学习传统上被认为是女生的课程，如家政和护理，而鼓励女生喜欢科学和其他一些与男子和男生有关的课程。</w:t>
      </w:r>
    </w:p>
    <w:p w:rsidR="005052D3" w:rsidRDefault="005052D3">
      <w:pPr>
        <w:tabs>
          <w:tab w:val="left" w:pos="840"/>
        </w:tabs>
        <w:spacing w:after="120" w:line="320" w:lineRule="atLeast"/>
        <w:rPr>
          <w:rFonts w:eastAsia="SimHei"/>
          <w:bCs/>
          <w:color w:val="FF0000"/>
        </w:rPr>
      </w:pPr>
      <w:r>
        <w:rPr>
          <w:rFonts w:eastAsia="SimHei"/>
          <w:bCs/>
          <w:color w:val="FF0000"/>
        </w:rPr>
        <w:tab/>
      </w:r>
      <w:r>
        <w:rPr>
          <w:rFonts w:eastAsia="SimHei"/>
          <w:bCs/>
          <w:color w:val="FF0000"/>
        </w:rPr>
        <w:tab/>
      </w:r>
      <w:r>
        <w:rPr>
          <w:rFonts w:eastAsia="SimHei"/>
          <w:bCs/>
          <w:color w:val="FF0000"/>
        </w:rPr>
        <w:tab/>
        <w:t xml:space="preserve">10.5  </w:t>
      </w:r>
      <w:r>
        <w:rPr>
          <w:rFonts w:eastAsia="SimHei" w:hint="eastAsia"/>
          <w:bCs/>
          <w:color w:val="FF0000"/>
        </w:rPr>
        <w:t>接受教育的方法</w:t>
      </w:r>
    </w:p>
    <w:p w:rsidR="005052D3" w:rsidRDefault="005052D3">
      <w:pPr>
        <w:pStyle w:val="SingleTxt"/>
      </w:pPr>
      <w:r>
        <w:t xml:space="preserve">10.5.1  </w:t>
      </w:r>
      <w:r>
        <w:rPr>
          <w:rFonts w:hint="eastAsia"/>
        </w:rPr>
        <w:t>尽管教育的内容把性别问题和人权问题包括在内，但还有一些问题关系到接受教育的方式问题，这反过来会影响质量。许多教师仍然很专制。研究表明，许多教师认为儿童权利使学生不守纪律。学校的惩罚通常是严厉的。不符合有时候被不公平声称或确定的过错。</w:t>
      </w:r>
    </w:p>
    <w:p w:rsidR="005052D3" w:rsidRDefault="005052D3">
      <w:pPr>
        <w:pStyle w:val="SingleTxt"/>
      </w:pPr>
      <w:r>
        <w:t xml:space="preserve">10.5.2  </w:t>
      </w:r>
      <w:r>
        <w:rPr>
          <w:rFonts w:hint="eastAsia"/>
        </w:rPr>
        <w:t>几乎没有教师受过充分培训以教授新课程，新课程包括人权的概念和原则。许多人缺乏基于人权和性别意识的教育方法技能。例如，教师们往往提问男生而不提问女生，据说这是因为女生站起来的时间很长。大多数女生很少能参加中小学教学。另外，2000年，小学的29 687位男教师中，几乎有一半，即14 092人是不合格的。女教师中不合格的人更多，其中，9 182人不合格，8 971人合格。</w:t>
      </w:r>
    </w:p>
    <w:p w:rsidR="005052D3" w:rsidRDefault="005052D3">
      <w:pPr>
        <w:pStyle w:val="SingleTxt"/>
      </w:pPr>
      <w:r>
        <w:t xml:space="preserve">10.5.3  </w:t>
      </w:r>
      <w:r>
        <w:rPr>
          <w:rFonts w:hint="eastAsia"/>
        </w:rPr>
        <w:t>2000年，有47 840名小学教师，其中40%是妇女。中学的5 905名教师中，妇女占了20.4%。职业学校中，共有113名教师，男子占95%，女性占5%。</w:t>
      </w:r>
      <w:r>
        <w:t xml:space="preserve"> </w:t>
      </w:r>
    </w:p>
    <w:p w:rsidR="005052D3" w:rsidRDefault="005052D3">
      <w:pPr>
        <w:pStyle w:val="SingleTxt"/>
        <w:rPr>
          <w:rFonts w:hint="eastAsia"/>
        </w:rPr>
      </w:pPr>
      <w:r>
        <w:t xml:space="preserve">10.5.4  </w:t>
      </w:r>
      <w:r>
        <w:rPr>
          <w:rFonts w:hint="eastAsia"/>
        </w:rPr>
        <w:t>马拉维教育机构中妇女的人数更少，特别是在大学一级。在大学一级，560名教学人员中有22.5%是妇女。在这一级，最多有两个系制定了加强教师队伍中男女平衡的政策。</w:t>
      </w:r>
    </w:p>
    <w:p w:rsidR="005052D3" w:rsidRDefault="005052D3">
      <w:pPr>
        <w:pStyle w:val="SingleTxt"/>
      </w:pPr>
      <w:r>
        <w:t xml:space="preserve">10.5.5  </w:t>
      </w:r>
      <w:r>
        <w:rPr>
          <w:rFonts w:hint="eastAsia"/>
        </w:rPr>
        <w:t>为提高教师的质量，马拉维政府正在开展一项严格的计划，旨在利用1996年的马拉维融入教师教育计划（MITTEP）和马拉维支助体系计划（MSSSP）培养更多的教师。这两个计划的制定，旨在帮助培训教师，应对免费小学教育对教师的大量需求。</w:t>
      </w:r>
    </w:p>
    <w:p w:rsidR="005052D3" w:rsidRDefault="005052D3">
      <w:pPr>
        <w:tabs>
          <w:tab w:val="left" w:pos="840"/>
        </w:tabs>
        <w:spacing w:after="120" w:line="320" w:lineRule="atLeast"/>
        <w:rPr>
          <w:rFonts w:eastAsia="SimHei"/>
          <w:bCs/>
          <w:color w:val="FF0000"/>
        </w:rPr>
      </w:pPr>
      <w:r>
        <w:rPr>
          <w:rFonts w:eastAsia="SimHei"/>
          <w:bCs/>
          <w:color w:val="FF0000"/>
        </w:rPr>
        <w:tab/>
      </w:r>
      <w:r>
        <w:rPr>
          <w:rFonts w:eastAsia="SimHei"/>
          <w:bCs/>
          <w:color w:val="FF0000"/>
        </w:rPr>
        <w:tab/>
      </w:r>
      <w:r>
        <w:rPr>
          <w:rFonts w:eastAsia="SimHei"/>
          <w:bCs/>
          <w:color w:val="FF0000"/>
        </w:rPr>
        <w:tab/>
        <w:t xml:space="preserve">10.6  </w:t>
      </w:r>
      <w:r>
        <w:rPr>
          <w:rFonts w:eastAsia="SimHei" w:hint="eastAsia"/>
          <w:bCs/>
          <w:color w:val="FF0000"/>
        </w:rPr>
        <w:t>教育成绩</w:t>
      </w:r>
    </w:p>
    <w:p w:rsidR="005052D3" w:rsidRDefault="005052D3">
      <w:pPr>
        <w:pStyle w:val="SingleTxt"/>
      </w:pPr>
      <w:r>
        <w:t xml:space="preserve">10.6.1  </w:t>
      </w:r>
      <w:r>
        <w:rPr>
          <w:rFonts w:hint="eastAsia"/>
        </w:rPr>
        <w:t>很长时间以来，马拉维的女青年和妇女在教育上取得的成就低于男子。除小学前四个年级外，女生的留级率高于男生留级率。2000年，小学毕业证书考试的男女生通过率分别为</w:t>
      </w:r>
      <w:r>
        <w:t xml:space="preserve">79.3% </w:t>
      </w:r>
      <w:r>
        <w:rPr>
          <w:rFonts w:hint="eastAsia"/>
        </w:rPr>
        <w:t>和</w:t>
      </w:r>
      <w:r>
        <w:t xml:space="preserve"> 71.1% </w:t>
      </w:r>
      <w:r>
        <w:rPr>
          <w:rFonts w:hint="eastAsia"/>
        </w:rPr>
        <w:t>。初中证书考试中（两年的初中学习之后），女生的通过率为</w:t>
      </w:r>
      <w:r>
        <w:t>61%</w:t>
      </w:r>
      <w:r>
        <w:rPr>
          <w:rFonts w:hint="eastAsia"/>
        </w:rPr>
        <w:t>，而男生为</w:t>
      </w:r>
      <w:r>
        <w:t>31%</w:t>
      </w:r>
      <w:r>
        <w:rPr>
          <w:rFonts w:hint="eastAsia"/>
        </w:rPr>
        <w:t>，说明提高女生在教育中成绩的活动可能取得了成效，尽管这种成效在这样的低层次上太低了。中学教育结束时，女生的通过率为</w:t>
      </w:r>
      <w:r>
        <w:t xml:space="preserve"> 14.3%</w:t>
      </w:r>
      <w:r>
        <w:rPr>
          <w:rFonts w:hint="eastAsia"/>
        </w:rPr>
        <w:t>，而男生的通过率为</w:t>
      </w:r>
      <w:r>
        <w:t>23.4%</w:t>
      </w:r>
      <w:r>
        <w:rPr>
          <w:rFonts w:hint="eastAsia"/>
        </w:rPr>
        <w:t>。在大学一级，有迹象表明应该有更多的妇女和女青年在非传统领域如自然科学、工程和法律中获得学位。如后表所示。</w:t>
      </w:r>
    </w:p>
    <w:p w:rsidR="005052D3" w:rsidRDefault="005052D3">
      <w:pPr>
        <w:pStyle w:val="SingleTxt"/>
        <w:rPr>
          <w:rFonts w:hint="eastAsia"/>
        </w:rPr>
      </w:pPr>
      <w:r>
        <w:t xml:space="preserve">10.6.2  </w:t>
      </w:r>
      <w:r>
        <w:rPr>
          <w:rFonts w:hint="eastAsia"/>
        </w:rPr>
        <w:t>女生比男生的成绩差，原因如下：第一，繁重的家务使她们没有像男生或男子那么多的时间学习。第二，马拉维各个学校的教学方法均偏向于男孩和男子。第三，许多女生在性别、体力和言语方面都受到男生和教师的侵扰，他们都向女生灌输胆小和顺从的思想。第四，一般说来，男生从父母和监护人那里获得更多的鼓励以激励学习。第五，有些学科如自然科学是男子的学科，把本可能在这些科目上表现优秀的妇女和女孩排除在外。</w:t>
      </w:r>
    </w:p>
    <w:p w:rsidR="005052D3" w:rsidRDefault="005052D3">
      <w:pPr>
        <w:tabs>
          <w:tab w:val="left" w:pos="-252"/>
          <w:tab w:val="left" w:pos="840"/>
        </w:tabs>
        <w:spacing w:after="240" w:line="360" w:lineRule="atLeast"/>
        <w:rPr>
          <w:rFonts w:ascii="SimHei" w:eastAsia="SimHei"/>
          <w:color w:val="FF0000"/>
        </w:rPr>
      </w:pPr>
      <w:r>
        <w:rPr>
          <w:rFonts w:ascii="SimHei" w:eastAsia="SimHei"/>
          <w:color w:val="FF0000"/>
        </w:rPr>
        <w:tab/>
      </w:r>
      <w:r>
        <w:rPr>
          <w:rFonts w:ascii="SimHei" w:eastAsia="SimHei"/>
          <w:color w:val="FF0000"/>
        </w:rPr>
        <w:tab/>
      </w:r>
      <w:r>
        <w:rPr>
          <w:rFonts w:ascii="SimHei" w:eastAsia="SimHei"/>
          <w:color w:val="FF0000"/>
        </w:rPr>
        <w:tab/>
      </w:r>
      <w:r>
        <w:rPr>
          <w:rFonts w:ascii="SimHei" w:eastAsia="SimHei" w:hint="eastAsia"/>
          <w:color w:val="FF0000"/>
        </w:rPr>
        <w:t>2000年各课程男女获得学位的人数</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7"/>
        <w:gridCol w:w="773"/>
        <w:gridCol w:w="774"/>
        <w:gridCol w:w="774"/>
        <w:gridCol w:w="774"/>
        <w:gridCol w:w="774"/>
        <w:gridCol w:w="774"/>
        <w:gridCol w:w="774"/>
        <w:gridCol w:w="774"/>
        <w:gridCol w:w="774"/>
      </w:tblGrid>
      <w:tr w:rsidR="005052D3">
        <w:tblPrEx>
          <w:tblCellMar>
            <w:top w:w="0" w:type="dxa"/>
            <w:bottom w:w="0" w:type="dxa"/>
          </w:tblCellMar>
        </w:tblPrEx>
        <w:trPr>
          <w:cantSplit/>
          <w:trHeight w:val="103"/>
          <w:tblHeader/>
        </w:trPr>
        <w:tc>
          <w:tcPr>
            <w:tcW w:w="1462" w:type="pct"/>
            <w:vMerge w:val="restart"/>
          </w:tcPr>
          <w:p w:rsidR="005052D3" w:rsidRDefault="005052D3">
            <w:pPr>
              <w:tabs>
                <w:tab w:val="left" w:pos="-252"/>
                <w:tab w:val="left" w:pos="840"/>
              </w:tabs>
              <w:spacing w:before="40" w:after="60" w:line="240" w:lineRule="exact"/>
              <w:rPr>
                <w:rFonts w:ascii="KaiTi_GB2312" w:eastAsia="KaiTi_GB2312"/>
                <w:color w:val="0000FF"/>
                <w:sz w:val="14"/>
              </w:rPr>
            </w:pPr>
          </w:p>
          <w:p w:rsidR="005052D3" w:rsidRDefault="005052D3">
            <w:pPr>
              <w:tabs>
                <w:tab w:val="left" w:pos="-252"/>
                <w:tab w:val="left" w:pos="840"/>
              </w:tabs>
              <w:spacing w:before="40" w:after="60" w:line="240" w:lineRule="exact"/>
              <w:rPr>
                <w:rFonts w:ascii="KaiTi_GB2312" w:eastAsia="KaiTi_GB2312" w:hint="eastAsia"/>
                <w:color w:val="0000FF"/>
                <w:sz w:val="14"/>
                <w:szCs w:val="24"/>
              </w:rPr>
            </w:pPr>
            <w:r>
              <w:rPr>
                <w:rFonts w:ascii="KaiTi_GB2312" w:eastAsia="KaiTi_GB2312" w:hint="eastAsia"/>
                <w:color w:val="0000FF"/>
                <w:sz w:val="14"/>
                <w:szCs w:val="24"/>
              </w:rPr>
              <w:t>学位</w:t>
            </w:r>
          </w:p>
        </w:tc>
        <w:tc>
          <w:tcPr>
            <w:tcW w:w="1179" w:type="pct"/>
            <w:gridSpan w:val="3"/>
          </w:tcPr>
          <w:p w:rsidR="005052D3" w:rsidRDefault="005052D3">
            <w:pPr>
              <w:tabs>
                <w:tab w:val="left" w:pos="-252"/>
                <w:tab w:val="left" w:pos="840"/>
              </w:tabs>
              <w:spacing w:before="40" w:after="60" w:line="240" w:lineRule="exact"/>
              <w:jc w:val="center"/>
              <w:rPr>
                <w:rFonts w:ascii="KaiTi_GB2312" w:eastAsia="KaiTi_GB2312"/>
                <w:color w:val="0000FF"/>
                <w:sz w:val="14"/>
              </w:rPr>
            </w:pPr>
            <w:r>
              <w:rPr>
                <w:rFonts w:ascii="KaiTi_GB2312" w:eastAsia="KaiTi_GB2312"/>
                <w:color w:val="0000FF"/>
                <w:sz w:val="14"/>
              </w:rPr>
              <w:t>1998</w:t>
            </w:r>
          </w:p>
        </w:tc>
        <w:tc>
          <w:tcPr>
            <w:tcW w:w="1179" w:type="pct"/>
            <w:gridSpan w:val="3"/>
          </w:tcPr>
          <w:p w:rsidR="005052D3" w:rsidRDefault="005052D3">
            <w:pPr>
              <w:tabs>
                <w:tab w:val="left" w:pos="-252"/>
                <w:tab w:val="left" w:pos="840"/>
              </w:tabs>
              <w:spacing w:before="40" w:after="60" w:line="240" w:lineRule="exact"/>
              <w:jc w:val="center"/>
              <w:rPr>
                <w:rFonts w:ascii="KaiTi_GB2312" w:eastAsia="KaiTi_GB2312"/>
                <w:color w:val="0000FF"/>
                <w:sz w:val="14"/>
              </w:rPr>
            </w:pPr>
            <w:r>
              <w:rPr>
                <w:rFonts w:ascii="KaiTi_GB2312" w:eastAsia="KaiTi_GB2312"/>
                <w:color w:val="0000FF"/>
                <w:sz w:val="14"/>
              </w:rPr>
              <w:t>1999</w:t>
            </w:r>
          </w:p>
        </w:tc>
        <w:tc>
          <w:tcPr>
            <w:tcW w:w="1179" w:type="pct"/>
            <w:gridSpan w:val="3"/>
          </w:tcPr>
          <w:p w:rsidR="005052D3" w:rsidRDefault="005052D3">
            <w:pPr>
              <w:tabs>
                <w:tab w:val="left" w:pos="-252"/>
                <w:tab w:val="left" w:pos="840"/>
              </w:tabs>
              <w:spacing w:before="40" w:after="60" w:line="240" w:lineRule="exact"/>
              <w:jc w:val="center"/>
              <w:rPr>
                <w:rFonts w:ascii="KaiTi_GB2312" w:eastAsia="KaiTi_GB2312"/>
                <w:color w:val="0000FF"/>
                <w:sz w:val="14"/>
              </w:rPr>
            </w:pPr>
            <w:r>
              <w:rPr>
                <w:rFonts w:ascii="KaiTi_GB2312" w:eastAsia="KaiTi_GB2312"/>
                <w:color w:val="0000FF"/>
                <w:sz w:val="14"/>
              </w:rPr>
              <w:t>2000</w:t>
            </w:r>
          </w:p>
        </w:tc>
      </w:tr>
      <w:tr w:rsidR="005052D3">
        <w:tblPrEx>
          <w:tblCellMar>
            <w:top w:w="0" w:type="dxa"/>
            <w:bottom w:w="0" w:type="dxa"/>
          </w:tblCellMar>
        </w:tblPrEx>
        <w:trPr>
          <w:cantSplit/>
          <w:tblHeader/>
        </w:trPr>
        <w:tc>
          <w:tcPr>
            <w:tcW w:w="1462" w:type="pct"/>
            <w:vMerge/>
          </w:tcPr>
          <w:p w:rsidR="005052D3" w:rsidRDefault="005052D3">
            <w:pPr>
              <w:tabs>
                <w:tab w:val="left" w:pos="-252"/>
                <w:tab w:val="left" w:pos="840"/>
              </w:tabs>
              <w:spacing w:before="40" w:after="60" w:line="240" w:lineRule="exact"/>
              <w:rPr>
                <w:rFonts w:ascii="KaiTi_GB2312" w:eastAsia="KaiTi_GB2312"/>
                <w:color w:val="0000FF"/>
                <w:sz w:val="14"/>
              </w:rPr>
            </w:pPr>
          </w:p>
        </w:tc>
        <w:tc>
          <w:tcPr>
            <w:tcW w:w="393" w:type="pct"/>
          </w:tcPr>
          <w:p w:rsidR="005052D3" w:rsidRDefault="005052D3">
            <w:pPr>
              <w:tabs>
                <w:tab w:val="left" w:pos="-252"/>
                <w:tab w:val="left" w:pos="840"/>
              </w:tabs>
              <w:spacing w:before="40" w:after="60" w:line="240" w:lineRule="exact"/>
              <w:jc w:val="center"/>
              <w:rPr>
                <w:rFonts w:ascii="KaiTi_GB2312" w:eastAsia="KaiTi_GB2312" w:hint="eastAsia"/>
                <w:color w:val="0000FF"/>
                <w:sz w:val="14"/>
              </w:rPr>
            </w:pPr>
            <w:r>
              <w:rPr>
                <w:rFonts w:ascii="KaiTi_GB2312" w:eastAsia="KaiTi_GB2312" w:hint="eastAsia"/>
                <w:color w:val="0000FF"/>
                <w:sz w:val="14"/>
              </w:rPr>
              <w:t>总人数</w:t>
            </w:r>
          </w:p>
        </w:tc>
        <w:tc>
          <w:tcPr>
            <w:tcW w:w="393" w:type="pct"/>
          </w:tcPr>
          <w:p w:rsidR="005052D3" w:rsidRDefault="005052D3">
            <w:pPr>
              <w:tabs>
                <w:tab w:val="left" w:pos="-252"/>
                <w:tab w:val="left" w:pos="840"/>
              </w:tabs>
              <w:spacing w:before="40" w:after="60" w:line="240" w:lineRule="exact"/>
              <w:jc w:val="center"/>
              <w:rPr>
                <w:rFonts w:ascii="KaiTi_GB2312" w:eastAsia="KaiTi_GB2312" w:hint="eastAsia"/>
                <w:color w:val="0000FF"/>
                <w:sz w:val="14"/>
              </w:rPr>
            </w:pPr>
            <w:r>
              <w:rPr>
                <w:rFonts w:ascii="KaiTi_GB2312" w:eastAsia="KaiTi_GB2312" w:hint="eastAsia"/>
                <w:color w:val="0000FF"/>
                <w:sz w:val="14"/>
              </w:rPr>
              <w:t>男</w:t>
            </w:r>
          </w:p>
        </w:tc>
        <w:tc>
          <w:tcPr>
            <w:tcW w:w="393" w:type="pct"/>
          </w:tcPr>
          <w:p w:rsidR="005052D3" w:rsidRDefault="005052D3">
            <w:pPr>
              <w:tabs>
                <w:tab w:val="left" w:pos="-252"/>
                <w:tab w:val="left" w:pos="840"/>
              </w:tabs>
              <w:spacing w:before="40" w:after="60" w:line="240" w:lineRule="exact"/>
              <w:jc w:val="center"/>
              <w:rPr>
                <w:rFonts w:ascii="KaiTi_GB2312" w:eastAsia="KaiTi_GB2312" w:hint="eastAsia"/>
                <w:color w:val="0000FF"/>
                <w:sz w:val="14"/>
              </w:rPr>
            </w:pPr>
            <w:r>
              <w:rPr>
                <w:rFonts w:ascii="KaiTi_GB2312" w:eastAsia="KaiTi_GB2312" w:hint="eastAsia"/>
                <w:color w:val="0000FF"/>
                <w:sz w:val="14"/>
              </w:rPr>
              <w:t>女</w:t>
            </w:r>
          </w:p>
        </w:tc>
        <w:tc>
          <w:tcPr>
            <w:tcW w:w="393" w:type="pct"/>
          </w:tcPr>
          <w:p w:rsidR="005052D3" w:rsidRDefault="005052D3">
            <w:pPr>
              <w:tabs>
                <w:tab w:val="left" w:pos="-252"/>
                <w:tab w:val="left" w:pos="840"/>
              </w:tabs>
              <w:spacing w:before="40" w:after="60" w:line="240" w:lineRule="exact"/>
              <w:jc w:val="center"/>
              <w:rPr>
                <w:rFonts w:ascii="KaiTi_GB2312" w:eastAsia="KaiTi_GB2312" w:hint="eastAsia"/>
                <w:color w:val="0000FF"/>
                <w:sz w:val="14"/>
              </w:rPr>
            </w:pPr>
            <w:r>
              <w:rPr>
                <w:rFonts w:ascii="KaiTi_GB2312" w:eastAsia="KaiTi_GB2312" w:hint="eastAsia"/>
                <w:color w:val="0000FF"/>
                <w:sz w:val="14"/>
              </w:rPr>
              <w:t>总人数</w:t>
            </w:r>
          </w:p>
        </w:tc>
        <w:tc>
          <w:tcPr>
            <w:tcW w:w="393" w:type="pct"/>
          </w:tcPr>
          <w:p w:rsidR="005052D3" w:rsidRDefault="005052D3">
            <w:pPr>
              <w:tabs>
                <w:tab w:val="left" w:pos="-252"/>
                <w:tab w:val="left" w:pos="840"/>
              </w:tabs>
              <w:spacing w:before="40" w:after="60" w:line="240" w:lineRule="exact"/>
              <w:jc w:val="center"/>
              <w:rPr>
                <w:rFonts w:ascii="KaiTi_GB2312" w:eastAsia="KaiTi_GB2312" w:hint="eastAsia"/>
                <w:color w:val="0000FF"/>
                <w:sz w:val="14"/>
              </w:rPr>
            </w:pPr>
            <w:r>
              <w:rPr>
                <w:rFonts w:ascii="KaiTi_GB2312" w:eastAsia="KaiTi_GB2312" w:hint="eastAsia"/>
                <w:color w:val="0000FF"/>
                <w:sz w:val="14"/>
              </w:rPr>
              <w:t>男</w:t>
            </w:r>
          </w:p>
        </w:tc>
        <w:tc>
          <w:tcPr>
            <w:tcW w:w="393" w:type="pct"/>
          </w:tcPr>
          <w:p w:rsidR="005052D3" w:rsidRDefault="005052D3">
            <w:pPr>
              <w:tabs>
                <w:tab w:val="left" w:pos="-252"/>
                <w:tab w:val="left" w:pos="840"/>
              </w:tabs>
              <w:spacing w:before="40" w:after="60" w:line="240" w:lineRule="exact"/>
              <w:jc w:val="center"/>
              <w:rPr>
                <w:rFonts w:ascii="KaiTi_GB2312" w:eastAsia="KaiTi_GB2312" w:hint="eastAsia"/>
                <w:color w:val="0000FF"/>
                <w:sz w:val="14"/>
              </w:rPr>
            </w:pPr>
            <w:r>
              <w:rPr>
                <w:rFonts w:ascii="KaiTi_GB2312" w:eastAsia="KaiTi_GB2312" w:hint="eastAsia"/>
                <w:color w:val="0000FF"/>
                <w:sz w:val="14"/>
              </w:rPr>
              <w:t>女</w:t>
            </w:r>
          </w:p>
        </w:tc>
        <w:tc>
          <w:tcPr>
            <w:tcW w:w="393" w:type="pct"/>
          </w:tcPr>
          <w:p w:rsidR="005052D3" w:rsidRDefault="005052D3">
            <w:pPr>
              <w:tabs>
                <w:tab w:val="left" w:pos="-252"/>
                <w:tab w:val="left" w:pos="840"/>
              </w:tabs>
              <w:spacing w:before="40" w:after="60" w:line="240" w:lineRule="exact"/>
              <w:jc w:val="center"/>
              <w:rPr>
                <w:rFonts w:ascii="KaiTi_GB2312" w:eastAsia="KaiTi_GB2312" w:hint="eastAsia"/>
                <w:color w:val="0000FF"/>
                <w:sz w:val="14"/>
              </w:rPr>
            </w:pPr>
            <w:r>
              <w:rPr>
                <w:rFonts w:ascii="KaiTi_GB2312" w:eastAsia="KaiTi_GB2312" w:hint="eastAsia"/>
                <w:color w:val="0000FF"/>
                <w:sz w:val="14"/>
              </w:rPr>
              <w:t>总人数</w:t>
            </w:r>
          </w:p>
        </w:tc>
        <w:tc>
          <w:tcPr>
            <w:tcW w:w="393" w:type="pct"/>
          </w:tcPr>
          <w:p w:rsidR="005052D3" w:rsidRDefault="005052D3">
            <w:pPr>
              <w:tabs>
                <w:tab w:val="left" w:pos="-252"/>
                <w:tab w:val="left" w:pos="840"/>
              </w:tabs>
              <w:spacing w:before="40" w:after="60" w:line="240" w:lineRule="exact"/>
              <w:jc w:val="center"/>
              <w:rPr>
                <w:rFonts w:ascii="KaiTi_GB2312" w:eastAsia="KaiTi_GB2312" w:hint="eastAsia"/>
                <w:color w:val="0000FF"/>
                <w:sz w:val="14"/>
              </w:rPr>
            </w:pPr>
            <w:r>
              <w:rPr>
                <w:rFonts w:ascii="KaiTi_GB2312" w:eastAsia="KaiTi_GB2312" w:hint="eastAsia"/>
                <w:color w:val="0000FF"/>
                <w:sz w:val="14"/>
              </w:rPr>
              <w:t>男</w:t>
            </w:r>
          </w:p>
        </w:tc>
        <w:tc>
          <w:tcPr>
            <w:tcW w:w="393" w:type="pct"/>
          </w:tcPr>
          <w:p w:rsidR="005052D3" w:rsidRDefault="005052D3">
            <w:pPr>
              <w:tabs>
                <w:tab w:val="left" w:pos="-252"/>
                <w:tab w:val="left" w:pos="840"/>
              </w:tabs>
              <w:spacing w:before="40" w:after="60" w:line="240" w:lineRule="exact"/>
              <w:jc w:val="center"/>
              <w:rPr>
                <w:rFonts w:ascii="KaiTi_GB2312" w:eastAsia="KaiTi_GB2312" w:hint="eastAsia"/>
                <w:color w:val="0000FF"/>
                <w:sz w:val="14"/>
              </w:rPr>
            </w:pPr>
            <w:r>
              <w:rPr>
                <w:rFonts w:ascii="KaiTi_GB2312" w:eastAsia="KaiTi_GB2312" w:hint="eastAsia"/>
                <w:color w:val="0000FF"/>
                <w:sz w:val="14"/>
              </w:rPr>
              <w:t>女</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rFonts w:hint="eastAsia"/>
                <w:sz w:val="18"/>
              </w:rPr>
            </w:pPr>
            <w:r>
              <w:rPr>
                <w:rFonts w:hint="eastAsia"/>
                <w:sz w:val="18"/>
              </w:rPr>
              <w:t>文学学士</w:t>
            </w:r>
          </w:p>
        </w:tc>
        <w:tc>
          <w:tcPr>
            <w:tcW w:w="393" w:type="pct"/>
          </w:tcPr>
          <w:p w:rsidR="005052D3" w:rsidRDefault="005052D3">
            <w:pPr>
              <w:tabs>
                <w:tab w:val="left" w:pos="-252"/>
                <w:tab w:val="left" w:pos="840"/>
              </w:tabs>
              <w:spacing w:before="40" w:after="60" w:line="300" w:lineRule="exact"/>
              <w:jc w:val="center"/>
              <w:rPr>
                <w:sz w:val="18"/>
              </w:rPr>
            </w:pPr>
            <w:r>
              <w:rPr>
                <w:sz w:val="18"/>
              </w:rPr>
              <w:t>46</w:t>
            </w:r>
          </w:p>
        </w:tc>
        <w:tc>
          <w:tcPr>
            <w:tcW w:w="393" w:type="pct"/>
          </w:tcPr>
          <w:p w:rsidR="005052D3" w:rsidRDefault="005052D3">
            <w:pPr>
              <w:tabs>
                <w:tab w:val="left" w:pos="-252"/>
                <w:tab w:val="left" w:pos="840"/>
              </w:tabs>
              <w:spacing w:before="40" w:after="60" w:line="300" w:lineRule="exact"/>
              <w:jc w:val="center"/>
              <w:rPr>
                <w:sz w:val="18"/>
              </w:rPr>
            </w:pPr>
            <w:r>
              <w:rPr>
                <w:sz w:val="18"/>
              </w:rPr>
              <w:t>27</w:t>
            </w:r>
          </w:p>
        </w:tc>
        <w:tc>
          <w:tcPr>
            <w:tcW w:w="393" w:type="pct"/>
          </w:tcPr>
          <w:p w:rsidR="005052D3" w:rsidRDefault="005052D3">
            <w:pPr>
              <w:tabs>
                <w:tab w:val="left" w:pos="-252"/>
                <w:tab w:val="left" w:pos="840"/>
              </w:tabs>
              <w:spacing w:before="40" w:after="60" w:line="300" w:lineRule="exact"/>
              <w:jc w:val="center"/>
              <w:rPr>
                <w:sz w:val="18"/>
              </w:rPr>
            </w:pPr>
            <w:r>
              <w:rPr>
                <w:sz w:val="18"/>
              </w:rPr>
              <w:t>19</w:t>
            </w:r>
          </w:p>
        </w:tc>
        <w:tc>
          <w:tcPr>
            <w:tcW w:w="393" w:type="pct"/>
          </w:tcPr>
          <w:p w:rsidR="005052D3" w:rsidRDefault="005052D3">
            <w:pPr>
              <w:tabs>
                <w:tab w:val="left" w:pos="-252"/>
                <w:tab w:val="left" w:pos="840"/>
              </w:tabs>
              <w:spacing w:before="40" w:after="60" w:line="300" w:lineRule="exact"/>
              <w:jc w:val="center"/>
              <w:rPr>
                <w:sz w:val="18"/>
              </w:rPr>
            </w:pPr>
            <w:r>
              <w:rPr>
                <w:sz w:val="18"/>
              </w:rPr>
              <w:t>30</w:t>
            </w:r>
          </w:p>
        </w:tc>
        <w:tc>
          <w:tcPr>
            <w:tcW w:w="393" w:type="pct"/>
          </w:tcPr>
          <w:p w:rsidR="005052D3" w:rsidRDefault="005052D3">
            <w:pPr>
              <w:tabs>
                <w:tab w:val="left" w:pos="-252"/>
                <w:tab w:val="left" w:pos="840"/>
              </w:tabs>
              <w:spacing w:before="40" w:after="60" w:line="300" w:lineRule="exact"/>
              <w:jc w:val="center"/>
              <w:rPr>
                <w:sz w:val="18"/>
              </w:rPr>
            </w:pPr>
            <w:r>
              <w:rPr>
                <w:sz w:val="18"/>
              </w:rPr>
              <w:t>20</w:t>
            </w:r>
          </w:p>
        </w:tc>
        <w:tc>
          <w:tcPr>
            <w:tcW w:w="393" w:type="pct"/>
          </w:tcPr>
          <w:p w:rsidR="005052D3" w:rsidRDefault="005052D3">
            <w:pPr>
              <w:tabs>
                <w:tab w:val="left" w:pos="-252"/>
                <w:tab w:val="left" w:pos="840"/>
              </w:tabs>
              <w:spacing w:before="40" w:after="60" w:line="300" w:lineRule="exact"/>
              <w:jc w:val="center"/>
              <w:rPr>
                <w:sz w:val="18"/>
              </w:rPr>
            </w:pPr>
            <w:r>
              <w:rPr>
                <w:sz w:val="18"/>
              </w:rPr>
              <w:t>10</w:t>
            </w:r>
          </w:p>
        </w:tc>
        <w:tc>
          <w:tcPr>
            <w:tcW w:w="393" w:type="pct"/>
          </w:tcPr>
          <w:p w:rsidR="005052D3" w:rsidRDefault="005052D3">
            <w:pPr>
              <w:tabs>
                <w:tab w:val="left" w:pos="-252"/>
                <w:tab w:val="left" w:pos="840"/>
              </w:tabs>
              <w:spacing w:before="40" w:after="60" w:line="300" w:lineRule="exact"/>
              <w:jc w:val="center"/>
              <w:rPr>
                <w:sz w:val="18"/>
              </w:rPr>
            </w:pPr>
            <w:r>
              <w:rPr>
                <w:sz w:val="18"/>
              </w:rPr>
              <w:t>44</w:t>
            </w:r>
          </w:p>
        </w:tc>
        <w:tc>
          <w:tcPr>
            <w:tcW w:w="393" w:type="pct"/>
          </w:tcPr>
          <w:p w:rsidR="005052D3" w:rsidRDefault="005052D3">
            <w:pPr>
              <w:tabs>
                <w:tab w:val="left" w:pos="-252"/>
                <w:tab w:val="left" w:pos="840"/>
              </w:tabs>
              <w:spacing w:before="40" w:after="60" w:line="300" w:lineRule="exact"/>
              <w:jc w:val="center"/>
              <w:rPr>
                <w:sz w:val="18"/>
              </w:rPr>
            </w:pPr>
            <w:r>
              <w:rPr>
                <w:sz w:val="18"/>
              </w:rPr>
              <w:t>21</w:t>
            </w:r>
          </w:p>
        </w:tc>
        <w:tc>
          <w:tcPr>
            <w:tcW w:w="393" w:type="pct"/>
          </w:tcPr>
          <w:p w:rsidR="005052D3" w:rsidRDefault="005052D3">
            <w:pPr>
              <w:tabs>
                <w:tab w:val="left" w:pos="-252"/>
                <w:tab w:val="left" w:pos="840"/>
              </w:tabs>
              <w:spacing w:before="40" w:after="60" w:line="300" w:lineRule="exact"/>
              <w:jc w:val="center"/>
              <w:rPr>
                <w:sz w:val="18"/>
              </w:rPr>
            </w:pPr>
            <w:r>
              <w:rPr>
                <w:sz w:val="18"/>
              </w:rPr>
              <w:t>23</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sz w:val="18"/>
              </w:rPr>
            </w:pPr>
            <w:r>
              <w:rPr>
                <w:rFonts w:hint="eastAsia"/>
                <w:sz w:val="18"/>
              </w:rPr>
              <w:t>文学学士</w:t>
            </w:r>
            <w:r>
              <w:rPr>
                <w:sz w:val="18"/>
              </w:rPr>
              <w:t xml:space="preserve"> (</w:t>
            </w:r>
            <w:r>
              <w:rPr>
                <w:rFonts w:hint="eastAsia"/>
                <w:sz w:val="18"/>
              </w:rPr>
              <w:t>人类资源管理)</w:t>
            </w:r>
          </w:p>
        </w:tc>
        <w:tc>
          <w:tcPr>
            <w:tcW w:w="393" w:type="pct"/>
          </w:tcPr>
          <w:p w:rsidR="005052D3" w:rsidRDefault="005052D3">
            <w:pPr>
              <w:tabs>
                <w:tab w:val="left" w:pos="-252"/>
                <w:tab w:val="left" w:pos="840"/>
              </w:tabs>
              <w:spacing w:before="40" w:after="60" w:line="300" w:lineRule="exact"/>
              <w:jc w:val="center"/>
              <w:rPr>
                <w:sz w:val="18"/>
              </w:rPr>
            </w:pPr>
            <w:r>
              <w:rPr>
                <w:sz w:val="18"/>
              </w:rPr>
              <w:t>19</w:t>
            </w:r>
          </w:p>
        </w:tc>
        <w:tc>
          <w:tcPr>
            <w:tcW w:w="393" w:type="pct"/>
          </w:tcPr>
          <w:p w:rsidR="005052D3" w:rsidRDefault="005052D3">
            <w:pPr>
              <w:tabs>
                <w:tab w:val="left" w:pos="-252"/>
                <w:tab w:val="left" w:pos="840"/>
              </w:tabs>
              <w:spacing w:before="40" w:after="60" w:line="300" w:lineRule="exact"/>
              <w:jc w:val="center"/>
              <w:rPr>
                <w:sz w:val="18"/>
              </w:rPr>
            </w:pPr>
            <w:r>
              <w:rPr>
                <w:sz w:val="18"/>
              </w:rPr>
              <w:t>12</w:t>
            </w:r>
          </w:p>
        </w:tc>
        <w:tc>
          <w:tcPr>
            <w:tcW w:w="393" w:type="pct"/>
          </w:tcPr>
          <w:p w:rsidR="005052D3" w:rsidRDefault="005052D3">
            <w:pPr>
              <w:tabs>
                <w:tab w:val="left" w:pos="-252"/>
                <w:tab w:val="left" w:pos="840"/>
              </w:tabs>
              <w:spacing w:before="40" w:after="60" w:line="300" w:lineRule="exact"/>
              <w:jc w:val="center"/>
              <w:rPr>
                <w:sz w:val="18"/>
              </w:rPr>
            </w:pPr>
            <w:r>
              <w:rPr>
                <w:sz w:val="18"/>
              </w:rPr>
              <w:t>7</w:t>
            </w:r>
          </w:p>
        </w:tc>
        <w:tc>
          <w:tcPr>
            <w:tcW w:w="393" w:type="pct"/>
          </w:tcPr>
          <w:p w:rsidR="005052D3" w:rsidRDefault="005052D3">
            <w:pPr>
              <w:tabs>
                <w:tab w:val="left" w:pos="-252"/>
                <w:tab w:val="left" w:pos="840"/>
              </w:tabs>
              <w:spacing w:before="40" w:after="60" w:line="300" w:lineRule="exact"/>
              <w:jc w:val="center"/>
              <w:rPr>
                <w:sz w:val="18"/>
              </w:rPr>
            </w:pPr>
            <w:r>
              <w:rPr>
                <w:sz w:val="18"/>
              </w:rPr>
              <w:t>19</w:t>
            </w:r>
          </w:p>
        </w:tc>
        <w:tc>
          <w:tcPr>
            <w:tcW w:w="393" w:type="pct"/>
          </w:tcPr>
          <w:p w:rsidR="005052D3" w:rsidRDefault="005052D3">
            <w:pPr>
              <w:tabs>
                <w:tab w:val="left" w:pos="-252"/>
                <w:tab w:val="left" w:pos="840"/>
              </w:tabs>
              <w:spacing w:before="40" w:after="60" w:line="300" w:lineRule="exact"/>
              <w:jc w:val="center"/>
              <w:rPr>
                <w:sz w:val="18"/>
              </w:rPr>
            </w:pPr>
            <w:r>
              <w:rPr>
                <w:sz w:val="18"/>
              </w:rPr>
              <w:t>12</w:t>
            </w:r>
          </w:p>
        </w:tc>
        <w:tc>
          <w:tcPr>
            <w:tcW w:w="393" w:type="pct"/>
          </w:tcPr>
          <w:p w:rsidR="005052D3" w:rsidRDefault="005052D3">
            <w:pPr>
              <w:tabs>
                <w:tab w:val="left" w:pos="-252"/>
                <w:tab w:val="left" w:pos="840"/>
              </w:tabs>
              <w:spacing w:before="40" w:after="60" w:line="300" w:lineRule="exact"/>
              <w:jc w:val="center"/>
              <w:rPr>
                <w:sz w:val="18"/>
              </w:rPr>
            </w:pPr>
            <w:r>
              <w:rPr>
                <w:sz w:val="18"/>
              </w:rPr>
              <w:t>7</w:t>
            </w:r>
          </w:p>
        </w:tc>
        <w:tc>
          <w:tcPr>
            <w:tcW w:w="393" w:type="pct"/>
          </w:tcPr>
          <w:p w:rsidR="005052D3" w:rsidRDefault="005052D3">
            <w:pPr>
              <w:tabs>
                <w:tab w:val="left" w:pos="-252"/>
                <w:tab w:val="left" w:pos="840"/>
              </w:tabs>
              <w:spacing w:before="40" w:after="60" w:line="300" w:lineRule="exact"/>
              <w:jc w:val="center"/>
              <w:rPr>
                <w:sz w:val="18"/>
              </w:rPr>
            </w:pPr>
            <w:r>
              <w:rPr>
                <w:sz w:val="18"/>
              </w:rPr>
              <w:t>-</w:t>
            </w:r>
          </w:p>
        </w:tc>
        <w:tc>
          <w:tcPr>
            <w:tcW w:w="393" w:type="pct"/>
          </w:tcPr>
          <w:p w:rsidR="005052D3" w:rsidRDefault="005052D3">
            <w:pPr>
              <w:tabs>
                <w:tab w:val="left" w:pos="-252"/>
                <w:tab w:val="left" w:pos="840"/>
              </w:tabs>
              <w:spacing w:before="40" w:after="60" w:line="300" w:lineRule="exact"/>
              <w:jc w:val="center"/>
              <w:rPr>
                <w:sz w:val="18"/>
              </w:rPr>
            </w:pPr>
            <w:r>
              <w:rPr>
                <w:sz w:val="18"/>
              </w:rPr>
              <w:t>-</w:t>
            </w:r>
          </w:p>
        </w:tc>
        <w:tc>
          <w:tcPr>
            <w:tcW w:w="393" w:type="pct"/>
          </w:tcPr>
          <w:p w:rsidR="005052D3" w:rsidRDefault="005052D3">
            <w:pPr>
              <w:tabs>
                <w:tab w:val="left" w:pos="-252"/>
                <w:tab w:val="left" w:pos="840"/>
              </w:tabs>
              <w:spacing w:before="40" w:after="60" w:line="300" w:lineRule="exact"/>
              <w:jc w:val="center"/>
              <w:rPr>
                <w:sz w:val="18"/>
              </w:rPr>
            </w:pPr>
            <w:r>
              <w:rPr>
                <w:sz w:val="18"/>
              </w:rPr>
              <w:t>-</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sz w:val="18"/>
              </w:rPr>
            </w:pPr>
            <w:r>
              <w:rPr>
                <w:rFonts w:hint="eastAsia"/>
                <w:sz w:val="18"/>
              </w:rPr>
              <w:t>文学学士</w:t>
            </w:r>
            <w:r>
              <w:rPr>
                <w:sz w:val="18"/>
              </w:rPr>
              <w:t xml:space="preserve"> (</w:t>
            </w:r>
            <w:r>
              <w:rPr>
                <w:rFonts w:hint="eastAsia"/>
                <w:sz w:val="18"/>
              </w:rPr>
              <w:t>公共管理)</w:t>
            </w:r>
          </w:p>
        </w:tc>
        <w:tc>
          <w:tcPr>
            <w:tcW w:w="393" w:type="pct"/>
          </w:tcPr>
          <w:p w:rsidR="005052D3" w:rsidRDefault="005052D3">
            <w:pPr>
              <w:tabs>
                <w:tab w:val="left" w:pos="-252"/>
                <w:tab w:val="left" w:pos="840"/>
              </w:tabs>
              <w:spacing w:before="40" w:after="60" w:line="300" w:lineRule="exact"/>
              <w:jc w:val="center"/>
              <w:rPr>
                <w:sz w:val="18"/>
              </w:rPr>
            </w:pPr>
            <w:r>
              <w:rPr>
                <w:sz w:val="18"/>
              </w:rPr>
              <w:t>14</w:t>
            </w:r>
          </w:p>
        </w:tc>
        <w:tc>
          <w:tcPr>
            <w:tcW w:w="393" w:type="pct"/>
          </w:tcPr>
          <w:p w:rsidR="005052D3" w:rsidRDefault="005052D3">
            <w:pPr>
              <w:tabs>
                <w:tab w:val="left" w:pos="-252"/>
                <w:tab w:val="left" w:pos="840"/>
              </w:tabs>
              <w:spacing w:before="40" w:after="60" w:line="300" w:lineRule="exact"/>
              <w:jc w:val="center"/>
              <w:rPr>
                <w:sz w:val="18"/>
              </w:rPr>
            </w:pPr>
            <w:r>
              <w:rPr>
                <w:sz w:val="18"/>
              </w:rPr>
              <w:t>12</w:t>
            </w:r>
          </w:p>
        </w:tc>
        <w:tc>
          <w:tcPr>
            <w:tcW w:w="393" w:type="pct"/>
          </w:tcPr>
          <w:p w:rsidR="005052D3" w:rsidRDefault="005052D3">
            <w:pPr>
              <w:tabs>
                <w:tab w:val="left" w:pos="-252"/>
                <w:tab w:val="left" w:pos="840"/>
              </w:tabs>
              <w:spacing w:before="40" w:after="60" w:line="300" w:lineRule="exact"/>
              <w:jc w:val="center"/>
              <w:rPr>
                <w:sz w:val="18"/>
              </w:rPr>
            </w:pPr>
            <w:r>
              <w:rPr>
                <w:sz w:val="18"/>
              </w:rPr>
              <w:t>2</w:t>
            </w:r>
          </w:p>
        </w:tc>
        <w:tc>
          <w:tcPr>
            <w:tcW w:w="393" w:type="pct"/>
          </w:tcPr>
          <w:p w:rsidR="005052D3" w:rsidRDefault="005052D3">
            <w:pPr>
              <w:tabs>
                <w:tab w:val="left" w:pos="-252"/>
                <w:tab w:val="left" w:pos="840"/>
              </w:tabs>
              <w:spacing w:before="40" w:after="60" w:line="300" w:lineRule="exact"/>
              <w:jc w:val="center"/>
              <w:rPr>
                <w:sz w:val="18"/>
              </w:rPr>
            </w:pPr>
            <w:r>
              <w:rPr>
                <w:sz w:val="18"/>
              </w:rPr>
              <w:t>17</w:t>
            </w:r>
          </w:p>
        </w:tc>
        <w:tc>
          <w:tcPr>
            <w:tcW w:w="393" w:type="pct"/>
          </w:tcPr>
          <w:p w:rsidR="005052D3" w:rsidRDefault="005052D3">
            <w:pPr>
              <w:tabs>
                <w:tab w:val="left" w:pos="-252"/>
                <w:tab w:val="left" w:pos="840"/>
              </w:tabs>
              <w:spacing w:before="40" w:after="60" w:line="300" w:lineRule="exact"/>
              <w:jc w:val="center"/>
              <w:rPr>
                <w:sz w:val="18"/>
              </w:rPr>
            </w:pPr>
            <w:r>
              <w:rPr>
                <w:sz w:val="18"/>
              </w:rPr>
              <w:t>14</w:t>
            </w:r>
          </w:p>
        </w:tc>
        <w:tc>
          <w:tcPr>
            <w:tcW w:w="393" w:type="pct"/>
          </w:tcPr>
          <w:p w:rsidR="005052D3" w:rsidRDefault="005052D3">
            <w:pPr>
              <w:tabs>
                <w:tab w:val="left" w:pos="-252"/>
                <w:tab w:val="left" w:pos="840"/>
              </w:tabs>
              <w:spacing w:before="40" w:after="60" w:line="300" w:lineRule="exact"/>
              <w:jc w:val="center"/>
              <w:rPr>
                <w:sz w:val="18"/>
              </w:rPr>
            </w:pPr>
            <w:r>
              <w:rPr>
                <w:sz w:val="18"/>
              </w:rPr>
              <w:t>3</w:t>
            </w:r>
          </w:p>
        </w:tc>
        <w:tc>
          <w:tcPr>
            <w:tcW w:w="393" w:type="pct"/>
          </w:tcPr>
          <w:p w:rsidR="005052D3" w:rsidRDefault="005052D3">
            <w:pPr>
              <w:tabs>
                <w:tab w:val="left" w:pos="-252"/>
                <w:tab w:val="left" w:pos="840"/>
              </w:tabs>
              <w:spacing w:before="40" w:after="60" w:line="300" w:lineRule="exact"/>
              <w:jc w:val="center"/>
              <w:rPr>
                <w:sz w:val="18"/>
              </w:rPr>
            </w:pPr>
            <w:r>
              <w:rPr>
                <w:sz w:val="18"/>
              </w:rPr>
              <w:t>13</w:t>
            </w:r>
          </w:p>
        </w:tc>
        <w:tc>
          <w:tcPr>
            <w:tcW w:w="393" w:type="pct"/>
          </w:tcPr>
          <w:p w:rsidR="005052D3" w:rsidRDefault="005052D3">
            <w:pPr>
              <w:tabs>
                <w:tab w:val="left" w:pos="-252"/>
                <w:tab w:val="left" w:pos="840"/>
              </w:tabs>
              <w:spacing w:before="40" w:after="60" w:line="300" w:lineRule="exact"/>
              <w:jc w:val="center"/>
              <w:rPr>
                <w:sz w:val="18"/>
              </w:rPr>
            </w:pPr>
            <w:r>
              <w:rPr>
                <w:sz w:val="18"/>
              </w:rPr>
              <w:t>9</w:t>
            </w:r>
          </w:p>
        </w:tc>
        <w:tc>
          <w:tcPr>
            <w:tcW w:w="393" w:type="pct"/>
          </w:tcPr>
          <w:p w:rsidR="005052D3" w:rsidRDefault="005052D3">
            <w:pPr>
              <w:tabs>
                <w:tab w:val="left" w:pos="-252"/>
                <w:tab w:val="left" w:pos="840"/>
              </w:tabs>
              <w:spacing w:before="40" w:after="60" w:line="300" w:lineRule="exact"/>
              <w:jc w:val="center"/>
              <w:rPr>
                <w:sz w:val="18"/>
              </w:rPr>
            </w:pPr>
            <w:r>
              <w:rPr>
                <w:sz w:val="18"/>
              </w:rPr>
              <w:t>4</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sz w:val="18"/>
              </w:rPr>
            </w:pPr>
            <w:r>
              <w:rPr>
                <w:rFonts w:hint="eastAsia"/>
                <w:sz w:val="18"/>
              </w:rPr>
              <w:t>文学学士</w:t>
            </w:r>
            <w:r>
              <w:rPr>
                <w:sz w:val="18"/>
              </w:rPr>
              <w:t xml:space="preserve"> (</w:t>
            </w:r>
            <w:r>
              <w:rPr>
                <w:rFonts w:hint="eastAsia"/>
                <w:sz w:val="18"/>
              </w:rPr>
              <w:t>神学</w:t>
            </w:r>
            <w:r>
              <w:rPr>
                <w:sz w:val="18"/>
              </w:rPr>
              <w:t>)</w:t>
            </w:r>
          </w:p>
        </w:tc>
        <w:tc>
          <w:tcPr>
            <w:tcW w:w="393" w:type="pct"/>
          </w:tcPr>
          <w:p w:rsidR="005052D3" w:rsidRDefault="005052D3">
            <w:pPr>
              <w:tabs>
                <w:tab w:val="left" w:pos="-252"/>
                <w:tab w:val="left" w:pos="840"/>
              </w:tabs>
              <w:spacing w:before="40" w:after="60" w:line="300" w:lineRule="exact"/>
              <w:jc w:val="center"/>
              <w:rPr>
                <w:sz w:val="18"/>
              </w:rPr>
            </w:pPr>
            <w:r>
              <w:rPr>
                <w:sz w:val="18"/>
              </w:rPr>
              <w:t>1</w:t>
            </w:r>
          </w:p>
        </w:tc>
        <w:tc>
          <w:tcPr>
            <w:tcW w:w="393" w:type="pct"/>
          </w:tcPr>
          <w:p w:rsidR="005052D3" w:rsidRDefault="005052D3">
            <w:pPr>
              <w:tabs>
                <w:tab w:val="left" w:pos="-252"/>
                <w:tab w:val="left" w:pos="840"/>
              </w:tabs>
              <w:spacing w:before="40" w:after="60" w:line="300" w:lineRule="exact"/>
              <w:jc w:val="center"/>
              <w:rPr>
                <w:sz w:val="18"/>
              </w:rPr>
            </w:pPr>
            <w:r>
              <w:rPr>
                <w:sz w:val="18"/>
              </w:rPr>
              <w:t>-</w:t>
            </w:r>
          </w:p>
        </w:tc>
        <w:tc>
          <w:tcPr>
            <w:tcW w:w="393" w:type="pct"/>
          </w:tcPr>
          <w:p w:rsidR="005052D3" w:rsidRDefault="005052D3">
            <w:pPr>
              <w:tabs>
                <w:tab w:val="left" w:pos="-252"/>
                <w:tab w:val="left" w:pos="840"/>
              </w:tabs>
              <w:spacing w:before="40" w:after="60" w:line="300" w:lineRule="exact"/>
              <w:jc w:val="center"/>
              <w:rPr>
                <w:sz w:val="18"/>
              </w:rPr>
            </w:pPr>
            <w:r>
              <w:rPr>
                <w:sz w:val="18"/>
              </w:rPr>
              <w:t>1</w:t>
            </w:r>
          </w:p>
        </w:tc>
        <w:tc>
          <w:tcPr>
            <w:tcW w:w="393" w:type="pct"/>
          </w:tcPr>
          <w:p w:rsidR="005052D3" w:rsidRDefault="005052D3">
            <w:pPr>
              <w:tabs>
                <w:tab w:val="left" w:pos="-252"/>
                <w:tab w:val="left" w:pos="840"/>
              </w:tabs>
              <w:spacing w:before="40" w:after="60" w:line="300" w:lineRule="exact"/>
              <w:jc w:val="center"/>
              <w:rPr>
                <w:sz w:val="18"/>
              </w:rPr>
            </w:pPr>
            <w:r>
              <w:rPr>
                <w:sz w:val="18"/>
              </w:rPr>
              <w:t>18</w:t>
            </w:r>
          </w:p>
        </w:tc>
        <w:tc>
          <w:tcPr>
            <w:tcW w:w="393" w:type="pct"/>
          </w:tcPr>
          <w:p w:rsidR="005052D3" w:rsidRDefault="005052D3">
            <w:pPr>
              <w:tabs>
                <w:tab w:val="left" w:pos="-252"/>
                <w:tab w:val="left" w:pos="840"/>
              </w:tabs>
              <w:spacing w:before="40" w:after="60" w:line="300" w:lineRule="exact"/>
              <w:jc w:val="center"/>
              <w:rPr>
                <w:sz w:val="18"/>
              </w:rPr>
            </w:pPr>
            <w:r>
              <w:rPr>
                <w:sz w:val="18"/>
              </w:rPr>
              <w:t>17</w:t>
            </w:r>
          </w:p>
        </w:tc>
        <w:tc>
          <w:tcPr>
            <w:tcW w:w="393" w:type="pct"/>
          </w:tcPr>
          <w:p w:rsidR="005052D3" w:rsidRDefault="005052D3">
            <w:pPr>
              <w:tabs>
                <w:tab w:val="left" w:pos="-252"/>
                <w:tab w:val="left" w:pos="840"/>
              </w:tabs>
              <w:spacing w:before="40" w:after="60" w:line="300" w:lineRule="exact"/>
              <w:jc w:val="center"/>
              <w:rPr>
                <w:sz w:val="18"/>
              </w:rPr>
            </w:pPr>
            <w:r>
              <w:rPr>
                <w:sz w:val="18"/>
              </w:rPr>
              <w:t>1</w:t>
            </w:r>
          </w:p>
        </w:tc>
        <w:tc>
          <w:tcPr>
            <w:tcW w:w="393" w:type="pct"/>
          </w:tcPr>
          <w:p w:rsidR="005052D3" w:rsidRDefault="005052D3">
            <w:pPr>
              <w:tabs>
                <w:tab w:val="left" w:pos="-252"/>
                <w:tab w:val="left" w:pos="840"/>
              </w:tabs>
              <w:spacing w:before="40" w:after="60" w:line="300" w:lineRule="exact"/>
              <w:jc w:val="center"/>
              <w:rPr>
                <w:sz w:val="18"/>
              </w:rPr>
            </w:pPr>
            <w:r>
              <w:rPr>
                <w:sz w:val="18"/>
              </w:rPr>
              <w:t>10</w:t>
            </w:r>
          </w:p>
        </w:tc>
        <w:tc>
          <w:tcPr>
            <w:tcW w:w="393" w:type="pct"/>
          </w:tcPr>
          <w:p w:rsidR="005052D3" w:rsidRDefault="005052D3">
            <w:pPr>
              <w:tabs>
                <w:tab w:val="left" w:pos="-252"/>
                <w:tab w:val="left" w:pos="840"/>
              </w:tabs>
              <w:spacing w:before="40" w:after="60" w:line="300" w:lineRule="exact"/>
              <w:jc w:val="center"/>
              <w:rPr>
                <w:sz w:val="18"/>
              </w:rPr>
            </w:pPr>
            <w:r>
              <w:rPr>
                <w:sz w:val="18"/>
              </w:rPr>
              <w:t>10</w:t>
            </w:r>
          </w:p>
        </w:tc>
        <w:tc>
          <w:tcPr>
            <w:tcW w:w="393" w:type="pct"/>
          </w:tcPr>
          <w:p w:rsidR="005052D3" w:rsidRDefault="005052D3">
            <w:pPr>
              <w:tabs>
                <w:tab w:val="left" w:pos="-252"/>
                <w:tab w:val="left" w:pos="840"/>
              </w:tabs>
              <w:spacing w:before="40" w:after="60" w:line="300" w:lineRule="exact"/>
              <w:jc w:val="center"/>
              <w:rPr>
                <w:sz w:val="18"/>
              </w:rPr>
            </w:pPr>
            <w:r>
              <w:rPr>
                <w:sz w:val="18"/>
              </w:rPr>
              <w:t>-</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rFonts w:hint="eastAsia"/>
                <w:sz w:val="18"/>
              </w:rPr>
            </w:pPr>
            <w:r>
              <w:rPr>
                <w:rFonts w:hint="eastAsia"/>
                <w:sz w:val="18"/>
              </w:rPr>
              <w:t>会计学学士</w:t>
            </w:r>
          </w:p>
        </w:tc>
        <w:tc>
          <w:tcPr>
            <w:tcW w:w="393" w:type="pct"/>
          </w:tcPr>
          <w:p w:rsidR="005052D3" w:rsidRDefault="005052D3">
            <w:pPr>
              <w:tabs>
                <w:tab w:val="left" w:pos="-252"/>
                <w:tab w:val="left" w:pos="840"/>
              </w:tabs>
              <w:spacing w:before="40" w:after="60" w:line="300" w:lineRule="exact"/>
              <w:jc w:val="center"/>
              <w:rPr>
                <w:sz w:val="18"/>
              </w:rPr>
            </w:pPr>
            <w:r>
              <w:rPr>
                <w:sz w:val="18"/>
              </w:rPr>
              <w:t>53</w:t>
            </w:r>
          </w:p>
        </w:tc>
        <w:tc>
          <w:tcPr>
            <w:tcW w:w="393" w:type="pct"/>
          </w:tcPr>
          <w:p w:rsidR="005052D3" w:rsidRDefault="005052D3">
            <w:pPr>
              <w:tabs>
                <w:tab w:val="left" w:pos="-252"/>
                <w:tab w:val="left" w:pos="840"/>
              </w:tabs>
              <w:spacing w:before="40" w:after="60" w:line="300" w:lineRule="exact"/>
              <w:jc w:val="center"/>
              <w:rPr>
                <w:sz w:val="18"/>
              </w:rPr>
            </w:pPr>
            <w:r>
              <w:rPr>
                <w:sz w:val="18"/>
              </w:rPr>
              <w:t>45</w:t>
            </w:r>
          </w:p>
        </w:tc>
        <w:tc>
          <w:tcPr>
            <w:tcW w:w="393" w:type="pct"/>
          </w:tcPr>
          <w:p w:rsidR="005052D3" w:rsidRDefault="005052D3">
            <w:pPr>
              <w:tabs>
                <w:tab w:val="left" w:pos="-252"/>
                <w:tab w:val="left" w:pos="840"/>
              </w:tabs>
              <w:spacing w:before="40" w:after="60" w:line="300" w:lineRule="exact"/>
              <w:jc w:val="center"/>
              <w:rPr>
                <w:sz w:val="18"/>
              </w:rPr>
            </w:pPr>
            <w:r>
              <w:rPr>
                <w:sz w:val="18"/>
              </w:rPr>
              <w:t>8</w:t>
            </w:r>
          </w:p>
        </w:tc>
        <w:tc>
          <w:tcPr>
            <w:tcW w:w="393" w:type="pct"/>
          </w:tcPr>
          <w:p w:rsidR="005052D3" w:rsidRDefault="005052D3">
            <w:pPr>
              <w:tabs>
                <w:tab w:val="left" w:pos="-252"/>
                <w:tab w:val="left" w:pos="840"/>
              </w:tabs>
              <w:spacing w:before="40" w:after="60" w:line="300" w:lineRule="exact"/>
              <w:jc w:val="center"/>
              <w:rPr>
                <w:sz w:val="18"/>
              </w:rPr>
            </w:pPr>
            <w:r>
              <w:rPr>
                <w:sz w:val="18"/>
              </w:rPr>
              <w:t>59</w:t>
            </w:r>
          </w:p>
        </w:tc>
        <w:tc>
          <w:tcPr>
            <w:tcW w:w="393" w:type="pct"/>
          </w:tcPr>
          <w:p w:rsidR="005052D3" w:rsidRDefault="005052D3">
            <w:pPr>
              <w:tabs>
                <w:tab w:val="left" w:pos="-252"/>
                <w:tab w:val="left" w:pos="840"/>
              </w:tabs>
              <w:spacing w:before="40" w:after="60" w:line="300" w:lineRule="exact"/>
              <w:jc w:val="center"/>
              <w:rPr>
                <w:sz w:val="18"/>
              </w:rPr>
            </w:pPr>
            <w:r>
              <w:rPr>
                <w:sz w:val="18"/>
              </w:rPr>
              <w:t>53</w:t>
            </w:r>
          </w:p>
        </w:tc>
        <w:tc>
          <w:tcPr>
            <w:tcW w:w="393" w:type="pct"/>
          </w:tcPr>
          <w:p w:rsidR="005052D3" w:rsidRDefault="005052D3">
            <w:pPr>
              <w:tabs>
                <w:tab w:val="left" w:pos="-252"/>
                <w:tab w:val="left" w:pos="840"/>
              </w:tabs>
              <w:spacing w:before="40" w:after="60" w:line="300" w:lineRule="exact"/>
              <w:jc w:val="center"/>
              <w:rPr>
                <w:sz w:val="18"/>
              </w:rPr>
            </w:pPr>
            <w:r>
              <w:rPr>
                <w:sz w:val="18"/>
              </w:rPr>
              <w:t>6</w:t>
            </w:r>
          </w:p>
        </w:tc>
        <w:tc>
          <w:tcPr>
            <w:tcW w:w="393" w:type="pct"/>
          </w:tcPr>
          <w:p w:rsidR="005052D3" w:rsidRDefault="005052D3">
            <w:pPr>
              <w:tabs>
                <w:tab w:val="left" w:pos="-252"/>
                <w:tab w:val="left" w:pos="840"/>
              </w:tabs>
              <w:spacing w:before="40" w:after="60" w:line="300" w:lineRule="exact"/>
              <w:jc w:val="center"/>
              <w:rPr>
                <w:sz w:val="18"/>
              </w:rPr>
            </w:pPr>
            <w:r>
              <w:rPr>
                <w:sz w:val="18"/>
              </w:rPr>
              <w:t>52</w:t>
            </w:r>
          </w:p>
        </w:tc>
        <w:tc>
          <w:tcPr>
            <w:tcW w:w="393" w:type="pct"/>
          </w:tcPr>
          <w:p w:rsidR="005052D3" w:rsidRDefault="005052D3">
            <w:pPr>
              <w:tabs>
                <w:tab w:val="left" w:pos="-252"/>
                <w:tab w:val="left" w:pos="840"/>
              </w:tabs>
              <w:spacing w:before="40" w:after="60" w:line="300" w:lineRule="exact"/>
              <w:jc w:val="center"/>
              <w:rPr>
                <w:sz w:val="18"/>
              </w:rPr>
            </w:pPr>
            <w:r>
              <w:rPr>
                <w:sz w:val="18"/>
              </w:rPr>
              <w:t>42</w:t>
            </w:r>
          </w:p>
        </w:tc>
        <w:tc>
          <w:tcPr>
            <w:tcW w:w="393" w:type="pct"/>
          </w:tcPr>
          <w:p w:rsidR="005052D3" w:rsidRDefault="005052D3">
            <w:pPr>
              <w:tabs>
                <w:tab w:val="left" w:pos="-252"/>
                <w:tab w:val="left" w:pos="840"/>
              </w:tabs>
              <w:spacing w:before="40" w:after="60" w:line="300" w:lineRule="exact"/>
              <w:jc w:val="center"/>
              <w:rPr>
                <w:sz w:val="18"/>
              </w:rPr>
            </w:pPr>
            <w:r>
              <w:rPr>
                <w:sz w:val="18"/>
              </w:rPr>
              <w:t>10</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rFonts w:hint="eastAsia"/>
                <w:sz w:val="18"/>
              </w:rPr>
            </w:pPr>
            <w:r>
              <w:rPr>
                <w:rFonts w:hint="eastAsia"/>
                <w:sz w:val="18"/>
              </w:rPr>
              <w:t>工商管理学士</w:t>
            </w:r>
          </w:p>
        </w:tc>
        <w:tc>
          <w:tcPr>
            <w:tcW w:w="393" w:type="pct"/>
          </w:tcPr>
          <w:p w:rsidR="005052D3" w:rsidRDefault="005052D3">
            <w:pPr>
              <w:tabs>
                <w:tab w:val="left" w:pos="-252"/>
                <w:tab w:val="left" w:pos="840"/>
              </w:tabs>
              <w:spacing w:before="40" w:after="60" w:line="300" w:lineRule="exact"/>
              <w:jc w:val="center"/>
              <w:rPr>
                <w:sz w:val="18"/>
              </w:rPr>
            </w:pPr>
            <w:r>
              <w:rPr>
                <w:sz w:val="18"/>
              </w:rPr>
              <w:t>74</w:t>
            </w:r>
          </w:p>
        </w:tc>
        <w:tc>
          <w:tcPr>
            <w:tcW w:w="393" w:type="pct"/>
          </w:tcPr>
          <w:p w:rsidR="005052D3" w:rsidRDefault="005052D3">
            <w:pPr>
              <w:tabs>
                <w:tab w:val="left" w:pos="-252"/>
                <w:tab w:val="left" w:pos="840"/>
              </w:tabs>
              <w:spacing w:before="40" w:after="60" w:line="300" w:lineRule="exact"/>
              <w:jc w:val="center"/>
              <w:rPr>
                <w:sz w:val="18"/>
              </w:rPr>
            </w:pPr>
            <w:r>
              <w:rPr>
                <w:sz w:val="18"/>
              </w:rPr>
              <w:t>56</w:t>
            </w:r>
          </w:p>
        </w:tc>
        <w:tc>
          <w:tcPr>
            <w:tcW w:w="393" w:type="pct"/>
          </w:tcPr>
          <w:p w:rsidR="005052D3" w:rsidRDefault="005052D3">
            <w:pPr>
              <w:tabs>
                <w:tab w:val="left" w:pos="-252"/>
                <w:tab w:val="left" w:pos="840"/>
              </w:tabs>
              <w:spacing w:before="40" w:after="60" w:line="300" w:lineRule="exact"/>
              <w:jc w:val="center"/>
              <w:rPr>
                <w:sz w:val="18"/>
              </w:rPr>
            </w:pPr>
            <w:r>
              <w:rPr>
                <w:sz w:val="18"/>
              </w:rPr>
              <w:t>18</w:t>
            </w:r>
          </w:p>
        </w:tc>
        <w:tc>
          <w:tcPr>
            <w:tcW w:w="393" w:type="pct"/>
          </w:tcPr>
          <w:p w:rsidR="005052D3" w:rsidRDefault="005052D3">
            <w:pPr>
              <w:tabs>
                <w:tab w:val="left" w:pos="-252"/>
                <w:tab w:val="left" w:pos="840"/>
              </w:tabs>
              <w:spacing w:before="40" w:after="60" w:line="300" w:lineRule="exact"/>
              <w:jc w:val="center"/>
              <w:rPr>
                <w:sz w:val="18"/>
              </w:rPr>
            </w:pPr>
            <w:r>
              <w:rPr>
                <w:sz w:val="18"/>
              </w:rPr>
              <w:t>49</w:t>
            </w:r>
          </w:p>
        </w:tc>
        <w:tc>
          <w:tcPr>
            <w:tcW w:w="393" w:type="pct"/>
          </w:tcPr>
          <w:p w:rsidR="005052D3" w:rsidRDefault="005052D3">
            <w:pPr>
              <w:tabs>
                <w:tab w:val="left" w:pos="-252"/>
                <w:tab w:val="left" w:pos="840"/>
              </w:tabs>
              <w:spacing w:before="40" w:after="60" w:line="300" w:lineRule="exact"/>
              <w:jc w:val="center"/>
              <w:rPr>
                <w:sz w:val="18"/>
              </w:rPr>
            </w:pPr>
            <w:r>
              <w:rPr>
                <w:sz w:val="18"/>
              </w:rPr>
              <w:t>34</w:t>
            </w:r>
          </w:p>
        </w:tc>
        <w:tc>
          <w:tcPr>
            <w:tcW w:w="393" w:type="pct"/>
          </w:tcPr>
          <w:p w:rsidR="005052D3" w:rsidRDefault="005052D3">
            <w:pPr>
              <w:tabs>
                <w:tab w:val="left" w:pos="-252"/>
                <w:tab w:val="left" w:pos="840"/>
              </w:tabs>
              <w:spacing w:before="40" w:after="60" w:line="300" w:lineRule="exact"/>
              <w:jc w:val="center"/>
              <w:rPr>
                <w:sz w:val="18"/>
              </w:rPr>
            </w:pPr>
            <w:r>
              <w:rPr>
                <w:sz w:val="18"/>
              </w:rPr>
              <w:t>15</w:t>
            </w:r>
          </w:p>
        </w:tc>
        <w:tc>
          <w:tcPr>
            <w:tcW w:w="393" w:type="pct"/>
          </w:tcPr>
          <w:p w:rsidR="005052D3" w:rsidRDefault="005052D3">
            <w:pPr>
              <w:tabs>
                <w:tab w:val="left" w:pos="-252"/>
                <w:tab w:val="left" w:pos="840"/>
              </w:tabs>
              <w:spacing w:before="40" w:after="60" w:line="300" w:lineRule="exact"/>
              <w:jc w:val="center"/>
              <w:rPr>
                <w:sz w:val="18"/>
              </w:rPr>
            </w:pPr>
            <w:r>
              <w:rPr>
                <w:sz w:val="18"/>
              </w:rPr>
              <w:t>50</w:t>
            </w:r>
          </w:p>
        </w:tc>
        <w:tc>
          <w:tcPr>
            <w:tcW w:w="393" w:type="pct"/>
          </w:tcPr>
          <w:p w:rsidR="005052D3" w:rsidRDefault="005052D3">
            <w:pPr>
              <w:tabs>
                <w:tab w:val="left" w:pos="-252"/>
                <w:tab w:val="left" w:pos="840"/>
              </w:tabs>
              <w:spacing w:before="40" w:after="60" w:line="300" w:lineRule="exact"/>
              <w:jc w:val="center"/>
              <w:rPr>
                <w:sz w:val="18"/>
              </w:rPr>
            </w:pPr>
            <w:r>
              <w:rPr>
                <w:sz w:val="18"/>
              </w:rPr>
              <w:t>31</w:t>
            </w:r>
          </w:p>
        </w:tc>
        <w:tc>
          <w:tcPr>
            <w:tcW w:w="393" w:type="pct"/>
          </w:tcPr>
          <w:p w:rsidR="005052D3" w:rsidRDefault="005052D3">
            <w:pPr>
              <w:tabs>
                <w:tab w:val="left" w:pos="-252"/>
                <w:tab w:val="left" w:pos="840"/>
              </w:tabs>
              <w:spacing w:before="40" w:after="60" w:line="300" w:lineRule="exact"/>
              <w:jc w:val="center"/>
              <w:rPr>
                <w:sz w:val="18"/>
              </w:rPr>
            </w:pPr>
            <w:r>
              <w:rPr>
                <w:sz w:val="18"/>
              </w:rPr>
              <w:t>19</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sz w:val="18"/>
              </w:rPr>
            </w:pPr>
            <w:r>
              <w:rPr>
                <w:rFonts w:hint="eastAsia"/>
                <w:sz w:val="18"/>
              </w:rPr>
              <w:t>教育学士</w:t>
            </w:r>
          </w:p>
        </w:tc>
        <w:tc>
          <w:tcPr>
            <w:tcW w:w="393" w:type="pct"/>
          </w:tcPr>
          <w:p w:rsidR="005052D3" w:rsidRDefault="005052D3">
            <w:pPr>
              <w:tabs>
                <w:tab w:val="left" w:pos="-252"/>
                <w:tab w:val="left" w:pos="840"/>
              </w:tabs>
              <w:spacing w:before="40" w:after="60" w:line="300" w:lineRule="exact"/>
              <w:jc w:val="center"/>
              <w:rPr>
                <w:sz w:val="18"/>
              </w:rPr>
            </w:pPr>
            <w:r>
              <w:rPr>
                <w:sz w:val="18"/>
              </w:rPr>
              <w:t>122</w:t>
            </w:r>
          </w:p>
        </w:tc>
        <w:tc>
          <w:tcPr>
            <w:tcW w:w="393" w:type="pct"/>
          </w:tcPr>
          <w:p w:rsidR="005052D3" w:rsidRDefault="005052D3">
            <w:pPr>
              <w:tabs>
                <w:tab w:val="left" w:pos="-252"/>
                <w:tab w:val="left" w:pos="840"/>
              </w:tabs>
              <w:spacing w:before="40" w:after="60" w:line="300" w:lineRule="exact"/>
              <w:jc w:val="center"/>
              <w:rPr>
                <w:sz w:val="18"/>
              </w:rPr>
            </w:pPr>
            <w:r>
              <w:rPr>
                <w:sz w:val="18"/>
              </w:rPr>
              <w:t>74</w:t>
            </w:r>
          </w:p>
        </w:tc>
        <w:tc>
          <w:tcPr>
            <w:tcW w:w="393" w:type="pct"/>
          </w:tcPr>
          <w:p w:rsidR="005052D3" w:rsidRDefault="005052D3">
            <w:pPr>
              <w:tabs>
                <w:tab w:val="left" w:pos="-252"/>
                <w:tab w:val="left" w:pos="840"/>
              </w:tabs>
              <w:spacing w:before="40" w:after="60" w:line="300" w:lineRule="exact"/>
              <w:jc w:val="center"/>
              <w:rPr>
                <w:sz w:val="18"/>
              </w:rPr>
            </w:pPr>
            <w:r>
              <w:rPr>
                <w:sz w:val="18"/>
              </w:rPr>
              <w:t>48</w:t>
            </w:r>
          </w:p>
        </w:tc>
        <w:tc>
          <w:tcPr>
            <w:tcW w:w="393" w:type="pct"/>
          </w:tcPr>
          <w:p w:rsidR="005052D3" w:rsidRDefault="005052D3">
            <w:pPr>
              <w:tabs>
                <w:tab w:val="left" w:pos="-252"/>
                <w:tab w:val="left" w:pos="840"/>
              </w:tabs>
              <w:spacing w:before="40" w:after="60" w:line="300" w:lineRule="exact"/>
              <w:jc w:val="center"/>
              <w:rPr>
                <w:sz w:val="18"/>
              </w:rPr>
            </w:pPr>
            <w:r>
              <w:rPr>
                <w:sz w:val="18"/>
              </w:rPr>
              <w:t>92</w:t>
            </w:r>
          </w:p>
        </w:tc>
        <w:tc>
          <w:tcPr>
            <w:tcW w:w="393" w:type="pct"/>
          </w:tcPr>
          <w:p w:rsidR="005052D3" w:rsidRDefault="005052D3">
            <w:pPr>
              <w:tabs>
                <w:tab w:val="left" w:pos="-252"/>
                <w:tab w:val="left" w:pos="840"/>
              </w:tabs>
              <w:spacing w:before="40" w:after="60" w:line="300" w:lineRule="exact"/>
              <w:jc w:val="center"/>
              <w:rPr>
                <w:sz w:val="18"/>
              </w:rPr>
            </w:pPr>
            <w:r>
              <w:rPr>
                <w:sz w:val="18"/>
              </w:rPr>
              <w:t>72</w:t>
            </w:r>
          </w:p>
        </w:tc>
        <w:tc>
          <w:tcPr>
            <w:tcW w:w="393" w:type="pct"/>
          </w:tcPr>
          <w:p w:rsidR="005052D3" w:rsidRDefault="005052D3">
            <w:pPr>
              <w:tabs>
                <w:tab w:val="left" w:pos="-252"/>
                <w:tab w:val="left" w:pos="840"/>
              </w:tabs>
              <w:spacing w:before="40" w:after="60" w:line="300" w:lineRule="exact"/>
              <w:jc w:val="center"/>
              <w:rPr>
                <w:sz w:val="18"/>
              </w:rPr>
            </w:pPr>
            <w:r>
              <w:rPr>
                <w:sz w:val="18"/>
              </w:rPr>
              <w:t>20</w:t>
            </w:r>
          </w:p>
        </w:tc>
        <w:tc>
          <w:tcPr>
            <w:tcW w:w="393" w:type="pct"/>
          </w:tcPr>
          <w:p w:rsidR="005052D3" w:rsidRDefault="005052D3">
            <w:pPr>
              <w:tabs>
                <w:tab w:val="left" w:pos="-252"/>
                <w:tab w:val="left" w:pos="840"/>
              </w:tabs>
              <w:spacing w:before="40" w:after="60" w:line="300" w:lineRule="exact"/>
              <w:jc w:val="center"/>
              <w:rPr>
                <w:sz w:val="18"/>
              </w:rPr>
            </w:pPr>
            <w:r>
              <w:rPr>
                <w:sz w:val="18"/>
              </w:rPr>
              <w:t>144</w:t>
            </w:r>
          </w:p>
        </w:tc>
        <w:tc>
          <w:tcPr>
            <w:tcW w:w="393" w:type="pct"/>
          </w:tcPr>
          <w:p w:rsidR="005052D3" w:rsidRDefault="005052D3">
            <w:pPr>
              <w:tabs>
                <w:tab w:val="left" w:pos="-252"/>
                <w:tab w:val="left" w:pos="840"/>
              </w:tabs>
              <w:spacing w:before="40" w:after="60" w:line="300" w:lineRule="exact"/>
              <w:jc w:val="center"/>
              <w:rPr>
                <w:sz w:val="18"/>
              </w:rPr>
            </w:pPr>
            <w:r>
              <w:rPr>
                <w:sz w:val="18"/>
              </w:rPr>
              <w:t>106</w:t>
            </w:r>
          </w:p>
        </w:tc>
        <w:tc>
          <w:tcPr>
            <w:tcW w:w="393" w:type="pct"/>
          </w:tcPr>
          <w:p w:rsidR="005052D3" w:rsidRDefault="005052D3">
            <w:pPr>
              <w:tabs>
                <w:tab w:val="left" w:pos="-252"/>
                <w:tab w:val="left" w:pos="840"/>
              </w:tabs>
              <w:spacing w:before="40" w:after="60" w:line="300" w:lineRule="exact"/>
              <w:jc w:val="center"/>
              <w:rPr>
                <w:sz w:val="18"/>
              </w:rPr>
            </w:pPr>
            <w:r>
              <w:rPr>
                <w:sz w:val="18"/>
              </w:rPr>
              <w:t>38</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sz w:val="18"/>
              </w:rPr>
            </w:pPr>
            <w:r>
              <w:rPr>
                <w:rFonts w:hint="eastAsia"/>
                <w:sz w:val="18"/>
              </w:rPr>
              <w:t>理学学士</w:t>
            </w:r>
          </w:p>
        </w:tc>
        <w:tc>
          <w:tcPr>
            <w:tcW w:w="393" w:type="pct"/>
          </w:tcPr>
          <w:p w:rsidR="005052D3" w:rsidRDefault="005052D3">
            <w:pPr>
              <w:tabs>
                <w:tab w:val="left" w:pos="-252"/>
                <w:tab w:val="left" w:pos="840"/>
              </w:tabs>
              <w:spacing w:before="40" w:after="60" w:line="300" w:lineRule="exact"/>
              <w:jc w:val="center"/>
              <w:rPr>
                <w:sz w:val="18"/>
              </w:rPr>
            </w:pPr>
            <w:r>
              <w:rPr>
                <w:sz w:val="18"/>
              </w:rPr>
              <w:t>44</w:t>
            </w:r>
          </w:p>
        </w:tc>
        <w:tc>
          <w:tcPr>
            <w:tcW w:w="393" w:type="pct"/>
          </w:tcPr>
          <w:p w:rsidR="005052D3" w:rsidRDefault="005052D3">
            <w:pPr>
              <w:tabs>
                <w:tab w:val="left" w:pos="-252"/>
                <w:tab w:val="left" w:pos="840"/>
              </w:tabs>
              <w:spacing w:before="40" w:after="60" w:line="300" w:lineRule="exact"/>
              <w:jc w:val="center"/>
              <w:rPr>
                <w:sz w:val="18"/>
              </w:rPr>
            </w:pPr>
            <w:r>
              <w:rPr>
                <w:sz w:val="18"/>
              </w:rPr>
              <w:t>39</w:t>
            </w:r>
          </w:p>
        </w:tc>
        <w:tc>
          <w:tcPr>
            <w:tcW w:w="393" w:type="pct"/>
          </w:tcPr>
          <w:p w:rsidR="005052D3" w:rsidRDefault="005052D3">
            <w:pPr>
              <w:tabs>
                <w:tab w:val="left" w:pos="-252"/>
                <w:tab w:val="left" w:pos="840"/>
              </w:tabs>
              <w:spacing w:before="40" w:after="60" w:line="300" w:lineRule="exact"/>
              <w:jc w:val="center"/>
              <w:rPr>
                <w:sz w:val="18"/>
              </w:rPr>
            </w:pPr>
            <w:r>
              <w:rPr>
                <w:sz w:val="18"/>
              </w:rPr>
              <w:t>5</w:t>
            </w:r>
          </w:p>
        </w:tc>
        <w:tc>
          <w:tcPr>
            <w:tcW w:w="393" w:type="pct"/>
          </w:tcPr>
          <w:p w:rsidR="005052D3" w:rsidRDefault="005052D3">
            <w:pPr>
              <w:tabs>
                <w:tab w:val="left" w:pos="-252"/>
                <w:tab w:val="left" w:pos="840"/>
              </w:tabs>
              <w:spacing w:before="40" w:after="60" w:line="300" w:lineRule="exact"/>
              <w:jc w:val="center"/>
              <w:rPr>
                <w:sz w:val="18"/>
              </w:rPr>
            </w:pPr>
            <w:r>
              <w:rPr>
                <w:sz w:val="18"/>
              </w:rPr>
              <w:t>47</w:t>
            </w:r>
          </w:p>
        </w:tc>
        <w:tc>
          <w:tcPr>
            <w:tcW w:w="393" w:type="pct"/>
          </w:tcPr>
          <w:p w:rsidR="005052D3" w:rsidRDefault="005052D3">
            <w:pPr>
              <w:tabs>
                <w:tab w:val="left" w:pos="-252"/>
                <w:tab w:val="left" w:pos="840"/>
              </w:tabs>
              <w:spacing w:before="40" w:after="60" w:line="300" w:lineRule="exact"/>
              <w:jc w:val="center"/>
              <w:rPr>
                <w:sz w:val="18"/>
              </w:rPr>
            </w:pPr>
            <w:r>
              <w:rPr>
                <w:sz w:val="18"/>
              </w:rPr>
              <w:t>37</w:t>
            </w:r>
          </w:p>
        </w:tc>
        <w:tc>
          <w:tcPr>
            <w:tcW w:w="393" w:type="pct"/>
          </w:tcPr>
          <w:p w:rsidR="005052D3" w:rsidRDefault="005052D3">
            <w:pPr>
              <w:tabs>
                <w:tab w:val="left" w:pos="-252"/>
                <w:tab w:val="left" w:pos="840"/>
              </w:tabs>
              <w:spacing w:before="40" w:after="60" w:line="300" w:lineRule="exact"/>
              <w:jc w:val="center"/>
              <w:rPr>
                <w:sz w:val="18"/>
              </w:rPr>
            </w:pPr>
            <w:r>
              <w:rPr>
                <w:sz w:val="18"/>
              </w:rPr>
              <w:t>10</w:t>
            </w:r>
          </w:p>
        </w:tc>
        <w:tc>
          <w:tcPr>
            <w:tcW w:w="393" w:type="pct"/>
          </w:tcPr>
          <w:p w:rsidR="005052D3" w:rsidRDefault="005052D3">
            <w:pPr>
              <w:tabs>
                <w:tab w:val="left" w:pos="-252"/>
                <w:tab w:val="left" w:pos="840"/>
              </w:tabs>
              <w:spacing w:before="40" w:after="60" w:line="300" w:lineRule="exact"/>
              <w:jc w:val="center"/>
              <w:rPr>
                <w:sz w:val="18"/>
              </w:rPr>
            </w:pPr>
            <w:r>
              <w:rPr>
                <w:sz w:val="18"/>
              </w:rPr>
              <w:t>50</w:t>
            </w:r>
          </w:p>
        </w:tc>
        <w:tc>
          <w:tcPr>
            <w:tcW w:w="393" w:type="pct"/>
          </w:tcPr>
          <w:p w:rsidR="005052D3" w:rsidRDefault="005052D3">
            <w:pPr>
              <w:tabs>
                <w:tab w:val="left" w:pos="-252"/>
                <w:tab w:val="left" w:pos="840"/>
              </w:tabs>
              <w:spacing w:before="40" w:after="60" w:line="300" w:lineRule="exact"/>
              <w:jc w:val="center"/>
              <w:rPr>
                <w:sz w:val="18"/>
              </w:rPr>
            </w:pPr>
            <w:r>
              <w:rPr>
                <w:sz w:val="18"/>
              </w:rPr>
              <w:t>39</w:t>
            </w:r>
          </w:p>
        </w:tc>
        <w:tc>
          <w:tcPr>
            <w:tcW w:w="393" w:type="pct"/>
          </w:tcPr>
          <w:p w:rsidR="005052D3" w:rsidRDefault="005052D3">
            <w:pPr>
              <w:tabs>
                <w:tab w:val="left" w:pos="-252"/>
                <w:tab w:val="left" w:pos="840"/>
              </w:tabs>
              <w:spacing w:before="40" w:after="60" w:line="300" w:lineRule="exact"/>
              <w:jc w:val="center"/>
              <w:rPr>
                <w:sz w:val="18"/>
              </w:rPr>
            </w:pPr>
            <w:r>
              <w:rPr>
                <w:sz w:val="18"/>
              </w:rPr>
              <w:t>11</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rFonts w:hint="eastAsia"/>
                <w:sz w:val="18"/>
              </w:rPr>
            </w:pPr>
            <w:r>
              <w:rPr>
                <w:rFonts w:hint="eastAsia"/>
                <w:sz w:val="18"/>
              </w:rPr>
              <w:t>理学学士</w:t>
            </w:r>
            <w:r>
              <w:rPr>
                <w:sz w:val="18"/>
              </w:rPr>
              <w:t xml:space="preserve"> (</w:t>
            </w:r>
            <w:r>
              <w:rPr>
                <w:rFonts w:hint="eastAsia"/>
                <w:sz w:val="18"/>
              </w:rPr>
              <w:t>农业)</w:t>
            </w:r>
          </w:p>
        </w:tc>
        <w:tc>
          <w:tcPr>
            <w:tcW w:w="393" w:type="pct"/>
          </w:tcPr>
          <w:p w:rsidR="005052D3" w:rsidRDefault="005052D3">
            <w:pPr>
              <w:tabs>
                <w:tab w:val="left" w:pos="-252"/>
                <w:tab w:val="left" w:pos="840"/>
              </w:tabs>
              <w:spacing w:before="40" w:after="60" w:line="300" w:lineRule="exact"/>
              <w:jc w:val="center"/>
              <w:rPr>
                <w:sz w:val="18"/>
              </w:rPr>
            </w:pPr>
            <w:r>
              <w:rPr>
                <w:sz w:val="18"/>
              </w:rPr>
              <w:t>90</w:t>
            </w:r>
          </w:p>
        </w:tc>
        <w:tc>
          <w:tcPr>
            <w:tcW w:w="393" w:type="pct"/>
          </w:tcPr>
          <w:p w:rsidR="005052D3" w:rsidRDefault="005052D3">
            <w:pPr>
              <w:tabs>
                <w:tab w:val="left" w:pos="-252"/>
                <w:tab w:val="left" w:pos="840"/>
              </w:tabs>
              <w:spacing w:before="40" w:after="60" w:line="300" w:lineRule="exact"/>
              <w:jc w:val="center"/>
              <w:rPr>
                <w:sz w:val="18"/>
              </w:rPr>
            </w:pPr>
            <w:r>
              <w:rPr>
                <w:sz w:val="18"/>
              </w:rPr>
              <w:t>69</w:t>
            </w:r>
          </w:p>
        </w:tc>
        <w:tc>
          <w:tcPr>
            <w:tcW w:w="393" w:type="pct"/>
          </w:tcPr>
          <w:p w:rsidR="005052D3" w:rsidRDefault="005052D3">
            <w:pPr>
              <w:tabs>
                <w:tab w:val="left" w:pos="-252"/>
                <w:tab w:val="left" w:pos="840"/>
              </w:tabs>
              <w:spacing w:before="40" w:after="60" w:line="300" w:lineRule="exact"/>
              <w:jc w:val="center"/>
              <w:rPr>
                <w:sz w:val="18"/>
              </w:rPr>
            </w:pPr>
            <w:r>
              <w:rPr>
                <w:sz w:val="18"/>
              </w:rPr>
              <w:t>21</w:t>
            </w:r>
          </w:p>
        </w:tc>
        <w:tc>
          <w:tcPr>
            <w:tcW w:w="393" w:type="pct"/>
          </w:tcPr>
          <w:p w:rsidR="005052D3" w:rsidRDefault="005052D3">
            <w:pPr>
              <w:tabs>
                <w:tab w:val="left" w:pos="-252"/>
                <w:tab w:val="left" w:pos="840"/>
              </w:tabs>
              <w:spacing w:before="40" w:after="60" w:line="300" w:lineRule="exact"/>
              <w:jc w:val="center"/>
              <w:rPr>
                <w:sz w:val="18"/>
              </w:rPr>
            </w:pPr>
            <w:r>
              <w:rPr>
                <w:sz w:val="18"/>
              </w:rPr>
              <w:t>170</w:t>
            </w:r>
          </w:p>
        </w:tc>
        <w:tc>
          <w:tcPr>
            <w:tcW w:w="393" w:type="pct"/>
          </w:tcPr>
          <w:p w:rsidR="005052D3" w:rsidRDefault="005052D3">
            <w:pPr>
              <w:tabs>
                <w:tab w:val="left" w:pos="-252"/>
                <w:tab w:val="left" w:pos="840"/>
              </w:tabs>
              <w:spacing w:before="40" w:after="60" w:line="300" w:lineRule="exact"/>
              <w:jc w:val="center"/>
              <w:rPr>
                <w:sz w:val="18"/>
              </w:rPr>
            </w:pPr>
            <w:r>
              <w:rPr>
                <w:sz w:val="18"/>
              </w:rPr>
              <w:t>126</w:t>
            </w:r>
          </w:p>
        </w:tc>
        <w:tc>
          <w:tcPr>
            <w:tcW w:w="393" w:type="pct"/>
          </w:tcPr>
          <w:p w:rsidR="005052D3" w:rsidRDefault="005052D3">
            <w:pPr>
              <w:tabs>
                <w:tab w:val="left" w:pos="-252"/>
                <w:tab w:val="left" w:pos="840"/>
              </w:tabs>
              <w:spacing w:before="40" w:after="60" w:line="300" w:lineRule="exact"/>
              <w:jc w:val="center"/>
              <w:rPr>
                <w:sz w:val="18"/>
              </w:rPr>
            </w:pPr>
            <w:r>
              <w:rPr>
                <w:sz w:val="18"/>
              </w:rPr>
              <w:t>44</w:t>
            </w:r>
          </w:p>
        </w:tc>
        <w:tc>
          <w:tcPr>
            <w:tcW w:w="393" w:type="pct"/>
          </w:tcPr>
          <w:p w:rsidR="005052D3" w:rsidRDefault="005052D3">
            <w:pPr>
              <w:tabs>
                <w:tab w:val="left" w:pos="-252"/>
                <w:tab w:val="left" w:pos="840"/>
              </w:tabs>
              <w:spacing w:before="40" w:after="60" w:line="300" w:lineRule="exact"/>
              <w:jc w:val="center"/>
              <w:rPr>
                <w:sz w:val="18"/>
              </w:rPr>
            </w:pPr>
            <w:r>
              <w:rPr>
                <w:sz w:val="18"/>
              </w:rPr>
              <w:t>89</w:t>
            </w:r>
          </w:p>
        </w:tc>
        <w:tc>
          <w:tcPr>
            <w:tcW w:w="393" w:type="pct"/>
          </w:tcPr>
          <w:p w:rsidR="005052D3" w:rsidRDefault="005052D3">
            <w:pPr>
              <w:tabs>
                <w:tab w:val="left" w:pos="-252"/>
                <w:tab w:val="left" w:pos="840"/>
              </w:tabs>
              <w:spacing w:before="40" w:after="60" w:line="300" w:lineRule="exact"/>
              <w:jc w:val="center"/>
              <w:rPr>
                <w:sz w:val="18"/>
              </w:rPr>
            </w:pPr>
            <w:r>
              <w:rPr>
                <w:sz w:val="18"/>
              </w:rPr>
              <w:t>67</w:t>
            </w:r>
          </w:p>
        </w:tc>
        <w:tc>
          <w:tcPr>
            <w:tcW w:w="393" w:type="pct"/>
          </w:tcPr>
          <w:p w:rsidR="005052D3" w:rsidRDefault="005052D3">
            <w:pPr>
              <w:tabs>
                <w:tab w:val="left" w:pos="-252"/>
                <w:tab w:val="left" w:pos="840"/>
              </w:tabs>
              <w:spacing w:before="40" w:after="60" w:line="300" w:lineRule="exact"/>
              <w:jc w:val="center"/>
              <w:rPr>
                <w:sz w:val="18"/>
              </w:rPr>
            </w:pPr>
            <w:r>
              <w:rPr>
                <w:sz w:val="18"/>
              </w:rPr>
              <w:t>22</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sz w:val="18"/>
              </w:rPr>
            </w:pPr>
            <w:r>
              <w:rPr>
                <w:rFonts w:hint="eastAsia"/>
                <w:sz w:val="18"/>
              </w:rPr>
              <w:t>理学学士</w:t>
            </w:r>
            <w:r>
              <w:rPr>
                <w:sz w:val="18"/>
              </w:rPr>
              <w:t xml:space="preserve"> (</w:t>
            </w:r>
            <w:r>
              <w:rPr>
                <w:rFonts w:hint="eastAsia"/>
                <w:sz w:val="18"/>
              </w:rPr>
              <w:t>工程</w:t>
            </w:r>
            <w:r>
              <w:rPr>
                <w:sz w:val="18"/>
              </w:rPr>
              <w:t>)</w:t>
            </w:r>
          </w:p>
        </w:tc>
        <w:tc>
          <w:tcPr>
            <w:tcW w:w="393" w:type="pct"/>
          </w:tcPr>
          <w:p w:rsidR="005052D3" w:rsidRDefault="005052D3">
            <w:pPr>
              <w:tabs>
                <w:tab w:val="left" w:pos="-252"/>
                <w:tab w:val="left" w:pos="840"/>
              </w:tabs>
              <w:spacing w:before="40" w:after="60" w:line="300" w:lineRule="exact"/>
              <w:jc w:val="center"/>
              <w:rPr>
                <w:sz w:val="18"/>
              </w:rPr>
            </w:pPr>
            <w:r>
              <w:rPr>
                <w:sz w:val="18"/>
              </w:rPr>
              <w:t>46</w:t>
            </w:r>
          </w:p>
        </w:tc>
        <w:tc>
          <w:tcPr>
            <w:tcW w:w="393" w:type="pct"/>
          </w:tcPr>
          <w:p w:rsidR="005052D3" w:rsidRDefault="005052D3">
            <w:pPr>
              <w:tabs>
                <w:tab w:val="left" w:pos="-252"/>
                <w:tab w:val="left" w:pos="840"/>
              </w:tabs>
              <w:spacing w:before="40" w:after="60" w:line="300" w:lineRule="exact"/>
              <w:jc w:val="center"/>
              <w:rPr>
                <w:sz w:val="18"/>
              </w:rPr>
            </w:pPr>
            <w:r>
              <w:rPr>
                <w:sz w:val="18"/>
              </w:rPr>
              <w:t>43</w:t>
            </w:r>
          </w:p>
        </w:tc>
        <w:tc>
          <w:tcPr>
            <w:tcW w:w="393" w:type="pct"/>
          </w:tcPr>
          <w:p w:rsidR="005052D3" w:rsidRDefault="005052D3">
            <w:pPr>
              <w:tabs>
                <w:tab w:val="left" w:pos="-252"/>
                <w:tab w:val="left" w:pos="840"/>
              </w:tabs>
              <w:spacing w:before="40" w:after="60" w:line="300" w:lineRule="exact"/>
              <w:jc w:val="center"/>
              <w:rPr>
                <w:sz w:val="18"/>
              </w:rPr>
            </w:pPr>
            <w:r>
              <w:rPr>
                <w:sz w:val="18"/>
              </w:rPr>
              <w:t>6</w:t>
            </w:r>
          </w:p>
        </w:tc>
        <w:tc>
          <w:tcPr>
            <w:tcW w:w="393" w:type="pct"/>
          </w:tcPr>
          <w:p w:rsidR="005052D3" w:rsidRDefault="005052D3">
            <w:pPr>
              <w:tabs>
                <w:tab w:val="left" w:pos="-252"/>
                <w:tab w:val="left" w:pos="840"/>
              </w:tabs>
              <w:spacing w:before="40" w:after="60" w:line="300" w:lineRule="exact"/>
              <w:jc w:val="center"/>
              <w:rPr>
                <w:sz w:val="18"/>
              </w:rPr>
            </w:pPr>
            <w:r>
              <w:rPr>
                <w:sz w:val="18"/>
              </w:rPr>
              <w:t>77</w:t>
            </w:r>
          </w:p>
        </w:tc>
        <w:tc>
          <w:tcPr>
            <w:tcW w:w="393" w:type="pct"/>
          </w:tcPr>
          <w:p w:rsidR="005052D3" w:rsidRDefault="005052D3">
            <w:pPr>
              <w:tabs>
                <w:tab w:val="left" w:pos="-252"/>
                <w:tab w:val="left" w:pos="840"/>
              </w:tabs>
              <w:spacing w:before="40" w:after="60" w:line="300" w:lineRule="exact"/>
              <w:jc w:val="center"/>
              <w:rPr>
                <w:sz w:val="18"/>
              </w:rPr>
            </w:pPr>
            <w:r>
              <w:rPr>
                <w:sz w:val="18"/>
              </w:rPr>
              <w:t>74</w:t>
            </w:r>
          </w:p>
        </w:tc>
        <w:tc>
          <w:tcPr>
            <w:tcW w:w="393" w:type="pct"/>
          </w:tcPr>
          <w:p w:rsidR="005052D3" w:rsidRDefault="005052D3">
            <w:pPr>
              <w:tabs>
                <w:tab w:val="left" w:pos="-252"/>
                <w:tab w:val="left" w:pos="840"/>
              </w:tabs>
              <w:spacing w:before="40" w:after="60" w:line="300" w:lineRule="exact"/>
              <w:jc w:val="center"/>
              <w:rPr>
                <w:sz w:val="18"/>
              </w:rPr>
            </w:pPr>
            <w:r>
              <w:rPr>
                <w:sz w:val="18"/>
              </w:rPr>
              <w:t>3</w:t>
            </w:r>
          </w:p>
        </w:tc>
        <w:tc>
          <w:tcPr>
            <w:tcW w:w="393" w:type="pct"/>
          </w:tcPr>
          <w:p w:rsidR="005052D3" w:rsidRDefault="005052D3">
            <w:pPr>
              <w:tabs>
                <w:tab w:val="left" w:pos="-252"/>
                <w:tab w:val="left" w:pos="840"/>
              </w:tabs>
              <w:spacing w:before="40" w:after="60" w:line="300" w:lineRule="exact"/>
              <w:jc w:val="center"/>
              <w:rPr>
                <w:sz w:val="18"/>
              </w:rPr>
            </w:pPr>
            <w:r>
              <w:rPr>
                <w:sz w:val="18"/>
              </w:rPr>
              <w:t>63</w:t>
            </w:r>
          </w:p>
        </w:tc>
        <w:tc>
          <w:tcPr>
            <w:tcW w:w="393" w:type="pct"/>
          </w:tcPr>
          <w:p w:rsidR="005052D3" w:rsidRDefault="005052D3">
            <w:pPr>
              <w:tabs>
                <w:tab w:val="left" w:pos="-252"/>
                <w:tab w:val="left" w:pos="840"/>
              </w:tabs>
              <w:spacing w:before="40" w:after="60" w:line="300" w:lineRule="exact"/>
              <w:jc w:val="center"/>
              <w:rPr>
                <w:sz w:val="18"/>
              </w:rPr>
            </w:pPr>
            <w:r>
              <w:rPr>
                <w:sz w:val="18"/>
              </w:rPr>
              <w:t>60</w:t>
            </w:r>
          </w:p>
        </w:tc>
        <w:tc>
          <w:tcPr>
            <w:tcW w:w="393" w:type="pct"/>
          </w:tcPr>
          <w:p w:rsidR="005052D3" w:rsidRDefault="005052D3">
            <w:pPr>
              <w:tabs>
                <w:tab w:val="left" w:pos="-252"/>
                <w:tab w:val="left" w:pos="840"/>
              </w:tabs>
              <w:spacing w:before="40" w:after="60" w:line="300" w:lineRule="exact"/>
              <w:jc w:val="center"/>
              <w:rPr>
                <w:sz w:val="18"/>
              </w:rPr>
            </w:pPr>
            <w:r>
              <w:rPr>
                <w:sz w:val="18"/>
              </w:rPr>
              <w:t>3</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sz w:val="18"/>
              </w:rPr>
            </w:pPr>
            <w:r>
              <w:rPr>
                <w:rFonts w:hint="eastAsia"/>
                <w:sz w:val="18"/>
              </w:rPr>
              <w:t>理学学士（技术教育</w:t>
            </w:r>
            <w:r>
              <w:rPr>
                <w:sz w:val="18"/>
              </w:rPr>
              <w:t>)</w:t>
            </w:r>
          </w:p>
        </w:tc>
        <w:tc>
          <w:tcPr>
            <w:tcW w:w="393" w:type="pct"/>
          </w:tcPr>
          <w:p w:rsidR="005052D3" w:rsidRDefault="005052D3">
            <w:pPr>
              <w:tabs>
                <w:tab w:val="left" w:pos="-252"/>
                <w:tab w:val="left" w:pos="840"/>
              </w:tabs>
              <w:spacing w:before="40" w:after="60" w:line="300" w:lineRule="exact"/>
              <w:jc w:val="center"/>
              <w:rPr>
                <w:sz w:val="18"/>
              </w:rPr>
            </w:pPr>
            <w:r>
              <w:rPr>
                <w:sz w:val="18"/>
              </w:rPr>
              <w:t>-</w:t>
            </w:r>
          </w:p>
        </w:tc>
        <w:tc>
          <w:tcPr>
            <w:tcW w:w="393" w:type="pct"/>
          </w:tcPr>
          <w:p w:rsidR="005052D3" w:rsidRDefault="005052D3">
            <w:pPr>
              <w:tabs>
                <w:tab w:val="left" w:pos="-252"/>
                <w:tab w:val="left" w:pos="840"/>
              </w:tabs>
              <w:spacing w:before="40" w:after="60" w:line="300" w:lineRule="exact"/>
              <w:jc w:val="center"/>
              <w:rPr>
                <w:sz w:val="18"/>
              </w:rPr>
            </w:pPr>
            <w:r>
              <w:rPr>
                <w:sz w:val="18"/>
              </w:rPr>
              <w:t>-</w:t>
            </w:r>
          </w:p>
        </w:tc>
        <w:tc>
          <w:tcPr>
            <w:tcW w:w="393" w:type="pct"/>
          </w:tcPr>
          <w:p w:rsidR="005052D3" w:rsidRDefault="005052D3">
            <w:pPr>
              <w:tabs>
                <w:tab w:val="left" w:pos="-252"/>
                <w:tab w:val="left" w:pos="840"/>
              </w:tabs>
              <w:spacing w:before="40" w:after="60" w:line="300" w:lineRule="exact"/>
              <w:jc w:val="center"/>
              <w:rPr>
                <w:sz w:val="18"/>
              </w:rPr>
            </w:pPr>
            <w:r>
              <w:rPr>
                <w:sz w:val="18"/>
              </w:rPr>
              <w:t>-</w:t>
            </w:r>
          </w:p>
        </w:tc>
        <w:tc>
          <w:tcPr>
            <w:tcW w:w="393" w:type="pct"/>
          </w:tcPr>
          <w:p w:rsidR="005052D3" w:rsidRDefault="005052D3">
            <w:pPr>
              <w:tabs>
                <w:tab w:val="left" w:pos="-252"/>
                <w:tab w:val="left" w:pos="840"/>
              </w:tabs>
              <w:spacing w:before="40" w:after="60" w:line="300" w:lineRule="exact"/>
              <w:jc w:val="center"/>
              <w:rPr>
                <w:sz w:val="18"/>
              </w:rPr>
            </w:pPr>
            <w:r>
              <w:rPr>
                <w:sz w:val="18"/>
              </w:rPr>
              <w:t>17</w:t>
            </w:r>
          </w:p>
        </w:tc>
        <w:tc>
          <w:tcPr>
            <w:tcW w:w="393" w:type="pct"/>
          </w:tcPr>
          <w:p w:rsidR="005052D3" w:rsidRDefault="005052D3">
            <w:pPr>
              <w:tabs>
                <w:tab w:val="left" w:pos="-252"/>
                <w:tab w:val="left" w:pos="840"/>
              </w:tabs>
              <w:spacing w:before="40" w:after="60" w:line="300" w:lineRule="exact"/>
              <w:jc w:val="center"/>
              <w:rPr>
                <w:sz w:val="18"/>
              </w:rPr>
            </w:pPr>
            <w:r>
              <w:rPr>
                <w:sz w:val="18"/>
              </w:rPr>
              <w:t>17</w:t>
            </w:r>
          </w:p>
        </w:tc>
        <w:tc>
          <w:tcPr>
            <w:tcW w:w="393" w:type="pct"/>
          </w:tcPr>
          <w:p w:rsidR="005052D3" w:rsidRDefault="005052D3">
            <w:pPr>
              <w:tabs>
                <w:tab w:val="left" w:pos="-252"/>
                <w:tab w:val="left" w:pos="840"/>
              </w:tabs>
              <w:spacing w:before="40" w:after="60" w:line="300" w:lineRule="exact"/>
              <w:jc w:val="center"/>
              <w:rPr>
                <w:sz w:val="18"/>
              </w:rPr>
            </w:pPr>
            <w:r>
              <w:rPr>
                <w:sz w:val="18"/>
              </w:rPr>
              <w:t>-</w:t>
            </w:r>
          </w:p>
        </w:tc>
        <w:tc>
          <w:tcPr>
            <w:tcW w:w="393" w:type="pct"/>
          </w:tcPr>
          <w:p w:rsidR="005052D3" w:rsidRDefault="005052D3">
            <w:pPr>
              <w:tabs>
                <w:tab w:val="left" w:pos="-252"/>
                <w:tab w:val="left" w:pos="840"/>
              </w:tabs>
              <w:spacing w:before="40" w:after="60" w:line="300" w:lineRule="exact"/>
              <w:jc w:val="center"/>
              <w:rPr>
                <w:sz w:val="18"/>
              </w:rPr>
            </w:pPr>
            <w:r>
              <w:rPr>
                <w:sz w:val="18"/>
              </w:rPr>
              <w:t>-</w:t>
            </w:r>
          </w:p>
        </w:tc>
        <w:tc>
          <w:tcPr>
            <w:tcW w:w="393" w:type="pct"/>
          </w:tcPr>
          <w:p w:rsidR="005052D3" w:rsidRDefault="005052D3">
            <w:pPr>
              <w:tabs>
                <w:tab w:val="left" w:pos="-252"/>
                <w:tab w:val="left" w:pos="840"/>
              </w:tabs>
              <w:spacing w:before="40" w:after="60" w:line="300" w:lineRule="exact"/>
              <w:jc w:val="center"/>
              <w:rPr>
                <w:sz w:val="18"/>
              </w:rPr>
            </w:pPr>
            <w:r>
              <w:rPr>
                <w:sz w:val="18"/>
              </w:rPr>
              <w:t>-</w:t>
            </w:r>
          </w:p>
        </w:tc>
        <w:tc>
          <w:tcPr>
            <w:tcW w:w="393" w:type="pct"/>
          </w:tcPr>
          <w:p w:rsidR="005052D3" w:rsidRDefault="005052D3">
            <w:pPr>
              <w:tabs>
                <w:tab w:val="left" w:pos="-252"/>
                <w:tab w:val="left" w:pos="840"/>
              </w:tabs>
              <w:spacing w:before="40" w:after="60" w:line="300" w:lineRule="exact"/>
              <w:jc w:val="center"/>
              <w:rPr>
                <w:sz w:val="18"/>
              </w:rPr>
            </w:pPr>
            <w:r>
              <w:rPr>
                <w:sz w:val="18"/>
              </w:rPr>
              <w:t>-</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sz w:val="18"/>
              </w:rPr>
            </w:pPr>
            <w:r>
              <w:rPr>
                <w:rFonts w:hint="eastAsia"/>
                <w:sz w:val="18"/>
              </w:rPr>
              <w:t>理学学士</w:t>
            </w:r>
            <w:r>
              <w:rPr>
                <w:sz w:val="18"/>
              </w:rPr>
              <w:t xml:space="preserve"> (</w:t>
            </w:r>
            <w:r>
              <w:rPr>
                <w:rFonts w:hint="eastAsia"/>
                <w:sz w:val="18"/>
              </w:rPr>
              <w:t>环境科学和技术</w:t>
            </w:r>
            <w:r>
              <w:rPr>
                <w:sz w:val="18"/>
              </w:rPr>
              <w:t>)</w:t>
            </w:r>
          </w:p>
        </w:tc>
        <w:tc>
          <w:tcPr>
            <w:tcW w:w="393" w:type="pct"/>
          </w:tcPr>
          <w:p w:rsidR="005052D3" w:rsidRDefault="005052D3">
            <w:pPr>
              <w:tabs>
                <w:tab w:val="left" w:pos="-252"/>
                <w:tab w:val="left" w:pos="840"/>
              </w:tabs>
              <w:spacing w:before="40" w:after="60" w:line="300" w:lineRule="exact"/>
              <w:jc w:val="center"/>
              <w:rPr>
                <w:sz w:val="18"/>
              </w:rPr>
            </w:pPr>
            <w:r>
              <w:rPr>
                <w:sz w:val="18"/>
              </w:rPr>
              <w:t>26</w:t>
            </w:r>
          </w:p>
        </w:tc>
        <w:tc>
          <w:tcPr>
            <w:tcW w:w="393" w:type="pct"/>
          </w:tcPr>
          <w:p w:rsidR="005052D3" w:rsidRDefault="005052D3">
            <w:pPr>
              <w:tabs>
                <w:tab w:val="left" w:pos="-252"/>
                <w:tab w:val="left" w:pos="840"/>
              </w:tabs>
              <w:spacing w:before="40" w:after="60" w:line="300" w:lineRule="exact"/>
              <w:jc w:val="center"/>
              <w:rPr>
                <w:sz w:val="18"/>
              </w:rPr>
            </w:pPr>
            <w:r>
              <w:rPr>
                <w:sz w:val="18"/>
              </w:rPr>
              <w:t>24</w:t>
            </w:r>
          </w:p>
        </w:tc>
        <w:tc>
          <w:tcPr>
            <w:tcW w:w="393" w:type="pct"/>
          </w:tcPr>
          <w:p w:rsidR="005052D3" w:rsidRDefault="005052D3">
            <w:pPr>
              <w:tabs>
                <w:tab w:val="left" w:pos="-252"/>
                <w:tab w:val="left" w:pos="840"/>
              </w:tabs>
              <w:spacing w:before="40" w:after="60" w:line="300" w:lineRule="exact"/>
              <w:jc w:val="center"/>
              <w:rPr>
                <w:sz w:val="18"/>
              </w:rPr>
            </w:pPr>
            <w:r>
              <w:rPr>
                <w:sz w:val="18"/>
              </w:rPr>
              <w:t>2</w:t>
            </w:r>
          </w:p>
        </w:tc>
        <w:tc>
          <w:tcPr>
            <w:tcW w:w="393" w:type="pct"/>
          </w:tcPr>
          <w:p w:rsidR="005052D3" w:rsidRDefault="005052D3">
            <w:pPr>
              <w:tabs>
                <w:tab w:val="left" w:pos="-252"/>
                <w:tab w:val="left" w:pos="840"/>
              </w:tabs>
              <w:spacing w:before="40" w:after="60" w:line="300" w:lineRule="exact"/>
              <w:jc w:val="center"/>
              <w:rPr>
                <w:sz w:val="18"/>
              </w:rPr>
            </w:pPr>
            <w:r>
              <w:rPr>
                <w:sz w:val="18"/>
              </w:rPr>
              <w:t>7</w:t>
            </w:r>
          </w:p>
        </w:tc>
        <w:tc>
          <w:tcPr>
            <w:tcW w:w="393" w:type="pct"/>
          </w:tcPr>
          <w:p w:rsidR="005052D3" w:rsidRDefault="005052D3">
            <w:pPr>
              <w:tabs>
                <w:tab w:val="left" w:pos="-252"/>
                <w:tab w:val="left" w:pos="840"/>
              </w:tabs>
              <w:spacing w:before="40" w:after="60" w:line="300" w:lineRule="exact"/>
              <w:jc w:val="center"/>
              <w:rPr>
                <w:sz w:val="18"/>
              </w:rPr>
            </w:pPr>
            <w:r>
              <w:rPr>
                <w:sz w:val="18"/>
              </w:rPr>
              <w:t>6</w:t>
            </w:r>
          </w:p>
        </w:tc>
        <w:tc>
          <w:tcPr>
            <w:tcW w:w="393" w:type="pct"/>
          </w:tcPr>
          <w:p w:rsidR="005052D3" w:rsidRDefault="005052D3">
            <w:pPr>
              <w:tabs>
                <w:tab w:val="left" w:pos="-252"/>
                <w:tab w:val="left" w:pos="840"/>
              </w:tabs>
              <w:spacing w:before="40" w:after="60" w:line="300" w:lineRule="exact"/>
              <w:jc w:val="center"/>
              <w:rPr>
                <w:sz w:val="18"/>
              </w:rPr>
            </w:pPr>
            <w:r>
              <w:rPr>
                <w:sz w:val="18"/>
              </w:rPr>
              <w:t>1</w:t>
            </w:r>
          </w:p>
        </w:tc>
        <w:tc>
          <w:tcPr>
            <w:tcW w:w="393" w:type="pct"/>
          </w:tcPr>
          <w:p w:rsidR="005052D3" w:rsidRDefault="005052D3">
            <w:pPr>
              <w:tabs>
                <w:tab w:val="left" w:pos="-252"/>
                <w:tab w:val="left" w:pos="840"/>
              </w:tabs>
              <w:spacing w:before="40" w:after="60" w:line="300" w:lineRule="exact"/>
              <w:jc w:val="center"/>
              <w:rPr>
                <w:sz w:val="18"/>
              </w:rPr>
            </w:pPr>
            <w:r>
              <w:rPr>
                <w:sz w:val="18"/>
              </w:rPr>
              <w:t>51</w:t>
            </w:r>
          </w:p>
        </w:tc>
        <w:tc>
          <w:tcPr>
            <w:tcW w:w="393" w:type="pct"/>
          </w:tcPr>
          <w:p w:rsidR="005052D3" w:rsidRDefault="005052D3">
            <w:pPr>
              <w:tabs>
                <w:tab w:val="left" w:pos="-252"/>
                <w:tab w:val="left" w:pos="840"/>
              </w:tabs>
              <w:spacing w:before="40" w:after="60" w:line="300" w:lineRule="exact"/>
              <w:jc w:val="center"/>
              <w:rPr>
                <w:sz w:val="18"/>
              </w:rPr>
            </w:pPr>
            <w:r>
              <w:rPr>
                <w:sz w:val="18"/>
              </w:rPr>
              <w:t>40</w:t>
            </w:r>
          </w:p>
        </w:tc>
        <w:tc>
          <w:tcPr>
            <w:tcW w:w="393" w:type="pct"/>
          </w:tcPr>
          <w:p w:rsidR="005052D3" w:rsidRDefault="005052D3">
            <w:pPr>
              <w:tabs>
                <w:tab w:val="left" w:pos="-252"/>
                <w:tab w:val="left" w:pos="840"/>
              </w:tabs>
              <w:spacing w:before="40" w:after="60" w:line="300" w:lineRule="exact"/>
              <w:jc w:val="center"/>
              <w:rPr>
                <w:sz w:val="18"/>
              </w:rPr>
            </w:pPr>
            <w:r>
              <w:rPr>
                <w:sz w:val="18"/>
              </w:rPr>
              <w:t>11</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sz w:val="18"/>
              </w:rPr>
            </w:pPr>
            <w:r>
              <w:rPr>
                <w:rFonts w:hint="eastAsia"/>
                <w:sz w:val="18"/>
              </w:rPr>
              <w:t>理学学士</w:t>
            </w:r>
            <w:r>
              <w:rPr>
                <w:sz w:val="18"/>
              </w:rPr>
              <w:t xml:space="preserve"> </w:t>
            </w:r>
            <w:r>
              <w:rPr>
                <w:rFonts w:hint="eastAsia"/>
                <w:sz w:val="18"/>
              </w:rPr>
              <w:t>（护理）</w:t>
            </w:r>
          </w:p>
        </w:tc>
        <w:tc>
          <w:tcPr>
            <w:tcW w:w="393" w:type="pct"/>
          </w:tcPr>
          <w:p w:rsidR="005052D3" w:rsidRDefault="005052D3">
            <w:pPr>
              <w:tabs>
                <w:tab w:val="left" w:pos="-252"/>
                <w:tab w:val="left" w:pos="840"/>
              </w:tabs>
              <w:spacing w:before="40" w:after="60" w:line="300" w:lineRule="exact"/>
              <w:jc w:val="center"/>
              <w:rPr>
                <w:sz w:val="18"/>
              </w:rPr>
            </w:pPr>
            <w:r>
              <w:rPr>
                <w:sz w:val="18"/>
              </w:rPr>
              <w:t>16</w:t>
            </w:r>
          </w:p>
        </w:tc>
        <w:tc>
          <w:tcPr>
            <w:tcW w:w="393" w:type="pct"/>
          </w:tcPr>
          <w:p w:rsidR="005052D3" w:rsidRDefault="005052D3">
            <w:pPr>
              <w:tabs>
                <w:tab w:val="left" w:pos="-252"/>
                <w:tab w:val="left" w:pos="840"/>
              </w:tabs>
              <w:spacing w:before="40" w:after="60" w:line="300" w:lineRule="exact"/>
              <w:jc w:val="center"/>
              <w:rPr>
                <w:sz w:val="18"/>
              </w:rPr>
            </w:pPr>
            <w:r>
              <w:rPr>
                <w:sz w:val="18"/>
              </w:rPr>
              <w:t>15</w:t>
            </w:r>
          </w:p>
        </w:tc>
        <w:tc>
          <w:tcPr>
            <w:tcW w:w="393" w:type="pct"/>
          </w:tcPr>
          <w:p w:rsidR="005052D3" w:rsidRDefault="005052D3">
            <w:pPr>
              <w:tabs>
                <w:tab w:val="left" w:pos="-252"/>
                <w:tab w:val="left" w:pos="840"/>
              </w:tabs>
              <w:spacing w:before="40" w:after="60" w:line="300" w:lineRule="exact"/>
              <w:jc w:val="center"/>
              <w:rPr>
                <w:sz w:val="18"/>
              </w:rPr>
            </w:pPr>
            <w:r>
              <w:rPr>
                <w:sz w:val="18"/>
              </w:rPr>
              <w:t>1</w:t>
            </w:r>
          </w:p>
        </w:tc>
        <w:tc>
          <w:tcPr>
            <w:tcW w:w="393" w:type="pct"/>
          </w:tcPr>
          <w:p w:rsidR="005052D3" w:rsidRDefault="005052D3">
            <w:pPr>
              <w:tabs>
                <w:tab w:val="left" w:pos="-252"/>
                <w:tab w:val="left" w:pos="840"/>
              </w:tabs>
              <w:spacing w:before="40" w:after="60" w:line="300" w:lineRule="exact"/>
              <w:jc w:val="center"/>
              <w:rPr>
                <w:sz w:val="18"/>
              </w:rPr>
            </w:pPr>
            <w:r>
              <w:rPr>
                <w:sz w:val="18"/>
              </w:rPr>
              <w:t>11</w:t>
            </w:r>
          </w:p>
        </w:tc>
        <w:tc>
          <w:tcPr>
            <w:tcW w:w="393" w:type="pct"/>
          </w:tcPr>
          <w:p w:rsidR="005052D3" w:rsidRDefault="005052D3">
            <w:pPr>
              <w:tabs>
                <w:tab w:val="left" w:pos="-252"/>
                <w:tab w:val="left" w:pos="840"/>
              </w:tabs>
              <w:spacing w:before="40" w:after="60" w:line="300" w:lineRule="exact"/>
              <w:jc w:val="center"/>
              <w:rPr>
                <w:sz w:val="18"/>
              </w:rPr>
            </w:pPr>
            <w:r>
              <w:rPr>
                <w:sz w:val="18"/>
              </w:rPr>
              <w:t>4</w:t>
            </w:r>
          </w:p>
        </w:tc>
        <w:tc>
          <w:tcPr>
            <w:tcW w:w="393" w:type="pct"/>
          </w:tcPr>
          <w:p w:rsidR="005052D3" w:rsidRDefault="005052D3">
            <w:pPr>
              <w:tabs>
                <w:tab w:val="left" w:pos="-252"/>
                <w:tab w:val="left" w:pos="840"/>
              </w:tabs>
              <w:spacing w:before="40" w:after="60" w:line="300" w:lineRule="exact"/>
              <w:jc w:val="center"/>
              <w:rPr>
                <w:sz w:val="18"/>
              </w:rPr>
            </w:pPr>
            <w:r>
              <w:rPr>
                <w:sz w:val="18"/>
              </w:rPr>
              <w:t>7</w:t>
            </w:r>
          </w:p>
        </w:tc>
        <w:tc>
          <w:tcPr>
            <w:tcW w:w="393" w:type="pct"/>
          </w:tcPr>
          <w:p w:rsidR="005052D3" w:rsidRDefault="005052D3">
            <w:pPr>
              <w:tabs>
                <w:tab w:val="left" w:pos="-252"/>
                <w:tab w:val="left" w:pos="840"/>
              </w:tabs>
              <w:spacing w:before="40" w:after="60" w:line="300" w:lineRule="exact"/>
              <w:jc w:val="center"/>
              <w:rPr>
                <w:sz w:val="18"/>
              </w:rPr>
            </w:pPr>
            <w:r>
              <w:rPr>
                <w:sz w:val="18"/>
              </w:rPr>
              <w:t>33</w:t>
            </w:r>
          </w:p>
        </w:tc>
        <w:tc>
          <w:tcPr>
            <w:tcW w:w="393" w:type="pct"/>
          </w:tcPr>
          <w:p w:rsidR="005052D3" w:rsidRDefault="005052D3">
            <w:pPr>
              <w:tabs>
                <w:tab w:val="left" w:pos="-252"/>
                <w:tab w:val="left" w:pos="840"/>
              </w:tabs>
              <w:spacing w:before="40" w:after="60" w:line="300" w:lineRule="exact"/>
              <w:jc w:val="center"/>
              <w:rPr>
                <w:sz w:val="18"/>
              </w:rPr>
            </w:pPr>
            <w:r>
              <w:rPr>
                <w:sz w:val="18"/>
              </w:rPr>
              <w:t>22</w:t>
            </w:r>
          </w:p>
        </w:tc>
        <w:tc>
          <w:tcPr>
            <w:tcW w:w="393" w:type="pct"/>
          </w:tcPr>
          <w:p w:rsidR="005052D3" w:rsidRDefault="005052D3">
            <w:pPr>
              <w:tabs>
                <w:tab w:val="left" w:pos="-252"/>
                <w:tab w:val="left" w:pos="840"/>
              </w:tabs>
              <w:spacing w:before="40" w:after="60" w:line="300" w:lineRule="exact"/>
              <w:jc w:val="center"/>
              <w:rPr>
                <w:sz w:val="18"/>
              </w:rPr>
            </w:pPr>
            <w:r>
              <w:rPr>
                <w:sz w:val="18"/>
              </w:rPr>
              <w:t>11</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sz w:val="18"/>
              </w:rPr>
            </w:pPr>
            <w:r>
              <w:rPr>
                <w:rFonts w:hint="eastAsia"/>
                <w:sz w:val="18"/>
              </w:rPr>
              <w:t>社会学学士</w:t>
            </w:r>
          </w:p>
        </w:tc>
        <w:tc>
          <w:tcPr>
            <w:tcW w:w="393" w:type="pct"/>
          </w:tcPr>
          <w:p w:rsidR="005052D3" w:rsidRDefault="005052D3">
            <w:pPr>
              <w:tabs>
                <w:tab w:val="left" w:pos="-252"/>
                <w:tab w:val="left" w:pos="840"/>
              </w:tabs>
              <w:spacing w:before="40" w:after="60" w:line="300" w:lineRule="exact"/>
              <w:jc w:val="center"/>
              <w:rPr>
                <w:sz w:val="18"/>
              </w:rPr>
            </w:pPr>
            <w:r>
              <w:rPr>
                <w:sz w:val="18"/>
              </w:rPr>
              <w:t>79</w:t>
            </w:r>
          </w:p>
        </w:tc>
        <w:tc>
          <w:tcPr>
            <w:tcW w:w="393" w:type="pct"/>
          </w:tcPr>
          <w:p w:rsidR="005052D3" w:rsidRDefault="005052D3">
            <w:pPr>
              <w:tabs>
                <w:tab w:val="left" w:pos="-252"/>
                <w:tab w:val="left" w:pos="840"/>
              </w:tabs>
              <w:spacing w:before="40" w:after="60" w:line="300" w:lineRule="exact"/>
              <w:jc w:val="center"/>
              <w:rPr>
                <w:sz w:val="18"/>
              </w:rPr>
            </w:pPr>
            <w:r>
              <w:rPr>
                <w:sz w:val="18"/>
              </w:rPr>
              <w:t>63</w:t>
            </w:r>
          </w:p>
        </w:tc>
        <w:tc>
          <w:tcPr>
            <w:tcW w:w="393" w:type="pct"/>
          </w:tcPr>
          <w:p w:rsidR="005052D3" w:rsidRDefault="005052D3">
            <w:pPr>
              <w:tabs>
                <w:tab w:val="left" w:pos="-252"/>
                <w:tab w:val="left" w:pos="840"/>
              </w:tabs>
              <w:spacing w:before="40" w:after="60" w:line="300" w:lineRule="exact"/>
              <w:jc w:val="center"/>
              <w:rPr>
                <w:sz w:val="18"/>
              </w:rPr>
            </w:pPr>
            <w:r>
              <w:rPr>
                <w:sz w:val="18"/>
              </w:rPr>
              <w:t>16</w:t>
            </w:r>
          </w:p>
        </w:tc>
        <w:tc>
          <w:tcPr>
            <w:tcW w:w="393" w:type="pct"/>
          </w:tcPr>
          <w:p w:rsidR="005052D3" w:rsidRDefault="005052D3">
            <w:pPr>
              <w:tabs>
                <w:tab w:val="left" w:pos="-252"/>
                <w:tab w:val="left" w:pos="840"/>
              </w:tabs>
              <w:spacing w:before="40" w:after="60" w:line="300" w:lineRule="exact"/>
              <w:jc w:val="center"/>
              <w:rPr>
                <w:sz w:val="18"/>
              </w:rPr>
            </w:pPr>
            <w:r>
              <w:rPr>
                <w:sz w:val="18"/>
              </w:rPr>
              <w:t>52</w:t>
            </w:r>
          </w:p>
        </w:tc>
        <w:tc>
          <w:tcPr>
            <w:tcW w:w="393" w:type="pct"/>
          </w:tcPr>
          <w:p w:rsidR="005052D3" w:rsidRDefault="005052D3">
            <w:pPr>
              <w:tabs>
                <w:tab w:val="left" w:pos="-252"/>
                <w:tab w:val="left" w:pos="840"/>
              </w:tabs>
              <w:spacing w:before="40" w:after="60" w:line="300" w:lineRule="exact"/>
              <w:jc w:val="center"/>
              <w:rPr>
                <w:sz w:val="18"/>
              </w:rPr>
            </w:pPr>
            <w:r>
              <w:rPr>
                <w:sz w:val="18"/>
              </w:rPr>
              <w:t>39</w:t>
            </w:r>
          </w:p>
        </w:tc>
        <w:tc>
          <w:tcPr>
            <w:tcW w:w="393" w:type="pct"/>
          </w:tcPr>
          <w:p w:rsidR="005052D3" w:rsidRDefault="005052D3">
            <w:pPr>
              <w:tabs>
                <w:tab w:val="left" w:pos="-252"/>
                <w:tab w:val="left" w:pos="840"/>
              </w:tabs>
              <w:spacing w:before="40" w:after="60" w:line="300" w:lineRule="exact"/>
              <w:jc w:val="center"/>
              <w:rPr>
                <w:sz w:val="18"/>
              </w:rPr>
            </w:pPr>
            <w:r>
              <w:rPr>
                <w:sz w:val="18"/>
              </w:rPr>
              <w:t>13</w:t>
            </w:r>
          </w:p>
        </w:tc>
        <w:tc>
          <w:tcPr>
            <w:tcW w:w="393" w:type="pct"/>
          </w:tcPr>
          <w:p w:rsidR="005052D3" w:rsidRDefault="005052D3">
            <w:pPr>
              <w:tabs>
                <w:tab w:val="left" w:pos="-252"/>
                <w:tab w:val="left" w:pos="840"/>
              </w:tabs>
              <w:spacing w:before="40" w:after="60" w:line="300" w:lineRule="exact"/>
              <w:jc w:val="center"/>
              <w:rPr>
                <w:sz w:val="18"/>
              </w:rPr>
            </w:pPr>
            <w:r>
              <w:rPr>
                <w:sz w:val="18"/>
              </w:rPr>
              <w:t>51</w:t>
            </w:r>
          </w:p>
        </w:tc>
        <w:tc>
          <w:tcPr>
            <w:tcW w:w="393" w:type="pct"/>
          </w:tcPr>
          <w:p w:rsidR="005052D3" w:rsidRDefault="005052D3">
            <w:pPr>
              <w:tabs>
                <w:tab w:val="left" w:pos="-252"/>
                <w:tab w:val="left" w:pos="840"/>
              </w:tabs>
              <w:spacing w:before="40" w:after="60" w:line="300" w:lineRule="exact"/>
              <w:jc w:val="center"/>
              <w:rPr>
                <w:sz w:val="18"/>
              </w:rPr>
            </w:pPr>
            <w:r>
              <w:rPr>
                <w:sz w:val="18"/>
              </w:rPr>
              <w:t>33</w:t>
            </w:r>
          </w:p>
        </w:tc>
        <w:tc>
          <w:tcPr>
            <w:tcW w:w="393" w:type="pct"/>
          </w:tcPr>
          <w:p w:rsidR="005052D3" w:rsidRDefault="005052D3">
            <w:pPr>
              <w:tabs>
                <w:tab w:val="left" w:pos="-252"/>
                <w:tab w:val="left" w:pos="840"/>
              </w:tabs>
              <w:spacing w:before="40" w:after="60" w:line="300" w:lineRule="exact"/>
              <w:jc w:val="center"/>
              <w:rPr>
                <w:sz w:val="18"/>
              </w:rPr>
            </w:pPr>
            <w:r>
              <w:rPr>
                <w:sz w:val="18"/>
              </w:rPr>
              <w:t>18</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sz w:val="18"/>
              </w:rPr>
            </w:pPr>
            <w:r>
              <w:rPr>
                <w:rFonts w:hint="eastAsia"/>
                <w:sz w:val="18"/>
              </w:rPr>
              <w:t>法学士</w:t>
            </w:r>
            <w:r>
              <w:rPr>
                <w:sz w:val="18"/>
              </w:rPr>
              <w:t xml:space="preserve"> (Hons)</w:t>
            </w:r>
          </w:p>
        </w:tc>
        <w:tc>
          <w:tcPr>
            <w:tcW w:w="393" w:type="pct"/>
          </w:tcPr>
          <w:p w:rsidR="005052D3" w:rsidRDefault="005052D3">
            <w:pPr>
              <w:tabs>
                <w:tab w:val="left" w:pos="-252"/>
                <w:tab w:val="left" w:pos="840"/>
              </w:tabs>
              <w:spacing w:before="40" w:after="60" w:line="300" w:lineRule="exact"/>
              <w:jc w:val="center"/>
              <w:rPr>
                <w:sz w:val="18"/>
              </w:rPr>
            </w:pPr>
            <w:r>
              <w:rPr>
                <w:sz w:val="18"/>
              </w:rPr>
              <w:t>9</w:t>
            </w:r>
          </w:p>
        </w:tc>
        <w:tc>
          <w:tcPr>
            <w:tcW w:w="393" w:type="pct"/>
          </w:tcPr>
          <w:p w:rsidR="005052D3" w:rsidRDefault="005052D3">
            <w:pPr>
              <w:tabs>
                <w:tab w:val="left" w:pos="-252"/>
                <w:tab w:val="left" w:pos="840"/>
              </w:tabs>
              <w:spacing w:before="40" w:after="60" w:line="300" w:lineRule="exact"/>
              <w:jc w:val="center"/>
              <w:rPr>
                <w:sz w:val="18"/>
              </w:rPr>
            </w:pPr>
            <w:r>
              <w:rPr>
                <w:sz w:val="18"/>
              </w:rPr>
              <w:t>6</w:t>
            </w:r>
          </w:p>
        </w:tc>
        <w:tc>
          <w:tcPr>
            <w:tcW w:w="393" w:type="pct"/>
          </w:tcPr>
          <w:p w:rsidR="005052D3" w:rsidRDefault="005052D3">
            <w:pPr>
              <w:tabs>
                <w:tab w:val="left" w:pos="-252"/>
                <w:tab w:val="left" w:pos="840"/>
              </w:tabs>
              <w:spacing w:before="40" w:after="60" w:line="300" w:lineRule="exact"/>
              <w:jc w:val="center"/>
              <w:rPr>
                <w:sz w:val="18"/>
              </w:rPr>
            </w:pPr>
            <w:r>
              <w:rPr>
                <w:sz w:val="18"/>
              </w:rPr>
              <w:t>3</w:t>
            </w:r>
          </w:p>
        </w:tc>
        <w:tc>
          <w:tcPr>
            <w:tcW w:w="393" w:type="pct"/>
          </w:tcPr>
          <w:p w:rsidR="005052D3" w:rsidRDefault="005052D3">
            <w:pPr>
              <w:tabs>
                <w:tab w:val="left" w:pos="-252"/>
                <w:tab w:val="left" w:pos="840"/>
              </w:tabs>
              <w:spacing w:before="40" w:after="60" w:line="300" w:lineRule="exact"/>
              <w:jc w:val="center"/>
              <w:rPr>
                <w:sz w:val="18"/>
              </w:rPr>
            </w:pPr>
            <w:r>
              <w:rPr>
                <w:sz w:val="18"/>
              </w:rPr>
              <w:t>20</w:t>
            </w:r>
          </w:p>
        </w:tc>
        <w:tc>
          <w:tcPr>
            <w:tcW w:w="393" w:type="pct"/>
          </w:tcPr>
          <w:p w:rsidR="005052D3" w:rsidRDefault="005052D3">
            <w:pPr>
              <w:tabs>
                <w:tab w:val="left" w:pos="-252"/>
                <w:tab w:val="left" w:pos="840"/>
              </w:tabs>
              <w:spacing w:before="40" w:after="60" w:line="300" w:lineRule="exact"/>
              <w:jc w:val="center"/>
              <w:rPr>
                <w:sz w:val="18"/>
              </w:rPr>
            </w:pPr>
            <w:r>
              <w:rPr>
                <w:sz w:val="18"/>
              </w:rPr>
              <w:t>19</w:t>
            </w:r>
          </w:p>
        </w:tc>
        <w:tc>
          <w:tcPr>
            <w:tcW w:w="393" w:type="pct"/>
          </w:tcPr>
          <w:p w:rsidR="005052D3" w:rsidRDefault="005052D3">
            <w:pPr>
              <w:tabs>
                <w:tab w:val="left" w:pos="-252"/>
                <w:tab w:val="left" w:pos="840"/>
              </w:tabs>
              <w:spacing w:before="40" w:after="60" w:line="300" w:lineRule="exact"/>
              <w:jc w:val="center"/>
              <w:rPr>
                <w:sz w:val="18"/>
              </w:rPr>
            </w:pPr>
            <w:r>
              <w:rPr>
                <w:sz w:val="18"/>
              </w:rPr>
              <w:t>1</w:t>
            </w:r>
          </w:p>
        </w:tc>
        <w:tc>
          <w:tcPr>
            <w:tcW w:w="393" w:type="pct"/>
          </w:tcPr>
          <w:p w:rsidR="005052D3" w:rsidRDefault="005052D3">
            <w:pPr>
              <w:tabs>
                <w:tab w:val="left" w:pos="-252"/>
                <w:tab w:val="left" w:pos="840"/>
              </w:tabs>
              <w:spacing w:before="40" w:after="60" w:line="300" w:lineRule="exact"/>
              <w:jc w:val="center"/>
              <w:rPr>
                <w:sz w:val="18"/>
              </w:rPr>
            </w:pPr>
            <w:r>
              <w:rPr>
                <w:sz w:val="18"/>
              </w:rPr>
              <w:t>18</w:t>
            </w:r>
          </w:p>
        </w:tc>
        <w:tc>
          <w:tcPr>
            <w:tcW w:w="393" w:type="pct"/>
          </w:tcPr>
          <w:p w:rsidR="005052D3" w:rsidRDefault="005052D3">
            <w:pPr>
              <w:tabs>
                <w:tab w:val="left" w:pos="-252"/>
                <w:tab w:val="left" w:pos="840"/>
              </w:tabs>
              <w:spacing w:before="40" w:after="60" w:line="300" w:lineRule="exact"/>
              <w:jc w:val="center"/>
              <w:rPr>
                <w:sz w:val="18"/>
              </w:rPr>
            </w:pPr>
            <w:r>
              <w:rPr>
                <w:sz w:val="18"/>
              </w:rPr>
              <w:t>12</w:t>
            </w:r>
          </w:p>
        </w:tc>
        <w:tc>
          <w:tcPr>
            <w:tcW w:w="393" w:type="pct"/>
          </w:tcPr>
          <w:p w:rsidR="005052D3" w:rsidRDefault="005052D3">
            <w:pPr>
              <w:tabs>
                <w:tab w:val="left" w:pos="-252"/>
                <w:tab w:val="left" w:pos="840"/>
              </w:tabs>
              <w:spacing w:before="40" w:after="60" w:line="300" w:lineRule="exact"/>
              <w:jc w:val="center"/>
              <w:rPr>
                <w:sz w:val="18"/>
              </w:rPr>
            </w:pPr>
            <w:r>
              <w:rPr>
                <w:sz w:val="18"/>
              </w:rPr>
              <w:t>6</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sz w:val="18"/>
              </w:rPr>
            </w:pPr>
            <w:r>
              <w:rPr>
                <w:rFonts w:hint="eastAsia"/>
                <w:sz w:val="18"/>
              </w:rPr>
              <w:t>文学硕士</w:t>
            </w:r>
          </w:p>
        </w:tc>
        <w:tc>
          <w:tcPr>
            <w:tcW w:w="393" w:type="pct"/>
          </w:tcPr>
          <w:p w:rsidR="005052D3" w:rsidRDefault="005052D3">
            <w:pPr>
              <w:tabs>
                <w:tab w:val="left" w:pos="-252"/>
                <w:tab w:val="left" w:pos="840"/>
              </w:tabs>
              <w:spacing w:before="40" w:after="60" w:line="300" w:lineRule="exact"/>
              <w:jc w:val="center"/>
              <w:rPr>
                <w:sz w:val="18"/>
              </w:rPr>
            </w:pPr>
            <w:r>
              <w:rPr>
                <w:sz w:val="18"/>
              </w:rPr>
              <w:t>2</w:t>
            </w:r>
          </w:p>
        </w:tc>
        <w:tc>
          <w:tcPr>
            <w:tcW w:w="393" w:type="pct"/>
          </w:tcPr>
          <w:p w:rsidR="005052D3" w:rsidRDefault="005052D3">
            <w:pPr>
              <w:tabs>
                <w:tab w:val="left" w:pos="-252"/>
                <w:tab w:val="left" w:pos="840"/>
              </w:tabs>
              <w:spacing w:before="40" w:after="60" w:line="300" w:lineRule="exact"/>
              <w:jc w:val="center"/>
              <w:rPr>
                <w:sz w:val="18"/>
              </w:rPr>
            </w:pPr>
            <w:r>
              <w:rPr>
                <w:sz w:val="18"/>
              </w:rPr>
              <w:t>2</w:t>
            </w:r>
          </w:p>
        </w:tc>
        <w:tc>
          <w:tcPr>
            <w:tcW w:w="393" w:type="pct"/>
          </w:tcPr>
          <w:p w:rsidR="005052D3" w:rsidRDefault="005052D3">
            <w:pPr>
              <w:tabs>
                <w:tab w:val="left" w:pos="-252"/>
                <w:tab w:val="left" w:pos="840"/>
              </w:tabs>
              <w:spacing w:before="40" w:after="60" w:line="300" w:lineRule="exact"/>
              <w:jc w:val="center"/>
              <w:rPr>
                <w:sz w:val="18"/>
              </w:rPr>
            </w:pPr>
            <w:r>
              <w:rPr>
                <w:sz w:val="18"/>
              </w:rPr>
              <w:t>-</w:t>
            </w:r>
          </w:p>
        </w:tc>
        <w:tc>
          <w:tcPr>
            <w:tcW w:w="393" w:type="pct"/>
          </w:tcPr>
          <w:p w:rsidR="005052D3" w:rsidRDefault="005052D3">
            <w:pPr>
              <w:tabs>
                <w:tab w:val="left" w:pos="-252"/>
                <w:tab w:val="left" w:pos="840"/>
              </w:tabs>
              <w:spacing w:before="40" w:after="60" w:line="300" w:lineRule="exact"/>
              <w:jc w:val="center"/>
              <w:rPr>
                <w:sz w:val="18"/>
              </w:rPr>
            </w:pPr>
            <w:r>
              <w:rPr>
                <w:sz w:val="18"/>
              </w:rPr>
              <w:t>33</w:t>
            </w:r>
          </w:p>
        </w:tc>
        <w:tc>
          <w:tcPr>
            <w:tcW w:w="393" w:type="pct"/>
          </w:tcPr>
          <w:p w:rsidR="005052D3" w:rsidRDefault="005052D3">
            <w:pPr>
              <w:tabs>
                <w:tab w:val="left" w:pos="-252"/>
                <w:tab w:val="left" w:pos="840"/>
              </w:tabs>
              <w:spacing w:before="40" w:after="60" w:line="300" w:lineRule="exact"/>
              <w:jc w:val="center"/>
              <w:rPr>
                <w:sz w:val="18"/>
              </w:rPr>
            </w:pPr>
            <w:r>
              <w:rPr>
                <w:sz w:val="18"/>
              </w:rPr>
              <w:t>27</w:t>
            </w:r>
          </w:p>
        </w:tc>
        <w:tc>
          <w:tcPr>
            <w:tcW w:w="393" w:type="pct"/>
          </w:tcPr>
          <w:p w:rsidR="005052D3" w:rsidRDefault="005052D3">
            <w:pPr>
              <w:tabs>
                <w:tab w:val="left" w:pos="-252"/>
                <w:tab w:val="left" w:pos="840"/>
              </w:tabs>
              <w:spacing w:before="40" w:after="60" w:line="300" w:lineRule="exact"/>
              <w:jc w:val="center"/>
              <w:rPr>
                <w:sz w:val="18"/>
              </w:rPr>
            </w:pPr>
            <w:r>
              <w:rPr>
                <w:sz w:val="18"/>
              </w:rPr>
              <w:t>6</w:t>
            </w:r>
          </w:p>
        </w:tc>
        <w:tc>
          <w:tcPr>
            <w:tcW w:w="393" w:type="pct"/>
          </w:tcPr>
          <w:p w:rsidR="005052D3" w:rsidRDefault="005052D3">
            <w:pPr>
              <w:tabs>
                <w:tab w:val="left" w:pos="-252"/>
                <w:tab w:val="left" w:pos="840"/>
              </w:tabs>
              <w:spacing w:before="40" w:after="60" w:line="300" w:lineRule="exact"/>
              <w:jc w:val="center"/>
              <w:rPr>
                <w:sz w:val="18"/>
              </w:rPr>
            </w:pPr>
            <w:r>
              <w:rPr>
                <w:sz w:val="18"/>
              </w:rPr>
              <w:t>12</w:t>
            </w:r>
          </w:p>
        </w:tc>
        <w:tc>
          <w:tcPr>
            <w:tcW w:w="393" w:type="pct"/>
          </w:tcPr>
          <w:p w:rsidR="005052D3" w:rsidRDefault="005052D3">
            <w:pPr>
              <w:tabs>
                <w:tab w:val="left" w:pos="-252"/>
                <w:tab w:val="left" w:pos="840"/>
              </w:tabs>
              <w:spacing w:before="40" w:after="60" w:line="300" w:lineRule="exact"/>
              <w:jc w:val="center"/>
              <w:rPr>
                <w:sz w:val="18"/>
              </w:rPr>
            </w:pPr>
            <w:r>
              <w:rPr>
                <w:sz w:val="18"/>
              </w:rPr>
              <w:t>9</w:t>
            </w:r>
          </w:p>
        </w:tc>
        <w:tc>
          <w:tcPr>
            <w:tcW w:w="393" w:type="pct"/>
          </w:tcPr>
          <w:p w:rsidR="005052D3" w:rsidRDefault="005052D3">
            <w:pPr>
              <w:tabs>
                <w:tab w:val="left" w:pos="-252"/>
                <w:tab w:val="left" w:pos="840"/>
              </w:tabs>
              <w:spacing w:before="40" w:after="60" w:line="300" w:lineRule="exact"/>
              <w:jc w:val="center"/>
              <w:rPr>
                <w:sz w:val="18"/>
              </w:rPr>
            </w:pPr>
            <w:r>
              <w:rPr>
                <w:sz w:val="18"/>
              </w:rPr>
              <w:t>3</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sz w:val="18"/>
              </w:rPr>
            </w:pPr>
            <w:r>
              <w:rPr>
                <w:sz w:val="18"/>
              </w:rPr>
              <w:t>MBBS</w:t>
            </w:r>
          </w:p>
        </w:tc>
        <w:tc>
          <w:tcPr>
            <w:tcW w:w="393" w:type="pct"/>
          </w:tcPr>
          <w:p w:rsidR="005052D3" w:rsidRDefault="005052D3">
            <w:pPr>
              <w:tabs>
                <w:tab w:val="left" w:pos="-252"/>
                <w:tab w:val="left" w:pos="840"/>
              </w:tabs>
              <w:spacing w:before="40" w:after="60" w:line="300" w:lineRule="exact"/>
              <w:jc w:val="center"/>
              <w:rPr>
                <w:sz w:val="18"/>
              </w:rPr>
            </w:pPr>
            <w:r>
              <w:rPr>
                <w:sz w:val="18"/>
              </w:rPr>
              <w:t>18</w:t>
            </w:r>
          </w:p>
        </w:tc>
        <w:tc>
          <w:tcPr>
            <w:tcW w:w="393" w:type="pct"/>
          </w:tcPr>
          <w:p w:rsidR="005052D3" w:rsidRDefault="005052D3">
            <w:pPr>
              <w:tabs>
                <w:tab w:val="left" w:pos="-252"/>
                <w:tab w:val="left" w:pos="840"/>
              </w:tabs>
              <w:spacing w:before="40" w:after="60" w:line="300" w:lineRule="exact"/>
              <w:jc w:val="center"/>
              <w:rPr>
                <w:sz w:val="18"/>
              </w:rPr>
            </w:pPr>
            <w:r>
              <w:rPr>
                <w:sz w:val="18"/>
              </w:rPr>
              <w:t>13</w:t>
            </w:r>
          </w:p>
        </w:tc>
        <w:tc>
          <w:tcPr>
            <w:tcW w:w="393" w:type="pct"/>
          </w:tcPr>
          <w:p w:rsidR="005052D3" w:rsidRDefault="005052D3">
            <w:pPr>
              <w:tabs>
                <w:tab w:val="left" w:pos="-252"/>
                <w:tab w:val="left" w:pos="840"/>
              </w:tabs>
              <w:spacing w:before="40" w:after="60" w:line="300" w:lineRule="exact"/>
              <w:jc w:val="center"/>
              <w:rPr>
                <w:sz w:val="18"/>
              </w:rPr>
            </w:pPr>
            <w:r>
              <w:rPr>
                <w:sz w:val="18"/>
              </w:rPr>
              <w:t>5</w:t>
            </w:r>
          </w:p>
        </w:tc>
        <w:tc>
          <w:tcPr>
            <w:tcW w:w="393" w:type="pct"/>
          </w:tcPr>
          <w:p w:rsidR="005052D3" w:rsidRDefault="005052D3">
            <w:pPr>
              <w:tabs>
                <w:tab w:val="left" w:pos="-252"/>
                <w:tab w:val="left" w:pos="840"/>
              </w:tabs>
              <w:spacing w:before="40" w:after="60" w:line="300" w:lineRule="exact"/>
              <w:jc w:val="center"/>
              <w:rPr>
                <w:sz w:val="18"/>
              </w:rPr>
            </w:pPr>
            <w:r>
              <w:rPr>
                <w:sz w:val="18"/>
              </w:rPr>
              <w:t>16</w:t>
            </w:r>
          </w:p>
        </w:tc>
        <w:tc>
          <w:tcPr>
            <w:tcW w:w="393" w:type="pct"/>
          </w:tcPr>
          <w:p w:rsidR="005052D3" w:rsidRDefault="005052D3">
            <w:pPr>
              <w:tabs>
                <w:tab w:val="left" w:pos="-252"/>
                <w:tab w:val="left" w:pos="840"/>
              </w:tabs>
              <w:spacing w:before="40" w:after="60" w:line="300" w:lineRule="exact"/>
              <w:jc w:val="center"/>
              <w:rPr>
                <w:sz w:val="18"/>
              </w:rPr>
            </w:pPr>
            <w:r>
              <w:rPr>
                <w:sz w:val="18"/>
              </w:rPr>
              <w:t>7</w:t>
            </w:r>
          </w:p>
        </w:tc>
        <w:tc>
          <w:tcPr>
            <w:tcW w:w="393" w:type="pct"/>
          </w:tcPr>
          <w:p w:rsidR="005052D3" w:rsidRDefault="005052D3">
            <w:pPr>
              <w:tabs>
                <w:tab w:val="left" w:pos="-252"/>
                <w:tab w:val="left" w:pos="840"/>
              </w:tabs>
              <w:spacing w:before="40" w:after="60" w:line="300" w:lineRule="exact"/>
              <w:jc w:val="center"/>
              <w:rPr>
                <w:sz w:val="18"/>
              </w:rPr>
            </w:pPr>
            <w:r>
              <w:rPr>
                <w:sz w:val="18"/>
              </w:rPr>
              <w:t>9</w:t>
            </w:r>
          </w:p>
        </w:tc>
        <w:tc>
          <w:tcPr>
            <w:tcW w:w="393" w:type="pct"/>
          </w:tcPr>
          <w:p w:rsidR="005052D3" w:rsidRDefault="005052D3">
            <w:pPr>
              <w:tabs>
                <w:tab w:val="left" w:pos="-252"/>
                <w:tab w:val="left" w:pos="840"/>
              </w:tabs>
              <w:spacing w:before="40" w:after="60" w:line="300" w:lineRule="exact"/>
              <w:jc w:val="center"/>
              <w:rPr>
                <w:sz w:val="18"/>
              </w:rPr>
            </w:pPr>
            <w:r>
              <w:rPr>
                <w:sz w:val="18"/>
              </w:rPr>
              <w:t>21</w:t>
            </w:r>
          </w:p>
        </w:tc>
        <w:tc>
          <w:tcPr>
            <w:tcW w:w="393" w:type="pct"/>
          </w:tcPr>
          <w:p w:rsidR="005052D3" w:rsidRDefault="005052D3">
            <w:pPr>
              <w:tabs>
                <w:tab w:val="left" w:pos="-252"/>
                <w:tab w:val="left" w:pos="840"/>
              </w:tabs>
              <w:spacing w:before="40" w:after="60" w:line="300" w:lineRule="exact"/>
              <w:jc w:val="center"/>
              <w:rPr>
                <w:sz w:val="18"/>
              </w:rPr>
            </w:pPr>
            <w:r>
              <w:rPr>
                <w:sz w:val="18"/>
              </w:rPr>
              <w:t>18</w:t>
            </w:r>
          </w:p>
        </w:tc>
        <w:tc>
          <w:tcPr>
            <w:tcW w:w="393" w:type="pct"/>
          </w:tcPr>
          <w:p w:rsidR="005052D3" w:rsidRDefault="005052D3">
            <w:pPr>
              <w:tabs>
                <w:tab w:val="left" w:pos="-252"/>
                <w:tab w:val="left" w:pos="840"/>
              </w:tabs>
              <w:spacing w:before="40" w:after="60" w:line="300" w:lineRule="exact"/>
              <w:jc w:val="center"/>
              <w:rPr>
                <w:sz w:val="18"/>
              </w:rPr>
            </w:pPr>
            <w:r>
              <w:rPr>
                <w:sz w:val="18"/>
              </w:rPr>
              <w:t>3</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rFonts w:hint="eastAsia"/>
                <w:sz w:val="18"/>
              </w:rPr>
            </w:pPr>
            <w:r>
              <w:rPr>
                <w:rFonts w:hint="eastAsia"/>
                <w:sz w:val="18"/>
              </w:rPr>
              <w:t>理学硕士</w:t>
            </w:r>
          </w:p>
        </w:tc>
        <w:tc>
          <w:tcPr>
            <w:tcW w:w="393" w:type="pct"/>
          </w:tcPr>
          <w:p w:rsidR="005052D3" w:rsidRDefault="005052D3">
            <w:pPr>
              <w:tabs>
                <w:tab w:val="left" w:pos="-252"/>
                <w:tab w:val="left" w:pos="840"/>
              </w:tabs>
              <w:spacing w:before="40" w:after="60" w:line="300" w:lineRule="exact"/>
              <w:jc w:val="center"/>
              <w:rPr>
                <w:sz w:val="18"/>
              </w:rPr>
            </w:pPr>
            <w:r>
              <w:rPr>
                <w:sz w:val="18"/>
              </w:rPr>
              <w:t>8</w:t>
            </w:r>
          </w:p>
        </w:tc>
        <w:tc>
          <w:tcPr>
            <w:tcW w:w="393" w:type="pct"/>
          </w:tcPr>
          <w:p w:rsidR="005052D3" w:rsidRDefault="005052D3">
            <w:pPr>
              <w:tabs>
                <w:tab w:val="left" w:pos="-252"/>
                <w:tab w:val="left" w:pos="840"/>
              </w:tabs>
              <w:spacing w:before="40" w:after="60" w:line="300" w:lineRule="exact"/>
              <w:jc w:val="center"/>
              <w:rPr>
                <w:sz w:val="18"/>
              </w:rPr>
            </w:pPr>
            <w:r>
              <w:rPr>
                <w:sz w:val="18"/>
              </w:rPr>
              <w:t>6</w:t>
            </w:r>
          </w:p>
        </w:tc>
        <w:tc>
          <w:tcPr>
            <w:tcW w:w="393" w:type="pct"/>
          </w:tcPr>
          <w:p w:rsidR="005052D3" w:rsidRDefault="005052D3">
            <w:pPr>
              <w:tabs>
                <w:tab w:val="left" w:pos="-252"/>
                <w:tab w:val="left" w:pos="840"/>
              </w:tabs>
              <w:spacing w:before="40" w:after="60" w:line="300" w:lineRule="exact"/>
              <w:jc w:val="center"/>
              <w:rPr>
                <w:sz w:val="18"/>
              </w:rPr>
            </w:pPr>
            <w:r>
              <w:rPr>
                <w:sz w:val="18"/>
              </w:rPr>
              <w:t>2</w:t>
            </w:r>
          </w:p>
        </w:tc>
        <w:tc>
          <w:tcPr>
            <w:tcW w:w="393" w:type="pct"/>
          </w:tcPr>
          <w:p w:rsidR="005052D3" w:rsidRDefault="005052D3">
            <w:pPr>
              <w:tabs>
                <w:tab w:val="left" w:pos="-252"/>
                <w:tab w:val="left" w:pos="840"/>
              </w:tabs>
              <w:spacing w:before="40" w:after="60" w:line="300" w:lineRule="exact"/>
              <w:jc w:val="center"/>
              <w:rPr>
                <w:sz w:val="18"/>
              </w:rPr>
            </w:pPr>
            <w:r>
              <w:rPr>
                <w:sz w:val="18"/>
              </w:rPr>
              <w:t>17</w:t>
            </w:r>
          </w:p>
        </w:tc>
        <w:tc>
          <w:tcPr>
            <w:tcW w:w="393" w:type="pct"/>
          </w:tcPr>
          <w:p w:rsidR="005052D3" w:rsidRDefault="005052D3">
            <w:pPr>
              <w:tabs>
                <w:tab w:val="left" w:pos="-252"/>
                <w:tab w:val="left" w:pos="840"/>
              </w:tabs>
              <w:spacing w:before="40" w:after="60" w:line="300" w:lineRule="exact"/>
              <w:jc w:val="center"/>
              <w:rPr>
                <w:sz w:val="18"/>
              </w:rPr>
            </w:pPr>
            <w:r>
              <w:rPr>
                <w:sz w:val="18"/>
              </w:rPr>
              <w:t>11</w:t>
            </w:r>
          </w:p>
        </w:tc>
        <w:tc>
          <w:tcPr>
            <w:tcW w:w="393" w:type="pct"/>
          </w:tcPr>
          <w:p w:rsidR="005052D3" w:rsidRDefault="005052D3">
            <w:pPr>
              <w:tabs>
                <w:tab w:val="left" w:pos="-252"/>
                <w:tab w:val="left" w:pos="840"/>
              </w:tabs>
              <w:spacing w:before="40" w:after="60" w:line="300" w:lineRule="exact"/>
              <w:jc w:val="center"/>
              <w:rPr>
                <w:sz w:val="18"/>
              </w:rPr>
            </w:pPr>
            <w:r>
              <w:rPr>
                <w:sz w:val="18"/>
              </w:rPr>
              <w:t>6</w:t>
            </w:r>
          </w:p>
        </w:tc>
        <w:tc>
          <w:tcPr>
            <w:tcW w:w="393" w:type="pct"/>
          </w:tcPr>
          <w:p w:rsidR="005052D3" w:rsidRDefault="005052D3">
            <w:pPr>
              <w:tabs>
                <w:tab w:val="left" w:pos="-252"/>
                <w:tab w:val="left" w:pos="840"/>
              </w:tabs>
              <w:spacing w:before="40" w:after="60" w:line="300" w:lineRule="exact"/>
              <w:jc w:val="center"/>
              <w:rPr>
                <w:sz w:val="18"/>
              </w:rPr>
            </w:pPr>
            <w:r>
              <w:rPr>
                <w:sz w:val="18"/>
              </w:rPr>
              <w:t>32</w:t>
            </w:r>
          </w:p>
        </w:tc>
        <w:tc>
          <w:tcPr>
            <w:tcW w:w="393" w:type="pct"/>
          </w:tcPr>
          <w:p w:rsidR="005052D3" w:rsidRDefault="005052D3">
            <w:pPr>
              <w:tabs>
                <w:tab w:val="left" w:pos="-252"/>
                <w:tab w:val="left" w:pos="840"/>
              </w:tabs>
              <w:spacing w:before="40" w:after="60" w:line="300" w:lineRule="exact"/>
              <w:jc w:val="center"/>
              <w:rPr>
                <w:sz w:val="18"/>
              </w:rPr>
            </w:pPr>
            <w:r>
              <w:rPr>
                <w:sz w:val="18"/>
              </w:rPr>
              <w:t>23</w:t>
            </w:r>
          </w:p>
        </w:tc>
        <w:tc>
          <w:tcPr>
            <w:tcW w:w="393" w:type="pct"/>
          </w:tcPr>
          <w:p w:rsidR="005052D3" w:rsidRDefault="005052D3">
            <w:pPr>
              <w:tabs>
                <w:tab w:val="left" w:pos="-252"/>
                <w:tab w:val="left" w:pos="840"/>
              </w:tabs>
              <w:spacing w:before="40" w:after="60" w:line="300" w:lineRule="exact"/>
              <w:jc w:val="center"/>
              <w:rPr>
                <w:sz w:val="18"/>
              </w:rPr>
            </w:pPr>
            <w:r>
              <w:rPr>
                <w:sz w:val="18"/>
              </w:rPr>
              <w:t>9</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rFonts w:hint="eastAsia"/>
                <w:sz w:val="18"/>
              </w:rPr>
            </w:pPr>
            <w:r>
              <w:rPr>
                <w:rFonts w:hint="eastAsia"/>
                <w:sz w:val="18"/>
              </w:rPr>
              <w:t>其他</w:t>
            </w:r>
          </w:p>
        </w:tc>
        <w:tc>
          <w:tcPr>
            <w:tcW w:w="393" w:type="pct"/>
          </w:tcPr>
          <w:p w:rsidR="005052D3" w:rsidRDefault="005052D3">
            <w:pPr>
              <w:tabs>
                <w:tab w:val="left" w:pos="-252"/>
                <w:tab w:val="left" w:pos="840"/>
              </w:tabs>
              <w:spacing w:before="40" w:after="60" w:line="300" w:lineRule="exact"/>
              <w:jc w:val="center"/>
              <w:rPr>
                <w:sz w:val="18"/>
              </w:rPr>
            </w:pPr>
            <w:r>
              <w:rPr>
                <w:sz w:val="18"/>
              </w:rPr>
              <w:t>125</w:t>
            </w:r>
          </w:p>
        </w:tc>
        <w:tc>
          <w:tcPr>
            <w:tcW w:w="393" w:type="pct"/>
          </w:tcPr>
          <w:p w:rsidR="005052D3" w:rsidRDefault="005052D3">
            <w:pPr>
              <w:tabs>
                <w:tab w:val="left" w:pos="-252"/>
                <w:tab w:val="left" w:pos="840"/>
              </w:tabs>
              <w:spacing w:before="40" w:after="60" w:line="300" w:lineRule="exact"/>
              <w:jc w:val="center"/>
              <w:rPr>
                <w:sz w:val="18"/>
              </w:rPr>
            </w:pPr>
            <w:r>
              <w:rPr>
                <w:sz w:val="18"/>
              </w:rPr>
              <w:t>76</w:t>
            </w:r>
          </w:p>
        </w:tc>
        <w:tc>
          <w:tcPr>
            <w:tcW w:w="393" w:type="pct"/>
          </w:tcPr>
          <w:p w:rsidR="005052D3" w:rsidRDefault="005052D3">
            <w:pPr>
              <w:tabs>
                <w:tab w:val="left" w:pos="-252"/>
                <w:tab w:val="left" w:pos="840"/>
              </w:tabs>
              <w:spacing w:before="40" w:after="60" w:line="300" w:lineRule="exact"/>
              <w:jc w:val="center"/>
              <w:rPr>
                <w:sz w:val="18"/>
              </w:rPr>
            </w:pPr>
            <w:r>
              <w:rPr>
                <w:sz w:val="18"/>
              </w:rPr>
              <w:t>49</w:t>
            </w:r>
          </w:p>
        </w:tc>
        <w:tc>
          <w:tcPr>
            <w:tcW w:w="393" w:type="pct"/>
          </w:tcPr>
          <w:p w:rsidR="005052D3" w:rsidRDefault="005052D3">
            <w:pPr>
              <w:tabs>
                <w:tab w:val="left" w:pos="-252"/>
                <w:tab w:val="left" w:pos="840"/>
              </w:tabs>
              <w:spacing w:before="40" w:after="60" w:line="300" w:lineRule="exact"/>
              <w:jc w:val="center"/>
              <w:rPr>
                <w:sz w:val="18"/>
              </w:rPr>
            </w:pPr>
            <w:r>
              <w:rPr>
                <w:sz w:val="18"/>
              </w:rPr>
              <w:t>165</w:t>
            </w:r>
          </w:p>
        </w:tc>
        <w:tc>
          <w:tcPr>
            <w:tcW w:w="393" w:type="pct"/>
          </w:tcPr>
          <w:p w:rsidR="005052D3" w:rsidRDefault="005052D3">
            <w:pPr>
              <w:tabs>
                <w:tab w:val="left" w:pos="-252"/>
                <w:tab w:val="left" w:pos="840"/>
              </w:tabs>
              <w:spacing w:before="40" w:after="60" w:line="300" w:lineRule="exact"/>
              <w:jc w:val="center"/>
              <w:rPr>
                <w:sz w:val="18"/>
              </w:rPr>
            </w:pPr>
            <w:r>
              <w:rPr>
                <w:sz w:val="18"/>
              </w:rPr>
              <w:t>85</w:t>
            </w:r>
          </w:p>
        </w:tc>
        <w:tc>
          <w:tcPr>
            <w:tcW w:w="393" w:type="pct"/>
          </w:tcPr>
          <w:p w:rsidR="005052D3" w:rsidRDefault="005052D3">
            <w:pPr>
              <w:tabs>
                <w:tab w:val="left" w:pos="-252"/>
                <w:tab w:val="left" w:pos="840"/>
              </w:tabs>
              <w:spacing w:before="40" w:after="60" w:line="300" w:lineRule="exact"/>
              <w:jc w:val="center"/>
              <w:rPr>
                <w:sz w:val="18"/>
              </w:rPr>
            </w:pPr>
            <w:r>
              <w:rPr>
                <w:sz w:val="18"/>
              </w:rPr>
              <w:t>80</w:t>
            </w:r>
          </w:p>
        </w:tc>
        <w:tc>
          <w:tcPr>
            <w:tcW w:w="393" w:type="pct"/>
          </w:tcPr>
          <w:p w:rsidR="005052D3" w:rsidRDefault="005052D3">
            <w:pPr>
              <w:tabs>
                <w:tab w:val="left" w:pos="-252"/>
                <w:tab w:val="left" w:pos="840"/>
              </w:tabs>
              <w:spacing w:before="40" w:after="60" w:line="300" w:lineRule="exact"/>
              <w:jc w:val="center"/>
              <w:rPr>
                <w:sz w:val="18"/>
              </w:rPr>
            </w:pPr>
            <w:r>
              <w:rPr>
                <w:sz w:val="18"/>
              </w:rPr>
              <w:t>124</w:t>
            </w:r>
          </w:p>
        </w:tc>
        <w:tc>
          <w:tcPr>
            <w:tcW w:w="393" w:type="pct"/>
          </w:tcPr>
          <w:p w:rsidR="005052D3" w:rsidRDefault="005052D3">
            <w:pPr>
              <w:tabs>
                <w:tab w:val="left" w:pos="-252"/>
                <w:tab w:val="left" w:pos="840"/>
              </w:tabs>
              <w:spacing w:before="40" w:after="60" w:line="300" w:lineRule="exact"/>
              <w:jc w:val="center"/>
              <w:rPr>
                <w:sz w:val="18"/>
              </w:rPr>
            </w:pPr>
            <w:r>
              <w:rPr>
                <w:sz w:val="18"/>
              </w:rPr>
              <w:t>27</w:t>
            </w:r>
          </w:p>
        </w:tc>
        <w:tc>
          <w:tcPr>
            <w:tcW w:w="393" w:type="pct"/>
          </w:tcPr>
          <w:p w:rsidR="005052D3" w:rsidRDefault="005052D3">
            <w:pPr>
              <w:tabs>
                <w:tab w:val="left" w:pos="-252"/>
                <w:tab w:val="left" w:pos="840"/>
              </w:tabs>
              <w:spacing w:before="40" w:after="60" w:line="300" w:lineRule="exact"/>
              <w:jc w:val="center"/>
              <w:rPr>
                <w:sz w:val="18"/>
              </w:rPr>
            </w:pPr>
            <w:r>
              <w:rPr>
                <w:sz w:val="18"/>
              </w:rPr>
              <w:t>97</w:t>
            </w:r>
          </w:p>
        </w:tc>
      </w:tr>
      <w:tr w:rsidR="005052D3">
        <w:tblPrEx>
          <w:tblCellMar>
            <w:top w:w="0" w:type="dxa"/>
            <w:bottom w:w="0" w:type="dxa"/>
          </w:tblCellMar>
        </w:tblPrEx>
        <w:tc>
          <w:tcPr>
            <w:tcW w:w="1462" w:type="pct"/>
          </w:tcPr>
          <w:p w:rsidR="005052D3" w:rsidRDefault="005052D3">
            <w:pPr>
              <w:tabs>
                <w:tab w:val="left" w:pos="-252"/>
                <w:tab w:val="left" w:pos="840"/>
              </w:tabs>
              <w:spacing w:before="40" w:after="60" w:line="300" w:lineRule="exact"/>
              <w:rPr>
                <w:rFonts w:ascii="SimHei" w:eastAsia="SimHei" w:hint="eastAsia"/>
                <w:b/>
                <w:color w:val="FF0000"/>
                <w:sz w:val="18"/>
              </w:rPr>
            </w:pPr>
            <w:r>
              <w:rPr>
                <w:rFonts w:ascii="SimHei" w:eastAsia="SimHei"/>
                <w:b/>
                <w:color w:val="FF0000"/>
                <w:sz w:val="18"/>
              </w:rPr>
              <w:tab/>
            </w:r>
            <w:r>
              <w:rPr>
                <w:rFonts w:ascii="SimHei" w:eastAsia="SimHei" w:hint="eastAsia"/>
                <w:b/>
                <w:color w:val="FF0000"/>
                <w:sz w:val="18"/>
              </w:rPr>
              <w:t>总人数</w:t>
            </w:r>
          </w:p>
        </w:tc>
        <w:tc>
          <w:tcPr>
            <w:tcW w:w="393" w:type="pct"/>
          </w:tcPr>
          <w:p w:rsidR="005052D3" w:rsidRDefault="005052D3">
            <w:pPr>
              <w:tabs>
                <w:tab w:val="left" w:pos="-252"/>
                <w:tab w:val="left" w:pos="840"/>
              </w:tabs>
              <w:spacing w:before="40" w:after="60" w:line="300" w:lineRule="exact"/>
              <w:jc w:val="center"/>
              <w:rPr>
                <w:rFonts w:ascii="SimHei" w:eastAsia="SimHei"/>
                <w:b/>
                <w:color w:val="FF0000"/>
                <w:sz w:val="18"/>
              </w:rPr>
            </w:pPr>
            <w:r>
              <w:rPr>
                <w:rFonts w:ascii="SimHei" w:eastAsia="SimHei"/>
                <w:b/>
                <w:color w:val="FF0000"/>
                <w:sz w:val="18"/>
              </w:rPr>
              <w:t>792</w:t>
            </w:r>
          </w:p>
        </w:tc>
        <w:tc>
          <w:tcPr>
            <w:tcW w:w="393" w:type="pct"/>
          </w:tcPr>
          <w:p w:rsidR="005052D3" w:rsidRDefault="005052D3">
            <w:pPr>
              <w:tabs>
                <w:tab w:val="left" w:pos="-252"/>
                <w:tab w:val="left" w:pos="840"/>
              </w:tabs>
              <w:spacing w:before="40" w:after="60" w:line="300" w:lineRule="exact"/>
              <w:jc w:val="center"/>
              <w:rPr>
                <w:rFonts w:ascii="SimHei" w:eastAsia="SimHei"/>
                <w:b/>
                <w:color w:val="FF0000"/>
                <w:sz w:val="18"/>
              </w:rPr>
            </w:pPr>
            <w:r>
              <w:rPr>
                <w:rFonts w:ascii="SimHei" w:eastAsia="SimHei"/>
                <w:b/>
                <w:color w:val="FF0000"/>
                <w:sz w:val="18"/>
              </w:rPr>
              <w:t>582</w:t>
            </w:r>
          </w:p>
        </w:tc>
        <w:tc>
          <w:tcPr>
            <w:tcW w:w="393" w:type="pct"/>
          </w:tcPr>
          <w:p w:rsidR="005052D3" w:rsidRDefault="005052D3">
            <w:pPr>
              <w:tabs>
                <w:tab w:val="left" w:pos="-252"/>
                <w:tab w:val="left" w:pos="840"/>
              </w:tabs>
              <w:spacing w:before="40" w:after="60" w:line="300" w:lineRule="exact"/>
              <w:jc w:val="center"/>
              <w:rPr>
                <w:rFonts w:ascii="SimHei" w:eastAsia="SimHei"/>
                <w:b/>
                <w:color w:val="FF0000"/>
                <w:sz w:val="18"/>
              </w:rPr>
            </w:pPr>
            <w:r>
              <w:rPr>
                <w:rFonts w:ascii="SimHei" w:eastAsia="SimHei"/>
                <w:b/>
                <w:color w:val="FF0000"/>
                <w:sz w:val="18"/>
              </w:rPr>
              <w:t>210</w:t>
            </w:r>
          </w:p>
        </w:tc>
        <w:tc>
          <w:tcPr>
            <w:tcW w:w="393" w:type="pct"/>
          </w:tcPr>
          <w:p w:rsidR="005052D3" w:rsidRDefault="005052D3">
            <w:pPr>
              <w:tabs>
                <w:tab w:val="left" w:pos="-252"/>
                <w:tab w:val="left" w:pos="840"/>
              </w:tabs>
              <w:spacing w:before="40" w:after="60" w:line="300" w:lineRule="exact"/>
              <w:jc w:val="center"/>
              <w:rPr>
                <w:rFonts w:ascii="SimHei" w:eastAsia="SimHei"/>
                <w:b/>
                <w:color w:val="FF0000"/>
                <w:sz w:val="18"/>
              </w:rPr>
            </w:pPr>
            <w:r>
              <w:rPr>
                <w:rFonts w:ascii="SimHei" w:eastAsia="SimHei"/>
                <w:b/>
                <w:color w:val="FF0000"/>
                <w:sz w:val="18"/>
              </w:rPr>
              <w:t>916</w:t>
            </w:r>
          </w:p>
        </w:tc>
        <w:tc>
          <w:tcPr>
            <w:tcW w:w="393" w:type="pct"/>
          </w:tcPr>
          <w:p w:rsidR="005052D3" w:rsidRDefault="005052D3">
            <w:pPr>
              <w:tabs>
                <w:tab w:val="left" w:pos="-252"/>
                <w:tab w:val="left" w:pos="840"/>
              </w:tabs>
              <w:spacing w:before="40" w:after="60" w:line="300" w:lineRule="exact"/>
              <w:jc w:val="center"/>
              <w:rPr>
                <w:rFonts w:ascii="SimHei" w:eastAsia="SimHei"/>
                <w:b/>
                <w:color w:val="FF0000"/>
                <w:sz w:val="18"/>
              </w:rPr>
            </w:pPr>
            <w:r>
              <w:rPr>
                <w:rFonts w:ascii="SimHei" w:eastAsia="SimHei"/>
                <w:b/>
                <w:color w:val="FF0000"/>
                <w:sz w:val="18"/>
              </w:rPr>
              <w:t>674</w:t>
            </w:r>
          </w:p>
        </w:tc>
        <w:tc>
          <w:tcPr>
            <w:tcW w:w="393" w:type="pct"/>
          </w:tcPr>
          <w:p w:rsidR="005052D3" w:rsidRDefault="005052D3">
            <w:pPr>
              <w:tabs>
                <w:tab w:val="left" w:pos="-252"/>
                <w:tab w:val="left" w:pos="840"/>
              </w:tabs>
              <w:spacing w:before="40" w:after="60" w:line="300" w:lineRule="exact"/>
              <w:jc w:val="center"/>
              <w:rPr>
                <w:rFonts w:ascii="SimHei" w:eastAsia="SimHei"/>
                <w:b/>
                <w:color w:val="FF0000"/>
                <w:sz w:val="18"/>
              </w:rPr>
            </w:pPr>
            <w:r>
              <w:rPr>
                <w:rFonts w:ascii="SimHei" w:eastAsia="SimHei"/>
                <w:b/>
                <w:color w:val="FF0000"/>
                <w:sz w:val="18"/>
              </w:rPr>
              <w:t>242</w:t>
            </w:r>
          </w:p>
        </w:tc>
        <w:tc>
          <w:tcPr>
            <w:tcW w:w="393" w:type="pct"/>
          </w:tcPr>
          <w:p w:rsidR="005052D3" w:rsidRDefault="005052D3">
            <w:pPr>
              <w:tabs>
                <w:tab w:val="left" w:pos="-252"/>
                <w:tab w:val="left" w:pos="840"/>
              </w:tabs>
              <w:spacing w:before="40" w:after="60" w:line="300" w:lineRule="exact"/>
              <w:jc w:val="center"/>
              <w:rPr>
                <w:rFonts w:ascii="SimHei" w:eastAsia="SimHei"/>
                <w:b/>
                <w:color w:val="FF0000"/>
                <w:sz w:val="18"/>
              </w:rPr>
            </w:pPr>
            <w:r>
              <w:rPr>
                <w:rFonts w:ascii="SimHei" w:eastAsia="SimHei"/>
                <w:b/>
                <w:color w:val="FF0000"/>
                <w:sz w:val="18"/>
              </w:rPr>
              <w:t>857</w:t>
            </w:r>
          </w:p>
        </w:tc>
        <w:tc>
          <w:tcPr>
            <w:tcW w:w="393" w:type="pct"/>
          </w:tcPr>
          <w:p w:rsidR="005052D3" w:rsidRDefault="005052D3">
            <w:pPr>
              <w:tabs>
                <w:tab w:val="left" w:pos="-252"/>
                <w:tab w:val="left" w:pos="840"/>
              </w:tabs>
              <w:spacing w:before="40" w:after="60" w:line="300" w:lineRule="exact"/>
              <w:jc w:val="center"/>
              <w:rPr>
                <w:rFonts w:ascii="SimHei" w:eastAsia="SimHei"/>
                <w:b/>
                <w:color w:val="FF0000"/>
                <w:sz w:val="18"/>
              </w:rPr>
            </w:pPr>
            <w:r>
              <w:rPr>
                <w:rFonts w:ascii="SimHei" w:eastAsia="SimHei"/>
                <w:b/>
                <w:color w:val="FF0000"/>
                <w:sz w:val="18"/>
              </w:rPr>
              <w:t>569</w:t>
            </w:r>
          </w:p>
        </w:tc>
        <w:tc>
          <w:tcPr>
            <w:tcW w:w="393" w:type="pct"/>
          </w:tcPr>
          <w:p w:rsidR="005052D3" w:rsidRDefault="005052D3">
            <w:pPr>
              <w:tabs>
                <w:tab w:val="left" w:pos="-252"/>
                <w:tab w:val="left" w:pos="840"/>
              </w:tabs>
              <w:spacing w:before="40" w:after="60" w:line="300" w:lineRule="exact"/>
              <w:jc w:val="center"/>
              <w:rPr>
                <w:rFonts w:ascii="SimHei" w:eastAsia="SimHei"/>
                <w:b/>
                <w:color w:val="FF0000"/>
                <w:sz w:val="18"/>
              </w:rPr>
            </w:pPr>
            <w:r>
              <w:rPr>
                <w:rFonts w:ascii="SimHei" w:eastAsia="SimHei"/>
                <w:b/>
                <w:color w:val="FF0000"/>
                <w:sz w:val="18"/>
              </w:rPr>
              <w:t>288</w:t>
            </w:r>
          </w:p>
        </w:tc>
      </w:tr>
    </w:tbl>
    <w:p w:rsidR="005052D3" w:rsidRDefault="005052D3">
      <w:pPr>
        <w:tabs>
          <w:tab w:val="left" w:pos="-252"/>
          <w:tab w:val="left" w:pos="840"/>
        </w:tabs>
        <w:spacing w:after="120" w:line="360" w:lineRule="atLeast"/>
        <w:rPr>
          <w:sz w:val="18"/>
        </w:rPr>
      </w:pPr>
      <w:r>
        <w:rPr>
          <w:rFonts w:hint="eastAsia"/>
          <w:sz w:val="18"/>
        </w:rPr>
        <w:t>资料来源</w:t>
      </w:r>
      <w:r>
        <w:rPr>
          <w:sz w:val="18"/>
        </w:rPr>
        <w:t xml:space="preserve">GOM: </w:t>
      </w:r>
      <w:r>
        <w:rPr>
          <w:rFonts w:hint="eastAsia"/>
          <w:sz w:val="18"/>
        </w:rPr>
        <w:t>教育基本统计；马拉维，2000。</w:t>
      </w:r>
    </w:p>
    <w:p w:rsidR="005052D3" w:rsidRDefault="005052D3">
      <w:pPr>
        <w:pStyle w:val="SingleTxt"/>
      </w:pPr>
      <w:r>
        <w:t xml:space="preserve">10.6.3  </w:t>
      </w:r>
      <w:r>
        <w:rPr>
          <w:rFonts w:hint="eastAsia"/>
        </w:rPr>
        <w:t>马拉维政府及其合作伙伴已经采取了几种措施鼓励女孩和妇女在教育中取得成绩。例如</w:t>
      </w:r>
      <w:r>
        <w:rPr>
          <w:rFonts w:hint="eastAsia"/>
          <w:lang w:val="en-GB"/>
        </w:rPr>
        <w:t>，</w:t>
      </w:r>
      <w:r>
        <w:rPr>
          <w:rFonts w:hint="eastAsia"/>
        </w:rPr>
        <w:t>1990到1994年间，联合国开发计划署的一项为成绩好的学生提供奖学金的计划中设有1－8个标准，每个参与该计划的学校中女生与男生的比例是3</w:t>
      </w:r>
      <w:r>
        <w:t>:</w:t>
      </w:r>
      <w:r>
        <w:rPr>
          <w:rFonts w:hint="eastAsia"/>
        </w:rPr>
        <w:t>1。该项奖学金为学生缴纳学费、购买其他教学材料，已经使大约26 000名学生受益。为远程教育中心和常规中学的非留级女生也设立了奖学金计划。这个奖学金计划为女生缴纳学费和住宿费，鼓励她们取得较高的学习成绩。</w:t>
      </w:r>
    </w:p>
    <w:p w:rsidR="005052D3" w:rsidRDefault="005052D3">
      <w:pPr>
        <w:pStyle w:val="SingleTxt"/>
      </w:pPr>
      <w:r>
        <w:t xml:space="preserve">10.6.4  </w:t>
      </w:r>
      <w:r>
        <w:rPr>
          <w:rFonts w:hint="eastAsia"/>
        </w:rPr>
        <w:t>为鼓励大学的女生和妇女在非传统科目中取得成绩，1987年到1995年，马拉维政府为选择非传统领域如工程、管理、交通、经济、农业经济学和科学的女生开展了奖学金和事业咨询计划。该计划由美国国际发展署资助，已使马拉维大学的347名学生受益。</w:t>
      </w:r>
      <w:r>
        <w:t xml:space="preserve"> </w:t>
      </w:r>
    </w:p>
    <w:p w:rsidR="005052D3" w:rsidRDefault="005052D3">
      <w:pPr>
        <w:tabs>
          <w:tab w:val="left" w:pos="840"/>
        </w:tabs>
        <w:spacing w:after="120"/>
        <w:rPr>
          <w:rFonts w:eastAsia="SimHei"/>
          <w:bCs/>
          <w:color w:val="FF0000"/>
        </w:rPr>
      </w:pPr>
      <w:r>
        <w:rPr>
          <w:rFonts w:eastAsia="SimHei"/>
          <w:bCs/>
          <w:color w:val="FF0000"/>
        </w:rPr>
        <w:tab/>
      </w:r>
      <w:r>
        <w:rPr>
          <w:rFonts w:eastAsia="SimHei"/>
          <w:bCs/>
          <w:color w:val="FF0000"/>
        </w:rPr>
        <w:tab/>
      </w:r>
      <w:r>
        <w:rPr>
          <w:rFonts w:eastAsia="SimHei"/>
          <w:bCs/>
          <w:color w:val="FF0000"/>
        </w:rPr>
        <w:tab/>
        <w:t xml:space="preserve">10.7  </w:t>
      </w:r>
      <w:r>
        <w:rPr>
          <w:rFonts w:eastAsia="SimHei" w:hint="eastAsia"/>
          <w:bCs/>
          <w:color w:val="FF0000"/>
        </w:rPr>
        <w:t>结论</w:t>
      </w:r>
    </w:p>
    <w:p w:rsidR="005052D3" w:rsidRDefault="005052D3">
      <w:pPr>
        <w:pStyle w:val="SingleTxt"/>
      </w:pPr>
      <w:r>
        <w:tab/>
      </w:r>
      <w:r>
        <w:rPr>
          <w:rFonts w:hint="eastAsia"/>
        </w:rPr>
        <w:t>马拉维承认，教育对个人和国家的发展是非常重要的，因为教育增强个人和社会的能力。宪法承认受教育权。自1994年以来，小学教育已正式规定是免费的。马拉维进一步认为，一定要消除教育中的男女差距，已经开展了几项计划以缩小这种教育中的差距。教育还是消除社会上关于性别的定型观念的工具。因此，各种课程中已纳入了性别问题，各种教材中大部分对性别也是非常敏感的。但是，在入学、继续学习、授课和成绩方面还存在男女教育差距。另外，马拉维政府决心克服资源不足的困难，保证免费的小学教育，因为资源不足已经影响了教育质量。希望寄托在实施减少贫困计划文件中的策略，该计划旨在取得教育中的男女平等，消除妇女和男子、女孩和男孩之间的差距。</w:t>
      </w:r>
      <w:r>
        <w:t xml:space="preserve"> </w:t>
      </w:r>
    </w:p>
    <w:p w:rsidR="005052D3" w:rsidRDefault="005052D3">
      <w:pPr>
        <w:pStyle w:val="H1"/>
        <w:spacing w:after="120"/>
      </w:pPr>
      <w:bookmarkStart w:id="36" w:name="_Toc33784418"/>
      <w:bookmarkStart w:id="37" w:name="_Toc377350757"/>
      <w:bookmarkStart w:id="38" w:name="_Toc83142699"/>
      <w:r>
        <w:tab/>
      </w:r>
      <w:r>
        <w:tab/>
      </w:r>
      <w:r>
        <w:tab/>
      </w:r>
      <w:r>
        <w:rPr>
          <w:rFonts w:hint="eastAsia"/>
        </w:rPr>
        <w:t>第</w:t>
      </w:r>
      <w:r>
        <w:t>11</w:t>
      </w:r>
      <w:r>
        <w:rPr>
          <w:rFonts w:hint="eastAsia"/>
        </w:rPr>
        <w:t>条：就业</w:t>
      </w:r>
      <w:bookmarkEnd w:id="36"/>
      <w:bookmarkEnd w:id="37"/>
      <w:bookmarkEnd w:id="38"/>
    </w:p>
    <w:p w:rsidR="005052D3" w:rsidRDefault="005052D3">
      <w:pPr>
        <w:numPr>
          <w:ilvl w:val="1"/>
          <w:numId w:val="20"/>
        </w:numPr>
        <w:tabs>
          <w:tab w:val="left" w:pos="840"/>
        </w:tabs>
        <w:spacing w:after="240" w:line="360" w:lineRule="atLeast"/>
        <w:ind w:left="1293" w:firstLine="0"/>
        <w:rPr>
          <w:rFonts w:eastAsia="SimHei" w:hint="eastAsia"/>
          <w:bCs/>
          <w:color w:val="FF0000"/>
        </w:rPr>
      </w:pPr>
      <w:r>
        <w:rPr>
          <w:rFonts w:eastAsia="SimHei"/>
          <w:bCs/>
          <w:color w:val="FF0000"/>
        </w:rPr>
        <w:t>《消除对妇女一切形式歧视公约》</w:t>
      </w:r>
      <w:r>
        <w:rPr>
          <w:rFonts w:eastAsia="SimHei" w:hint="eastAsia"/>
          <w:bCs/>
          <w:color w:val="FF0000"/>
        </w:rPr>
        <w:t>标准</w:t>
      </w:r>
    </w:p>
    <w:p w:rsidR="005052D3" w:rsidRDefault="005052D3">
      <w:pPr>
        <w:pStyle w:val="SingleTxt"/>
        <w:ind w:left="2455" w:hanging="1191"/>
        <w:rPr>
          <w:rFonts w:ascii="KaiTi_GB2312"/>
        </w:rPr>
      </w:pPr>
      <w:r>
        <w:rPr>
          <w:rFonts w:ascii="KaiTi_GB2312" w:eastAsia="KaiTi_GB2312" w:hint="eastAsia"/>
          <w:color w:val="0000FF"/>
        </w:rPr>
        <w:t>第11条.1</w:t>
      </w:r>
      <w:r>
        <w:rPr>
          <w:rFonts w:ascii="KaiTi_GB2312" w:eastAsia="KaiTi_GB2312"/>
          <w:color w:val="0000FF"/>
        </w:rPr>
        <w:t>.</w:t>
      </w:r>
      <w:r>
        <w:rPr>
          <w:rFonts w:ascii="KaiTi_GB2312" w:eastAsia="KaiTi_GB2312" w:hint="eastAsia"/>
          <w:color w:val="0000FF"/>
        </w:rPr>
        <w:t xml:space="preserve"> </w:t>
      </w:r>
      <w:r>
        <w:rPr>
          <w:rFonts w:ascii="KaiTi_GB2312" w:eastAsia="KaiTi_GB2312"/>
          <w:color w:val="0000FF"/>
        </w:rPr>
        <w:tab/>
      </w:r>
      <w:r>
        <w:rPr>
          <w:rFonts w:ascii="KaiTi_GB2312" w:eastAsia="KaiTi_GB2312" w:hint="eastAsia"/>
          <w:color w:val="0000FF"/>
        </w:rPr>
        <w:t>缔约各国应采取一切适当措施，消除在就业方面对妇女的歧视，以保证她们在男女平等的基础上享有相同权利，特别</w:t>
      </w:r>
      <w:r>
        <w:rPr>
          <w:rFonts w:hint="eastAsia"/>
        </w:rPr>
        <w:t>是</w:t>
      </w:r>
      <w:r>
        <w:rPr>
          <w:rFonts w:hint="eastAsia"/>
          <w:color w:val="000000"/>
        </w:rPr>
        <w:t xml:space="preserve">： </w:t>
      </w:r>
    </w:p>
    <w:p w:rsidR="005052D3" w:rsidRDefault="005052D3" w:rsidP="00B33158">
      <w:pPr>
        <w:tabs>
          <w:tab w:val="left" w:pos="840"/>
        </w:tabs>
        <w:spacing w:after="240" w:line="360" w:lineRule="atLeast"/>
        <w:ind w:leftChars="600" w:left="31680" w:hangingChars="200" w:firstLine="31680"/>
        <w:rPr>
          <w:rFonts w:hint="eastAsia"/>
        </w:rPr>
      </w:pPr>
      <w:r>
        <w:tab/>
      </w:r>
      <w:r>
        <w:rPr>
          <w:rFonts w:hint="eastAsia"/>
        </w:rPr>
        <w:t xml:space="preserve">(a) </w:t>
      </w:r>
      <w:r>
        <w:tab/>
      </w:r>
      <w:r>
        <w:rPr>
          <w:rFonts w:eastAsia="KaiTi_GB2312" w:hint="eastAsia"/>
          <w:color w:val="0000FF"/>
        </w:rPr>
        <w:t>人人有不可剥夺的工作权利</w:t>
      </w:r>
      <w:r>
        <w:rPr>
          <w:rFonts w:hint="eastAsia"/>
        </w:rPr>
        <w:t xml:space="preserve">； </w:t>
      </w:r>
    </w:p>
    <w:p w:rsidR="005052D3" w:rsidRDefault="005052D3" w:rsidP="00B33158">
      <w:pPr>
        <w:tabs>
          <w:tab w:val="left" w:pos="840"/>
        </w:tabs>
        <w:spacing w:after="240" w:line="360" w:lineRule="atLeast"/>
        <w:ind w:leftChars="600" w:left="31680" w:hangingChars="200" w:firstLine="31680"/>
        <w:rPr>
          <w:rFonts w:hint="eastAsia"/>
        </w:rPr>
      </w:pPr>
      <w:r>
        <w:tab/>
      </w:r>
      <w:r>
        <w:rPr>
          <w:rFonts w:hint="eastAsia"/>
        </w:rPr>
        <w:t xml:space="preserve">(b) </w:t>
      </w:r>
      <w:r>
        <w:rPr>
          <w:rFonts w:eastAsia="KaiTi_GB2312"/>
          <w:color w:val="0000FF"/>
        </w:rPr>
        <w:tab/>
      </w:r>
      <w:r>
        <w:rPr>
          <w:rFonts w:eastAsia="KaiTi_GB2312" w:hint="eastAsia"/>
          <w:color w:val="0000FF"/>
        </w:rPr>
        <w:t>享有相同就业机会的权利，包括在就业方面相同的甄选标准</w:t>
      </w:r>
      <w:r>
        <w:rPr>
          <w:rFonts w:hint="eastAsia"/>
        </w:rPr>
        <w:t xml:space="preserve">； </w:t>
      </w:r>
    </w:p>
    <w:p w:rsidR="005052D3" w:rsidRDefault="005052D3">
      <w:pPr>
        <w:pStyle w:val="SingleTxt"/>
        <w:ind w:left="2126" w:hanging="431"/>
        <w:rPr>
          <w:rFonts w:ascii="KaiTi_GB2312" w:eastAsia="KaiTi_GB2312" w:hint="eastAsia"/>
          <w:color w:val="0000FF"/>
        </w:rPr>
      </w:pPr>
      <w:r>
        <w:rPr>
          <w:rFonts w:ascii="KaiTi_GB2312" w:eastAsia="KaiTi_GB2312" w:hint="eastAsia"/>
          <w:color w:val="0000FF"/>
        </w:rPr>
        <w:t xml:space="preserve">(c) </w:t>
      </w:r>
      <w:r>
        <w:rPr>
          <w:rFonts w:ascii="KaiTi_GB2312" w:eastAsia="KaiTi_GB2312"/>
          <w:color w:val="0000FF"/>
        </w:rPr>
        <w:tab/>
      </w:r>
      <w:r>
        <w:rPr>
          <w:rFonts w:ascii="KaiTi_GB2312" w:eastAsia="KaiTi_GB2312" w:hint="eastAsia"/>
          <w:color w:val="0000FF"/>
        </w:rPr>
        <w:t xml:space="preserve">享有自由选择专业和职业，提升和工作保障，一切服务的福利和条件，接受职业培训和进修，包括实习训练、高等职业训练和经常性训练的权利； </w:t>
      </w:r>
    </w:p>
    <w:p w:rsidR="005052D3" w:rsidRDefault="005052D3">
      <w:pPr>
        <w:pStyle w:val="SingleTxt"/>
        <w:ind w:left="2126" w:hanging="431"/>
        <w:rPr>
          <w:rFonts w:hint="eastAsia"/>
        </w:rPr>
      </w:pPr>
      <w:r>
        <w:rPr>
          <w:rFonts w:hint="eastAsia"/>
        </w:rPr>
        <w:t xml:space="preserve">(d) </w:t>
      </w:r>
      <w:r>
        <w:tab/>
      </w:r>
      <w:r>
        <w:rPr>
          <w:rFonts w:eastAsia="KaiTi_GB2312" w:hint="eastAsia"/>
          <w:color w:val="0000FF"/>
        </w:rPr>
        <w:t>同样价值的工作享有同等报酬包括福利和享有平等待遇的权利，在评定工作的表现方面，享有平等待遇的权利</w:t>
      </w:r>
      <w:r>
        <w:rPr>
          <w:rFonts w:hint="eastAsia"/>
        </w:rPr>
        <w:t xml:space="preserve">； </w:t>
      </w:r>
    </w:p>
    <w:p w:rsidR="005052D3" w:rsidRDefault="005052D3">
      <w:pPr>
        <w:pStyle w:val="SingleTxt"/>
        <w:ind w:left="2126" w:hanging="431"/>
        <w:rPr>
          <w:rFonts w:hint="eastAsia"/>
        </w:rPr>
      </w:pPr>
      <w:r>
        <w:rPr>
          <w:rFonts w:hint="eastAsia"/>
        </w:rPr>
        <w:t xml:space="preserve">(e) </w:t>
      </w:r>
      <w:r>
        <w:tab/>
      </w:r>
      <w:r>
        <w:rPr>
          <w:rFonts w:eastAsia="KaiTi_GB2312" w:hint="eastAsia"/>
          <w:color w:val="0000FF"/>
        </w:rPr>
        <w:t>享有社会保障的权利，特别是在退休、失业、疾病、残废和老年或在其他丧失工作能力的情况下，以及享有带薪假的权利</w:t>
      </w:r>
      <w:r>
        <w:rPr>
          <w:rFonts w:hint="eastAsia"/>
        </w:rPr>
        <w:t xml:space="preserve">； </w:t>
      </w:r>
    </w:p>
    <w:p w:rsidR="005052D3" w:rsidRDefault="005052D3">
      <w:pPr>
        <w:pStyle w:val="SingleTxt"/>
        <w:ind w:left="2126" w:hanging="431"/>
        <w:rPr>
          <w:rFonts w:hint="eastAsia"/>
        </w:rPr>
      </w:pPr>
      <w:r>
        <w:rPr>
          <w:rFonts w:hint="eastAsia"/>
        </w:rPr>
        <w:t xml:space="preserve">(f) </w:t>
      </w:r>
      <w:r>
        <w:tab/>
      </w:r>
      <w:r>
        <w:rPr>
          <w:rFonts w:eastAsia="KaiTi_GB2312" w:hint="eastAsia"/>
          <w:color w:val="0000FF"/>
        </w:rPr>
        <w:t>在工作条件方面享有健康和安全保障，包括保障生育机能的权利</w:t>
      </w:r>
      <w:r>
        <w:rPr>
          <w:rFonts w:hint="eastAsia"/>
        </w:rPr>
        <w:t xml:space="preserve">。 </w:t>
      </w:r>
    </w:p>
    <w:p w:rsidR="005052D3" w:rsidRDefault="005052D3">
      <w:pPr>
        <w:pStyle w:val="SingleTxt"/>
        <w:ind w:left="1695" w:hanging="431"/>
        <w:rPr>
          <w:rFonts w:hint="eastAsia"/>
        </w:rPr>
      </w:pPr>
      <w:r>
        <w:rPr>
          <w:rFonts w:hint="eastAsia"/>
        </w:rPr>
        <w:t xml:space="preserve">2. </w:t>
      </w:r>
      <w:r>
        <w:tab/>
      </w:r>
      <w:r>
        <w:rPr>
          <w:rFonts w:eastAsia="KaiTi_GB2312" w:hint="eastAsia"/>
          <w:color w:val="0000FF"/>
        </w:rPr>
        <w:t>缔约各国为使妇女不致因结婚或生育而受歧视，又为保障其有效的工作权利起见，应采取适当措施</w:t>
      </w:r>
      <w:r>
        <w:rPr>
          <w:rFonts w:hint="eastAsia"/>
        </w:rPr>
        <w:t xml:space="preserve">： </w:t>
      </w:r>
    </w:p>
    <w:p w:rsidR="005052D3" w:rsidRDefault="005052D3">
      <w:pPr>
        <w:pStyle w:val="SingleTxt"/>
        <w:ind w:left="2126" w:hanging="431"/>
        <w:rPr>
          <w:rFonts w:hint="eastAsia"/>
        </w:rPr>
      </w:pPr>
      <w:r>
        <w:rPr>
          <w:rFonts w:hint="eastAsia"/>
        </w:rPr>
        <w:t xml:space="preserve">(a) </w:t>
      </w:r>
      <w:r>
        <w:tab/>
      </w:r>
      <w:r>
        <w:rPr>
          <w:rFonts w:eastAsia="KaiTi_GB2312" w:hint="eastAsia"/>
          <w:color w:val="0000FF"/>
        </w:rPr>
        <w:t>禁止以怀孕或产假为理由予以解雇，以及以婚姻状况为理由予以解雇的歧视，违反规定者得受处分</w:t>
      </w:r>
      <w:r>
        <w:rPr>
          <w:rFonts w:hint="eastAsia"/>
        </w:rPr>
        <w:t xml:space="preserve">； </w:t>
      </w:r>
    </w:p>
    <w:p w:rsidR="005052D3" w:rsidRDefault="005052D3">
      <w:pPr>
        <w:pStyle w:val="SingleTxt"/>
        <w:ind w:left="2126" w:hanging="431"/>
        <w:rPr>
          <w:rFonts w:hint="eastAsia"/>
        </w:rPr>
      </w:pPr>
      <w:r>
        <w:rPr>
          <w:rFonts w:hint="eastAsia"/>
        </w:rPr>
        <w:t xml:space="preserve">(b) </w:t>
      </w:r>
      <w:r>
        <w:tab/>
      </w:r>
      <w:r>
        <w:rPr>
          <w:rFonts w:eastAsia="KaiTi_GB2312" w:hint="eastAsia"/>
          <w:color w:val="0000FF"/>
        </w:rPr>
        <w:t>实施带薪产假或具有同等社会福利的产假，而不</w:t>
      </w:r>
      <w:r>
        <w:rPr>
          <w:rFonts w:hint="eastAsia"/>
        </w:rPr>
        <w:t>丧失</w:t>
      </w:r>
      <w:r>
        <w:rPr>
          <w:rFonts w:eastAsia="KaiTi_GB2312" w:hint="eastAsia"/>
          <w:color w:val="0000FF"/>
        </w:rPr>
        <w:t>原有工作、年资或社会津贴</w:t>
      </w:r>
      <w:r>
        <w:rPr>
          <w:rFonts w:hint="eastAsia"/>
        </w:rPr>
        <w:t xml:space="preserve">； </w:t>
      </w:r>
    </w:p>
    <w:p w:rsidR="005052D3" w:rsidRDefault="005052D3">
      <w:pPr>
        <w:pStyle w:val="SingleTxt"/>
        <w:ind w:left="2126" w:hanging="431"/>
        <w:rPr>
          <w:rFonts w:hint="eastAsia"/>
        </w:rPr>
      </w:pPr>
      <w:r>
        <w:rPr>
          <w:rFonts w:hint="eastAsia"/>
        </w:rPr>
        <w:t xml:space="preserve">(c) </w:t>
      </w:r>
      <w:r>
        <w:tab/>
      </w:r>
      <w:r>
        <w:rPr>
          <w:rFonts w:eastAsia="KaiTi_GB2312" w:hint="eastAsia"/>
          <w:color w:val="0000FF"/>
        </w:rPr>
        <w:t>鼓励提供必要的辅助性社会服务，特别是通过促进建立和发展托儿设施系统，使父母得以兼顾家庭义务和工作责任并参与公共事务</w:t>
      </w:r>
      <w:r>
        <w:rPr>
          <w:rFonts w:hint="eastAsia"/>
        </w:rPr>
        <w:t xml:space="preserve">； </w:t>
      </w:r>
    </w:p>
    <w:p w:rsidR="005052D3" w:rsidRDefault="005052D3">
      <w:pPr>
        <w:pStyle w:val="SingleTxt"/>
        <w:ind w:left="2126" w:hanging="431"/>
        <w:rPr>
          <w:rFonts w:hint="eastAsia"/>
        </w:rPr>
      </w:pPr>
      <w:r>
        <w:rPr>
          <w:rFonts w:hint="eastAsia"/>
        </w:rPr>
        <w:t xml:space="preserve">(d) </w:t>
      </w:r>
      <w:r>
        <w:rPr>
          <w:rFonts w:eastAsia="KaiTi_GB2312"/>
          <w:color w:val="0000FF"/>
        </w:rPr>
        <w:tab/>
      </w:r>
      <w:r>
        <w:rPr>
          <w:rFonts w:eastAsia="KaiTi_GB2312" w:hint="eastAsia"/>
          <w:color w:val="0000FF"/>
        </w:rPr>
        <w:t>对于怀孕期间从事确实有害于健康的工种的妇女，给予特别保护</w:t>
      </w:r>
      <w:r>
        <w:rPr>
          <w:rFonts w:hint="eastAsia"/>
        </w:rPr>
        <w:t xml:space="preserve">。 </w:t>
      </w:r>
    </w:p>
    <w:p w:rsidR="005052D3" w:rsidRDefault="005052D3">
      <w:pPr>
        <w:pStyle w:val="SingleTxt"/>
        <w:ind w:left="1695" w:hanging="431"/>
        <w:rPr>
          <w:rFonts w:hint="eastAsia"/>
        </w:rPr>
      </w:pPr>
      <w:r>
        <w:rPr>
          <w:rFonts w:hint="eastAsia"/>
        </w:rPr>
        <w:t xml:space="preserve">3. </w:t>
      </w:r>
      <w:r>
        <w:tab/>
      </w:r>
      <w:r>
        <w:rPr>
          <w:rFonts w:eastAsia="KaiTi_GB2312" w:hint="eastAsia"/>
          <w:color w:val="0000FF"/>
        </w:rPr>
        <w:t>应参照科技知识，定期审查与本条所包涵的内容有关的保护性法律，必要时应加以修订、废止或推广</w:t>
      </w:r>
      <w:r>
        <w:rPr>
          <w:rFonts w:hint="eastAsia"/>
        </w:rPr>
        <w:t xml:space="preserve">。 </w:t>
      </w:r>
    </w:p>
    <w:p w:rsidR="005052D3" w:rsidRDefault="005052D3">
      <w:pPr>
        <w:numPr>
          <w:ilvl w:val="1"/>
          <w:numId w:val="20"/>
        </w:numPr>
        <w:tabs>
          <w:tab w:val="left" w:pos="840"/>
        </w:tabs>
        <w:spacing w:after="120" w:line="300" w:lineRule="atLeast"/>
        <w:ind w:left="1293" w:firstLine="0"/>
        <w:rPr>
          <w:rFonts w:eastAsia="SimHei"/>
          <w:bCs/>
          <w:color w:val="FF0000"/>
        </w:rPr>
      </w:pPr>
      <w:r>
        <w:rPr>
          <w:rFonts w:eastAsia="SimHei"/>
          <w:bCs/>
          <w:color w:val="FF0000"/>
        </w:rPr>
        <w:t xml:space="preserve">  </w:t>
      </w:r>
      <w:r>
        <w:rPr>
          <w:rFonts w:eastAsia="SimHei" w:hint="eastAsia"/>
          <w:bCs/>
          <w:color w:val="FF0000"/>
        </w:rPr>
        <w:t>导言</w:t>
      </w:r>
    </w:p>
    <w:p w:rsidR="005052D3" w:rsidRDefault="005052D3">
      <w:pPr>
        <w:pStyle w:val="SingleTxt"/>
      </w:pPr>
      <w:r>
        <w:t xml:space="preserve">11.2.1  </w:t>
      </w:r>
      <w:r>
        <w:rPr>
          <w:rFonts w:hint="eastAsia"/>
        </w:rPr>
        <w:t>马拉维基本上是一个农业和农村国家。譬如，1997年，共有66%的人口从事经济活动，但其中78%的人从事生存农业。只有8.8%的10岁以上的人有正式工作，其中大多数人是男人，妇女只占18.7%。</w:t>
      </w:r>
      <w:r>
        <w:t xml:space="preserve"> </w:t>
      </w:r>
    </w:p>
    <w:p w:rsidR="005052D3" w:rsidRDefault="005052D3">
      <w:pPr>
        <w:pStyle w:val="SingleTxt"/>
      </w:pPr>
      <w:r>
        <w:rPr>
          <w:spacing w:val="-4"/>
        </w:rPr>
        <w:t xml:space="preserve">11.2.2  </w:t>
      </w:r>
      <w:r>
        <w:rPr>
          <w:rFonts w:hint="eastAsia"/>
          <w:spacing w:val="-4"/>
        </w:rPr>
        <w:t>自实行多党政治以后，一个法律里程碑是有关就业的两项立法的颁布。第一个立法是劳动关系法，</w:t>
      </w:r>
      <w:r>
        <w:rPr>
          <w:rStyle w:val="FootnoteReference"/>
          <w:spacing w:val="-4"/>
        </w:rPr>
        <w:footnoteReference w:id="92"/>
      </w:r>
      <w:r>
        <w:rPr>
          <w:rFonts w:hint="eastAsia"/>
        </w:rPr>
        <w:t>该立法规定了集体协商、合作做出决定和制度化的工业关系法庭。第二个立法是《就业法》，</w:t>
      </w:r>
      <w:r>
        <w:rPr>
          <w:rStyle w:val="FootnoteReference"/>
        </w:rPr>
        <w:footnoteReference w:id="93"/>
      </w:r>
      <w:r>
        <w:rPr>
          <w:rFonts w:hint="eastAsia"/>
        </w:rPr>
        <w:t>该法废除了以前关于就业的法律，试图把国际劳工组织公约中的某些国际标准应用到该法中去。该法中规定和运用的一个重要原则就是非歧视性。</w:t>
      </w:r>
      <w:r>
        <w:rPr>
          <w:rStyle w:val="FootnoteReference"/>
        </w:rPr>
        <w:footnoteReference w:id="94"/>
      </w:r>
    </w:p>
    <w:p w:rsidR="005052D3" w:rsidRDefault="005052D3">
      <w:pPr>
        <w:tabs>
          <w:tab w:val="left" w:pos="840"/>
        </w:tabs>
        <w:spacing w:after="240" w:line="360" w:lineRule="atLeast"/>
        <w:ind w:left="567"/>
      </w:pPr>
      <w:r>
        <w:rPr>
          <w:noProof/>
          <w:sz w:val="20"/>
        </w:rPr>
        <w:pict>
          <v:group id="_x0000_s2067" style="position:absolute;left:0;text-align:left;margin-left:76.05pt;margin-top:88.4pt;width:342pt;height:62.4pt;z-index:10" coordorigin="2636,5381" coordsize="6840,1248">
            <v:shape id="_x0000_s2068" type="#_x0000_t202" style="position:absolute;left:2636;top:5485;width:840;height:1144" fillcolor="silver" stroked="f">
              <v:textbox style="layout-flow:vertical;mso-layout-flow-alt:bottom-to-top">
                <w:txbxContent>
                  <w:p w:rsidR="005052D3" w:rsidRDefault="005052D3">
                    <w:pPr>
                      <w:spacing w:line="240" w:lineRule="exact"/>
                      <w:jc w:val="center"/>
                      <w:rPr>
                        <w:rFonts w:hint="eastAsia"/>
                        <w:sz w:val="18"/>
                      </w:rPr>
                    </w:pPr>
                    <w:r>
                      <w:rPr>
                        <w:rFonts w:hint="eastAsia"/>
                        <w:sz w:val="18"/>
                      </w:rPr>
                      <w:t>自耕自给的农民</w:t>
                    </w:r>
                  </w:p>
                </w:txbxContent>
              </v:textbox>
            </v:shape>
            <v:shape id="_x0000_s2069" type="#_x0000_t202" style="position:absolute;left:3716;top:5485;width:840;height:1144" fillcolor="silver" stroked="f">
              <v:textbox style="layout-flow:vertical;mso-layout-flow-alt:bottom-to-top">
                <w:txbxContent>
                  <w:p w:rsidR="005052D3" w:rsidRDefault="005052D3">
                    <w:pPr>
                      <w:spacing w:line="240" w:lineRule="exact"/>
                      <w:jc w:val="center"/>
                      <w:rPr>
                        <w:rFonts w:hint="eastAsia"/>
                        <w:sz w:val="18"/>
                      </w:rPr>
                    </w:pPr>
                    <w:r>
                      <w:rPr>
                        <w:rFonts w:hint="eastAsia"/>
                        <w:sz w:val="18"/>
                      </w:rPr>
                      <w:t>雇工</w:t>
                    </w:r>
                  </w:p>
                </w:txbxContent>
              </v:textbox>
            </v:shape>
            <v:shape id="_x0000_s2070" type="#_x0000_t202" style="position:absolute;left:4676;top:5485;width:840;height:1144" fillcolor="silver" stroked="f">
              <v:textbox style="layout-flow:vertical;mso-layout-flow-alt:bottom-to-top">
                <w:txbxContent>
                  <w:p w:rsidR="005052D3" w:rsidRDefault="005052D3">
                    <w:pPr>
                      <w:spacing w:line="240" w:lineRule="exact"/>
                      <w:jc w:val="center"/>
                      <w:rPr>
                        <w:rFonts w:hint="eastAsia"/>
                        <w:sz w:val="18"/>
                      </w:rPr>
                    </w:pPr>
                    <w:r>
                      <w:rPr>
                        <w:rFonts w:hint="eastAsia"/>
                        <w:sz w:val="18"/>
                      </w:rPr>
                      <w:t>家庭企业</w:t>
                    </w:r>
                    <w:r>
                      <w:rPr>
                        <w:sz w:val="18"/>
                      </w:rPr>
                      <w:br/>
                    </w:r>
                    <w:r>
                      <w:rPr>
                        <w:rFonts w:hint="eastAsia"/>
                        <w:sz w:val="18"/>
                      </w:rPr>
                      <w:t>工人</w:t>
                    </w:r>
                  </w:p>
                </w:txbxContent>
              </v:textbox>
            </v:shape>
            <v:shape id="_x0000_s2071" type="#_x0000_t202" style="position:absolute;left:5636;top:5485;width:840;height:1144" fillcolor="silver" stroked="f">
              <v:textbox style="layout-flow:vertical;mso-layout-flow-alt:bottom-to-top">
                <w:txbxContent>
                  <w:p w:rsidR="005052D3" w:rsidRDefault="005052D3">
                    <w:pPr>
                      <w:spacing w:line="240" w:lineRule="exact"/>
                      <w:jc w:val="center"/>
                      <w:rPr>
                        <w:rFonts w:hint="eastAsia"/>
                        <w:sz w:val="18"/>
                      </w:rPr>
                    </w:pPr>
                    <w:r>
                      <w:rPr>
                        <w:rFonts w:hint="eastAsia"/>
                        <w:sz w:val="18"/>
                      </w:rPr>
                      <w:t>个体</w:t>
                    </w:r>
                    <w:r>
                      <w:rPr>
                        <w:sz w:val="18"/>
                      </w:rPr>
                      <w:br/>
                    </w:r>
                    <w:r>
                      <w:rPr>
                        <w:rFonts w:hint="eastAsia"/>
                        <w:sz w:val="18"/>
                      </w:rPr>
                      <w:t>经营者</w:t>
                    </w:r>
                  </w:p>
                </w:txbxContent>
              </v:textbox>
            </v:shape>
            <v:shape id="_x0000_s2072" type="#_x0000_t202" style="position:absolute;left:6716;top:5485;width:840;height:1144" fillcolor="silver" stroked="f">
              <v:textbox style="layout-flow:vertical;mso-layout-flow-alt:bottom-to-top">
                <w:txbxContent>
                  <w:p w:rsidR="005052D3" w:rsidRDefault="005052D3">
                    <w:pPr>
                      <w:spacing w:line="240" w:lineRule="exact"/>
                      <w:jc w:val="center"/>
                      <w:rPr>
                        <w:rFonts w:hint="eastAsia"/>
                        <w:sz w:val="18"/>
                      </w:rPr>
                    </w:pPr>
                    <w:r>
                      <w:rPr>
                        <w:rFonts w:hint="eastAsia"/>
                        <w:sz w:val="18"/>
                      </w:rPr>
                      <w:t>雇主</w:t>
                    </w:r>
                  </w:p>
                </w:txbxContent>
              </v:textbox>
            </v:shape>
            <v:shape id="_x0000_s2073" type="#_x0000_t202" style="position:absolute;left:7676;top:5381;width:840;height:1144" fillcolor="silver" stroked="f">
              <v:textbox style="layout-flow:vertical;mso-layout-flow-alt:bottom-to-top">
                <w:txbxContent>
                  <w:p w:rsidR="005052D3" w:rsidRDefault="005052D3">
                    <w:pPr>
                      <w:spacing w:line="240" w:lineRule="exact"/>
                      <w:jc w:val="center"/>
                      <w:rPr>
                        <w:rFonts w:hint="eastAsia"/>
                        <w:sz w:val="18"/>
                      </w:rPr>
                    </w:pPr>
                    <w:r>
                      <w:rPr>
                        <w:rFonts w:hint="eastAsia"/>
                        <w:sz w:val="18"/>
                      </w:rPr>
                      <w:t>失业者</w:t>
                    </w:r>
                  </w:p>
                </w:txbxContent>
              </v:textbox>
            </v:shape>
            <v:shape id="_x0000_s2074" type="#_x0000_t202" style="position:absolute;left:8636;top:5485;width:840;height:1144" fillcolor="silver" stroked="f">
              <v:textbox style="layout-flow:vertical;mso-layout-flow-alt:bottom-to-top">
                <w:txbxContent>
                  <w:p w:rsidR="005052D3" w:rsidRDefault="005052D3">
                    <w:pPr>
                      <w:spacing w:line="240" w:lineRule="exact"/>
                      <w:jc w:val="center"/>
                      <w:rPr>
                        <w:rFonts w:hint="eastAsia"/>
                        <w:sz w:val="18"/>
                      </w:rPr>
                    </w:pPr>
                    <w:r>
                      <w:rPr>
                        <w:rFonts w:hint="eastAsia"/>
                        <w:sz w:val="18"/>
                      </w:rPr>
                      <w:t>不从事经</w:t>
                    </w:r>
                    <w:r>
                      <w:rPr>
                        <w:sz w:val="18"/>
                      </w:rPr>
                      <w:br/>
                    </w:r>
                    <w:r>
                      <w:rPr>
                        <w:rFonts w:hint="eastAsia"/>
                        <w:sz w:val="18"/>
                      </w:rPr>
                      <w:t>济活动者</w:t>
                    </w:r>
                  </w:p>
                </w:txbxContent>
              </v:textbox>
            </v:shape>
          </v:group>
        </w:pict>
      </w:r>
      <w:r>
        <w:object w:dxaOrig="8801" w:dyaOrig="3079">
          <v:shape id="_x0000_i1028" type="#_x0000_t75" style="width:440.25pt;height:153.75pt" o:ole="">
            <v:imagedata r:id="rId23" o:title=""/>
          </v:shape>
          <o:OLEObject Type="Embed" ProgID="MSGraph.Chart.8" ShapeID="_x0000_i1028" DrawAspect="Content" ObjectID="_1395246299" r:id="rId24">
            <o:FieldCodes>\s</o:FieldCodes>
          </o:OLEObject>
        </w:object>
      </w:r>
    </w:p>
    <w:p w:rsidR="005052D3" w:rsidRDefault="005052D3">
      <w:pPr>
        <w:pStyle w:val="SingleTxt"/>
        <w:rPr>
          <w:rFonts w:ascii="SimHei" w:eastAsia="SimHei"/>
          <w:color w:val="FF0000"/>
        </w:rPr>
      </w:pPr>
      <w:r>
        <w:rPr>
          <w:rFonts w:ascii="SimHei" w:eastAsia="SimHei"/>
          <w:color w:val="FF0000"/>
        </w:rPr>
        <w:t xml:space="preserve">11.3  </w:t>
      </w:r>
      <w:r>
        <w:rPr>
          <w:rFonts w:ascii="SimHei" w:eastAsia="SimHei" w:hint="eastAsia"/>
          <w:color w:val="FF0000"/>
        </w:rPr>
        <w:t>保证就业权利和机会</w:t>
      </w:r>
      <w:r>
        <w:rPr>
          <w:rFonts w:ascii="SimHei" w:eastAsia="SimHei"/>
          <w:color w:val="FF0000"/>
          <w:vertAlign w:val="superscript"/>
        </w:rPr>
        <w:footnoteReference w:id="95"/>
      </w:r>
      <w:r>
        <w:rPr>
          <w:rFonts w:ascii="SimHei" w:eastAsia="SimHei"/>
          <w:color w:val="FF0000"/>
        </w:rPr>
        <w:t xml:space="preserve"> </w:t>
      </w:r>
    </w:p>
    <w:p w:rsidR="005052D3" w:rsidRDefault="005052D3">
      <w:pPr>
        <w:pStyle w:val="SingleTxt"/>
        <w:rPr>
          <w:spacing w:val="-4"/>
        </w:rPr>
      </w:pPr>
      <w:r>
        <w:rPr>
          <w:spacing w:val="-4"/>
        </w:rPr>
        <w:t xml:space="preserve">11.3.1  </w:t>
      </w:r>
      <w:r>
        <w:rPr>
          <w:rFonts w:hint="eastAsia"/>
          <w:spacing w:val="-4"/>
        </w:rPr>
        <w:t>马拉维宪法规定人人都有“在马拉维自由从事经济活动、工作和谋生”</w:t>
      </w:r>
      <w:r>
        <w:rPr>
          <w:rStyle w:val="FootnoteReference"/>
          <w:spacing w:val="-4"/>
        </w:rPr>
        <w:footnoteReference w:id="96"/>
      </w:r>
      <w:r>
        <w:rPr>
          <w:rFonts w:hint="eastAsia"/>
          <w:spacing w:val="-4"/>
        </w:rPr>
        <w:t>的权利。宪法还保障公平和安全劳动、成立和加入工会、“在具有同等价值的工作中没有基于性别、残疾或种族基础上的任何歧视”</w:t>
      </w:r>
      <w:r>
        <w:rPr>
          <w:rStyle w:val="FootnoteReference"/>
          <w:spacing w:val="-4"/>
        </w:rPr>
        <w:footnoteReference w:id="97"/>
      </w:r>
      <w:r>
        <w:rPr>
          <w:spacing w:val="-4"/>
        </w:rPr>
        <w:t xml:space="preserve"> </w:t>
      </w:r>
      <w:r>
        <w:rPr>
          <w:rFonts w:hint="eastAsia"/>
          <w:spacing w:val="-4"/>
        </w:rPr>
        <w:t>而获得公平薪酬和平等报酬的权利。2000年就业法试图把这些原则运用到马拉维的就业合同中去，但差别依然存在。例如，91.6%从事经济活动的妇女所做的是与农业有关的工作。与男子相比，有更多的妇女失业，男子在马拉维的经济活动中占主导地位。但是，在生存农业中妇女的人数超过了男子的人数，在经济上不那么活跃。</w:t>
      </w:r>
    </w:p>
    <w:p w:rsidR="005052D3" w:rsidRDefault="005052D3">
      <w:pPr>
        <w:pStyle w:val="SingleTxt"/>
      </w:pPr>
      <w:r>
        <w:t xml:space="preserve">11.3.2  </w:t>
      </w:r>
      <w:r>
        <w:rPr>
          <w:rFonts w:hint="eastAsia"/>
        </w:rPr>
        <w:t>妇女在就业中的人数较少是由于比较贫穷和没有太多的机会就业、在工作中受到不公平的待遇以及较低的受教育程度造成的。受到职业培训的妇女人数也比男子少。在各个层面上，社会认为妇女的传统形象和角色仍然是家庭主妇，这种观念长期存在。</w:t>
      </w:r>
    </w:p>
    <w:p w:rsidR="005052D3" w:rsidRDefault="005052D3">
      <w:pPr>
        <w:pStyle w:val="SingleTxt"/>
      </w:pPr>
      <w:r>
        <w:t xml:space="preserve">11.3.3  </w:t>
      </w:r>
      <w:r>
        <w:rPr>
          <w:rFonts w:hint="eastAsia"/>
        </w:rPr>
        <w:t>受过教育或培训的妇女有时会在择业和面试中遭遇歧视。一些雇主在广告上就宣传他们雇用男子，而一些选拔委员会询问一些性别不敏感的问题，如怀孕、婚姻状况和家庭责任等。性骚扰在工作场所是很普遍的现象，在这些工作场所，雇主们从即将成为雇员或已经成为雇员的妇女那儿占便宜。</w:t>
      </w:r>
    </w:p>
    <w:p w:rsidR="005052D3" w:rsidRDefault="005052D3">
      <w:pPr>
        <w:pStyle w:val="SingleTxt"/>
      </w:pPr>
      <w:r>
        <w:t xml:space="preserve">11.3.4  </w:t>
      </w:r>
      <w:r>
        <w:rPr>
          <w:rFonts w:hint="eastAsia"/>
        </w:rPr>
        <w:t>尽管《就业法》中规定不应有性别歧视，但妇女在就业中还普遍遭遇歧视。大多数妇女，特别是农业部门的妇女，从事的都是临时工作，所以无权获得大多数利益，她们都处于不安全的状态，很容易被解雇。在妇女往往多于男子的部门，比如农业和家务工作中，妇女的工作条件不安全。例如在家务工作中，女孩和妇女有时没有报酬。相反，住房、食品或衣物都被看作是报酬。从事家务的女孩和妇女有时受到家中男孩或成年男子的性骚扰或虐待。性骚扰还没有被广泛认为是不可接受的。在一些情况下，各部门的从业妇女往往受到性骚扰或被诱惑与经理、雇主或男工人发生非法的性关系。尽管2000年通过的就业法中包含许多国际标准，但对性骚扰却没有任何规定。</w:t>
      </w:r>
    </w:p>
    <w:p w:rsidR="005052D3" w:rsidRDefault="005052D3">
      <w:pPr>
        <w:pStyle w:val="SingleTxt"/>
        <w:rPr>
          <w:rFonts w:eastAsia="SimHei"/>
          <w:bCs/>
          <w:color w:val="FF0000"/>
        </w:rPr>
      </w:pPr>
      <w:r>
        <w:rPr>
          <w:rFonts w:ascii="SimHei" w:eastAsia="SimHei"/>
          <w:color w:val="FF0000"/>
        </w:rPr>
        <w:t>11.4</w:t>
      </w:r>
      <w:r>
        <w:rPr>
          <w:rFonts w:eastAsia="SimHei"/>
          <w:bCs/>
          <w:color w:val="FF0000"/>
        </w:rPr>
        <w:t xml:space="preserve">  </w:t>
      </w:r>
      <w:r>
        <w:rPr>
          <w:rFonts w:eastAsia="SimHei" w:hint="eastAsia"/>
          <w:bCs/>
          <w:color w:val="FF0000"/>
        </w:rPr>
        <w:t>职业和事业的选择</w:t>
      </w:r>
      <w:r>
        <w:rPr>
          <w:rFonts w:eastAsia="SimHei"/>
          <w:bCs/>
          <w:color w:val="FF0000"/>
          <w:vertAlign w:val="superscript"/>
        </w:rPr>
        <w:footnoteReference w:id="98"/>
      </w:r>
    </w:p>
    <w:p w:rsidR="005052D3" w:rsidRDefault="005052D3">
      <w:pPr>
        <w:pStyle w:val="SingleTxt"/>
      </w:pPr>
      <w:r>
        <w:t xml:space="preserve">11.4.1  </w:t>
      </w:r>
      <w:r>
        <w:rPr>
          <w:rFonts w:hint="eastAsia"/>
        </w:rPr>
        <w:t>马拉维从业妇女大多从事需要手工操作的农业劳动。马拉维开展经济活动的妇女中，</w:t>
      </w:r>
      <w:r>
        <w:t xml:space="preserve"> 91.8%</w:t>
      </w:r>
      <w:r>
        <w:rPr>
          <w:rFonts w:hint="eastAsia"/>
        </w:rPr>
        <w:t>从事农业，占农业劳动力的70%。贸易部门雇用了</w:t>
      </w:r>
      <w:r>
        <w:t>31.4%</w:t>
      </w:r>
      <w:r>
        <w:rPr>
          <w:rFonts w:hint="eastAsia"/>
        </w:rPr>
        <w:t>的劳动力，其中妇女占</w:t>
      </w:r>
      <w:r>
        <w:t>3.6%</w:t>
      </w:r>
      <w:r>
        <w:rPr>
          <w:rFonts w:hint="eastAsia"/>
        </w:rPr>
        <w:t>。社区和社会服务部门占了劳动力的</w:t>
      </w:r>
      <w:r>
        <w:t>35.7%</w:t>
      </w:r>
      <w:r>
        <w:rPr>
          <w:rFonts w:hint="eastAsia"/>
        </w:rPr>
        <w:t>，其中妇女占</w:t>
      </w:r>
      <w:r>
        <w:t>2.1%</w:t>
      </w:r>
      <w:r>
        <w:rPr>
          <w:rFonts w:hint="eastAsia"/>
        </w:rPr>
        <w:t>。制造业雇用了</w:t>
      </w:r>
      <w:r>
        <w:t xml:space="preserve">20.2% </w:t>
      </w:r>
      <w:r>
        <w:rPr>
          <w:rFonts w:hint="eastAsia"/>
        </w:rPr>
        <w:t>的劳动力，其中妇女占</w:t>
      </w:r>
      <w:r>
        <w:t>1%</w:t>
      </w:r>
      <w:r>
        <w:rPr>
          <w:rFonts w:hint="eastAsia"/>
        </w:rPr>
        <w:t>。教育部门雇用了</w:t>
      </w:r>
      <w:r>
        <w:t xml:space="preserve">39.6% </w:t>
      </w:r>
      <w:r>
        <w:rPr>
          <w:rFonts w:hint="eastAsia"/>
        </w:rPr>
        <w:t>的劳动力，其中妇女为</w:t>
      </w:r>
      <w:r>
        <w:t>1.4%</w:t>
      </w:r>
      <w:r>
        <w:rPr>
          <w:rFonts w:hint="eastAsia"/>
        </w:rPr>
        <w:t>。卫生和社会工作占了劳动力的40.9%，其中妇女为</w:t>
      </w:r>
      <w:r>
        <w:t>0.58%</w:t>
      </w:r>
      <w:r>
        <w:rPr>
          <w:rFonts w:hint="eastAsia"/>
        </w:rPr>
        <w:t>。</w:t>
      </w:r>
      <w:r>
        <w:t xml:space="preserve"> </w:t>
      </w:r>
    </w:p>
    <w:p w:rsidR="005052D3" w:rsidRDefault="005052D3">
      <w:pPr>
        <w:pStyle w:val="SingleTxt"/>
      </w:pPr>
      <w:r>
        <w:t xml:space="preserve">11.4.2  </w:t>
      </w:r>
      <w:r>
        <w:rPr>
          <w:rFonts w:hint="eastAsia"/>
        </w:rPr>
        <w:t>就业中妇女的人数与男子人数存在差距。妇女往往集中在有性别定型观念的部门，这些部门反映出文化上对她们角色的定位，比如小商品贸易和农业。正如已经提到的，正在努力培训妇女和男子从事非传统领域的工作，如让男孩涉足护理和家政，让女孩涉足工程和法律。为做到这一点，2001年大学各学院采取了一项政策，该政策声明，到2006年，40%的院系职位将由妇女担任，部分地为愿意进一步深造的女孩和妇女树立角色模范形象。</w:t>
      </w:r>
    </w:p>
    <w:p w:rsidR="005052D3" w:rsidRDefault="005052D3">
      <w:pPr>
        <w:pStyle w:val="SingleTxt"/>
      </w:pPr>
      <w:r>
        <w:t xml:space="preserve">11.4.3  </w:t>
      </w:r>
      <w:r>
        <w:rPr>
          <w:rFonts w:hint="eastAsia"/>
        </w:rPr>
        <w:t>诸如宣传女孩和妇女角色模范形象的计划越来越普遍，有成就的妇女在马拉维被普遍接受。当妇女被引导选择非传统的科目时，有相当一部分人倾向于选择一定的与母性相关的工作和角色，这是因为在非传统领域缺乏支助机制。大多数雇主不能提供满足妇女需要的工作条件，特别是非传统领域中的母亲的工作条件。</w:t>
      </w:r>
    </w:p>
    <w:p w:rsidR="005052D3" w:rsidRDefault="005052D3">
      <w:pPr>
        <w:pStyle w:val="SingleTxt"/>
        <w:rPr>
          <w:rFonts w:eastAsia="SimHei"/>
          <w:bCs/>
          <w:color w:val="FF0000"/>
        </w:rPr>
      </w:pPr>
      <w:r>
        <w:rPr>
          <w:rFonts w:ascii="SimHei" w:eastAsia="SimHei"/>
          <w:color w:val="FF0000"/>
        </w:rPr>
        <w:t>11.5</w:t>
      </w:r>
      <w:r>
        <w:rPr>
          <w:rFonts w:eastAsia="SimHei"/>
          <w:bCs/>
          <w:color w:val="FF0000"/>
        </w:rPr>
        <w:t xml:space="preserve">  </w:t>
      </w:r>
      <w:r>
        <w:rPr>
          <w:rFonts w:eastAsia="SimHei" w:hint="eastAsia"/>
          <w:bCs/>
          <w:color w:val="FF0000"/>
        </w:rPr>
        <w:t>工作中的报酬</w:t>
      </w:r>
    </w:p>
    <w:p w:rsidR="005052D3" w:rsidRDefault="005052D3">
      <w:pPr>
        <w:pStyle w:val="SingleTxt"/>
        <w:rPr>
          <w:spacing w:val="2"/>
        </w:rPr>
      </w:pPr>
      <w:r>
        <w:rPr>
          <w:spacing w:val="2"/>
        </w:rPr>
        <w:t xml:space="preserve">11.5.1  </w:t>
      </w:r>
      <w:r>
        <w:rPr>
          <w:rFonts w:hint="eastAsia"/>
          <w:spacing w:val="2"/>
        </w:rPr>
        <w:t>就业法禁止在雇用合同的任何阶段出现歧视现象，明确要求遵守同工同酬的原则。还规定在年假、病假方面享有平等的权利，而且妇女有权享有</w:t>
      </w:r>
      <w:r>
        <w:rPr>
          <w:spacing w:val="2"/>
        </w:rPr>
        <w:t>3</w:t>
      </w:r>
      <w:r>
        <w:rPr>
          <w:rFonts w:hint="eastAsia"/>
          <w:spacing w:val="2"/>
        </w:rPr>
        <w:t>个月的产假。不允许因为怀孕或因与怀孕有关的原因而停止雇用，否则，可能会受到刑事制裁。该法还规定男女做同种工作时的最长工作时间。妇女和男子一样，有权在同种工作中，在晋升、工作量和其他责任和权利方面，享受最低报酬和平等待遇。对于解雇必须提供正当理由，不公平的解雇可以成为男女复职或/和赔偿的理由。如果雇主使得雇员很难继续合同，该法还提供建设性解雇的理论依据。</w:t>
      </w:r>
    </w:p>
    <w:p w:rsidR="005052D3" w:rsidRDefault="005052D3">
      <w:pPr>
        <w:pStyle w:val="SingleTxt"/>
      </w:pPr>
      <w:r>
        <w:t xml:space="preserve">11.5.2  </w:t>
      </w:r>
      <w:r>
        <w:rPr>
          <w:rFonts w:hint="eastAsia"/>
        </w:rPr>
        <w:t>就业法于2000年通过，但其规定还未能被许多雇员和雇主所了解和理解。一些证据表明，一些雇主并没有像对待男子一样公平对待妇女。例如，在马拉维的茶叶和烟草业，普遍存在同工不同酬现象，而且有时妇女还做更多的工作。就业中妇女面临的歧视还通过妇女向监察员办公室的有关就业方面的投诉得到证明。妇女向监察员的有关就业投诉大多与不公平的待遇或歧视有关。</w:t>
      </w:r>
      <w:r>
        <w:rPr>
          <w:rStyle w:val="FootnoteReference"/>
        </w:rPr>
        <w:footnoteReference w:id="99"/>
      </w:r>
    </w:p>
    <w:p w:rsidR="005052D3" w:rsidRDefault="005052D3">
      <w:pPr>
        <w:pStyle w:val="SingleTxt"/>
      </w:pPr>
      <w:r>
        <w:t xml:space="preserve">11.5.3  </w:t>
      </w:r>
      <w:r>
        <w:rPr>
          <w:rFonts w:hint="eastAsia"/>
        </w:rPr>
        <w:t>除就业法中规定的生病期间的报酬外，就业期间的社会保护也是私人合同的一个问题。没有最低的立法或政策规范或指导方针来确保对雇员的社会保护。因此，各雇员负责自己的养老金和社会保险方案，并把这些作为就业合同的一部分。对有多少雇员通过市场和个人争取获得社会保护还没有确定的数目。该问题仍然是马拉维各工会的一个问题。</w:t>
      </w:r>
    </w:p>
    <w:p w:rsidR="005052D3" w:rsidRDefault="005052D3">
      <w:pPr>
        <w:pStyle w:val="SingleTxt"/>
        <w:rPr>
          <w:rFonts w:ascii="SimHei" w:eastAsia="SimHei"/>
          <w:color w:val="FF0000"/>
        </w:rPr>
      </w:pPr>
      <w:r>
        <w:rPr>
          <w:rFonts w:ascii="SimHei" w:eastAsia="SimHei"/>
          <w:color w:val="FF0000"/>
        </w:rPr>
        <w:t xml:space="preserve">11.6  </w:t>
      </w:r>
      <w:r>
        <w:rPr>
          <w:rFonts w:ascii="SimHei" w:eastAsia="SimHei" w:hint="eastAsia"/>
          <w:color w:val="FF0000"/>
        </w:rPr>
        <w:t>工作场所保护妇女免遭暴力</w:t>
      </w:r>
    </w:p>
    <w:p w:rsidR="005052D3" w:rsidRDefault="005052D3">
      <w:pPr>
        <w:pStyle w:val="SingleTxt"/>
      </w:pPr>
      <w:r>
        <w:t xml:space="preserve">11.6.1  </w:t>
      </w:r>
      <w:r>
        <w:rPr>
          <w:rFonts w:hint="eastAsia"/>
        </w:rPr>
        <w:t>在马拉维，需要引起注意的另一领域是工作场所中的暴力。男子工人对妇女的性骚扰仍然猖獗，反映了马拉维社会中固有的角色和形象。妇女不仅被认为是低人一等的，还被看作是性目标。尽管刑法禁止侮辱妇女的尊严，但工作场所中的男子经常当着同事的面说一些猥亵或性挑逗的话。另外，没有很多妇女知道性骚扰是不可接受的，因为没有法律或政策。</w:t>
      </w:r>
      <w:r>
        <w:t xml:space="preserve"> </w:t>
      </w:r>
      <w:r>
        <w:rPr>
          <w:rFonts w:hint="eastAsia"/>
        </w:rPr>
        <w:t>但正在努力把性骚扰纳入公务员性别主流化手册，这将有助于解决该部门的问题。</w:t>
      </w:r>
    </w:p>
    <w:p w:rsidR="005052D3" w:rsidRDefault="005052D3">
      <w:pPr>
        <w:pStyle w:val="SingleTxt"/>
        <w:rPr>
          <w:rFonts w:ascii="SimHei" w:eastAsia="SimHei"/>
          <w:color w:val="FF0000"/>
        </w:rPr>
      </w:pPr>
      <w:r>
        <w:rPr>
          <w:rFonts w:ascii="SimHei" w:eastAsia="SimHei"/>
          <w:color w:val="FF0000"/>
        </w:rPr>
        <w:t xml:space="preserve">11.7  </w:t>
      </w:r>
      <w:r>
        <w:rPr>
          <w:rFonts w:ascii="SimHei" w:eastAsia="SimHei" w:hint="eastAsia"/>
          <w:color w:val="FF0000"/>
        </w:rPr>
        <w:t>结论</w:t>
      </w:r>
    </w:p>
    <w:p w:rsidR="005052D3" w:rsidRDefault="005052D3">
      <w:pPr>
        <w:pStyle w:val="SingleTxt"/>
      </w:pPr>
      <w:r>
        <w:tab/>
      </w:r>
      <w:r>
        <w:rPr>
          <w:rFonts w:hint="eastAsia"/>
        </w:rPr>
        <w:t>《就业法》和《劳动关系法》的颁布是马拉维就业合同规定中的主要里程碑。该法大多以国际标准为基础，强调了就业中不应带有歧视。但对妇女的歧视在马拉维的各种经济活动中依然存在。妇女劳动力大部分仍然分布在农业和其他一些诸如家务等工作中，在经济上，妇女并没有得到承认。《就业法》还未被广泛理解，没有解决就业合同各个阶段的性骚扰问题。另外，在一个妇女的地位依然低下，教育依然偏向男孩和男子，妇女的主要形象依然是生育孩子的工具、性目标和家务劳动者的国家里，就业法中的规定还有待于得到广泛的熟悉和理解，并被广泛实行。</w:t>
      </w:r>
    </w:p>
    <w:p w:rsidR="005052D3" w:rsidRDefault="005052D3">
      <w:pPr>
        <w:pStyle w:val="H1"/>
        <w:spacing w:after="120" w:line="300" w:lineRule="exact"/>
        <w:ind w:left="1293"/>
      </w:pPr>
      <w:bookmarkStart w:id="39" w:name="_Toc33784419"/>
      <w:bookmarkStart w:id="40" w:name="_Toc377350758"/>
      <w:bookmarkStart w:id="41" w:name="_Toc83142700"/>
      <w:r>
        <w:rPr>
          <w:rFonts w:hint="eastAsia"/>
        </w:rPr>
        <w:t>第</w:t>
      </w:r>
      <w:r>
        <w:t>12</w:t>
      </w:r>
      <w:r>
        <w:rPr>
          <w:rFonts w:hint="eastAsia"/>
        </w:rPr>
        <w:t>条：健康和保健服务</w:t>
      </w:r>
      <w:bookmarkEnd w:id="39"/>
      <w:bookmarkEnd w:id="40"/>
      <w:bookmarkEnd w:id="41"/>
    </w:p>
    <w:p w:rsidR="005052D3" w:rsidRDefault="005052D3">
      <w:pPr>
        <w:tabs>
          <w:tab w:val="left" w:pos="840"/>
        </w:tabs>
        <w:spacing w:after="120" w:line="300" w:lineRule="exact"/>
        <w:ind w:left="1293"/>
        <w:rPr>
          <w:rFonts w:ascii="SimHei" w:eastAsia="SimHei" w:hint="eastAsia"/>
          <w:bCs/>
          <w:color w:val="FF0000"/>
        </w:rPr>
      </w:pPr>
      <w:r>
        <w:rPr>
          <w:rFonts w:ascii="SimHei" w:eastAsia="SimHei"/>
          <w:bCs/>
          <w:color w:val="FF0000"/>
        </w:rPr>
        <w:t>12.1</w:t>
      </w:r>
      <w:r>
        <w:rPr>
          <w:rFonts w:ascii="SimHei" w:eastAsia="SimHei"/>
          <w:bCs/>
          <w:color w:val="FF0000"/>
        </w:rPr>
        <w:tab/>
        <w:t>《消除对妇女一切形式歧视公约》</w:t>
      </w:r>
      <w:r>
        <w:rPr>
          <w:rFonts w:ascii="SimHei" w:eastAsia="SimHei" w:hint="eastAsia"/>
          <w:bCs/>
          <w:color w:val="FF0000"/>
        </w:rPr>
        <w:t>标准</w:t>
      </w:r>
    </w:p>
    <w:p w:rsidR="005052D3" w:rsidRDefault="005052D3">
      <w:pPr>
        <w:tabs>
          <w:tab w:val="left" w:pos="840"/>
        </w:tabs>
        <w:spacing w:after="120" w:line="300" w:lineRule="exact"/>
        <w:ind w:left="1293"/>
        <w:rPr>
          <w:rFonts w:ascii="KaiTi_GB2312" w:eastAsia="KaiTi_GB2312"/>
          <w:color w:val="0000FF"/>
        </w:rPr>
      </w:pPr>
      <w:r>
        <w:rPr>
          <w:rFonts w:ascii="KaiTi_GB2312" w:eastAsia="KaiTi_GB2312" w:hint="eastAsia"/>
          <w:color w:val="0000FF"/>
        </w:rPr>
        <w:t>第12条</w:t>
      </w:r>
      <w:r>
        <w:rPr>
          <w:rFonts w:ascii="KaiTi_GB2312" w:eastAsia="KaiTi_GB2312"/>
          <w:color w:val="0000FF"/>
        </w:rPr>
        <w:t>.</w:t>
      </w:r>
    </w:p>
    <w:p w:rsidR="005052D3" w:rsidRDefault="005052D3">
      <w:pPr>
        <w:pStyle w:val="SingleTxt"/>
        <w:spacing w:after="120" w:line="300" w:lineRule="exact"/>
        <w:ind w:left="1695" w:hanging="431"/>
        <w:rPr>
          <w:rFonts w:ascii="KaiTi_GB2312" w:eastAsia="KaiTi_GB2312"/>
          <w:color w:val="0000FF"/>
        </w:rPr>
      </w:pPr>
      <w:r>
        <w:rPr>
          <w:rFonts w:ascii="KaiTi_GB2312" w:eastAsia="KaiTi_GB2312" w:hint="eastAsia"/>
          <w:color w:val="0000FF"/>
        </w:rPr>
        <w:t xml:space="preserve">1. </w:t>
      </w:r>
      <w:r>
        <w:rPr>
          <w:rFonts w:ascii="KaiTi_GB2312" w:eastAsia="KaiTi_GB2312"/>
          <w:color w:val="0000FF"/>
        </w:rPr>
        <w:tab/>
      </w:r>
      <w:r>
        <w:rPr>
          <w:rFonts w:ascii="KaiTi_GB2312" w:eastAsia="KaiTi_GB2312" w:hint="eastAsia"/>
          <w:color w:val="0000FF"/>
        </w:rPr>
        <w:t>缔约各国应采取一切适当措施以消除在保健方面对妇女的歧视，保证她们在男女平等的基础上取得各种保健服务，包括有关计划生育的保健服务。</w:t>
      </w:r>
    </w:p>
    <w:p w:rsidR="005052D3" w:rsidRDefault="005052D3">
      <w:pPr>
        <w:pStyle w:val="SingleTxt"/>
        <w:ind w:left="1695" w:hanging="431"/>
        <w:rPr>
          <w:rFonts w:ascii="KaiTi_GB2312" w:eastAsia="KaiTi_GB2312" w:hint="eastAsia"/>
          <w:color w:val="0000FF"/>
        </w:rPr>
      </w:pPr>
      <w:r>
        <w:rPr>
          <w:rFonts w:hint="eastAsia"/>
          <w:color w:val="000000"/>
        </w:rPr>
        <w:t xml:space="preserve">2. </w:t>
      </w:r>
      <w:r>
        <w:rPr>
          <w:color w:val="000000"/>
        </w:rPr>
        <w:tab/>
      </w:r>
      <w:r>
        <w:rPr>
          <w:rFonts w:ascii="KaiTi_GB2312" w:eastAsia="KaiTi_GB2312" w:hint="eastAsia"/>
          <w:color w:val="0000FF"/>
        </w:rPr>
        <w:t>尽管有本条第 1 款的规定，缔约各国应保证为妇女提供有关怀孕、分娩和产后期间的适当服务，于必要时给予免费，并保证在怀孕和哺乳期间得到充分营养</w:t>
      </w:r>
      <w:r>
        <w:rPr>
          <w:rFonts w:hint="eastAsia"/>
          <w:color w:val="000000"/>
        </w:rPr>
        <w:t>。</w:t>
      </w:r>
    </w:p>
    <w:p w:rsidR="005052D3" w:rsidRDefault="005052D3">
      <w:pPr>
        <w:tabs>
          <w:tab w:val="left" w:pos="840"/>
        </w:tabs>
        <w:spacing w:after="120"/>
        <w:ind w:left="1293"/>
        <w:rPr>
          <w:rFonts w:ascii="SimHei" w:eastAsia="SimHei" w:hint="eastAsia"/>
          <w:bCs/>
          <w:color w:val="FF0000"/>
        </w:rPr>
      </w:pPr>
      <w:r>
        <w:rPr>
          <w:rFonts w:ascii="SimHei" w:eastAsia="SimHei"/>
          <w:bCs/>
          <w:color w:val="FF0000"/>
        </w:rPr>
        <w:t>12.2</w:t>
      </w:r>
      <w:r>
        <w:rPr>
          <w:rFonts w:ascii="SimHei" w:eastAsia="SimHei"/>
          <w:bCs/>
          <w:color w:val="FF0000"/>
        </w:rPr>
        <w:tab/>
        <w:t xml:space="preserve">  </w:t>
      </w:r>
      <w:r>
        <w:rPr>
          <w:rFonts w:ascii="SimHei" w:eastAsia="SimHei" w:hint="eastAsia"/>
          <w:bCs/>
          <w:color w:val="FF0000"/>
        </w:rPr>
        <w:t>导言</w:t>
      </w:r>
    </w:p>
    <w:p w:rsidR="005052D3" w:rsidRDefault="005052D3">
      <w:pPr>
        <w:pStyle w:val="SingleTxt"/>
      </w:pPr>
      <w:r>
        <w:t xml:space="preserve">12.2.1  </w:t>
      </w:r>
      <w:r>
        <w:rPr>
          <w:rFonts w:hint="eastAsia"/>
        </w:rPr>
        <w:t>考虑到整个国家较差的健康状况，马拉维妇女担负着过重的负担。马拉维宪法规定，马拉维的政策和法律必须旨在提供充分的保健，“满足马拉维社会的健康需要和符合国际保健标准”。</w:t>
      </w:r>
      <w:r>
        <w:rPr>
          <w:rStyle w:val="FootnoteReference"/>
        </w:rPr>
        <w:footnoteReference w:id="100"/>
      </w:r>
      <w:r>
        <w:t xml:space="preserve"> </w:t>
      </w:r>
      <w:r>
        <w:rPr>
          <w:rFonts w:hint="eastAsia"/>
        </w:rPr>
        <w:t>宪法还规定，马拉维必须做到“为所有人提供充分营养，以促进良好健康和自足”。</w:t>
      </w:r>
      <w:r>
        <w:rPr>
          <w:rStyle w:val="FootnoteReference"/>
        </w:rPr>
        <w:footnoteReference w:id="101"/>
      </w:r>
      <w:r>
        <w:t xml:space="preserve"> </w:t>
      </w:r>
    </w:p>
    <w:p w:rsidR="005052D3" w:rsidRDefault="005052D3">
      <w:pPr>
        <w:pStyle w:val="SingleTxt"/>
      </w:pPr>
      <w:r>
        <w:t xml:space="preserve">12.2.2  </w:t>
      </w:r>
      <w:r>
        <w:rPr>
          <w:rFonts w:hint="eastAsia"/>
        </w:rPr>
        <w:t>与其他的人权不同，健康的权利除在发展权中得到承认外，并没有在宪法中得到承认。马拉维政府及其合作伙伴已经试图为马拉维人提供健康服务和好处。一些计划，如安全分娩，基本是针对满足妇女和儿童的健康需要。同时，国家的护理负担因艾滋病而加重。妇女的时间、精力以及生产力因为护理别人而受到影响，护理别人在马拉维仍然是女性的工作。</w:t>
      </w:r>
    </w:p>
    <w:p w:rsidR="005052D3" w:rsidRDefault="005052D3">
      <w:pPr>
        <w:pStyle w:val="SingleTxt"/>
        <w:rPr>
          <w:rFonts w:eastAsia="SimHei"/>
          <w:bCs/>
          <w:color w:val="FF0000"/>
        </w:rPr>
      </w:pPr>
      <w:r>
        <w:rPr>
          <w:rFonts w:ascii="SimHei" w:eastAsia="SimHei"/>
          <w:color w:val="FF0000"/>
        </w:rPr>
        <w:t>12.3</w:t>
      </w:r>
      <w:r>
        <w:t xml:space="preserve">  </w:t>
      </w:r>
      <w:r>
        <w:rPr>
          <w:rFonts w:eastAsia="SimHei" w:hint="eastAsia"/>
          <w:bCs/>
          <w:color w:val="FF0000"/>
        </w:rPr>
        <w:t>妇女对健康设施的利用</w:t>
      </w:r>
    </w:p>
    <w:p w:rsidR="005052D3" w:rsidRDefault="005052D3">
      <w:pPr>
        <w:pStyle w:val="SingleTxt"/>
      </w:pPr>
      <w:r>
        <w:t xml:space="preserve">12.3.1  </w:t>
      </w:r>
      <w:r>
        <w:rPr>
          <w:rFonts w:hint="eastAsia"/>
        </w:rPr>
        <w:t>马拉维的卫生保健设施由政府、马拉维基督教健康协会（CHAM）、私营部门、传统卫生保健提供者以及各家庭提供。卫生保健服务和人员长期短缺。例如，1996年，马拉维有450名注册护士和助产士、236名医生助理、152名保健助理、124名注册社区护士、23名助理环境卫生官员以及2 627名保健监督助理。当时，该国只有20名专科医生，全部集中在中心医院或供转诊的医院内，这些地方另有58名军医。只有3名注册的药剂师，其中两人在行政岗位上工作。到1998年</w:t>
      </w:r>
      <w:r>
        <w:rPr>
          <w:rStyle w:val="FootnoteReference"/>
        </w:rPr>
        <w:footnoteReference w:id="102"/>
      </w:r>
      <w:r>
        <w:rPr>
          <w:rFonts w:hint="eastAsia"/>
        </w:rPr>
        <w:t>，共有24家保健单位，345个诊疗所，70家孕产妇单位，389个健康控制中心，28家农村医院、28家由基督教健康协会管理的医院、1家精神病院、21家地方医院和3家中心医院。</w:t>
      </w:r>
    </w:p>
    <w:p w:rsidR="005052D3" w:rsidRDefault="005052D3">
      <w:pPr>
        <w:pStyle w:val="SingleTxt"/>
      </w:pPr>
      <w:r>
        <w:t xml:space="preserve">12.3.2   </w:t>
      </w:r>
      <w:r>
        <w:rPr>
          <w:rFonts w:hint="eastAsia"/>
        </w:rPr>
        <w:t>此后，地区数量增加到28个，地区医院的数量有望得到相应增加。一家供转诊的医院已经在Mzuzu建成并投入使用，为北方省提供服务。以市场自由化为背景，私人诊所和医院的数量无论在农村还是城市地区都有所增加。政府则启动了</w:t>
      </w:r>
      <w:r>
        <w:t>Bakili Muluzi</w:t>
      </w:r>
      <w:r>
        <w:rPr>
          <w:rFonts w:hint="eastAsia"/>
        </w:rPr>
        <w:t>健康行动，其目的是使基本保健服务和商品，如基本药物等，特别是儿童使用的基本药物，能够免费并更容易获得。</w:t>
      </w:r>
      <w:r>
        <w:t xml:space="preserve"> </w:t>
      </w:r>
    </w:p>
    <w:p w:rsidR="005052D3" w:rsidRDefault="005052D3">
      <w:pPr>
        <w:pStyle w:val="SingleTxt"/>
      </w:pPr>
      <w:r>
        <w:t xml:space="preserve">12.3.3  </w:t>
      </w:r>
      <w:r>
        <w:rPr>
          <w:rFonts w:hint="eastAsia"/>
        </w:rPr>
        <w:t>除保健设施不足以外，马拉维妇女在使用保健设施、服务和商品时也面临着一些问题。妇女享有卫生保健的不足因不完善的交通网络、缺乏运送费用和前往保健设施的时间而进一步恶化。</w:t>
      </w:r>
    </w:p>
    <w:p w:rsidR="005052D3" w:rsidRDefault="005052D3">
      <w:pPr>
        <w:pStyle w:val="SingleTxt"/>
      </w:pPr>
      <w:r>
        <w:t xml:space="preserve">12.3.4  </w:t>
      </w:r>
      <w:r>
        <w:rPr>
          <w:rFonts w:hint="eastAsia"/>
        </w:rPr>
        <w:t>在报告起草过程中发现，保健提供者的态度是人们不接受保健服务的另一个原因。人们认为许多保健提供者态度粗暴、残酷而且不公平。在有些情况下，妇女在分娩过程中受到粗暴对待。根据医院中保健工作者所说，这可能是因为工作量繁重、病人的不配合以及缺乏所用的材料所致。保健工作者，特别是妇女，在保健机构中过度操劳。在产科病房中，病人认为男子保健工作者更富有同情心，这可能是因为只有在出现复杂情况时才叫他们去，而且他们承担的工作不如女性保健工作者那么繁重。</w:t>
      </w:r>
    </w:p>
    <w:p w:rsidR="005052D3" w:rsidRDefault="005052D3">
      <w:pPr>
        <w:pStyle w:val="SingleTxt"/>
        <w:rPr>
          <w:rFonts w:ascii="SimHei" w:eastAsia="SimHei"/>
          <w:color w:val="FF0000"/>
        </w:rPr>
      </w:pPr>
      <w:r>
        <w:rPr>
          <w:rFonts w:ascii="SimHei" w:eastAsia="SimHei"/>
          <w:color w:val="FF0000"/>
        </w:rPr>
        <w:t xml:space="preserve">12.4  </w:t>
      </w:r>
      <w:r>
        <w:rPr>
          <w:rFonts w:ascii="SimHei" w:eastAsia="SimHei" w:hint="eastAsia"/>
          <w:color w:val="FF0000"/>
        </w:rPr>
        <w:t>保健中对妇女的歧视</w:t>
      </w:r>
    </w:p>
    <w:p w:rsidR="005052D3" w:rsidRDefault="005052D3">
      <w:pPr>
        <w:pStyle w:val="SingleTxt"/>
      </w:pPr>
      <w:r>
        <w:t xml:space="preserve">12.4.1  </w:t>
      </w:r>
      <w:r>
        <w:rPr>
          <w:rFonts w:hint="eastAsia"/>
        </w:rPr>
        <w:t>已经确认，在马拉维的卫生保健系统中存在着歧视。这种歧视基于经济和文化地位。穷人，特别是贫穷的妇女，受到歧视，而那些有较高社会地位的人（包括男人）则受到偏爱。在许多保健中心，很多妇女不得不排长队就诊。</w:t>
      </w:r>
    </w:p>
    <w:p w:rsidR="005052D3" w:rsidRDefault="005052D3">
      <w:pPr>
        <w:pStyle w:val="SingleTxt"/>
      </w:pPr>
      <w:r>
        <w:t xml:space="preserve">12.4.2  </w:t>
      </w:r>
      <w:r>
        <w:rPr>
          <w:rFonts w:hint="eastAsia"/>
        </w:rPr>
        <w:t>许多受访的社区成员都对保健中心的人员持否定态度，其中大部分人的社会经济地位较低，很少受到足够的关注。与此相反，那些经济地位较高的人有时无需排队，而且通常受到更多关注，与保健检查人员在一起的时间较长，而且比穷人得到更好的药物治疗。</w:t>
      </w:r>
    </w:p>
    <w:p w:rsidR="005052D3" w:rsidRDefault="005052D3">
      <w:pPr>
        <w:pStyle w:val="SingleTxt"/>
      </w:pPr>
      <w:r>
        <w:t xml:space="preserve">12.4.3  </w:t>
      </w:r>
      <w:r>
        <w:rPr>
          <w:rFonts w:hint="eastAsia"/>
        </w:rPr>
        <w:t>每个想利用公共医院的社会成员都必须购买保健手册，其目的是改进对病历的保存，避免毁坏。但是，大多数社区成员不了解保健人员需要保健手册的目的。许多村民感到难以承担，因为只要他们寻求医疗救助，他们就都需要购买并使用这样的手册。</w:t>
      </w:r>
      <w:r>
        <w:t xml:space="preserve"> </w:t>
      </w:r>
    </w:p>
    <w:p w:rsidR="005052D3" w:rsidRDefault="005052D3">
      <w:pPr>
        <w:pStyle w:val="SingleTxt"/>
      </w:pPr>
      <w:r>
        <w:rPr>
          <w:rFonts w:ascii="SimHei" w:eastAsia="SimHei"/>
          <w:color w:val="FF0000"/>
        </w:rPr>
        <w:t xml:space="preserve">12.5  </w:t>
      </w:r>
      <w:r>
        <w:rPr>
          <w:rFonts w:ascii="SimHei" w:eastAsia="SimHei" w:hint="eastAsia"/>
          <w:color w:val="FF0000"/>
        </w:rPr>
        <w:t>有关计划生育和避孕服务</w:t>
      </w:r>
      <w:r>
        <w:rPr>
          <w:rStyle w:val="FootnoteReference"/>
          <w:rFonts w:ascii="SimHei" w:eastAsia="SimHei"/>
          <w:bCs/>
          <w:color w:val="FF0000"/>
        </w:rPr>
        <w:footnoteReference w:id="103"/>
      </w:r>
      <w:r>
        <w:t xml:space="preserve"> </w:t>
      </w:r>
    </w:p>
    <w:p w:rsidR="005052D3" w:rsidRDefault="005052D3">
      <w:pPr>
        <w:pStyle w:val="SingleTxt"/>
      </w:pPr>
      <w:r>
        <w:t xml:space="preserve">12.6  </w:t>
      </w:r>
      <w:r>
        <w:rPr>
          <w:rFonts w:hint="eastAsia"/>
        </w:rPr>
        <w:t>自从递交第一份国家报告后，计划生育服务的获得和利用有所增加。因此，到2000年，生育水平从1992年的7.6人降至农村每名妇女平均生育6.7人，城市地区每名妇女平均生育4.5人。这些比率依然非常高，主要是因为妇女的教育水平低，导致无计划的生育。例如，在2000年马拉维人口保健调查之前的5年中，非计划妊娠占总生育数的40%，18%不合时宜，22%是计划外怀孕。</w:t>
      </w:r>
      <w:r>
        <w:rPr>
          <w:rStyle w:val="FootnoteReference"/>
        </w:rPr>
        <w:footnoteReference w:id="104"/>
      </w:r>
      <w:r>
        <w:t xml:space="preserve"> </w:t>
      </w:r>
    </w:p>
    <w:p w:rsidR="005052D3" w:rsidRDefault="005052D3">
      <w:pPr>
        <w:pStyle w:val="SingleTxt"/>
      </w:pPr>
      <w:r>
        <w:t xml:space="preserve">12.7  </w:t>
      </w:r>
      <w:r>
        <w:rPr>
          <w:rFonts w:hint="eastAsia"/>
        </w:rPr>
        <w:t>自1992年以来，有关避孕方法的知识有所增加。15到49岁的女子中，97%至少知道一种计划生育的方法，通过收音机和面对面的互动至少知道一个宣传运动有效的例子。根据2000年马拉维人口保健调查，在接受调查的马拉维妇女中，92%知道注射剂，91%知道口服避孕药，90%知道男用避孕套，83%知道女性绝育避孕套。对这些知识的了解似乎因年龄、性活动和教育的不同而存在差异。</w:t>
      </w:r>
    </w:p>
    <w:p w:rsidR="005052D3" w:rsidRDefault="005052D3">
      <w:pPr>
        <w:pStyle w:val="SingleTxt"/>
      </w:pPr>
      <w:r>
        <w:t xml:space="preserve">12.8  </w:t>
      </w:r>
      <w:r>
        <w:rPr>
          <w:rFonts w:hint="eastAsia"/>
        </w:rPr>
        <w:t>自1992年以来，已婚妇女的计划生育要求未满足率从</w:t>
      </w:r>
      <w:r>
        <w:t>36%</w:t>
      </w:r>
      <w:r>
        <w:rPr>
          <w:rFonts w:hint="eastAsia"/>
        </w:rPr>
        <w:t>下降到</w:t>
      </w:r>
      <w:r>
        <w:t>30%</w:t>
      </w:r>
      <w:r>
        <w:rPr>
          <w:rFonts w:hint="eastAsia"/>
        </w:rPr>
        <w:t>。对生育间隔的要求未满足率为17%，而对限制生育数量的要求之未满足率是13%。虽然在计划生育方面取得了可观的进步，但考虑到几乎一半的避孕要求未得到满足，这种进步似乎是不够的。这种状况是因为在马拉维堕胎是不合法的。年轻妇女中间堕胎是普遍现象，因为她们不想怀孕或被其性伙伴所迫，不得不终止怀孕。关于堕胎还没有可靠的统计数字。</w:t>
      </w:r>
      <w:r>
        <w:t xml:space="preserve"> </w:t>
      </w:r>
    </w:p>
    <w:p w:rsidR="005052D3" w:rsidRDefault="005052D3">
      <w:pPr>
        <w:pStyle w:val="SingleTxt"/>
      </w:pPr>
      <w:r>
        <w:t xml:space="preserve">12.9  </w:t>
      </w:r>
      <w:r>
        <w:rPr>
          <w:rFonts w:hint="eastAsia"/>
        </w:rPr>
        <w:t>避孕的普及率自1992年以来已经有很大的提高，在已婚妇女中这一数字从7%迅速提高到26%。人们喜欢采取的避孕方法也发生了变化，使用注射剂从1992年的2%上升到2000年的16%，这期间，使用宫内避孕装置和服用药片的人数减少。但是，城乡妇女之间的避孕人数差别很大。城市妇女避孕人数是38%，而农村为24%。中年妇女中避孕者人数最多。15到49岁之间已婚妇女只有13%采取避孕措施。35岁到44岁年龄组的妇女，避孕普及率为</w:t>
      </w:r>
      <w:r>
        <w:t xml:space="preserve"> 32%</w:t>
      </w:r>
      <w:r>
        <w:rPr>
          <w:rFonts w:hint="eastAsia"/>
        </w:rPr>
        <w:t>。45岁到49岁之间的老年育龄妇女中普及率为</w:t>
      </w:r>
      <w:r>
        <w:t xml:space="preserve"> 20%</w:t>
      </w:r>
      <w:r>
        <w:rPr>
          <w:rFonts w:hint="eastAsia"/>
        </w:rPr>
        <w:t>。老年妇女喜欢使用注射剂进行避孕，而年轻的或未婚妇女往往采用避孕套，避孕套被广泛提倡作为防止艾滋病毒感染的方法。</w:t>
      </w:r>
    </w:p>
    <w:p w:rsidR="005052D3" w:rsidRDefault="005052D3">
      <w:pPr>
        <w:pStyle w:val="SingleTxt"/>
      </w:pPr>
      <w:r>
        <w:t xml:space="preserve">12.10  </w:t>
      </w:r>
      <w:r>
        <w:rPr>
          <w:rFonts w:hint="eastAsia"/>
        </w:rPr>
        <w:t>男子中采取避孕措施的人数高于妇女人数。目前</w:t>
      </w:r>
      <w:r>
        <w:t>44%</w:t>
      </w:r>
      <w:r>
        <w:rPr>
          <w:rFonts w:hint="eastAsia"/>
        </w:rPr>
        <w:t>性活跃的已婚妇女声称她们曾使用避孕方法，而男子则为</w:t>
      </w:r>
      <w:r>
        <w:t xml:space="preserve"> 64.7%</w:t>
      </w:r>
      <w:r>
        <w:rPr>
          <w:rFonts w:hint="eastAsia"/>
        </w:rPr>
        <w:t>。这些人中间目前采用避孕方法的男女人数分别占</w:t>
      </w:r>
      <w:r>
        <w:t xml:space="preserve"> 25% </w:t>
      </w:r>
      <w:r>
        <w:rPr>
          <w:rFonts w:hint="eastAsia"/>
        </w:rPr>
        <w:t>和</w:t>
      </w:r>
      <w:r>
        <w:t>27.4%</w:t>
      </w:r>
      <w:r>
        <w:rPr>
          <w:rFonts w:hint="eastAsia"/>
        </w:rPr>
        <w:t>。</w:t>
      </w:r>
      <w:r>
        <w:t xml:space="preserve"> </w:t>
      </w:r>
      <w:r>
        <w:rPr>
          <w:rFonts w:hint="eastAsia"/>
        </w:rPr>
        <w:t>这反映出受教育程度和决策控制的差距。在访问过的社区，妇女声称，许多男子迫使其妻子在不避孕的情况下过性生活，如果妇女坚持避孕，他们就会以离婚或分居相威胁。为对付这样的丈夫，一些妇女说她们暗自使用注射剂。</w:t>
      </w:r>
    </w:p>
    <w:p w:rsidR="005052D3" w:rsidRDefault="005052D3">
      <w:pPr>
        <w:pStyle w:val="SingleTxt"/>
      </w:pPr>
      <w:r>
        <w:t xml:space="preserve">12.11  </w:t>
      </w:r>
      <w:r>
        <w:rPr>
          <w:rFonts w:hint="eastAsia"/>
        </w:rPr>
        <w:t>马拉维政府的设施是使用避孕措施的主要来源。得到诸如联合国人口基金等国际发展机构的支助，马拉维政府正为68%目前采取避孕措施的人提供计划生育服务，而1996年的这一比例为</w:t>
      </w:r>
      <w:r>
        <w:t xml:space="preserve"> 59%</w:t>
      </w:r>
      <w:r>
        <w:rPr>
          <w:rFonts w:hint="eastAsia"/>
        </w:rPr>
        <w:t>。这在很大程度上是因为马拉维政府在提供注射剂方面占了主要地位，使私立的医疗设施如</w:t>
      </w:r>
      <w:r>
        <w:t xml:space="preserve"> Banja La Mtsogolo</w:t>
      </w:r>
      <w:r>
        <w:rPr>
          <w:rFonts w:hint="eastAsia"/>
        </w:rPr>
        <w:t>为28%目前正在采取避孕措施的人提供计划生育服务，商店或其他私人设施为4%目前采取避孕措施的人提供计划生育服务。</w:t>
      </w:r>
      <w:r>
        <w:t xml:space="preserve"> </w:t>
      </w:r>
    </w:p>
    <w:p w:rsidR="005052D3" w:rsidRDefault="005052D3">
      <w:pPr>
        <w:pStyle w:val="SingleTxt"/>
        <w:rPr>
          <w:rFonts w:ascii="SimHei" w:eastAsia="SimHei"/>
          <w:color w:val="FF0000"/>
        </w:rPr>
      </w:pPr>
      <w:r>
        <w:rPr>
          <w:rFonts w:ascii="SimHei" w:eastAsia="SimHei"/>
          <w:color w:val="FF0000"/>
        </w:rPr>
        <w:t xml:space="preserve">12.12  </w:t>
      </w:r>
      <w:r>
        <w:rPr>
          <w:rFonts w:ascii="SimHei" w:eastAsia="SimHei" w:hint="eastAsia"/>
          <w:color w:val="FF0000"/>
        </w:rPr>
        <w:t>妇女怀孕及其福利</w:t>
      </w:r>
    </w:p>
    <w:p w:rsidR="005052D3" w:rsidRDefault="005052D3">
      <w:pPr>
        <w:pStyle w:val="SingleTxt"/>
      </w:pPr>
      <w:r>
        <w:t xml:space="preserve">12.12.1  </w:t>
      </w:r>
      <w:r>
        <w:rPr>
          <w:rFonts w:hint="eastAsia"/>
        </w:rPr>
        <w:t>马拉维妇女在产前接受医生或合格护士护理的人数从1991年到2000年有了些许的增加，1991年为90%，而2000年为91%。护士和受过培训的助产士为83%的妇女提供服务，传统接生婆为3%的妇女提供服务。</w:t>
      </w:r>
      <w:r>
        <w:t>8%</w:t>
      </w:r>
      <w:r>
        <w:rPr>
          <w:rFonts w:hint="eastAsia"/>
        </w:rPr>
        <w:t>的妇女从医生那里获得产前帮助，还有5%的妇女没有获得任何产前服务。尽管获得产前服务的妇女人数很高，但大多数未能从合格的从业人员那里获得帮助。</w:t>
      </w:r>
      <w:r>
        <w:t xml:space="preserve"> </w:t>
      </w:r>
    </w:p>
    <w:p w:rsidR="005052D3" w:rsidRDefault="005052D3">
      <w:pPr>
        <w:pStyle w:val="SingleTxt"/>
      </w:pPr>
      <w:r>
        <w:t xml:space="preserve">12.12.2  </w:t>
      </w:r>
      <w:r>
        <w:rPr>
          <w:rFonts w:hint="eastAsia"/>
        </w:rPr>
        <w:t>在获得的产前服务中间存在很大差别。例如，妇女在怀孕期间，至少要进行四次产前门诊检查，前三个月一次，以后至少去检查三次。进行产前护理检查的人数平均值从1992年的4.8下降到2000年的</w:t>
      </w:r>
      <w:r>
        <w:t>3.4</w:t>
      </w:r>
      <w:r>
        <w:rPr>
          <w:rFonts w:hint="eastAsia"/>
        </w:rPr>
        <w:t>。</w:t>
      </w:r>
      <w:r>
        <w:t xml:space="preserve"> 50% </w:t>
      </w:r>
      <w:r>
        <w:rPr>
          <w:rFonts w:hint="eastAsia"/>
        </w:rPr>
        <w:t>的马拉维妇女在怀孕期的前五个月不进行产前护理。城乡在产前门诊检查服务方面存在程度上的差别。</w:t>
      </w:r>
    </w:p>
    <w:p w:rsidR="005052D3" w:rsidRDefault="005052D3">
      <w:pPr>
        <w:tabs>
          <w:tab w:val="left" w:pos="840"/>
        </w:tabs>
        <w:spacing w:after="240" w:line="360" w:lineRule="atLeast"/>
        <w:jc w:val="center"/>
      </w:pPr>
      <w:r>
        <w:object w:dxaOrig="9360" w:dyaOrig="4360">
          <v:shape id="_x0000_i1029" type="#_x0000_t75" style="width:468pt;height:218.25pt" o:ole="" fillcolor="window">
            <v:imagedata r:id="rId25" o:title=""/>
          </v:shape>
          <o:OLEObject Type="Embed" ProgID="MSGraph.Chart.8" ShapeID="_x0000_i1029" DrawAspect="Content" ObjectID="_1395246300" r:id="rId26">
            <o:FieldCodes>\s</o:FieldCodes>
          </o:OLEObject>
        </w:object>
      </w:r>
    </w:p>
    <w:p w:rsidR="005052D3" w:rsidRDefault="005052D3">
      <w:pPr>
        <w:pStyle w:val="SingleTxt"/>
        <w:spacing w:after="120"/>
      </w:pPr>
      <w:r>
        <w:tab/>
      </w:r>
      <w:r>
        <w:rPr>
          <w:rFonts w:hint="eastAsia"/>
        </w:rPr>
        <w:t>在保健设施分娩的妇女人数占</w:t>
      </w:r>
      <w:r>
        <w:t>55%</w:t>
      </w:r>
      <w:r>
        <w:rPr>
          <w:rFonts w:hint="eastAsia"/>
        </w:rPr>
        <w:t>，与1</w:t>
      </w:r>
      <w:r>
        <w:t>992</w:t>
      </w:r>
      <w:r>
        <w:rPr>
          <w:rFonts w:hint="eastAsia"/>
        </w:rPr>
        <w:t>年的人数相当。</w:t>
      </w:r>
      <w:r>
        <w:t>44%</w:t>
      </w:r>
      <w:r>
        <w:rPr>
          <w:rFonts w:hint="eastAsia"/>
        </w:rPr>
        <w:t>的分娩是在家里进行的，而私人部门为</w:t>
      </w:r>
      <w:r>
        <w:t>15%</w:t>
      </w:r>
      <w:r>
        <w:rPr>
          <w:rFonts w:hint="eastAsia"/>
        </w:rPr>
        <w:t>的分娩提供服务。</w:t>
      </w:r>
      <w:r>
        <w:rPr>
          <w:rStyle w:val="FootnoteReference"/>
        </w:rPr>
        <w:footnoteReference w:id="105"/>
      </w:r>
      <w:r>
        <w:t xml:space="preserve"> </w:t>
      </w:r>
    </w:p>
    <w:p w:rsidR="005052D3" w:rsidRDefault="005052D3">
      <w:pPr>
        <w:pStyle w:val="SingleTxt"/>
        <w:spacing w:after="120"/>
        <w:rPr>
          <w:rFonts w:ascii="SimHei" w:eastAsia="SimHei"/>
          <w:color w:val="FF0000"/>
        </w:rPr>
      </w:pPr>
      <w:r>
        <w:rPr>
          <w:rFonts w:ascii="SimHei" w:eastAsia="SimHei"/>
          <w:color w:val="FF0000"/>
        </w:rPr>
        <w:t xml:space="preserve">12.13  </w:t>
      </w:r>
      <w:r>
        <w:rPr>
          <w:rFonts w:ascii="SimHei" w:eastAsia="SimHei" w:hint="eastAsia"/>
          <w:color w:val="FF0000"/>
        </w:rPr>
        <w:t>女性发病率和死亡率</w:t>
      </w:r>
    </w:p>
    <w:p w:rsidR="005052D3" w:rsidRDefault="005052D3">
      <w:pPr>
        <w:pStyle w:val="SingleTxt"/>
        <w:spacing w:after="120"/>
      </w:pPr>
      <w:r>
        <w:t xml:space="preserve">12.13.1  </w:t>
      </w:r>
      <w:r>
        <w:rPr>
          <w:rFonts w:hint="eastAsia"/>
        </w:rPr>
        <w:t>与计划生育指标不同，1992年以来，马拉维的产妇死亡率有所上升。1994年到2000年，产妇死亡率为每10万次分娩死亡1 120名产妇，高于1986年到1992年间估计的620人。这种迅速上升主要是由两个因素造成的，即估计错误和艾滋病以及与艾滋病有关的疾病增加。</w:t>
      </w:r>
    </w:p>
    <w:p w:rsidR="005052D3" w:rsidRDefault="005052D3">
      <w:pPr>
        <w:pStyle w:val="SingleTxt"/>
        <w:spacing w:after="120"/>
      </w:pPr>
      <w:r>
        <w:t xml:space="preserve">12.13.2  </w:t>
      </w:r>
      <w:r>
        <w:rPr>
          <w:rFonts w:hint="eastAsia"/>
        </w:rPr>
        <w:t>寿命指标很低，表明生活质量低下。妇女出生时的估计寿命为44岁，低于1987年的45岁。男子出生时的估计寿命为40岁，也低于1987年的41.4岁。</w:t>
      </w:r>
      <w:r>
        <w:t xml:space="preserve"> </w:t>
      </w:r>
      <w:r>
        <w:rPr>
          <w:rFonts w:hint="eastAsia"/>
        </w:rPr>
        <w:t>这些死亡率数字与37.9的粗出生率和6.2的总和生育率相反。马拉维的粗死亡率为21.1，婴儿死亡率为每1 000次分娩死亡121名婴儿，低于1987年的每1 000次分娩死亡159名婴儿，表明粗死亡率正在下降。</w:t>
      </w:r>
    </w:p>
    <w:p w:rsidR="005052D3" w:rsidRDefault="005052D3">
      <w:pPr>
        <w:pStyle w:val="SingleTxt"/>
        <w:spacing w:after="120"/>
      </w:pPr>
      <w:r>
        <w:t xml:space="preserve">12.13.3  </w:t>
      </w:r>
      <w:r>
        <w:rPr>
          <w:rFonts w:hint="eastAsia"/>
        </w:rPr>
        <w:t>可预防的疾病是马拉维人死亡的主要原因。艾滋病、疟疾、霍乱和腹泻是马拉维最主要的杀手。在进行人口保健调查</w:t>
      </w:r>
      <w:r>
        <w:rPr>
          <w:rStyle w:val="FootnoteReference"/>
        </w:rPr>
        <w:footnoteReference w:id="106"/>
      </w:r>
      <w:r>
        <w:rPr>
          <w:rFonts w:hint="eastAsia"/>
        </w:rPr>
        <w:t>之前的两周内，根据报告，25%以上的儿童是急性呼吸道传染病的受害者，18%5岁以下的幼儿曾患有腹泻。政府采取并协调预防和医疗方案。例如，对于疟疾，政府鼓励为孕妇提供蚊账以防止蚊子叮咬孕妇。2000年，马拉维至少13%的家庭拥有蚊账。</w:t>
      </w:r>
      <w:r>
        <w:t xml:space="preserve"> </w:t>
      </w:r>
    </w:p>
    <w:p w:rsidR="005052D3" w:rsidRDefault="005052D3">
      <w:pPr>
        <w:pStyle w:val="SingleTxt"/>
        <w:spacing w:after="120"/>
      </w:pPr>
      <w:r>
        <w:t xml:space="preserve">12.13.4  </w:t>
      </w:r>
      <w:r>
        <w:rPr>
          <w:rFonts w:hint="eastAsia"/>
        </w:rPr>
        <w:t>男孩和女孩的死亡率自1992年以后开始下降，当时，每1 000个活产婴儿中5岁以下婴儿的死亡人数为</w:t>
      </w:r>
      <w:r>
        <w:t xml:space="preserve"> 234</w:t>
      </w:r>
      <w:r>
        <w:rPr>
          <w:rFonts w:hint="eastAsia"/>
        </w:rPr>
        <w:t>人。1996-</w:t>
      </w:r>
      <w:r>
        <w:t>2000</w:t>
      </w:r>
      <w:r>
        <w:rPr>
          <w:rFonts w:hint="eastAsia"/>
        </w:rPr>
        <w:t>年间，到2000年该数字下降到</w:t>
      </w:r>
      <w:r>
        <w:t>189</w:t>
      </w:r>
      <w:r>
        <w:rPr>
          <w:rFonts w:hint="eastAsia"/>
        </w:rPr>
        <w:t>。男孩和女孩死亡率的下降说明由卫生和人口部协调和实施的儿童生存计划所取得的进步以及改善了的清洁水饮用。接种疫苗的覆盖率也高出平均值。2000年，12-23岁的青少年中有70%进行了充分的预防接种。但是，与1987年报告的82%的覆盖率相比，这一数字有所下降。接种疫苗保持水平从86%降至81%，表明接种过程可能并没有遵守人权，因为越来越多的看护人选择不让他们的孩子进行预防接种。</w:t>
      </w:r>
      <w:r>
        <w:t xml:space="preserve"> </w:t>
      </w:r>
    </w:p>
    <w:p w:rsidR="005052D3" w:rsidRDefault="005052D3">
      <w:pPr>
        <w:pStyle w:val="SingleTxt"/>
        <w:spacing w:after="120"/>
        <w:rPr>
          <w:rFonts w:ascii="SimHei" w:eastAsia="SimHei"/>
          <w:color w:val="FF0000"/>
        </w:rPr>
      </w:pPr>
      <w:r>
        <w:rPr>
          <w:rFonts w:ascii="SimHei" w:eastAsia="SimHei"/>
          <w:color w:val="FF0000"/>
        </w:rPr>
        <w:t xml:space="preserve">12.14  </w:t>
      </w:r>
      <w:r>
        <w:rPr>
          <w:rFonts w:ascii="SimHei" w:eastAsia="SimHei" w:hint="eastAsia"/>
          <w:color w:val="FF0000"/>
        </w:rPr>
        <w:t>艾滋病毒，艾滋病和性传播疾病</w:t>
      </w:r>
    </w:p>
    <w:p w:rsidR="005052D3" w:rsidRDefault="005052D3">
      <w:pPr>
        <w:pStyle w:val="SingleTxt"/>
        <w:spacing w:after="120"/>
      </w:pPr>
      <w:r>
        <w:t xml:space="preserve">12.14.1  </w:t>
      </w:r>
      <w:r>
        <w:rPr>
          <w:rFonts w:hint="eastAsia"/>
        </w:rPr>
        <w:t>马拉维深受获得性免疫缺损综合征（艾滋病）之害。异性接触占该国艾滋病毒传染的90%，而且这表现了妇女的无权。这里的感染率在世界上属于最高之列，15-49岁年龄组中的感染率为15%。15到24岁年轻妇女中新感染艾滋病毒的概率要比同龄男子高大约4-6倍。19</w:t>
      </w:r>
      <w:r>
        <w:t>98</w:t>
      </w:r>
      <w:r>
        <w:rPr>
          <w:rFonts w:hint="eastAsia"/>
        </w:rPr>
        <w:t>年，年轻人中有</w:t>
      </w:r>
      <w:r>
        <w:t xml:space="preserve"> 46% </w:t>
      </w:r>
      <w:r>
        <w:rPr>
          <w:rFonts w:hint="eastAsia"/>
        </w:rPr>
        <w:t>感染艾滋病毒，但在这些新感染的人群中，年轻妇女占</w:t>
      </w:r>
      <w:r>
        <w:t>60%</w:t>
      </w:r>
      <w:r>
        <w:rPr>
          <w:rFonts w:hint="eastAsia"/>
        </w:rPr>
        <w:t>。</w:t>
      </w:r>
    </w:p>
    <w:p w:rsidR="005052D3" w:rsidRDefault="005052D3">
      <w:pPr>
        <w:pStyle w:val="SingleTxt"/>
      </w:pPr>
      <w:r>
        <w:t xml:space="preserve">12.14.2  </w:t>
      </w:r>
      <w:r>
        <w:rPr>
          <w:rFonts w:hint="eastAsia"/>
        </w:rPr>
        <w:t>艾滋病毒感染数字进一步说明，比起同龄男子，更多的年轻妇女感染了艾滋病毒。这在某种程度上可以通过以下事实进行解释，即从生物学角度看，妇女更容易感染艾滋病毒及其他性传播疾病。但这些数字揭示出艾滋病毒感染的性别领域。由于艾滋病毒在马拉维大多在异性中间传播，一些指数证明了存在不是同一代人之间的性生活，与老年妇女相比，一些老年男子往往与年轻女孩发生性关系，而年轻女子不善于洽谈争取安全的性生活。</w:t>
      </w:r>
    </w:p>
    <w:p w:rsidR="005052D3" w:rsidRDefault="005052D3">
      <w:pPr>
        <w:pStyle w:val="SingleTxt"/>
      </w:pPr>
      <w:r>
        <w:t xml:space="preserve">12.14.3   </w:t>
      </w:r>
      <w:r>
        <w:rPr>
          <w:rFonts w:hint="eastAsia"/>
        </w:rPr>
        <w:t>马拉维的艾滋病意识是很强的，其中99%的妇女和100%的男子均有这种意识。2000年，</w:t>
      </w:r>
      <w:r>
        <w:t xml:space="preserve">84% </w:t>
      </w:r>
      <w:r>
        <w:rPr>
          <w:rFonts w:hint="eastAsia"/>
        </w:rPr>
        <w:t>的妇女和92%的男子知道“一个看上去健康的人可能带有艾滋病毒”。1992年，</w:t>
      </w:r>
      <w:r>
        <w:t>74%</w:t>
      </w:r>
      <w:r>
        <w:rPr>
          <w:rFonts w:hint="eastAsia"/>
        </w:rPr>
        <w:t>的妇女和</w:t>
      </w:r>
      <w:r>
        <w:t>86%</w:t>
      </w:r>
      <w:r>
        <w:rPr>
          <w:rFonts w:hint="eastAsia"/>
        </w:rPr>
        <w:t>的男子拥有这种意识。大约三分之二的男子和妇女明白，艾滋病毒可以在分娩或怀孕期由母亲传染给胎儿或婴儿。</w:t>
      </w:r>
      <w:r>
        <w:rPr>
          <w:rStyle w:val="FootnoteReference"/>
          <w:rFonts w:ascii="Times New Roman"/>
          <w:spacing w:val="4"/>
        </w:rPr>
        <w:footnoteReference w:id="107"/>
      </w:r>
    </w:p>
    <w:p w:rsidR="005052D3" w:rsidRDefault="005052D3">
      <w:pPr>
        <w:pStyle w:val="BodyText"/>
        <w:tabs>
          <w:tab w:val="left" w:pos="840"/>
        </w:tabs>
        <w:spacing w:after="240" w:line="360" w:lineRule="atLeast"/>
        <w:rPr>
          <w:rFonts w:ascii="Times New Roman"/>
          <w:spacing w:val="4"/>
        </w:rPr>
      </w:pPr>
      <w:r>
        <w:rPr>
          <w:rFonts w:ascii="Times New Roman"/>
          <w:noProof/>
          <w:spacing w:val="4"/>
          <w:sz w:val="20"/>
        </w:rPr>
        <w:pict>
          <v:shape id="_x0000_s2059" type="#_x0000_t202" style="position:absolute;margin-left:24pt;margin-top:1.2pt;width:444.15pt;height:140.4pt;z-index:9" filled="f" stroked="f">
            <v:textbox style="mso-next-textbox:#_x0000_s2059">
              <w:txbxContent>
                <w:p w:rsidR="005052D3" w:rsidRDefault="005052D3">
                  <w:pPr>
                    <w:spacing w:line="240" w:lineRule="auto"/>
                  </w:pPr>
                  <w:r>
                    <w:object w:dxaOrig="8584" w:dyaOrig="2432">
                      <v:shape id="_x0000_i1033" type="#_x0000_t75" style="width:429pt;height:121.5pt" o:ole="">
                        <v:imagedata r:id="rId27" o:title=""/>
                      </v:shape>
                      <o:OLEObject Type="Embed" ProgID="MSGraph.Chart.8" ShapeID="_x0000_i1033" DrawAspect="Content" ObjectID="_1395246302" r:id="rId28">
                        <o:FieldCodes>\s</o:FieldCodes>
                      </o:OLEObject>
                    </w:object>
                  </w:r>
                </w:p>
                <w:p w:rsidR="005052D3" w:rsidRDefault="005052D3"/>
              </w:txbxContent>
            </v:textbox>
          </v:shape>
        </w:pict>
      </w:r>
    </w:p>
    <w:p w:rsidR="005052D3" w:rsidRDefault="005052D3">
      <w:pPr>
        <w:pStyle w:val="BodyText"/>
        <w:tabs>
          <w:tab w:val="left" w:pos="840"/>
        </w:tabs>
        <w:spacing w:after="240" w:line="360" w:lineRule="atLeast"/>
        <w:rPr>
          <w:rFonts w:ascii="Times New Roman"/>
          <w:spacing w:val="4"/>
        </w:rPr>
      </w:pPr>
    </w:p>
    <w:p w:rsidR="005052D3" w:rsidRDefault="005052D3">
      <w:pPr>
        <w:pStyle w:val="BodyText"/>
        <w:tabs>
          <w:tab w:val="left" w:pos="840"/>
        </w:tabs>
        <w:spacing w:after="240" w:line="360" w:lineRule="atLeast"/>
        <w:rPr>
          <w:rFonts w:ascii="Times New Roman"/>
          <w:spacing w:val="4"/>
        </w:rPr>
      </w:pPr>
    </w:p>
    <w:p w:rsidR="005052D3" w:rsidRDefault="005052D3">
      <w:pPr>
        <w:pStyle w:val="BodyText"/>
        <w:tabs>
          <w:tab w:val="left" w:pos="840"/>
        </w:tabs>
        <w:spacing w:after="240" w:line="360" w:lineRule="atLeast"/>
        <w:rPr>
          <w:rFonts w:ascii="Times New Roman"/>
          <w:spacing w:val="4"/>
        </w:rPr>
      </w:pPr>
    </w:p>
    <w:p w:rsidR="005052D3" w:rsidRDefault="005052D3">
      <w:pPr>
        <w:pStyle w:val="BodyText"/>
        <w:tabs>
          <w:tab w:val="left" w:pos="840"/>
        </w:tabs>
        <w:spacing w:after="240" w:line="360" w:lineRule="atLeast"/>
        <w:rPr>
          <w:rFonts w:ascii="Times New Roman"/>
          <w:spacing w:val="4"/>
        </w:rPr>
      </w:pPr>
    </w:p>
    <w:p w:rsidR="005052D3" w:rsidRDefault="005052D3">
      <w:pPr>
        <w:pStyle w:val="SingleTxt"/>
      </w:pPr>
      <w:r>
        <w:t xml:space="preserve">12.14.4  </w:t>
      </w:r>
      <w:r>
        <w:rPr>
          <w:rFonts w:hint="eastAsia"/>
        </w:rPr>
        <w:t>有关艾滋病的较高知识水平以及这种水平的提高可能反映了在马拉维人口中采取的增加有关艾滋病毒感染和艾滋病知识的措施。目前由马拉维国家艾滋病委员会协调、由政府部门和非政府组织实施的方案包括利用媒体、公众会议、青年计划以及信息、教育和通信；以及改变行为运动的材料。艾滋病预防计划将关注的重点放在使用避孕套、限制性伴侣的数量和推迟年轻人的性体验上。对艾滋病毒和艾滋病知识了解较少的是无性体验的、农村的和文化程度较低的妇女。例如，报告有关艾滋病毒和艾滋病讨论的伴侣们都具有中学以上文化程度。</w:t>
      </w:r>
    </w:p>
    <w:p w:rsidR="005052D3" w:rsidRDefault="005052D3">
      <w:pPr>
        <w:pStyle w:val="SingleTxt"/>
      </w:pPr>
      <w:r>
        <w:t xml:space="preserve">12.14.5  </w:t>
      </w:r>
      <w:r>
        <w:rPr>
          <w:rFonts w:hint="eastAsia"/>
        </w:rPr>
        <w:t>但是，仍然没有证据表明，高知识水平和广泛开展的警惕艾滋病计划引起了马拉维妇女和男子行为的明显改变。有关采取措施保护伴侣的证据表明，目前采取了计划中所提倡的预防措施的男女人数仍然很低。例如，在马拉维人口保健调查之前的12个月内，47.7%的妇女和男子发生性关系时没有采取措施以保护伴侣免受艾滋病毒的感染。48.6%的人不将自己的艾滋病毒状况告诉对方，只有12.3%的人使用避孕套。</w:t>
      </w:r>
    </w:p>
    <w:p w:rsidR="005052D3" w:rsidRDefault="005052D3">
      <w:pPr>
        <w:pStyle w:val="SingleTxt"/>
      </w:pPr>
      <w:r>
        <w:t xml:space="preserve">12.14.6  </w:t>
      </w:r>
      <w:r>
        <w:rPr>
          <w:rFonts w:hint="eastAsia"/>
        </w:rPr>
        <w:t>有关艾滋病毒传染预防的行为改变率较低与知识水平并没有关系。这可能说明目前有关艾滋病毒和艾滋病的计划方法并没有真正解决传染中所有直接的、根本的和基本的原因。现行计划的一个问题是过分关注信息提供而不是关注促进行为改变的交流过程，这一交流过程可以改变易使妇女和男子感染的观念和文化习俗，可以做出评估、分析并采取新的行动。</w:t>
      </w:r>
    </w:p>
    <w:p w:rsidR="005052D3" w:rsidRDefault="005052D3">
      <w:pPr>
        <w:pStyle w:val="SingleTxt"/>
      </w:pPr>
      <w:r>
        <w:t xml:space="preserve">12.14.7  </w:t>
      </w:r>
      <w:r>
        <w:rPr>
          <w:rFonts w:hint="eastAsia"/>
        </w:rPr>
        <w:t>妇女和男子权利关系中的不平等尚未得到适当解决。例如，妇女和女孩不能运用她们有关艾滋病毒和艾滋病的知识，不能要求使用避孕套，因为她们害怕如果这样的需求未能得到满足，她们的伴侣将转向其他女子或结束他们的婚姻。</w:t>
      </w:r>
    </w:p>
    <w:p w:rsidR="005052D3" w:rsidRDefault="005052D3">
      <w:pPr>
        <w:pStyle w:val="SingleTxt"/>
      </w:pPr>
      <w:r>
        <w:t xml:space="preserve">12.14.8  </w:t>
      </w:r>
      <w:r>
        <w:rPr>
          <w:rFonts w:hint="eastAsia"/>
        </w:rPr>
        <w:t>此外，男子拥有的性伴侣超过妇女的事实也证明了妇女的软弱。在2000年马拉维人口保健调查中，只有1%的已婚妇女报告有婚外情，而2%的男子报告有两个或更多的性伴侣。在未婚人群中，有多个性伴侣的人比率更高。38%性活跃的妇女报告在调查进行前的12个月内至少有1名性伴侣，男子中的比例则为67%。已婚男子中的</w:t>
      </w:r>
      <w:r>
        <w:t>2</w:t>
      </w:r>
      <w:r>
        <w:rPr>
          <w:rFonts w:hint="eastAsia"/>
        </w:rPr>
        <w:t>0</w:t>
      </w:r>
      <w:r>
        <w:t>%</w:t>
      </w:r>
      <w:r>
        <w:rPr>
          <w:rFonts w:hint="eastAsia"/>
        </w:rPr>
        <w:t>以及未婚男子中的</w:t>
      </w:r>
      <w:r>
        <w:t>2</w:t>
      </w:r>
      <w:r>
        <w:rPr>
          <w:rFonts w:hint="eastAsia"/>
        </w:rPr>
        <w:t>1</w:t>
      </w:r>
      <w:r>
        <w:t xml:space="preserve">% </w:t>
      </w:r>
      <w:r>
        <w:rPr>
          <w:rFonts w:hint="eastAsia"/>
        </w:rPr>
        <w:t>承认曾为性生活付过钱。</w:t>
      </w:r>
      <w:r>
        <w:t xml:space="preserve"> </w:t>
      </w:r>
    </w:p>
    <w:p w:rsidR="005052D3" w:rsidRDefault="005052D3">
      <w:pPr>
        <w:pStyle w:val="SingleTxt"/>
      </w:pPr>
      <w:r>
        <w:t xml:space="preserve">12.14.9  </w:t>
      </w:r>
      <w:r>
        <w:rPr>
          <w:rFonts w:hint="eastAsia"/>
        </w:rPr>
        <w:t>15-19岁年龄组的性活跃妇女中拥有多个性伴侣的高比率与更高的教育水平之间的对比颇具讽刺意味。66%有性生活的未婚妇女报告在马拉维人口保健调查前12个月内与1名以上的伴侣发生过关系。</w:t>
      </w:r>
    </w:p>
    <w:p w:rsidR="005052D3" w:rsidRDefault="005052D3">
      <w:pPr>
        <w:pStyle w:val="SingleTxt"/>
      </w:pPr>
      <w:r>
        <w:t xml:space="preserve">12.14.10  </w:t>
      </w:r>
      <w:r>
        <w:rPr>
          <w:rFonts w:hint="eastAsia"/>
        </w:rPr>
        <w:t>不成比例的是，妇女和女孩在照顾艾滋病毒和艾滋病患者方面承受着沉重的负担。除此之外是对艾滋病毒呈阳性的妇女的指责；而且她们还要照料目前每年以70 000人的速度增加的贫困孤儿。</w:t>
      </w:r>
    </w:p>
    <w:p w:rsidR="005052D3" w:rsidRDefault="005052D3">
      <w:pPr>
        <w:pStyle w:val="SingleTxt"/>
      </w:pPr>
      <w:r>
        <w:t xml:space="preserve">12.14.11  </w:t>
      </w:r>
      <w:r>
        <w:rPr>
          <w:rFonts w:hint="eastAsia"/>
        </w:rPr>
        <w:t>1985年到1999年间，肺结核等机会性传染病增加了500%，妇女由此而受到的影响更大。</w:t>
      </w:r>
      <w:r>
        <w:rPr>
          <w:rStyle w:val="FootnoteReference"/>
          <w:rFonts w:ascii="Times New Roman"/>
        </w:rPr>
        <w:footnoteReference w:id="108"/>
      </w:r>
      <w:r>
        <w:t xml:space="preserve"> </w:t>
      </w:r>
      <w:r>
        <w:rPr>
          <w:rFonts w:hint="eastAsia"/>
        </w:rPr>
        <w:t>耻辱可能正在减少，对艾滋病患者和看护者的拒绝造成了许多猜疑和迫害，因为将艾滋病与男女间的乱交联系在了一起。此外，因为艾滋病患者的病床占用率高，占用了70%的医院床铺，因此大多数病例都以家庭护理为主。这意味着政府正在将其职责转给社会，并增加了妇女的工作负担，加剧了她们的贫困，因为她们无法参加生产。</w:t>
      </w:r>
    </w:p>
    <w:p w:rsidR="005052D3" w:rsidRDefault="005052D3">
      <w:pPr>
        <w:pStyle w:val="SingleTxt"/>
        <w:rPr>
          <w:rFonts w:ascii="SimHei" w:eastAsia="SimHei"/>
          <w:color w:val="FF0000"/>
        </w:rPr>
      </w:pPr>
      <w:r>
        <w:rPr>
          <w:rFonts w:ascii="SimHei" w:eastAsia="SimHei"/>
          <w:color w:val="FF0000"/>
        </w:rPr>
        <w:t xml:space="preserve">12.15  </w:t>
      </w:r>
      <w:r>
        <w:rPr>
          <w:rFonts w:ascii="SimHei" w:eastAsia="SimHei" w:hint="eastAsia"/>
          <w:color w:val="FF0000"/>
        </w:rPr>
        <w:t>有害的传统习俗</w:t>
      </w:r>
    </w:p>
    <w:p w:rsidR="005052D3" w:rsidRDefault="005052D3">
      <w:pPr>
        <w:pStyle w:val="SingleTxt"/>
      </w:pPr>
      <w:r>
        <w:t xml:space="preserve">12.15.1  </w:t>
      </w:r>
      <w:r>
        <w:rPr>
          <w:rFonts w:hint="eastAsia"/>
        </w:rPr>
        <w:t>马拉维依然保留着一些对妇女有害的传统习俗。在有些地区，食物禁忌妨碍妇女和女孩食用有营养的食物。例如，孕妇和儿童禁止吃蛋类。由于性别和社区服务部下属的社会工作者和其他重大利益相关者开展的营养家庭管理和卫生教育工作，这种习俗正在减少。实际上，年轻人和受过教育的人根本就不知道有这些习俗的存在。</w:t>
      </w:r>
      <w:r>
        <w:t xml:space="preserve"> </w:t>
      </w:r>
    </w:p>
    <w:p w:rsidR="005052D3" w:rsidRDefault="005052D3">
      <w:pPr>
        <w:pStyle w:val="SingleTxt"/>
      </w:pPr>
      <w:r>
        <w:t xml:space="preserve">12.15.2  </w:t>
      </w:r>
      <w:r>
        <w:rPr>
          <w:rFonts w:hint="eastAsia"/>
        </w:rPr>
        <w:t>与性生活有关的习俗如</w:t>
      </w:r>
      <w:r>
        <w:t>Kuchotsa fumbi</w:t>
      </w:r>
      <w:r>
        <w:rPr>
          <w:rFonts w:hint="eastAsia"/>
        </w:rPr>
        <w:t>（除尘）、</w:t>
      </w:r>
      <w:r>
        <w:t xml:space="preserve"> kupita kufa</w:t>
      </w:r>
      <w:r>
        <w:rPr>
          <w:rFonts w:hint="eastAsia"/>
        </w:rPr>
        <w:t>（净化死亡）、</w:t>
      </w:r>
      <w:r>
        <w:t>kupimbira</w:t>
      </w:r>
      <w:r>
        <w:rPr>
          <w:rFonts w:hint="eastAsia"/>
        </w:rPr>
        <w:t>（用女童还债）、</w:t>
      </w:r>
      <w:r>
        <w:t>chokolo</w:t>
      </w:r>
      <w:r>
        <w:rPr>
          <w:rFonts w:hint="eastAsia"/>
        </w:rPr>
        <w:t>（对妻子的继承）和</w:t>
      </w:r>
      <w:r>
        <w:t>fisi</w:t>
      </w:r>
      <w:r>
        <w:rPr>
          <w:rFonts w:hint="eastAsia"/>
        </w:rPr>
        <w:t>（土狼）</w:t>
      </w:r>
      <w:r>
        <w:rPr>
          <w:rFonts w:hint="eastAsia"/>
          <w:iCs/>
        </w:rPr>
        <w:t>贬低并伤害了妇女的生殖健康权；并使她们容易受到艾滋病毒的感染以及患上性传播疾病。似乎有一种信仰认为无论其身份如何，男子都有权发生性关系，而且性在特定社会中是治疗许多疾病的工具。</w:t>
      </w:r>
    </w:p>
    <w:p w:rsidR="005052D3" w:rsidRDefault="005052D3">
      <w:pPr>
        <w:pStyle w:val="SingleTxt"/>
      </w:pPr>
      <w:r>
        <w:t xml:space="preserve">12.15.3  </w:t>
      </w:r>
      <w:r>
        <w:rPr>
          <w:rFonts w:hint="eastAsia"/>
        </w:rPr>
        <w:t>Fisi指没有孩子的夫妇（通常是没有生育能力的男子）同意花钱雇“土狼”与已婚妇女发生性关系。“</w:t>
      </w:r>
      <w:r>
        <w:t>Chimwamaye</w:t>
      </w:r>
      <w:r>
        <w:rPr>
          <w:rFonts w:hint="eastAsia"/>
        </w:rPr>
        <w:t>”是妻子和丈夫的交换。“</w:t>
      </w:r>
      <w:r>
        <w:t>Kutenga mwana</w:t>
      </w:r>
      <w:r>
        <w:rPr>
          <w:rFonts w:hint="eastAsia"/>
        </w:rPr>
        <w:t>”是指父母抱着婴儿发生性行为以纯净新生儿，这是一种有害的习俗，因为如果婴儿的生身父亲亡故或在远方，则另一个男子将代表死去或不在场的父亲举行这个仪式。</w:t>
      </w:r>
    </w:p>
    <w:p w:rsidR="005052D3" w:rsidRDefault="005052D3">
      <w:pPr>
        <w:pStyle w:val="SingleTxt"/>
      </w:pPr>
      <w:r>
        <w:t xml:space="preserve">12.15.4  </w:t>
      </w:r>
      <w:r>
        <w:rPr>
          <w:rFonts w:hint="eastAsia"/>
        </w:rPr>
        <w:t>男女的启蒙仪式课程包括传授激发被启蒙者性活跃或性冒险的知识，因为他们认为青春期是成年的同义词，这样的人就可以进行性生活。</w:t>
      </w:r>
      <w:r>
        <w:t xml:space="preserve"> </w:t>
      </w:r>
    </w:p>
    <w:p w:rsidR="005052D3" w:rsidRDefault="005052D3">
      <w:pPr>
        <w:pStyle w:val="SingleTxt"/>
        <w:rPr>
          <w:rFonts w:ascii="SimHei" w:eastAsia="SimHei"/>
          <w:color w:val="FF0000"/>
        </w:rPr>
      </w:pPr>
      <w:r>
        <w:rPr>
          <w:rFonts w:ascii="SimHei" w:eastAsia="SimHei"/>
          <w:color w:val="FF0000"/>
        </w:rPr>
        <w:t xml:space="preserve">12.16  </w:t>
      </w:r>
      <w:r>
        <w:rPr>
          <w:rFonts w:ascii="SimHei" w:eastAsia="SimHei" w:hint="eastAsia"/>
          <w:color w:val="FF0000"/>
        </w:rPr>
        <w:t>结论</w:t>
      </w:r>
    </w:p>
    <w:p w:rsidR="005052D3" w:rsidRDefault="005052D3">
      <w:pPr>
        <w:pStyle w:val="SingleTxt"/>
        <w:rPr>
          <w:rFonts w:hint="eastAsia"/>
        </w:rPr>
      </w:pPr>
      <w:r>
        <w:tab/>
      </w:r>
      <w:r>
        <w:rPr>
          <w:rFonts w:hint="eastAsia"/>
        </w:rPr>
        <w:t>马拉维的健康状况总体上很差，妇女由于肩负着过重的照料责任，发病率和分娩死亡率很高。总之，妇女在性健康和生殖健康权利上依然处于弱势，所以导致艾滋病毒/艾滋病以及其他性传播疾病的高感染率，特别是在年轻妇女中间更是如此。健康制度尚不健全，不能应对全国的健康挑战，健康服务部门的态度还远远不够。政府和非政府组织开展的其他计划在发布信息方面仍然存在偏见，而不是有效改变男女之间的权力关系以及男女的角色结构。</w:t>
      </w:r>
    </w:p>
    <w:p w:rsidR="005052D3" w:rsidRDefault="005052D3">
      <w:pPr>
        <w:pStyle w:val="H1"/>
        <w:spacing w:after="120" w:line="300" w:lineRule="exact"/>
        <w:ind w:left="1293"/>
      </w:pPr>
      <w:bookmarkStart w:id="42" w:name="_Toc33784420"/>
      <w:bookmarkStart w:id="43" w:name="_Toc377350759"/>
      <w:bookmarkStart w:id="44" w:name="_Toc83142701"/>
      <w:r>
        <w:rPr>
          <w:rFonts w:hint="eastAsia"/>
        </w:rPr>
        <w:t>第</w:t>
      </w:r>
      <w:r>
        <w:t>13</w:t>
      </w:r>
      <w:r>
        <w:rPr>
          <w:rFonts w:hint="eastAsia"/>
        </w:rPr>
        <w:t>条</w:t>
      </w:r>
      <w:r>
        <w:t xml:space="preserve">: </w:t>
      </w:r>
      <w:r>
        <w:rPr>
          <w:rFonts w:hint="eastAsia"/>
        </w:rPr>
        <w:t>社会和经济</w:t>
      </w:r>
      <w:bookmarkEnd w:id="42"/>
      <w:bookmarkEnd w:id="43"/>
      <w:r>
        <w:rPr>
          <w:rFonts w:hint="eastAsia"/>
        </w:rPr>
        <w:t>福利</w:t>
      </w:r>
      <w:bookmarkEnd w:id="44"/>
    </w:p>
    <w:p w:rsidR="005052D3" w:rsidRDefault="005052D3">
      <w:pPr>
        <w:tabs>
          <w:tab w:val="left" w:pos="840"/>
        </w:tabs>
        <w:spacing w:after="120" w:line="300" w:lineRule="exact"/>
        <w:ind w:left="1293"/>
        <w:rPr>
          <w:rFonts w:ascii="SimHei" w:eastAsia="SimHei" w:hint="eastAsia"/>
          <w:bCs/>
          <w:color w:val="FF0000"/>
        </w:rPr>
      </w:pPr>
      <w:r>
        <w:rPr>
          <w:rFonts w:ascii="SimHei" w:eastAsia="SimHei"/>
          <w:bCs/>
          <w:color w:val="FF0000"/>
        </w:rPr>
        <w:t>13.1</w:t>
      </w:r>
      <w:r>
        <w:rPr>
          <w:rFonts w:ascii="SimHei" w:eastAsia="SimHei"/>
          <w:bCs/>
          <w:color w:val="FF0000"/>
        </w:rPr>
        <w:tab/>
        <w:t xml:space="preserve"> 《消除对妇女一切形式歧视公约》</w:t>
      </w:r>
      <w:r>
        <w:rPr>
          <w:rFonts w:ascii="SimHei" w:eastAsia="SimHei" w:hint="eastAsia"/>
          <w:bCs/>
          <w:color w:val="FF0000"/>
        </w:rPr>
        <w:t>标准</w:t>
      </w:r>
    </w:p>
    <w:p w:rsidR="005052D3" w:rsidRDefault="005052D3">
      <w:pPr>
        <w:pStyle w:val="SingleTxt"/>
        <w:spacing w:after="120" w:line="300" w:lineRule="exact"/>
        <w:ind w:left="2058" w:hanging="794"/>
        <w:rPr>
          <w:rFonts w:ascii="KaiTi_GB2312" w:eastAsia="KaiTi_GB2312"/>
          <w:color w:val="0000FF"/>
        </w:rPr>
      </w:pPr>
      <w:r>
        <w:rPr>
          <w:rFonts w:ascii="KaiTi_GB2312" w:eastAsia="KaiTi_GB2312" w:hint="eastAsia"/>
          <w:color w:val="0000FF"/>
        </w:rPr>
        <w:t>第13条</w:t>
      </w:r>
      <w:r>
        <w:rPr>
          <w:rFonts w:ascii="KaiTi_GB2312" w:eastAsia="KaiTi_GB2312"/>
          <w:color w:val="0000FF"/>
        </w:rPr>
        <w:t>.</w:t>
      </w:r>
      <w:r>
        <w:rPr>
          <w:rFonts w:ascii="KaiTi_GB2312" w:eastAsia="KaiTi_GB2312" w:hint="eastAsia"/>
          <w:color w:val="0000FF"/>
        </w:rPr>
        <w:t xml:space="preserve">缔约各国应采取一切适当措施以消除在经济和社会生活的其他方面对妇女的歧视，保证她们在男女平等的基础上有相同权利，特别是： </w:t>
      </w:r>
    </w:p>
    <w:p w:rsidR="005052D3" w:rsidRDefault="005052D3" w:rsidP="00B33158">
      <w:pPr>
        <w:tabs>
          <w:tab w:val="left" w:pos="840"/>
        </w:tabs>
        <w:spacing w:after="120" w:line="300" w:lineRule="exact"/>
        <w:ind w:leftChars="400" w:left="31680" w:hangingChars="200" w:firstLine="31680"/>
        <w:rPr>
          <w:rFonts w:hint="eastAsia"/>
        </w:rPr>
      </w:pPr>
      <w:r>
        <w:tab/>
      </w:r>
      <w:r>
        <w:tab/>
      </w:r>
      <w:r>
        <w:tab/>
      </w:r>
      <w:r>
        <w:rPr>
          <w:rFonts w:hint="eastAsia"/>
        </w:rPr>
        <w:t>(a)</w:t>
      </w:r>
      <w:r>
        <w:rPr>
          <w:rFonts w:hint="eastAsia"/>
        </w:rPr>
        <w:tab/>
      </w:r>
      <w:r>
        <w:rPr>
          <w:rFonts w:eastAsia="KaiTi_GB2312" w:hint="eastAsia"/>
          <w:color w:val="0000FF"/>
        </w:rPr>
        <w:t>领取家属津贴的权利</w:t>
      </w:r>
      <w:r>
        <w:rPr>
          <w:rFonts w:hint="eastAsia"/>
        </w:rPr>
        <w:t xml:space="preserve">； </w:t>
      </w:r>
    </w:p>
    <w:p w:rsidR="005052D3" w:rsidRDefault="005052D3" w:rsidP="00B33158">
      <w:pPr>
        <w:tabs>
          <w:tab w:val="left" w:pos="840"/>
        </w:tabs>
        <w:spacing w:after="120" w:line="300" w:lineRule="exact"/>
        <w:ind w:leftChars="400" w:left="31680" w:hangingChars="200" w:firstLine="31680"/>
        <w:rPr>
          <w:rFonts w:hint="eastAsia"/>
        </w:rPr>
      </w:pPr>
      <w:r>
        <w:tab/>
      </w:r>
      <w:r>
        <w:tab/>
      </w:r>
      <w:r>
        <w:tab/>
      </w:r>
      <w:r>
        <w:rPr>
          <w:rFonts w:hint="eastAsia"/>
        </w:rPr>
        <w:t>(b)</w:t>
      </w:r>
      <w:r>
        <w:rPr>
          <w:rFonts w:hint="eastAsia"/>
        </w:rPr>
        <w:tab/>
      </w:r>
      <w:r>
        <w:rPr>
          <w:rFonts w:eastAsia="KaiTi_GB2312" w:hint="eastAsia"/>
          <w:color w:val="0000FF"/>
        </w:rPr>
        <w:t>银行贷款、抵押和其他形式的金融信贷的权利</w:t>
      </w:r>
      <w:r>
        <w:rPr>
          <w:rFonts w:hint="eastAsia"/>
        </w:rPr>
        <w:t xml:space="preserve">； </w:t>
      </w:r>
    </w:p>
    <w:p w:rsidR="005052D3" w:rsidRDefault="005052D3" w:rsidP="00B33158">
      <w:pPr>
        <w:tabs>
          <w:tab w:val="left" w:pos="840"/>
        </w:tabs>
        <w:spacing w:after="120" w:line="300" w:lineRule="exact"/>
        <w:ind w:leftChars="400" w:left="31680" w:hangingChars="200" w:firstLine="31680"/>
        <w:rPr>
          <w:rFonts w:eastAsia="MS Mincho" w:hint="eastAsia"/>
        </w:rPr>
      </w:pPr>
      <w:r>
        <w:tab/>
      </w:r>
      <w:r>
        <w:tab/>
      </w:r>
      <w:r>
        <w:tab/>
      </w:r>
      <w:r>
        <w:rPr>
          <w:rFonts w:hint="eastAsia"/>
        </w:rPr>
        <w:t xml:space="preserve">(c) </w:t>
      </w:r>
      <w:r>
        <w:tab/>
      </w:r>
      <w:r>
        <w:rPr>
          <w:rFonts w:eastAsia="KaiTi_GB2312" w:hint="eastAsia"/>
          <w:color w:val="0000FF"/>
        </w:rPr>
        <w:t>参与娱乐生活、运动和文化生活各个方面的权利</w:t>
      </w:r>
      <w:r>
        <w:rPr>
          <w:rFonts w:hint="eastAsia"/>
        </w:rPr>
        <w:t>。</w:t>
      </w:r>
    </w:p>
    <w:p w:rsidR="005052D3" w:rsidRDefault="005052D3">
      <w:pPr>
        <w:tabs>
          <w:tab w:val="left" w:pos="840"/>
        </w:tabs>
        <w:spacing w:after="120" w:line="300" w:lineRule="exact"/>
        <w:ind w:left="1293"/>
        <w:rPr>
          <w:rFonts w:ascii="SimHei" w:eastAsia="SimHei"/>
          <w:bCs/>
          <w:color w:val="FF0000"/>
        </w:rPr>
      </w:pPr>
      <w:r>
        <w:rPr>
          <w:rFonts w:ascii="SimHei" w:eastAsia="SimHei"/>
          <w:bCs/>
          <w:color w:val="FF0000"/>
        </w:rPr>
        <w:t>13.2</w:t>
      </w:r>
      <w:r>
        <w:rPr>
          <w:rFonts w:ascii="SimHei" w:eastAsia="SimHei"/>
          <w:bCs/>
          <w:color w:val="FF0000"/>
        </w:rPr>
        <w:tab/>
        <w:t xml:space="preserve">  </w:t>
      </w:r>
      <w:r>
        <w:rPr>
          <w:rFonts w:ascii="SimHei" w:eastAsia="SimHei" w:hint="eastAsia"/>
          <w:bCs/>
          <w:color w:val="FF0000"/>
        </w:rPr>
        <w:t>导言</w:t>
      </w:r>
    </w:p>
    <w:p w:rsidR="005052D3" w:rsidRDefault="005052D3">
      <w:pPr>
        <w:pStyle w:val="SingleTxt"/>
      </w:pPr>
      <w:r>
        <w:t xml:space="preserve">13.2.1  </w:t>
      </w:r>
      <w:r>
        <w:rPr>
          <w:rFonts w:hint="eastAsia"/>
        </w:rPr>
        <w:t>曾经为妇女提供最大经济利益的传统体制正在弱化。作为传统体制基础的家庭纽带进一步削弱。由于传统支助体制被削弱，妇女、孤儿和老人已越来越缺乏资源。</w:t>
      </w:r>
      <w:r>
        <w:t xml:space="preserve"> </w:t>
      </w:r>
    </w:p>
    <w:p w:rsidR="005052D3" w:rsidRDefault="005052D3">
      <w:pPr>
        <w:pStyle w:val="SingleTxt"/>
        <w:rPr>
          <w:rFonts w:ascii="SimHei" w:eastAsia="SimHei"/>
          <w:color w:val="FF0000"/>
        </w:rPr>
      </w:pPr>
      <w:r>
        <w:rPr>
          <w:rFonts w:ascii="SimHei" w:eastAsia="SimHei"/>
          <w:color w:val="FF0000"/>
        </w:rPr>
        <w:t xml:space="preserve">13.3  </w:t>
      </w:r>
      <w:r>
        <w:rPr>
          <w:rFonts w:ascii="SimHei" w:eastAsia="SimHei" w:hint="eastAsia"/>
          <w:color w:val="FF0000"/>
        </w:rPr>
        <w:t>宪法要求</w:t>
      </w:r>
      <w:r>
        <w:rPr>
          <w:rFonts w:ascii="SimHei" w:eastAsia="SimHei"/>
          <w:color w:val="FF0000"/>
        </w:rPr>
        <w:t xml:space="preserve"> </w:t>
      </w:r>
    </w:p>
    <w:p w:rsidR="005052D3" w:rsidRDefault="005052D3">
      <w:pPr>
        <w:pStyle w:val="SingleTxt"/>
      </w:pPr>
      <w:r>
        <w:t xml:space="preserve">13.3.1  </w:t>
      </w:r>
      <w:r>
        <w:rPr>
          <w:rFonts w:hint="eastAsia"/>
        </w:rPr>
        <w:t>马拉维宪法为实现《消除对妇女一切形式歧视公约》中规定的权利提供了足够的框架。宪法规定了发展权。</w:t>
      </w:r>
      <w:r>
        <w:rPr>
          <w:rStyle w:val="FootnoteReference"/>
        </w:rPr>
        <w:footnoteReference w:id="109"/>
      </w:r>
      <w:r>
        <w:rPr>
          <w:rFonts w:hint="eastAsia"/>
        </w:rPr>
        <w:t xml:space="preserve"> 实现这一权利的责任首先在国家，国家必须采取针对妇女、儿童及残疾人的措施。</w:t>
      </w:r>
    </w:p>
    <w:p w:rsidR="005052D3" w:rsidRDefault="005052D3">
      <w:pPr>
        <w:pStyle w:val="SingleTxt"/>
      </w:pPr>
      <w:r>
        <w:t xml:space="preserve">13.3.2  </w:t>
      </w:r>
      <w:r>
        <w:rPr>
          <w:rFonts w:hint="eastAsia"/>
        </w:rPr>
        <w:t>宪法第四章规定的宪法和权利法案中国家政策的原则</w:t>
      </w:r>
      <w:r>
        <w:rPr>
          <w:rStyle w:val="FootnoteReference"/>
        </w:rPr>
        <w:footnoteReference w:id="110"/>
      </w:r>
      <w:r>
        <w:rPr>
          <w:rFonts w:hint="eastAsia"/>
        </w:rPr>
        <w:t>要求为不同的人群实现一定的目标，这些人群就包括妇女。宪法承诺政府通过政策、法律改革和其他措施实现男女平等，包括提供和加强产妇的利益以及任何“可能要求的其他措施”。</w:t>
      </w:r>
      <w:r>
        <w:t xml:space="preserve"> </w:t>
      </w:r>
    </w:p>
    <w:p w:rsidR="005052D3" w:rsidRDefault="005052D3">
      <w:pPr>
        <w:pStyle w:val="SingleTxt"/>
      </w:pPr>
      <w:r>
        <w:t xml:space="preserve">13.3.3  </w:t>
      </w:r>
      <w:r>
        <w:rPr>
          <w:rFonts w:hint="eastAsia"/>
        </w:rPr>
        <w:t>宪法要求残疾人必须通过更多地利用公共场所、拥有公平的就业机会和充分参与马拉维生活的各个领域而获得支助。</w:t>
      </w:r>
    </w:p>
    <w:p w:rsidR="005052D3" w:rsidRDefault="005052D3">
      <w:pPr>
        <w:pStyle w:val="SingleTxt"/>
      </w:pPr>
      <w:r>
        <w:t xml:space="preserve">13.3.4  </w:t>
      </w:r>
      <w:r>
        <w:rPr>
          <w:rFonts w:hint="eastAsia"/>
        </w:rPr>
        <w:t>还有有关儿童和家庭角色的目标。马拉维必须通过其各种政策，“鼓励和促进有利于健康向上、富有实干精神和担负一定责任的社会成员全面发展的环境”。</w:t>
      </w:r>
      <w:r>
        <w:rPr>
          <w:rStyle w:val="FootnoteReference"/>
        </w:rPr>
        <w:footnoteReference w:id="111"/>
      </w:r>
      <w:r>
        <w:t xml:space="preserve"> </w:t>
      </w:r>
      <w:r>
        <w:rPr>
          <w:rFonts w:hint="eastAsia"/>
        </w:rPr>
        <w:t>家庭一定要被看作是基本的、重要的社会单位。</w:t>
      </w:r>
    </w:p>
    <w:p w:rsidR="005052D3" w:rsidRDefault="005052D3">
      <w:pPr>
        <w:pStyle w:val="SingleTxt"/>
      </w:pPr>
      <w:r>
        <w:t xml:space="preserve">13.3.5  </w:t>
      </w:r>
      <w:r>
        <w:rPr>
          <w:rFonts w:hint="eastAsia"/>
        </w:rPr>
        <w:t>尽管对老年人没有规定强制实施的权利，但宪法要求为这些人提供社会保障。这些社会成员必须“通过提供社区服务”而获得支助。</w:t>
      </w:r>
      <w:r>
        <w:rPr>
          <w:rStyle w:val="FootnoteReference"/>
        </w:rPr>
        <w:footnoteReference w:id="112"/>
      </w:r>
      <w:r>
        <w:rPr>
          <w:rFonts w:hint="eastAsia"/>
        </w:rPr>
        <w:t>必须鼓励他们参与社区生活。</w:t>
      </w:r>
    </w:p>
    <w:p w:rsidR="005052D3" w:rsidRDefault="005052D3">
      <w:pPr>
        <w:pStyle w:val="SingleTxt"/>
      </w:pPr>
      <w:r>
        <w:t xml:space="preserve">13.3.6  </w:t>
      </w:r>
      <w:r>
        <w:rPr>
          <w:rFonts w:hint="eastAsia"/>
        </w:rPr>
        <w:t>在文化和语言方面，宪法规定了每个人均有“使用语言以及根据自己的选择参加文化生活”的权利。</w:t>
      </w:r>
      <w:r>
        <w:rPr>
          <w:rStyle w:val="FootnoteReference"/>
          <w:spacing w:val="4"/>
        </w:rPr>
        <w:footnoteReference w:id="113"/>
      </w:r>
    </w:p>
    <w:p w:rsidR="005052D3" w:rsidRDefault="005052D3">
      <w:pPr>
        <w:pStyle w:val="SingleTxt"/>
      </w:pPr>
      <w:r>
        <w:t xml:space="preserve">13.3.7  </w:t>
      </w:r>
      <w:r>
        <w:rPr>
          <w:rFonts w:hint="eastAsia"/>
        </w:rPr>
        <w:t>国家性别政策试图创造有利的环境，使妇女、男子、女孩和男孩及其他社会群体参加社会福利和经济权利计划并从中公平获利，以提高他们的社会经济地位。</w:t>
      </w:r>
    </w:p>
    <w:p w:rsidR="005052D3" w:rsidRDefault="005052D3">
      <w:pPr>
        <w:pStyle w:val="SingleTxt"/>
        <w:rPr>
          <w:rFonts w:ascii="SimHei" w:eastAsia="SimHei"/>
          <w:color w:val="FF0000"/>
        </w:rPr>
      </w:pPr>
      <w:r>
        <w:rPr>
          <w:rFonts w:ascii="SimHei" w:eastAsia="SimHei"/>
          <w:color w:val="FF0000"/>
        </w:rPr>
        <w:t xml:space="preserve">13.4  </w:t>
      </w:r>
      <w:r>
        <w:rPr>
          <w:rFonts w:ascii="SimHei" w:eastAsia="SimHei" w:hint="eastAsia"/>
          <w:color w:val="FF0000"/>
        </w:rPr>
        <w:t>家庭和其他福利</w:t>
      </w:r>
    </w:p>
    <w:p w:rsidR="005052D3" w:rsidRDefault="005052D3">
      <w:pPr>
        <w:pStyle w:val="SingleTxt"/>
      </w:pPr>
      <w:r>
        <w:t xml:space="preserve">13.4.1  </w:t>
      </w:r>
      <w:r>
        <w:rPr>
          <w:rFonts w:hint="eastAsia"/>
        </w:rPr>
        <w:t>马拉维没有正式的家庭福利体制。马拉维政府以及雇主为其雇员提供养老金方案、抚恤金和死亡补偿金。丈夫受雇于公共部门的妇女可获取死亡补偿金，但管理程序繁琐，收取死亡抚恤金的有关费用极高。</w:t>
      </w:r>
      <w:r>
        <w:t xml:space="preserve"> </w:t>
      </w:r>
    </w:p>
    <w:p w:rsidR="005052D3" w:rsidRDefault="005052D3">
      <w:pPr>
        <w:pStyle w:val="SingleTxt"/>
      </w:pPr>
      <w:r>
        <w:t xml:space="preserve">13.4.2  </w:t>
      </w:r>
      <w:r>
        <w:rPr>
          <w:rFonts w:hint="eastAsia"/>
        </w:rPr>
        <w:t>在陈腐的传统体制中，妇女把家庭看作是社会保护的一种方式，即使坏处大于益处。该体制向已婚妇女不提供物质利益，婚礼、厨房/新娘沐浴、送行宴会以及分娩时除外。在以上场合，亲戚朋友为婚姻中的准成员和丈夫妻子送来礼物。最近，这些观念有所变化，这些场合成为为男子和妇女提供忠告的场合，也为夫妻双方送来礼物。</w:t>
      </w:r>
    </w:p>
    <w:p w:rsidR="005052D3" w:rsidRDefault="005052D3">
      <w:pPr>
        <w:pStyle w:val="SingleTxt"/>
      </w:pPr>
      <w:r>
        <w:t xml:space="preserve">13.4.3  </w:t>
      </w:r>
      <w:r>
        <w:rPr>
          <w:rFonts w:hint="eastAsia"/>
        </w:rPr>
        <w:t>马拉维生活的集体性在婚礼和殡葬中仍然非常明显。在婚礼上，大家庭和朋友承担安排婚礼的责任，他们提供预算资金。婚礼中，适度精心安排豪华的活动，为新人送上金钱和礼物，并鼓励他们开始新的共同生活。在葬礼上，社区和死去亲人的家庭共同吊唁，为葬礼提供资助，为参加葬礼的人准备饭菜、挖坟墓等工作，提供尽可能多的社会支助。</w:t>
      </w:r>
      <w:r>
        <w:t xml:space="preserve"> </w:t>
      </w:r>
    </w:p>
    <w:p w:rsidR="005052D3" w:rsidRDefault="005052D3">
      <w:pPr>
        <w:pStyle w:val="SingleTxt"/>
      </w:pPr>
      <w:r>
        <w:t xml:space="preserve">13.4.4  </w:t>
      </w:r>
      <w:r>
        <w:rPr>
          <w:rFonts w:hint="eastAsia"/>
        </w:rPr>
        <w:t>尽管婚礼和葬礼表现出集体性和团结性，但这样的场合也加深了性别观念。比如在婚礼上，角色女性化和男性化明显，妇女做饭、唱歌、跳舞，男子主持大多数的会议并完成婚礼的职能。葬礼上，妇女做饭，表现出悲伤的样子，而男子则组织仪式，表现出坚强的样子。死去丈夫的妇女应呆在室内哀悼、哭泣，接受别人的安慰，而死去妻子的男子则和其他男子一起在室外忙碌。</w:t>
      </w:r>
      <w:r>
        <w:t xml:space="preserve"> </w:t>
      </w:r>
    </w:p>
    <w:p w:rsidR="005052D3" w:rsidRDefault="005052D3">
      <w:pPr>
        <w:pStyle w:val="SingleTxt"/>
        <w:rPr>
          <w:rFonts w:ascii="SimHei" w:eastAsia="SimHei"/>
          <w:color w:val="FF0000"/>
        </w:rPr>
      </w:pPr>
      <w:r>
        <w:rPr>
          <w:rFonts w:ascii="SimHei" w:eastAsia="SimHei"/>
          <w:color w:val="FF0000"/>
        </w:rPr>
        <w:t xml:space="preserve">13.5  </w:t>
      </w:r>
      <w:r>
        <w:rPr>
          <w:rFonts w:ascii="SimHei" w:eastAsia="SimHei" w:hint="eastAsia"/>
          <w:color w:val="FF0000"/>
        </w:rPr>
        <w:t>银行贷款、抵押和其他金融信贷形式</w:t>
      </w:r>
    </w:p>
    <w:p w:rsidR="005052D3" w:rsidRDefault="005052D3">
      <w:pPr>
        <w:pStyle w:val="SingleTxt"/>
      </w:pPr>
      <w:r>
        <w:t xml:space="preserve">13.5.1   </w:t>
      </w:r>
      <w:r>
        <w:rPr>
          <w:rFonts w:hint="eastAsia"/>
        </w:rPr>
        <w:t>马拉维大多数妇女没有经济实力，主要是因为没有资本，也不能控制资本。政府的政策是促进信用机制，旨在允许妇女使用信贷。</w:t>
      </w:r>
    </w:p>
    <w:p w:rsidR="005052D3" w:rsidRDefault="005052D3">
      <w:pPr>
        <w:pStyle w:val="SingleTxt"/>
      </w:pPr>
      <w:r>
        <w:t xml:space="preserve">13.5.2  </w:t>
      </w:r>
      <w:r>
        <w:rPr>
          <w:rFonts w:hint="eastAsia"/>
        </w:rPr>
        <w:t>有关研究表明，妇女使用信贷的现象已经得到改善。为妇女设立的微观财政机构数量从1990年的3家上升到1999年的10家。1995年，妇女占利用信贷总人数的15%，到1999年已增加至40%。这使得妇女从事农场以外的经济活动人数从1995年的3 000人增加到2003年的45 000人。</w:t>
      </w:r>
      <w:r>
        <w:t xml:space="preserve"> </w:t>
      </w:r>
      <w:r>
        <w:rPr>
          <w:rFonts w:hint="eastAsia"/>
        </w:rPr>
        <w:t>受到商业管理培训的妇女人数同期从10 000人增加到80 000人。性别和社区服务部开展的经济活动计划中，从事商业管理的妇女人数从1995年的10 000人增加到2003年的80 085人，2003年，使用信贷的人数增加到44 773人。</w:t>
      </w:r>
    </w:p>
    <w:p w:rsidR="005052D3" w:rsidRDefault="005052D3">
      <w:pPr>
        <w:pStyle w:val="SingleTxt"/>
      </w:pPr>
      <w:r>
        <w:t xml:space="preserve">13.5.3  </w:t>
      </w:r>
      <w:r>
        <w:rPr>
          <w:rFonts w:hint="eastAsia"/>
        </w:rPr>
        <w:t>信贷机构的抵押要求、较低的受教育水平、妇女缺乏对信用机构的了解和信息以及远离信贷机构都阻碍了妇女利用信贷设施。特别是，一些曾经在农村设点的组织撤回到城市地区或因为偿付贷款率低或农村地区的日渐贫困而停止其业务。在本报告编制期间，得知对资本实际上有很大的需求。但不幸的是，在所访问的大多数地区均没有这样的服务。</w:t>
      </w:r>
      <w:r>
        <w:t xml:space="preserve"> </w:t>
      </w:r>
    </w:p>
    <w:p w:rsidR="005052D3" w:rsidRDefault="005052D3">
      <w:pPr>
        <w:pStyle w:val="SingleTxt"/>
      </w:pPr>
      <w:r>
        <w:t xml:space="preserve">13.5.4  </w:t>
      </w:r>
      <w:r>
        <w:rPr>
          <w:rFonts w:hint="eastAsia"/>
        </w:rPr>
        <w:t>尽管没有法律阻止妇女以其名义或权利使用银行贷款，但许多商业信贷机构却坚持需要男担保人，如果妇女没有足够的抵押，这个担保人通常是她的丈夫。对抵押和担保人的要求对妇女的偏见大于对男子的偏见。大多数妇女没有可用作抵押的财产，因为财产女性化或男性化了。另外</w:t>
      </w:r>
      <w:r>
        <w:rPr>
          <w:rFonts w:hint="eastAsia"/>
          <w:lang w:val="en-GB"/>
        </w:rPr>
        <w:t>，</w:t>
      </w:r>
      <w:r>
        <w:rPr>
          <w:rFonts w:hint="eastAsia"/>
        </w:rPr>
        <w:t>没有嫁给富有男子的妇女或没有男子可以做担保人的妇女也处于弱势地位。马拉维政府和其他重大利益相关者正通过利用小组体系作为其成员的担保人来解决这一问题。</w:t>
      </w:r>
    </w:p>
    <w:p w:rsidR="005052D3" w:rsidRDefault="005052D3">
      <w:pPr>
        <w:pStyle w:val="SingleTxt"/>
        <w:rPr>
          <w:rFonts w:ascii="SimHei" w:eastAsia="SimHei"/>
          <w:color w:val="FF0000"/>
        </w:rPr>
      </w:pPr>
      <w:r>
        <w:rPr>
          <w:rFonts w:ascii="SimHei" w:eastAsia="SimHei"/>
          <w:color w:val="FF0000"/>
        </w:rPr>
        <w:t xml:space="preserve">13.6  </w:t>
      </w:r>
      <w:r>
        <w:rPr>
          <w:rFonts w:ascii="SimHei" w:eastAsia="SimHei" w:hint="eastAsia"/>
          <w:color w:val="FF0000"/>
        </w:rPr>
        <w:t>娱乐设施、体育和文化生活的其他方面</w:t>
      </w:r>
    </w:p>
    <w:p w:rsidR="005052D3" w:rsidRDefault="005052D3">
      <w:pPr>
        <w:pStyle w:val="SingleTxt"/>
      </w:pPr>
      <w:r>
        <w:t xml:space="preserve">13.6.1  </w:t>
      </w:r>
      <w:r>
        <w:rPr>
          <w:rFonts w:hint="eastAsia"/>
        </w:rPr>
        <w:t>马拉维政府很长时间以来就已经意识到体育和文化的作用，因此成立了一个特别部。该部的作用就是支持和发展马拉维的体育和文化活动。</w:t>
      </w:r>
    </w:p>
    <w:p w:rsidR="005052D3" w:rsidRDefault="005052D3">
      <w:pPr>
        <w:pStyle w:val="SingleTxt"/>
      </w:pPr>
      <w:r>
        <w:t xml:space="preserve">13.6.2  </w:t>
      </w:r>
      <w:r>
        <w:rPr>
          <w:rFonts w:hint="eastAsia"/>
        </w:rPr>
        <w:t>妇女在文化中的作用已经女性化。农村地区的传统舞蹈为妇女、男子、女孩和男孩提供了最方便的娱乐活动。</w:t>
      </w:r>
    </w:p>
    <w:p w:rsidR="005052D3" w:rsidRDefault="005052D3">
      <w:pPr>
        <w:pStyle w:val="SingleTxt"/>
        <w:spacing w:after="120"/>
      </w:pPr>
      <w:r>
        <w:t xml:space="preserve">13.6.3  </w:t>
      </w:r>
      <w:r>
        <w:rPr>
          <w:rFonts w:hint="eastAsia"/>
        </w:rPr>
        <w:t>舞蹈分为男女混合舞蹈，并伴有歌唱。在每一个这样的场合，其风格分别由女性化和男性化的两种风格以在歌唱节奏和舞蹈花样上取得和谐。第二种舞蹈只有妇女参加。在这种舞蹈中，妇女控制自己的动作和花样，但这些动作和花样通常是表达社会及其丈夫对自己不公正的一种方式。男子开始时完全控制妇女的舞蹈。一些舞蹈，如</w:t>
      </w:r>
      <w:r>
        <w:t>Nyau</w:t>
      </w:r>
      <w:r>
        <w:rPr>
          <w:rFonts w:hint="eastAsia"/>
        </w:rPr>
        <w:t>，以秘密社团的形式存在，笼罩在神秘之中，有一些保存完好的口令和其他秘密。有时，一位妇女通过入门仪式进入秘密社团，用舞蹈的形式提供罕见的服务，被当作男子接纳为该社团成员。</w:t>
      </w:r>
    </w:p>
    <w:p w:rsidR="005052D3" w:rsidRDefault="005052D3">
      <w:pPr>
        <w:pStyle w:val="SingleTxt"/>
        <w:spacing w:after="120"/>
      </w:pPr>
      <w:r>
        <w:t xml:space="preserve">13.6.4  </w:t>
      </w:r>
      <w:r>
        <w:rPr>
          <w:rFonts w:hint="eastAsia"/>
        </w:rPr>
        <w:t>由于欧洲中心文化渗透到马拉维文化中，欧洲和北美洲的聚会形式日益正成为城市居民和年轻人的主要娱乐形式。夜总会文化也日益成为主导文化。农村地区，已婚男子可以和其妻子一起参加啤酒聚会，一起饮酒，一路唱歌回家。另一方面，城市地区参加夜总会的妇女被看作是妓女，道德沦丧。在农村地区，一些妇女抽烟或吸烟或吃烟，但她们仍然受到尊重，而城市和市郊的妇女如果这样，就会被看作是妓女和没有道德的人。</w:t>
      </w:r>
    </w:p>
    <w:p w:rsidR="005052D3" w:rsidRDefault="005052D3">
      <w:pPr>
        <w:pStyle w:val="SingleTxt"/>
        <w:spacing w:after="120"/>
      </w:pPr>
      <w:r>
        <w:t xml:space="preserve">13.6.5  </w:t>
      </w:r>
      <w:r>
        <w:rPr>
          <w:rFonts w:hint="eastAsia"/>
        </w:rPr>
        <w:t>妇女的其他娱乐形式是体育运动。在传统的马拉维社区，舞蹈和手工劳动往往完成了现代体育运动的作用。在一些情况下，妇女由于扮演三重角色而不能参加体育活动。</w:t>
      </w:r>
    </w:p>
    <w:p w:rsidR="005052D3" w:rsidRDefault="005052D3">
      <w:pPr>
        <w:pStyle w:val="SingleTxt"/>
        <w:spacing w:after="120"/>
      </w:pPr>
      <w:r>
        <w:t xml:space="preserve">13.6.6  </w:t>
      </w:r>
      <w:r>
        <w:rPr>
          <w:rFonts w:hint="eastAsia"/>
        </w:rPr>
        <w:t>但是，越来越多的年轻人没有像老一辈一样，使体育运动女性化或男性化。比如，马拉维拥有一支国家女子足球队，大学男生也玩落网球。</w:t>
      </w:r>
    </w:p>
    <w:p w:rsidR="005052D3" w:rsidRDefault="005052D3">
      <w:pPr>
        <w:pStyle w:val="SingleTxt"/>
        <w:spacing w:after="120"/>
      </w:pPr>
      <w:r>
        <w:t xml:space="preserve">13.6.7  </w:t>
      </w:r>
      <w:r>
        <w:rPr>
          <w:rFonts w:hint="eastAsia"/>
        </w:rPr>
        <w:t>马拉维体育运动的范围、频率和质量已经因为资金不足而呈下滑趋势。足球仍然是主要的运动项目，但参加各种体育活动的女孩人数在增加。由于电视和其他媒体娱乐形式的增加，越来越多的年轻人已成为文化和体育活动的观众，而非参与者。</w:t>
      </w:r>
      <w:r>
        <w:t xml:space="preserve"> </w:t>
      </w:r>
    </w:p>
    <w:p w:rsidR="005052D3" w:rsidRDefault="005052D3">
      <w:pPr>
        <w:pStyle w:val="SingleTxt"/>
        <w:spacing w:after="120"/>
        <w:rPr>
          <w:rFonts w:ascii="SimHei" w:eastAsia="SimHei"/>
          <w:color w:val="FF0000"/>
        </w:rPr>
      </w:pPr>
      <w:r>
        <w:rPr>
          <w:rFonts w:ascii="SimHei" w:eastAsia="SimHei"/>
          <w:color w:val="FF0000"/>
        </w:rPr>
        <w:t xml:space="preserve">13.7  </w:t>
      </w:r>
      <w:r>
        <w:rPr>
          <w:rFonts w:ascii="SimHei" w:eastAsia="SimHei" w:hint="eastAsia"/>
          <w:color w:val="FF0000"/>
        </w:rPr>
        <w:t>结论</w:t>
      </w:r>
    </w:p>
    <w:p w:rsidR="005052D3" w:rsidRDefault="005052D3">
      <w:pPr>
        <w:pStyle w:val="SingleTxt"/>
        <w:spacing w:after="120"/>
      </w:pPr>
      <w:r>
        <w:tab/>
      </w:r>
      <w:r>
        <w:rPr>
          <w:rFonts w:hint="eastAsia"/>
        </w:rPr>
        <w:t>社会保险、文化参与和体育都是反映了男女不平等和性别定型观念的领域，但也可以变成男女平等的源泉。越来越多的计划要求支助或弥补正在逐步削弱的传统社会保障体系。阻碍妇女利用信贷的不利条件也可以得到克服。根据2020年远景规划，马拉维在文化上是有潜在活力的，在体育方面也是活跃的。该国可以从其舞蹈、艺术和其他艺术形式的多样和悠久的文化中汲收营养。也可以在已有的传统和现代体育活动中加入新的体育活动。这样的潜力必须以下面的方式进行挖掘，即文化和体育能力和机会不再继续加固男女的定型观念，而是促进男女平等。</w:t>
      </w:r>
    </w:p>
    <w:p w:rsidR="005052D3" w:rsidRDefault="005052D3">
      <w:pPr>
        <w:pStyle w:val="H1"/>
        <w:spacing w:after="120"/>
        <w:ind w:left="1293"/>
      </w:pPr>
      <w:bookmarkStart w:id="45" w:name="_Toc33784421"/>
      <w:bookmarkStart w:id="46" w:name="_Toc377350760"/>
      <w:bookmarkStart w:id="47" w:name="_Toc83142702"/>
      <w:r>
        <w:rPr>
          <w:rFonts w:hint="eastAsia"/>
        </w:rPr>
        <w:t>第</w:t>
      </w:r>
      <w:r>
        <w:t>14</w:t>
      </w:r>
      <w:r>
        <w:rPr>
          <w:rFonts w:hint="eastAsia"/>
        </w:rPr>
        <w:t>条：农村妇女</w:t>
      </w:r>
      <w:bookmarkEnd w:id="45"/>
      <w:bookmarkEnd w:id="46"/>
      <w:bookmarkEnd w:id="47"/>
    </w:p>
    <w:p w:rsidR="005052D3" w:rsidRDefault="005052D3">
      <w:pPr>
        <w:tabs>
          <w:tab w:val="left" w:pos="840"/>
        </w:tabs>
        <w:spacing w:after="120" w:line="308" w:lineRule="exact"/>
        <w:ind w:left="1293"/>
        <w:rPr>
          <w:rFonts w:ascii="SimHei" w:eastAsia="SimHei"/>
          <w:bCs/>
          <w:color w:val="FF0000"/>
        </w:rPr>
      </w:pPr>
      <w:r>
        <w:rPr>
          <w:rFonts w:ascii="SimHei" w:eastAsia="SimHei"/>
          <w:bCs/>
          <w:color w:val="FF0000"/>
        </w:rPr>
        <w:t>14.1</w:t>
      </w:r>
      <w:r>
        <w:rPr>
          <w:rFonts w:ascii="SimHei" w:eastAsia="SimHei"/>
          <w:bCs/>
          <w:color w:val="FF0000"/>
        </w:rPr>
        <w:tab/>
        <w:t>《消除对妇女一切形式歧视公约》</w:t>
      </w:r>
      <w:r>
        <w:rPr>
          <w:rFonts w:ascii="SimHei" w:eastAsia="SimHei" w:hint="eastAsia"/>
          <w:bCs/>
          <w:color w:val="FF0000"/>
        </w:rPr>
        <w:t>标准</w:t>
      </w:r>
    </w:p>
    <w:p w:rsidR="005052D3" w:rsidRDefault="005052D3">
      <w:pPr>
        <w:pStyle w:val="SingleTxt"/>
        <w:spacing w:after="160"/>
        <w:ind w:left="2285" w:hanging="1021"/>
        <w:rPr>
          <w:rFonts w:ascii="KaiTi_GB2312" w:eastAsia="KaiTi_GB2312"/>
          <w:color w:val="0000FF"/>
          <w:spacing w:val="4"/>
        </w:rPr>
      </w:pPr>
      <w:r>
        <w:rPr>
          <w:rFonts w:ascii="KaiTi_GB2312" w:eastAsia="KaiTi_GB2312" w:hAnsi="SimSun" w:hint="eastAsia"/>
          <w:color w:val="0000FF"/>
          <w:spacing w:val="4"/>
        </w:rPr>
        <w:t>第14条</w:t>
      </w:r>
      <w:r>
        <w:rPr>
          <w:rFonts w:ascii="KaiTi_GB2312" w:eastAsia="KaiTi_GB2312" w:hint="eastAsia"/>
          <w:color w:val="0000FF"/>
          <w:spacing w:val="4"/>
        </w:rPr>
        <w:t>1</w:t>
      </w:r>
      <w:r>
        <w:rPr>
          <w:rFonts w:ascii="KaiTi_GB2312" w:eastAsia="KaiTi_GB2312"/>
          <w:color w:val="0000FF"/>
          <w:spacing w:val="4"/>
        </w:rPr>
        <w:t>.</w:t>
      </w:r>
      <w:r>
        <w:rPr>
          <w:rFonts w:ascii="KaiTi_GB2312" w:eastAsia="KaiTi_GB2312" w:hint="eastAsia"/>
          <w:color w:val="0000FF"/>
          <w:spacing w:val="4"/>
        </w:rPr>
        <w:t xml:space="preserve">缔约各国应考虑到农村妇女面对的特殊问题和她们对家庭生计包括她们在经济体系中无金钱交易的部门的工作方面所发挥的重要作用，并应采取一切适当措施，保证对农村地区妇女适用本公约的各项规定。 </w:t>
      </w:r>
    </w:p>
    <w:p w:rsidR="005052D3" w:rsidRDefault="005052D3">
      <w:pPr>
        <w:pStyle w:val="SingleTxt"/>
        <w:spacing w:after="160"/>
        <w:ind w:left="1695" w:hanging="431"/>
        <w:rPr>
          <w:rFonts w:ascii="KaiTi_GB2312" w:eastAsia="KaiTi_GB2312" w:hint="eastAsia"/>
          <w:color w:val="0000FF"/>
        </w:rPr>
      </w:pPr>
      <w:r>
        <w:rPr>
          <w:rFonts w:ascii="KaiTi_GB2312" w:eastAsia="KaiTi_GB2312" w:hint="eastAsia"/>
          <w:color w:val="0000FF"/>
        </w:rPr>
        <w:t>2.</w:t>
      </w:r>
      <w:r>
        <w:rPr>
          <w:rFonts w:ascii="KaiTi_GB2312" w:eastAsia="KaiTi_GB2312"/>
          <w:color w:val="0000FF"/>
        </w:rPr>
        <w:tab/>
      </w:r>
      <w:r>
        <w:rPr>
          <w:rFonts w:ascii="KaiTi_GB2312" w:eastAsia="KaiTi_GB2312" w:hint="eastAsia"/>
          <w:color w:val="0000FF"/>
        </w:rPr>
        <w:t xml:space="preserve">缔约各国应采取一切适当措施以消除对农村地区妇女的歧视，保证她们在男女平等的基础上参与农村发展并受其益惠，尤其是保证她们有权： </w:t>
      </w:r>
    </w:p>
    <w:p w:rsidR="005052D3" w:rsidRDefault="005052D3" w:rsidP="00B33158">
      <w:pPr>
        <w:tabs>
          <w:tab w:val="left" w:pos="1260"/>
        </w:tabs>
        <w:spacing w:after="160"/>
        <w:ind w:leftChars="400" w:left="31680" w:hangingChars="200" w:firstLine="31680"/>
        <w:rPr>
          <w:rFonts w:hint="eastAsia"/>
        </w:rPr>
      </w:pPr>
      <w:r>
        <w:tab/>
      </w:r>
      <w:r>
        <w:tab/>
      </w:r>
      <w:r>
        <w:tab/>
      </w:r>
      <w:r>
        <w:rPr>
          <w:rFonts w:hint="eastAsia"/>
        </w:rPr>
        <w:t xml:space="preserve">(a) </w:t>
      </w:r>
      <w:r>
        <w:tab/>
      </w:r>
      <w:r>
        <w:rPr>
          <w:rFonts w:eastAsia="KaiTi_GB2312" w:hint="eastAsia"/>
          <w:color w:val="0000FF"/>
        </w:rPr>
        <w:t>充分参与各级发展规划的拟订和执行工作</w:t>
      </w:r>
      <w:r>
        <w:rPr>
          <w:rFonts w:hint="eastAsia"/>
        </w:rPr>
        <w:t xml:space="preserve">； </w:t>
      </w:r>
    </w:p>
    <w:p w:rsidR="005052D3" w:rsidRDefault="005052D3" w:rsidP="00B33158">
      <w:pPr>
        <w:tabs>
          <w:tab w:val="left" w:pos="1260"/>
        </w:tabs>
        <w:spacing w:after="160"/>
        <w:ind w:leftChars="400" w:left="31680" w:hangingChars="200" w:firstLine="31680"/>
        <w:rPr>
          <w:rFonts w:hint="eastAsia"/>
        </w:rPr>
      </w:pPr>
      <w:r>
        <w:tab/>
      </w:r>
      <w:r>
        <w:tab/>
      </w:r>
      <w:r>
        <w:tab/>
      </w:r>
      <w:r>
        <w:rPr>
          <w:rFonts w:hint="eastAsia"/>
        </w:rPr>
        <w:t xml:space="preserve">(b) </w:t>
      </w:r>
      <w:r>
        <w:tab/>
      </w:r>
      <w:r>
        <w:rPr>
          <w:rFonts w:eastAsia="KaiTi_GB2312" w:hint="eastAsia"/>
          <w:color w:val="0000FF"/>
        </w:rPr>
        <w:t>有权利用充分的保健设施，包括计划生育方面的知识、辅导和服务</w:t>
      </w:r>
      <w:r>
        <w:rPr>
          <w:rFonts w:hint="eastAsia"/>
        </w:rPr>
        <w:t xml:space="preserve">； </w:t>
      </w:r>
    </w:p>
    <w:p w:rsidR="005052D3" w:rsidRDefault="005052D3" w:rsidP="00B33158">
      <w:pPr>
        <w:tabs>
          <w:tab w:val="left" w:pos="1260"/>
        </w:tabs>
        <w:spacing w:after="160"/>
        <w:ind w:leftChars="400" w:left="31680" w:hangingChars="200" w:firstLine="31680"/>
        <w:rPr>
          <w:rFonts w:hint="eastAsia"/>
        </w:rPr>
      </w:pPr>
      <w:r>
        <w:tab/>
      </w:r>
      <w:r>
        <w:tab/>
      </w:r>
      <w:r>
        <w:tab/>
      </w:r>
      <w:r>
        <w:rPr>
          <w:rFonts w:hint="eastAsia"/>
        </w:rPr>
        <w:t xml:space="preserve">(c) </w:t>
      </w:r>
      <w:r>
        <w:tab/>
      </w:r>
      <w:r>
        <w:rPr>
          <w:rFonts w:eastAsia="KaiTi_GB2312" w:hint="eastAsia"/>
          <w:color w:val="0000FF"/>
        </w:rPr>
        <w:t>从社会保障方案直接受益</w:t>
      </w:r>
      <w:r>
        <w:rPr>
          <w:rFonts w:hint="eastAsia"/>
        </w:rPr>
        <w:t xml:space="preserve">； </w:t>
      </w:r>
    </w:p>
    <w:p w:rsidR="005052D3" w:rsidRDefault="005052D3">
      <w:pPr>
        <w:pStyle w:val="SingleTxt"/>
        <w:spacing w:after="160"/>
        <w:ind w:left="2126" w:hanging="431"/>
        <w:rPr>
          <w:rFonts w:ascii="KaiTi_GB2312" w:eastAsia="KaiTi_GB2312" w:hint="eastAsia"/>
          <w:color w:val="0000FF"/>
        </w:rPr>
      </w:pPr>
      <w:r>
        <w:rPr>
          <w:rFonts w:ascii="KaiTi_GB2312" w:eastAsia="KaiTi_GB2312" w:hint="eastAsia"/>
          <w:color w:val="0000FF"/>
        </w:rPr>
        <w:t xml:space="preserve">(d) </w:t>
      </w:r>
      <w:r>
        <w:rPr>
          <w:rFonts w:ascii="KaiTi_GB2312" w:eastAsia="KaiTi_GB2312"/>
          <w:color w:val="0000FF"/>
        </w:rPr>
        <w:tab/>
      </w:r>
      <w:r>
        <w:rPr>
          <w:rFonts w:ascii="KaiTi_GB2312" w:eastAsia="KaiTi_GB2312" w:hint="eastAsia"/>
          <w:color w:val="0000FF"/>
        </w:rPr>
        <w:t xml:space="preserve">接受各种正式和非正式的培训和教育，包括实用识字的训练和教育在内，以及除了别的以外，享受一切社区服务和推广服务的益惠，以提高她们的技术熟练程度； </w:t>
      </w:r>
    </w:p>
    <w:p w:rsidR="005052D3" w:rsidRDefault="005052D3">
      <w:pPr>
        <w:pStyle w:val="SingleTxt"/>
        <w:spacing w:after="160"/>
        <w:ind w:left="2126" w:hanging="431"/>
        <w:rPr>
          <w:rFonts w:hint="eastAsia"/>
        </w:rPr>
      </w:pPr>
      <w:r>
        <w:rPr>
          <w:rFonts w:hint="eastAsia"/>
        </w:rPr>
        <w:t xml:space="preserve">(e) </w:t>
      </w:r>
      <w:r>
        <w:tab/>
      </w:r>
      <w:r>
        <w:rPr>
          <w:rFonts w:eastAsia="KaiTi_GB2312" w:hint="eastAsia"/>
          <w:color w:val="0000FF"/>
        </w:rPr>
        <w:t>组织自助团体和合作社，以通过受雇和自雇的途径取得平等的经济机会</w:t>
      </w:r>
      <w:r>
        <w:rPr>
          <w:rFonts w:hint="eastAsia"/>
        </w:rPr>
        <w:t xml:space="preserve">； </w:t>
      </w:r>
    </w:p>
    <w:p w:rsidR="005052D3" w:rsidRDefault="005052D3">
      <w:pPr>
        <w:pStyle w:val="SingleTxt"/>
        <w:spacing w:after="160"/>
        <w:ind w:left="2126" w:hanging="431"/>
        <w:rPr>
          <w:rFonts w:hint="eastAsia"/>
        </w:rPr>
      </w:pPr>
      <w:r>
        <w:rPr>
          <w:rFonts w:hint="eastAsia"/>
        </w:rPr>
        <w:t xml:space="preserve">(f) </w:t>
      </w:r>
      <w:r>
        <w:tab/>
      </w:r>
      <w:r>
        <w:rPr>
          <w:rFonts w:eastAsia="KaiTi_GB2312" w:hint="eastAsia"/>
          <w:color w:val="0000FF"/>
        </w:rPr>
        <w:t>参加一切社区活动</w:t>
      </w:r>
      <w:r>
        <w:rPr>
          <w:rFonts w:hint="eastAsia"/>
        </w:rPr>
        <w:t xml:space="preserve">； </w:t>
      </w:r>
    </w:p>
    <w:p w:rsidR="005052D3" w:rsidRDefault="005052D3">
      <w:pPr>
        <w:pStyle w:val="SingleTxt"/>
        <w:spacing w:after="160"/>
        <w:ind w:left="2126" w:hanging="431"/>
        <w:rPr>
          <w:rFonts w:hint="eastAsia"/>
        </w:rPr>
      </w:pPr>
      <w:r>
        <w:rPr>
          <w:rFonts w:hint="eastAsia"/>
        </w:rPr>
        <w:t xml:space="preserve">(g) </w:t>
      </w:r>
      <w:r>
        <w:tab/>
      </w:r>
      <w:r>
        <w:rPr>
          <w:rFonts w:eastAsia="KaiTi_GB2312" w:hint="eastAsia"/>
          <w:color w:val="0000FF"/>
        </w:rPr>
        <w:t>有机会取得农业信贷，利用销售设施，获得适当技术，并在土地改革和土地垦殖计划方面享有平等待遇</w:t>
      </w:r>
      <w:r>
        <w:rPr>
          <w:rFonts w:hint="eastAsia"/>
        </w:rPr>
        <w:t xml:space="preserve">； </w:t>
      </w:r>
    </w:p>
    <w:p w:rsidR="005052D3" w:rsidRDefault="005052D3">
      <w:pPr>
        <w:pStyle w:val="SingleTxt"/>
        <w:spacing w:after="160"/>
        <w:ind w:left="2126" w:hanging="431"/>
        <w:rPr>
          <w:rFonts w:hint="eastAsia"/>
        </w:rPr>
      </w:pPr>
      <w:r>
        <w:rPr>
          <w:rFonts w:hint="eastAsia"/>
        </w:rPr>
        <w:t xml:space="preserve">(h) </w:t>
      </w:r>
      <w:r>
        <w:rPr>
          <w:rFonts w:eastAsia="KaiTi_GB2312" w:hint="eastAsia"/>
          <w:color w:val="0000FF"/>
        </w:rPr>
        <w:t>享受适当的生活条件，特别是在住房、卫生、水电供应、交通和通讯等方面</w:t>
      </w:r>
      <w:r>
        <w:rPr>
          <w:rFonts w:hint="eastAsia"/>
        </w:rPr>
        <w:t>。</w:t>
      </w:r>
    </w:p>
    <w:p w:rsidR="005052D3" w:rsidRDefault="005052D3">
      <w:pPr>
        <w:numPr>
          <w:ilvl w:val="1"/>
          <w:numId w:val="22"/>
        </w:numPr>
        <w:tabs>
          <w:tab w:val="left" w:pos="840"/>
        </w:tabs>
        <w:spacing w:after="160"/>
        <w:ind w:left="1293" w:firstLine="0"/>
        <w:rPr>
          <w:rFonts w:eastAsia="SimHei"/>
          <w:bCs/>
          <w:color w:val="FF0000"/>
        </w:rPr>
      </w:pPr>
      <w:r>
        <w:rPr>
          <w:rFonts w:eastAsia="SimHei"/>
          <w:bCs/>
          <w:color w:val="FF0000"/>
        </w:rPr>
        <w:t xml:space="preserve">  </w:t>
      </w:r>
      <w:r>
        <w:rPr>
          <w:rFonts w:eastAsia="SimHei" w:hint="eastAsia"/>
          <w:bCs/>
          <w:color w:val="FF0000"/>
        </w:rPr>
        <w:t>导言</w:t>
      </w:r>
    </w:p>
    <w:p w:rsidR="005052D3" w:rsidRDefault="005052D3">
      <w:pPr>
        <w:pStyle w:val="SingleTxt"/>
        <w:spacing w:after="160"/>
      </w:pPr>
      <w:r>
        <w:t xml:space="preserve">14.2.1  </w:t>
      </w:r>
      <w:r>
        <w:rPr>
          <w:rFonts w:hint="eastAsia"/>
        </w:rPr>
        <w:t>马拉维主要是农业国家，8</w:t>
      </w:r>
      <w:r>
        <w:t>6.3%</w:t>
      </w:r>
      <w:r>
        <w:rPr>
          <w:rFonts w:hint="eastAsia"/>
        </w:rPr>
        <w:t>的妇女生活在农村地区。</w:t>
      </w:r>
      <w:r>
        <w:rPr>
          <w:rStyle w:val="FootnoteReference"/>
        </w:rPr>
        <w:footnoteReference w:id="114"/>
      </w:r>
      <w:r>
        <w:t xml:space="preserve"> </w:t>
      </w:r>
      <w:r>
        <w:rPr>
          <w:rFonts w:hint="eastAsia"/>
        </w:rPr>
        <w:t>根据马拉维宪法，生活标准质量是政府政策和立法是否成功的一个衡量指标。</w:t>
      </w:r>
      <w:r>
        <w:rPr>
          <w:rStyle w:val="FootnoteReference"/>
        </w:rPr>
        <w:footnoteReference w:id="115"/>
      </w:r>
      <w:r>
        <w:rPr>
          <w:rFonts w:hint="eastAsia"/>
        </w:rPr>
        <w:t>另外，宪法规定了农村妇女平等的发展权。</w:t>
      </w:r>
      <w:r>
        <w:rPr>
          <w:rStyle w:val="FootnoteReference"/>
        </w:rPr>
        <w:footnoteReference w:id="116"/>
      </w:r>
      <w:r>
        <w:rPr>
          <w:rFonts w:hint="eastAsia"/>
        </w:rPr>
        <w:t>农村妇女不得受到歧视。</w:t>
      </w:r>
      <w:r>
        <w:rPr>
          <w:rStyle w:val="FootnoteReference"/>
        </w:rPr>
        <w:footnoteReference w:id="117"/>
      </w:r>
    </w:p>
    <w:p w:rsidR="005052D3" w:rsidRDefault="005052D3">
      <w:pPr>
        <w:pStyle w:val="SingleTxt"/>
        <w:spacing w:after="160"/>
      </w:pPr>
      <w:r>
        <w:t xml:space="preserve">14.2.2  </w:t>
      </w:r>
      <w:r>
        <w:rPr>
          <w:rFonts w:hint="eastAsia"/>
        </w:rPr>
        <w:t>农村地区的总体生活质量较差，这可以从各种调查、咨询、政府报告和马拉维人类发展社会指数报告中反映出来。这些指数表明，妇女和儿童的贫困更加严重，和城市妇女相比，更多的农村妇女遭到不平等待遇，差距很大。此外，农村妇女比城市妇女更没有能力，她们无法实现其发展权和生殖健康权。下表说明农村地区的妇女不能为争取更安全的性关系而进行谈判。</w:t>
      </w:r>
    </w:p>
    <w:p w:rsidR="005052D3" w:rsidRDefault="005052D3">
      <w:pPr>
        <w:pStyle w:val="SingleTxt"/>
      </w:pP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82"/>
        <w:gridCol w:w="1529"/>
        <w:gridCol w:w="1529"/>
      </w:tblGrid>
      <w:tr w:rsidR="005052D3">
        <w:tblPrEx>
          <w:tblCellMar>
            <w:top w:w="0" w:type="dxa"/>
            <w:bottom w:w="0" w:type="dxa"/>
          </w:tblCellMar>
        </w:tblPrEx>
        <w:trPr>
          <w:cantSplit/>
          <w:trHeight w:val="260"/>
          <w:tblHeader/>
        </w:trPr>
        <w:tc>
          <w:tcPr>
            <w:tcW w:w="6782" w:type="dxa"/>
            <w:vMerge w:val="restart"/>
          </w:tcPr>
          <w:p w:rsidR="005052D3" w:rsidRDefault="005052D3">
            <w:pPr>
              <w:tabs>
                <w:tab w:val="left" w:pos="840"/>
              </w:tabs>
              <w:spacing w:line="240" w:lineRule="exact"/>
              <w:rPr>
                <w:rFonts w:eastAsia="KaiTi_GB2312" w:hint="eastAsia"/>
                <w:bCs/>
                <w:color w:val="0000FF"/>
                <w:sz w:val="14"/>
              </w:rPr>
            </w:pPr>
            <w:r>
              <w:br w:type="page"/>
            </w:r>
            <w:r>
              <w:rPr>
                <w:rFonts w:eastAsia="KaiTi_GB2312" w:hint="eastAsia"/>
                <w:bCs/>
                <w:color w:val="0000FF"/>
                <w:sz w:val="14"/>
              </w:rPr>
              <w:t>指数</w:t>
            </w:r>
          </w:p>
        </w:tc>
        <w:tc>
          <w:tcPr>
            <w:tcW w:w="3058" w:type="dxa"/>
            <w:gridSpan w:val="2"/>
          </w:tcPr>
          <w:p w:rsidR="005052D3" w:rsidRDefault="005052D3">
            <w:pPr>
              <w:tabs>
                <w:tab w:val="left" w:pos="840"/>
              </w:tabs>
              <w:spacing w:line="240" w:lineRule="exact"/>
              <w:jc w:val="center"/>
              <w:rPr>
                <w:rFonts w:eastAsia="KaiTi_GB2312" w:hint="eastAsia"/>
                <w:bCs/>
                <w:color w:val="0000FF"/>
                <w:sz w:val="14"/>
              </w:rPr>
            </w:pPr>
            <w:r>
              <w:rPr>
                <w:rFonts w:eastAsia="KaiTi_GB2312" w:hint="eastAsia"/>
                <w:bCs/>
                <w:color w:val="0000FF"/>
                <w:sz w:val="14"/>
              </w:rPr>
              <w:t>值</w:t>
            </w:r>
          </w:p>
        </w:tc>
      </w:tr>
      <w:tr w:rsidR="005052D3">
        <w:tblPrEx>
          <w:tblCellMar>
            <w:top w:w="0" w:type="dxa"/>
            <w:bottom w:w="0" w:type="dxa"/>
          </w:tblCellMar>
        </w:tblPrEx>
        <w:trPr>
          <w:cantSplit/>
          <w:trHeight w:val="220"/>
          <w:tblHeader/>
        </w:trPr>
        <w:tc>
          <w:tcPr>
            <w:tcW w:w="6782" w:type="dxa"/>
            <w:vMerge/>
          </w:tcPr>
          <w:p w:rsidR="005052D3" w:rsidRDefault="005052D3">
            <w:pPr>
              <w:tabs>
                <w:tab w:val="left" w:pos="840"/>
              </w:tabs>
              <w:spacing w:line="240" w:lineRule="exact"/>
              <w:rPr>
                <w:rFonts w:eastAsia="KaiTi_GB2312"/>
                <w:bCs/>
                <w:color w:val="0000FF"/>
                <w:sz w:val="14"/>
              </w:rPr>
            </w:pPr>
          </w:p>
        </w:tc>
        <w:tc>
          <w:tcPr>
            <w:tcW w:w="1529" w:type="dxa"/>
          </w:tcPr>
          <w:p w:rsidR="005052D3" w:rsidRDefault="005052D3">
            <w:pPr>
              <w:tabs>
                <w:tab w:val="left" w:pos="840"/>
              </w:tabs>
              <w:spacing w:line="240" w:lineRule="exact"/>
              <w:jc w:val="center"/>
              <w:rPr>
                <w:rFonts w:eastAsia="KaiTi_GB2312"/>
                <w:bCs/>
                <w:color w:val="0000FF"/>
                <w:sz w:val="14"/>
              </w:rPr>
            </w:pPr>
            <w:r>
              <w:rPr>
                <w:rFonts w:eastAsia="KaiTi_GB2312" w:hint="eastAsia"/>
                <w:bCs/>
                <w:color w:val="0000FF"/>
                <w:sz w:val="14"/>
              </w:rPr>
              <w:t>城市妇女</w:t>
            </w:r>
          </w:p>
        </w:tc>
        <w:tc>
          <w:tcPr>
            <w:tcW w:w="1529" w:type="dxa"/>
          </w:tcPr>
          <w:p w:rsidR="005052D3" w:rsidRDefault="005052D3">
            <w:pPr>
              <w:tabs>
                <w:tab w:val="left" w:pos="840"/>
              </w:tabs>
              <w:spacing w:line="240" w:lineRule="exact"/>
              <w:jc w:val="center"/>
              <w:rPr>
                <w:rFonts w:eastAsia="KaiTi_GB2312"/>
                <w:bCs/>
                <w:color w:val="0000FF"/>
                <w:sz w:val="14"/>
              </w:rPr>
            </w:pPr>
            <w:r>
              <w:rPr>
                <w:rFonts w:eastAsia="KaiTi_GB2312" w:hint="eastAsia"/>
                <w:bCs/>
                <w:color w:val="0000FF"/>
                <w:sz w:val="14"/>
              </w:rPr>
              <w:t>农村妇女</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6岁及6岁以上未受过教育</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11.7%</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31.1%</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小学净入学率</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87.5%</w:t>
            </w:r>
          </w:p>
        </w:tc>
        <w:tc>
          <w:tcPr>
            <w:tcW w:w="1529" w:type="dxa"/>
          </w:tcPr>
          <w:p w:rsidR="005052D3" w:rsidRDefault="005052D3" w:rsidP="00B33158">
            <w:pPr>
              <w:tabs>
                <w:tab w:val="left" w:pos="840"/>
              </w:tabs>
              <w:spacing w:before="40" w:after="80" w:line="250" w:lineRule="exact"/>
              <w:ind w:left="177" w:rightChars="150" w:right="31680"/>
              <w:jc w:val="right"/>
              <w:rPr>
                <w:rFonts w:hint="eastAsia"/>
                <w:sz w:val="18"/>
              </w:rPr>
            </w:pPr>
            <w:r>
              <w:rPr>
                <w:sz w:val="18"/>
              </w:rPr>
              <w:t>77.9</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中学净入学率</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30%</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5%</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未接触大众媒体</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20.7%</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50.7%</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收入现金</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38.5%</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24.2%</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由别人决定妇女如何使用所挣的钱</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10.9%</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37.8%</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对自己的健康保健无最终决定权</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42.6%</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54.9%</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同意至少一种殴打妻子的理由</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22.4%</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38.2%</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能以疲倦为借口拒绝性生活</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55.3%</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61.4%</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能因丈夫有其他性关系而拒绝与丈夫的性生活</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65.8%</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68.6%</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根本不能拒绝性生活</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21%</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15.8%</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总和生育率</w:t>
            </w:r>
          </w:p>
        </w:tc>
        <w:tc>
          <w:tcPr>
            <w:tcW w:w="1529" w:type="dxa"/>
          </w:tcPr>
          <w:p w:rsidR="005052D3" w:rsidRDefault="005052D3" w:rsidP="00B33158">
            <w:pPr>
              <w:tabs>
                <w:tab w:val="left" w:pos="840"/>
              </w:tabs>
              <w:spacing w:before="40" w:after="80" w:line="250" w:lineRule="exact"/>
              <w:ind w:left="177" w:rightChars="150" w:right="31680"/>
              <w:jc w:val="right"/>
              <w:rPr>
                <w:rFonts w:hint="eastAsia"/>
                <w:sz w:val="18"/>
              </w:rPr>
            </w:pPr>
            <w:r>
              <w:rPr>
                <w:sz w:val="18"/>
              </w:rPr>
              <w:t>4.5</w:t>
            </w:r>
          </w:p>
        </w:tc>
        <w:tc>
          <w:tcPr>
            <w:tcW w:w="1529" w:type="dxa"/>
          </w:tcPr>
          <w:p w:rsidR="005052D3" w:rsidRDefault="005052D3" w:rsidP="00B33158">
            <w:pPr>
              <w:tabs>
                <w:tab w:val="left" w:pos="840"/>
              </w:tabs>
              <w:spacing w:before="40" w:after="80" w:line="250" w:lineRule="exact"/>
              <w:ind w:left="177" w:rightChars="150" w:right="31680"/>
              <w:jc w:val="right"/>
              <w:rPr>
                <w:rFonts w:hint="eastAsia"/>
                <w:sz w:val="18"/>
              </w:rPr>
            </w:pPr>
            <w:r>
              <w:rPr>
                <w:sz w:val="18"/>
              </w:rPr>
              <w:t>6.7</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第一胎分娩的平均年龄</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20.1%</w:t>
            </w:r>
          </w:p>
        </w:tc>
        <w:tc>
          <w:tcPr>
            <w:tcW w:w="1529" w:type="dxa"/>
          </w:tcPr>
          <w:p w:rsidR="005052D3" w:rsidRDefault="005052D3" w:rsidP="00B33158">
            <w:pPr>
              <w:tabs>
                <w:tab w:val="left" w:pos="840"/>
              </w:tabs>
              <w:spacing w:before="40" w:after="80" w:line="250" w:lineRule="exact"/>
              <w:ind w:left="177" w:rightChars="150" w:right="31680"/>
              <w:jc w:val="right"/>
              <w:rPr>
                <w:rFonts w:hint="eastAsia"/>
                <w:sz w:val="18"/>
              </w:rPr>
            </w:pPr>
            <w:r>
              <w:rPr>
                <w:sz w:val="18"/>
              </w:rPr>
              <w:t>19.1</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青少年妊娠和分娩流行率</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27.1%</w:t>
            </w:r>
          </w:p>
        </w:tc>
        <w:tc>
          <w:tcPr>
            <w:tcW w:w="1529" w:type="dxa"/>
          </w:tcPr>
          <w:p w:rsidR="005052D3" w:rsidRDefault="005052D3" w:rsidP="00B33158">
            <w:pPr>
              <w:tabs>
                <w:tab w:val="left" w:pos="840"/>
              </w:tabs>
              <w:spacing w:before="40" w:after="80" w:line="250" w:lineRule="exact"/>
              <w:ind w:left="177" w:rightChars="150" w:right="31680"/>
              <w:jc w:val="right"/>
              <w:rPr>
                <w:rFonts w:hint="eastAsia"/>
                <w:sz w:val="18"/>
              </w:rPr>
            </w:pPr>
            <w:r>
              <w:rPr>
                <w:sz w:val="18"/>
              </w:rPr>
              <w:t>34.2</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避孕方法的知识</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99.9%</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98.2%</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使用避孕方法</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41.2%</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28.9%</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一夫多妻中的妇女</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8.5%</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18.5%</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20-49岁之间妇女的初婚平均年龄</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18.7%</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17.8%</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未满足计划生育的需要</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13.5%</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17.8%</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5岁以下婴儿死亡率(男女)</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147.9</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210.4</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5年内分娩时获得医生或护士帮助的妇女</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81.6%</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51.9%</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预防艾滋病方法的知识</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76.1%</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65.4%</w:t>
            </w:r>
          </w:p>
        </w:tc>
      </w:tr>
      <w:tr w:rsidR="005052D3">
        <w:tblPrEx>
          <w:tblCellMar>
            <w:top w:w="0" w:type="dxa"/>
            <w:bottom w:w="0" w:type="dxa"/>
          </w:tblCellMar>
        </w:tblPrEx>
        <w:tc>
          <w:tcPr>
            <w:tcW w:w="6782" w:type="dxa"/>
          </w:tcPr>
          <w:p w:rsidR="005052D3" w:rsidRDefault="005052D3" w:rsidP="00B33158">
            <w:pPr>
              <w:numPr>
                <w:ilvl w:val="0"/>
                <w:numId w:val="23"/>
              </w:numPr>
              <w:tabs>
                <w:tab w:val="left" w:pos="840"/>
              </w:tabs>
              <w:spacing w:before="40" w:after="80" w:line="250" w:lineRule="exact"/>
              <w:ind w:leftChars="177" w:left="31680" w:hanging="1"/>
              <w:rPr>
                <w:sz w:val="18"/>
              </w:rPr>
            </w:pPr>
            <w:r>
              <w:rPr>
                <w:rFonts w:hint="eastAsia"/>
                <w:sz w:val="18"/>
              </w:rPr>
              <w:t>拥有其他性伙伴的男子</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49.3%</w:t>
            </w:r>
          </w:p>
        </w:tc>
        <w:tc>
          <w:tcPr>
            <w:tcW w:w="1529" w:type="dxa"/>
          </w:tcPr>
          <w:p w:rsidR="005052D3" w:rsidRDefault="005052D3" w:rsidP="00B33158">
            <w:pPr>
              <w:tabs>
                <w:tab w:val="left" w:pos="840"/>
              </w:tabs>
              <w:spacing w:before="40" w:after="80" w:line="250" w:lineRule="exact"/>
              <w:ind w:left="177" w:rightChars="150" w:right="31680"/>
              <w:jc w:val="right"/>
              <w:rPr>
                <w:sz w:val="18"/>
              </w:rPr>
            </w:pPr>
            <w:r>
              <w:rPr>
                <w:sz w:val="18"/>
              </w:rPr>
              <w:t>34.8%</w:t>
            </w:r>
          </w:p>
        </w:tc>
      </w:tr>
    </w:tbl>
    <w:p w:rsidR="005052D3" w:rsidRDefault="005052D3">
      <w:pPr>
        <w:numPr>
          <w:ilvl w:val="1"/>
          <w:numId w:val="22"/>
        </w:numPr>
        <w:tabs>
          <w:tab w:val="left" w:pos="840"/>
        </w:tabs>
        <w:spacing w:before="120" w:after="120" w:line="360" w:lineRule="atLeast"/>
        <w:ind w:left="1293" w:firstLine="0"/>
        <w:rPr>
          <w:rFonts w:eastAsia="SimHei"/>
          <w:bCs/>
          <w:color w:val="FF0000"/>
        </w:rPr>
      </w:pPr>
      <w:r>
        <w:rPr>
          <w:rFonts w:eastAsia="SimHei"/>
          <w:bCs/>
          <w:color w:val="FF0000"/>
        </w:rPr>
        <w:t xml:space="preserve">  </w:t>
      </w:r>
      <w:r>
        <w:rPr>
          <w:rFonts w:eastAsia="SimHei" w:hint="eastAsia"/>
          <w:bCs/>
          <w:color w:val="FF0000"/>
        </w:rPr>
        <w:t>农村妇女的角色及限制</w:t>
      </w:r>
    </w:p>
    <w:p w:rsidR="005052D3" w:rsidRDefault="005052D3">
      <w:pPr>
        <w:pStyle w:val="SingleTxt"/>
      </w:pPr>
      <w:r>
        <w:t xml:space="preserve">14.3.1  </w:t>
      </w:r>
      <w:r>
        <w:rPr>
          <w:rFonts w:hint="eastAsia"/>
        </w:rPr>
        <w:t>农村地区的妇女遇到了某些问题或与城市妇女相类似的问题，但在权利剥夺、排外和剥削方面的程度更为严重。马拉维农村妇女有三个突出的问题。第一个是严重缺乏生产要素，导致劳动力的浪费。1998年，</w:t>
      </w:r>
      <w:r>
        <w:t>65%</w:t>
      </w:r>
      <w:r>
        <w:rPr>
          <w:rFonts w:hint="eastAsia"/>
        </w:rPr>
        <w:t>的农村人口主要是自耕自给的农民，其中妇女占80%。农村人口缺少买得起的合适工具、器具以及诸如化肥和种子等其他农业投入。他们缺乏技术，主要使用手动锄头作为不可或缺的工具。虽然农村社区承认，男女共同承担农业角色，但妇女每天花在农业劳动上的时间为9小时，而男子花在农业劳动上的时间只有5小时。</w:t>
      </w:r>
    </w:p>
    <w:p w:rsidR="005052D3" w:rsidRDefault="005052D3">
      <w:pPr>
        <w:pStyle w:val="SingleTxt"/>
        <w:spacing w:after="120"/>
      </w:pPr>
      <w:r>
        <w:t xml:space="preserve">14.3.2  </w:t>
      </w:r>
      <w:r>
        <w:rPr>
          <w:rFonts w:hint="eastAsia"/>
        </w:rPr>
        <w:t>其次，农村妇女要步行</w:t>
      </w:r>
      <w:r>
        <w:t>1-5</w:t>
      </w:r>
      <w:r>
        <w:rPr>
          <w:rFonts w:hint="eastAsia"/>
        </w:rPr>
        <w:t>公里去打柴和打水，只有35%的人口可以使用受到保护的水，而65%的人口使用的是未受保护的资源和不清洁水。</w:t>
      </w:r>
    </w:p>
    <w:p w:rsidR="005052D3" w:rsidRDefault="005052D3">
      <w:pPr>
        <w:pStyle w:val="SingleTxt"/>
        <w:spacing w:after="120"/>
        <w:rPr>
          <w:spacing w:val="2"/>
        </w:rPr>
      </w:pPr>
      <w:r>
        <w:rPr>
          <w:spacing w:val="2"/>
        </w:rPr>
        <w:t xml:space="preserve">14.3.3  </w:t>
      </w:r>
      <w:r>
        <w:rPr>
          <w:rFonts w:hint="eastAsia"/>
          <w:spacing w:val="2"/>
        </w:rPr>
        <w:t>第三，农村地区的妇女会受到不良传统和文化习俗的影响，这样的习俗包括对妻子的继承和排除在社区主要领导职位之外，如领导一个村庄。殴打妻子在农村地区通常被看作是矫正的措施。与农村基层社区的接触说明，殴打妻子的做法仍然盛行。妇女也承认，她们的丈夫决定孩子的数量以及孩子之间的间隔，妇女的任何反抗可能会导致被打或婚姻瓦解。2000年马拉维人口统计和健康调查</w:t>
      </w:r>
      <w:r>
        <w:rPr>
          <w:rStyle w:val="FootnoteReference"/>
          <w:spacing w:val="2"/>
        </w:rPr>
        <w:footnoteReference w:id="118"/>
      </w:r>
      <w:r>
        <w:rPr>
          <w:rFonts w:hint="eastAsia"/>
          <w:spacing w:val="2"/>
        </w:rPr>
        <w:t>表明，38%的农村妇女至少同意有一种原因可以殴打妻子，而城市妇女中有22%持这种看法。人们相信，甚至在文化层面上被灌输，殴打妻子是婚姻的调解方法。事实上，男子为妇女支付嫁妆，这有时也被当作殴打妻子的一个理由，从而给人这样一种印象，即这种做法成为一种交易，使妇女成了一种财产。尽管如此，支付嫁妆仍然是婚姻仪式的一部分，还没有任何措施来制止这一做法。</w:t>
      </w:r>
    </w:p>
    <w:p w:rsidR="005052D3" w:rsidRDefault="005052D3">
      <w:pPr>
        <w:pStyle w:val="SingleTxt"/>
        <w:spacing w:after="120"/>
      </w:pPr>
      <w:r>
        <w:t xml:space="preserve">14.3.4  </w:t>
      </w:r>
      <w:r>
        <w:rPr>
          <w:rFonts w:hint="eastAsia"/>
        </w:rPr>
        <w:t>农村妇女在维持家庭生计和社区生活中起着重要作用。农村妇女占农业劳动力的</w:t>
      </w:r>
      <w:r>
        <w:t>69%</w:t>
      </w:r>
      <w:r>
        <w:rPr>
          <w:rFonts w:hint="eastAsia"/>
        </w:rPr>
        <w:t>，而男子只占</w:t>
      </w:r>
      <w:r>
        <w:t xml:space="preserve"> 31%</w:t>
      </w:r>
      <w:r>
        <w:rPr>
          <w:rFonts w:hint="eastAsia"/>
        </w:rPr>
        <w:t>，妇女生产整个家庭粮食的</w:t>
      </w:r>
      <w:r>
        <w:t>80%</w:t>
      </w:r>
      <w:r>
        <w:rPr>
          <w:rFonts w:hint="eastAsia"/>
        </w:rPr>
        <w:t>，而男子只生产</w:t>
      </w:r>
      <w:r>
        <w:t>20%</w:t>
      </w:r>
      <w:r>
        <w:rPr>
          <w:rFonts w:hint="eastAsia"/>
        </w:rPr>
        <w:t>。妇女加工全国粮食的</w:t>
      </w:r>
      <w:r>
        <w:t>90%</w:t>
      </w:r>
      <w:r>
        <w:rPr>
          <w:rFonts w:hint="eastAsia"/>
        </w:rPr>
        <w:t>，占茶叶和烟草产业部门临时工的</w:t>
      </w:r>
      <w:r>
        <w:t>71%</w:t>
      </w:r>
      <w:r>
        <w:rPr>
          <w:rFonts w:hint="eastAsia"/>
        </w:rPr>
        <w:t>。在家里，农村妇女的角色包括为家庭成员准备食物，清洁，获取最基本的家庭必需品，如柴火、水和食物。在饥饿和贫困加剧的情况下，男子承担了越来越多的任务，但妇女还是过多地承担了大量的工作。</w:t>
      </w:r>
      <w:r>
        <w:t xml:space="preserve"> </w:t>
      </w:r>
    </w:p>
    <w:p w:rsidR="005052D3" w:rsidRDefault="005052D3">
      <w:pPr>
        <w:pStyle w:val="SingleTxt"/>
        <w:spacing w:after="120"/>
      </w:pPr>
      <w:r>
        <w:t xml:space="preserve">14.3.5  </w:t>
      </w:r>
      <w:r>
        <w:rPr>
          <w:rFonts w:hint="eastAsia"/>
        </w:rPr>
        <w:t>从文化角度讲，农村地区的妇女尽管得到男子的帮助很少，但其价值是根据其生殖角色来评估的。农村地区的妇女生育率很高，平均每名妇女生育6.7个子女，而城市妇女的生育率为4.5个子女。没有受过正规教育的妇女大多分布在农村地区，一生平均生育</w:t>
      </w:r>
      <w:r>
        <w:t>7.3</w:t>
      </w:r>
      <w:r>
        <w:rPr>
          <w:rFonts w:hint="eastAsia"/>
        </w:rPr>
        <w:t>个子女，而受过中等教育和高等教育的妇女每人平均生育</w:t>
      </w:r>
      <w:r>
        <w:t>3.0</w:t>
      </w:r>
      <w:r>
        <w:rPr>
          <w:rFonts w:hint="eastAsia"/>
        </w:rPr>
        <w:t>个子女。</w:t>
      </w:r>
      <w:r>
        <w:rPr>
          <w:rStyle w:val="FootnoteReference"/>
        </w:rPr>
        <w:footnoteReference w:id="119"/>
      </w:r>
      <w:r>
        <w:t xml:space="preserve"> </w:t>
      </w:r>
      <w:r>
        <w:rPr>
          <w:rFonts w:hint="eastAsia"/>
        </w:rPr>
        <w:t>在农村地区，农村妇女的生育能力和服务被看作是维持世系和社会地位的基本条件。如果不能生育子女，就会导致离婚。</w:t>
      </w:r>
    </w:p>
    <w:p w:rsidR="005052D3" w:rsidRDefault="005052D3">
      <w:pPr>
        <w:numPr>
          <w:ilvl w:val="1"/>
          <w:numId w:val="22"/>
        </w:numPr>
        <w:tabs>
          <w:tab w:val="left" w:pos="840"/>
        </w:tabs>
        <w:spacing w:after="120" w:line="320" w:lineRule="atLeast"/>
        <w:ind w:left="1293" w:firstLine="0"/>
        <w:rPr>
          <w:rFonts w:eastAsia="SimHei"/>
          <w:bCs/>
          <w:color w:val="FF0000"/>
        </w:rPr>
      </w:pPr>
      <w:r>
        <w:rPr>
          <w:rFonts w:eastAsia="SimHei"/>
          <w:bCs/>
          <w:color w:val="FF0000"/>
        </w:rPr>
        <w:t xml:space="preserve">  </w:t>
      </w:r>
      <w:r>
        <w:rPr>
          <w:rFonts w:eastAsia="SimHei" w:hint="eastAsia"/>
          <w:bCs/>
          <w:color w:val="FF0000"/>
        </w:rPr>
        <w:t>农村地区的歧视</w:t>
      </w:r>
    </w:p>
    <w:p w:rsidR="005052D3" w:rsidRDefault="005052D3">
      <w:pPr>
        <w:pStyle w:val="SingleTxt"/>
        <w:spacing w:after="120" w:line="314" w:lineRule="exact"/>
      </w:pPr>
      <w:r>
        <w:t xml:space="preserve">14.4.1  </w:t>
      </w:r>
      <w:r>
        <w:rPr>
          <w:rFonts w:hint="eastAsia"/>
        </w:rPr>
        <w:t>农村地区的妇女在定型观念中被看作是服从于男子的，是生育工具，较之男子是弱者。城市妇女能够穿长裤，而在农村地区，妇女穿长裤还不被人们接受。这是因为大多数社区还不能接受在穿着上的变化。尽管很多舞蹈和仪式均有男子和妇女参加，但一些规则和活动只为男子保留，除非某位妇女证明有着阳刚之气，获得男子的尊重和接受。例如，在Chewa中间，一种叫作</w:t>
      </w:r>
      <w:r>
        <w:t>nyau</w:t>
      </w:r>
      <w:r>
        <w:rPr>
          <w:rFonts w:hint="eastAsia"/>
        </w:rPr>
        <w:t>的祖</w:t>
      </w:r>
      <w:r>
        <w:rPr>
          <w:rFonts w:hint="eastAsia"/>
          <w:iCs/>
        </w:rPr>
        <w:t>传秘密舞蹈分为两个部分，一部分是适合男子的，另一部分适合妇女。如果愿意，妇女可以参加男子的角色，但她们要通过正式启蒙仪式加入男子的部分，而男子不应加入妇女的部分。</w:t>
      </w:r>
    </w:p>
    <w:p w:rsidR="005052D3" w:rsidRDefault="005052D3">
      <w:pPr>
        <w:pStyle w:val="SingleTxt"/>
        <w:spacing w:after="120" w:line="314" w:lineRule="exact"/>
      </w:pPr>
      <w:r>
        <w:t xml:space="preserve">14.4.2  </w:t>
      </w:r>
      <w:r>
        <w:rPr>
          <w:rFonts w:hint="eastAsia"/>
        </w:rPr>
        <w:t>农村妇女在地位上受到了歧视。未婚妇女和已婚妇女相比，普遍受到没有尊严的待遇。那些离婚的妇女通常被认为是未能支撑家庭，有时甚至被看作是不道德的。这是因为婚姻证明自己在所有妇女中的地位、责任和受到的尊重情况。没有子女的妇女通常因其不能生育而受到讥笑。如果不离婚</w:t>
      </w:r>
      <w:r>
        <w:rPr>
          <w:rFonts w:hint="eastAsia"/>
          <w:lang w:val="en-GB"/>
        </w:rPr>
        <w:t>，</w:t>
      </w:r>
      <w:r>
        <w:rPr>
          <w:rFonts w:hint="eastAsia"/>
        </w:rPr>
        <w:t>没有生育能力也是马拉维许多人中间一夫多妻制的理由。生活在男方家里的妇女经常被排除在一些角色之外，被认为应该更有礼貌、更卖力气、更顺从，而且比“村民”更没有权力。但生活在女方村子里的丈夫也受到同等的待遇。生活在男方村庄的夫妇有时会因为被看作是反传统或“在行为上表现出该村似乎是他们的村”而受到被临时或长期驱逐出村的威胁。</w:t>
      </w:r>
    </w:p>
    <w:p w:rsidR="005052D3" w:rsidRDefault="005052D3">
      <w:pPr>
        <w:pStyle w:val="SingleTxt"/>
        <w:spacing w:after="120" w:line="314" w:lineRule="exact"/>
      </w:pPr>
      <w:r>
        <w:t xml:space="preserve">14.4.3  </w:t>
      </w:r>
      <w:r>
        <w:rPr>
          <w:rFonts w:hint="eastAsia"/>
        </w:rPr>
        <w:t>习惯法和成文法更促成了对妇女的歧视。例如</w:t>
      </w:r>
      <w:r>
        <w:rPr>
          <w:rFonts w:hint="eastAsia"/>
          <w:lang w:val="en-GB"/>
        </w:rPr>
        <w:t>，《遗嘱和继承法》</w:t>
      </w:r>
      <w:r>
        <w:rPr>
          <w:rStyle w:val="FootnoteReference"/>
        </w:rPr>
        <w:footnoteReference w:id="120"/>
      </w:r>
      <w:r>
        <w:t xml:space="preserve"> </w:t>
      </w:r>
      <w:r>
        <w:rPr>
          <w:rFonts w:hint="eastAsia"/>
        </w:rPr>
        <w:t>规定，婚后生活在男方家里的妇女，如果丈夫在没有立下遗嘱的情况下去世，有权获得五分之三的遗产，余下部分由其他继承人继承。而婚后生活在女方家里的妇女可获得一半的遗产，余下部分由其他继承人获得。而</w:t>
      </w:r>
      <w:r>
        <w:rPr>
          <w:rFonts w:hint="eastAsia"/>
          <w:lang w:val="en-GB"/>
        </w:rPr>
        <w:t>非</w:t>
      </w:r>
      <w:r>
        <w:rPr>
          <w:rFonts w:hint="eastAsia"/>
        </w:rPr>
        <w:t>马拉维妇女保证至少可以获得财产的前10 000克瓦查。</w:t>
      </w:r>
    </w:p>
    <w:p w:rsidR="005052D3" w:rsidRDefault="005052D3">
      <w:pPr>
        <w:numPr>
          <w:ilvl w:val="1"/>
          <w:numId w:val="22"/>
        </w:numPr>
        <w:tabs>
          <w:tab w:val="left" w:pos="840"/>
        </w:tabs>
        <w:spacing w:after="120" w:line="314" w:lineRule="exact"/>
        <w:ind w:left="1293" w:firstLine="0"/>
        <w:rPr>
          <w:rFonts w:eastAsia="SimHei"/>
          <w:bCs/>
          <w:color w:val="FF0000"/>
        </w:rPr>
      </w:pPr>
      <w:r>
        <w:rPr>
          <w:rFonts w:eastAsia="SimHei"/>
          <w:bCs/>
          <w:color w:val="FF0000"/>
        </w:rPr>
        <w:t xml:space="preserve">  </w:t>
      </w:r>
      <w:r>
        <w:rPr>
          <w:rFonts w:eastAsia="SimHei" w:hint="eastAsia"/>
          <w:bCs/>
          <w:color w:val="FF0000"/>
        </w:rPr>
        <w:t>发展活动的组织和实施</w:t>
      </w:r>
    </w:p>
    <w:p w:rsidR="005052D3" w:rsidRDefault="005052D3">
      <w:pPr>
        <w:pStyle w:val="SingleTxt"/>
        <w:spacing w:after="120" w:line="314" w:lineRule="exact"/>
      </w:pPr>
      <w:r>
        <w:t xml:space="preserve">14.5.1  </w:t>
      </w:r>
      <w:r>
        <w:rPr>
          <w:rFonts w:hint="eastAsia"/>
        </w:rPr>
        <w:t>马拉维政府与非政府组织和国际发展机构合作，正越来越多地参与农村发展计划。在制定国家政策时征求农村妇女、男子、女孩和男孩的意见，这些政策包括国家性别政策、土地政策和青年政策。</w:t>
      </w:r>
      <w:r>
        <w:rPr>
          <w:rStyle w:val="FootnoteReference"/>
        </w:rPr>
        <w:footnoteReference w:id="121"/>
      </w:r>
      <w:r>
        <w:t xml:space="preserve">  </w:t>
      </w:r>
    </w:p>
    <w:p w:rsidR="005052D3" w:rsidRDefault="005052D3">
      <w:pPr>
        <w:pStyle w:val="SingleTxt"/>
        <w:spacing w:after="120" w:line="314" w:lineRule="exact"/>
      </w:pPr>
      <w:r>
        <w:t xml:space="preserve">14.5.2  </w:t>
      </w:r>
      <w:r>
        <w:rPr>
          <w:rFonts w:hint="eastAsia"/>
        </w:rPr>
        <w:t>在征求农村妇女、男子、女孩和男孩的意见时，发展计划中的工作人员在农村地区征求意见过程中常常与社区的领导打交道，比如与酋长，而这些人大多是男子。处于弱势地位的妇女，如寡妇，通常是发展计划工作人员所看不到的，所以这些人没有说话的机会，不能在自身的发展中发挥重要的作用。但自1994年起，在农村地区为从事农业的妇女开展了许多发展计划。其中有一项计划通过开发计划署资助的一个项目加强了工作，旨在改善为农村妇女提供的农业推广服务。通过该计划，妇女获得培训和推广服务的机会有所增加。妇女团体参与到各种种子作物、经济作物（如白莱芋烟）的种植中和牲畜（如家禽和奶牛）的饲养中。在报告期间，有更多的农村妇女参与到发展规划中。例如，为妇女加入发展委员会、培训计划和考察旅行的人数设立了具体目标。</w:t>
      </w:r>
      <w:r>
        <w:t xml:space="preserve"> </w:t>
      </w:r>
    </w:p>
    <w:p w:rsidR="005052D3" w:rsidRDefault="005052D3">
      <w:pPr>
        <w:numPr>
          <w:ilvl w:val="1"/>
          <w:numId w:val="22"/>
        </w:numPr>
        <w:tabs>
          <w:tab w:val="left" w:pos="840"/>
        </w:tabs>
        <w:spacing w:after="120" w:line="314" w:lineRule="exact"/>
        <w:ind w:left="1293" w:firstLine="0"/>
        <w:rPr>
          <w:rFonts w:eastAsia="SimHei"/>
          <w:bCs/>
          <w:color w:val="FF0000"/>
        </w:rPr>
      </w:pPr>
      <w:r>
        <w:rPr>
          <w:rFonts w:eastAsia="SimHei"/>
          <w:bCs/>
          <w:color w:val="FF0000"/>
        </w:rPr>
        <w:t xml:space="preserve">  </w:t>
      </w:r>
      <w:r>
        <w:rPr>
          <w:rFonts w:eastAsia="SimHei" w:hint="eastAsia"/>
          <w:bCs/>
          <w:color w:val="FF0000"/>
        </w:rPr>
        <w:t>对卫生保健设施的利用</w:t>
      </w:r>
    </w:p>
    <w:p w:rsidR="005052D3" w:rsidRDefault="005052D3">
      <w:pPr>
        <w:pStyle w:val="SingleTxt"/>
      </w:pPr>
      <w:r>
        <w:rPr>
          <w:spacing w:val="2"/>
        </w:rPr>
        <w:t xml:space="preserve">14.6.1  </w:t>
      </w:r>
      <w:r>
        <w:rPr>
          <w:rFonts w:hint="eastAsia"/>
          <w:spacing w:val="2"/>
        </w:rPr>
        <w:t>妇女对卫生保健设施的利用仍然是有限的。例如，城市儿童的死亡率是148‰，而农村地区为</w:t>
      </w:r>
      <w:r>
        <w:rPr>
          <w:spacing w:val="2"/>
        </w:rPr>
        <w:t xml:space="preserve">   </w:t>
      </w:r>
      <w:r>
        <w:rPr>
          <w:rFonts w:hint="eastAsia"/>
          <w:spacing w:val="2"/>
        </w:rPr>
        <w:t>210‰。</w:t>
      </w:r>
      <w:r>
        <w:rPr>
          <w:rFonts w:hint="eastAsia"/>
        </w:rPr>
        <w:t>马拉维妇女在利用卫生保健服务和设施方面面临的最严重问题是交通工具。她们不得不长途跋涉寻求卫生保健服务。平均说来，</w:t>
      </w:r>
      <w:r>
        <w:t>41.5%</w:t>
      </w:r>
      <w:r>
        <w:rPr>
          <w:rFonts w:hint="eastAsia"/>
        </w:rPr>
        <w:t>的农村妇女、男子、女孩和男孩要跋涉一个小时才能找到卫生机构，而在城市，这一比例为</w:t>
      </w:r>
      <w:r>
        <w:t>12.2%</w:t>
      </w:r>
      <w:r>
        <w:rPr>
          <w:rFonts w:hint="eastAsia"/>
        </w:rPr>
        <w:t>。</w:t>
      </w:r>
      <w:r>
        <w:rPr>
          <w:rStyle w:val="FootnoteReference"/>
        </w:rPr>
        <w:footnoteReference w:id="122"/>
      </w:r>
    </w:p>
    <w:p w:rsidR="005052D3" w:rsidRDefault="005052D3">
      <w:pPr>
        <w:pStyle w:val="SingleTxt"/>
      </w:pPr>
      <w:r>
        <w:t xml:space="preserve">14.6.2  </w:t>
      </w:r>
      <w:r>
        <w:rPr>
          <w:rFonts w:hint="eastAsia"/>
        </w:rPr>
        <w:t>对产前服务的利用相当高，整个国家为91%。农村妇女为</w:t>
      </w:r>
      <w:r>
        <w:t>90.6%</w:t>
      </w:r>
      <w:r>
        <w:rPr>
          <w:rFonts w:hint="eastAsia"/>
        </w:rPr>
        <w:t>，而城市妇女为</w:t>
      </w:r>
      <w:r>
        <w:t>97.3%</w:t>
      </w:r>
      <w:r>
        <w:rPr>
          <w:rFonts w:hint="eastAsia"/>
        </w:rPr>
        <w:t>。农村和城市地区的产前服务质量有很大的差别。</w:t>
      </w:r>
      <w:r>
        <w:rPr>
          <w:rStyle w:val="FootnoteReference"/>
        </w:rPr>
        <w:footnoteReference w:id="123"/>
      </w:r>
    </w:p>
    <w:p w:rsidR="005052D3" w:rsidRDefault="005052D3">
      <w:pPr>
        <w:pStyle w:val="SingleTxt"/>
        <w:spacing w:after="120"/>
      </w:pPr>
      <w:r>
        <w:t xml:space="preserve">14.6.3  </w:t>
      </w:r>
      <w:r>
        <w:rPr>
          <w:rFonts w:hint="eastAsia"/>
        </w:rPr>
        <w:t>马拉维的高生育水平源于未计划的妊娠。与城市妇女相比，农村妇女中计划外、不合时宜以及不必要的生育更加普遍。农村和城市地区计划内生育率分别为</w:t>
      </w:r>
      <w:r>
        <w:t>5.5</w:t>
      </w:r>
      <w:r>
        <w:rPr>
          <w:rFonts w:hint="eastAsia"/>
        </w:rPr>
        <w:t>和</w:t>
      </w:r>
      <w:r>
        <w:t>3.5</w:t>
      </w:r>
      <w:r>
        <w:rPr>
          <w:rFonts w:hint="eastAsia"/>
        </w:rPr>
        <w:t>个子女。</w:t>
      </w:r>
      <w:r>
        <w:t xml:space="preserve"> </w:t>
      </w:r>
      <w:r>
        <w:rPr>
          <w:rFonts w:hint="eastAsia"/>
        </w:rPr>
        <w:t>农村地区未满足的计划生育需求为</w:t>
      </w:r>
      <w:r>
        <w:t>30.5%</w:t>
      </w:r>
      <w:r>
        <w:rPr>
          <w:rFonts w:hint="eastAsia"/>
        </w:rPr>
        <w:t>，而城市妇女为</w:t>
      </w:r>
      <w:r>
        <w:t>19.2%</w:t>
      </w:r>
      <w:r>
        <w:rPr>
          <w:rFonts w:hint="eastAsia"/>
        </w:rPr>
        <w:t>。</w:t>
      </w:r>
    </w:p>
    <w:p w:rsidR="005052D3" w:rsidRDefault="005052D3">
      <w:pPr>
        <w:pStyle w:val="SingleTxt"/>
        <w:spacing w:after="120"/>
      </w:pPr>
      <w:r>
        <w:t xml:space="preserve">14.6.4  </w:t>
      </w:r>
      <w:r>
        <w:rPr>
          <w:rFonts w:hint="eastAsia"/>
        </w:rPr>
        <w:t>城市妇女避孕的人数增加了60%，农村妇女增加了38%。城市妇女更倾向于使用避孕方法，人数为38%，农村妇女则为24%。</w:t>
      </w:r>
      <w:r>
        <w:t xml:space="preserve"> </w:t>
      </w:r>
    </w:p>
    <w:p w:rsidR="005052D3" w:rsidRDefault="005052D3">
      <w:pPr>
        <w:pStyle w:val="SingleTxt"/>
        <w:spacing w:after="120"/>
        <w:rPr>
          <w:spacing w:val="-2"/>
        </w:rPr>
      </w:pPr>
      <w:r>
        <w:rPr>
          <w:spacing w:val="-2"/>
        </w:rPr>
        <w:t xml:space="preserve">14.6.5  </w:t>
      </w:r>
      <w:r>
        <w:rPr>
          <w:rFonts w:hint="eastAsia"/>
          <w:spacing w:val="-2"/>
        </w:rPr>
        <w:t>营养不良在马拉维依然很常见并且很严重。例如，男孩的成长可能比女孩受到更大的影响。如25.8%的男孩发育迟缓，低于三个标准偏差点，女孩的人数则为23%。在农村地区男孩发育迟缓的比例为26.1%，城市地区为13.5%。15至49岁的女子中，肥胖者在城市地区占25%，农村地区占10%，这增加了患心血管疾病和孕期并发症的危险。农村妇女营养不良的比例为9.4%，城市地区为5.5%。</w:t>
      </w:r>
      <w:r>
        <w:rPr>
          <w:rStyle w:val="FootnoteReference"/>
          <w:spacing w:val="-2"/>
        </w:rPr>
        <w:footnoteReference w:id="124"/>
      </w:r>
    </w:p>
    <w:p w:rsidR="005052D3" w:rsidRDefault="005052D3">
      <w:pPr>
        <w:numPr>
          <w:ilvl w:val="1"/>
          <w:numId w:val="22"/>
        </w:numPr>
        <w:tabs>
          <w:tab w:val="left" w:pos="840"/>
        </w:tabs>
        <w:spacing w:after="120"/>
        <w:ind w:left="1293" w:firstLine="0"/>
        <w:rPr>
          <w:rFonts w:eastAsia="SimHei"/>
          <w:bCs/>
          <w:color w:val="FF0000"/>
        </w:rPr>
      </w:pPr>
      <w:r>
        <w:rPr>
          <w:rFonts w:eastAsia="SimHei"/>
          <w:bCs/>
          <w:color w:val="FF0000"/>
        </w:rPr>
        <w:t xml:space="preserve">  </w:t>
      </w:r>
      <w:r>
        <w:rPr>
          <w:rFonts w:eastAsia="SimHei" w:hint="eastAsia"/>
          <w:bCs/>
          <w:color w:val="FF0000"/>
        </w:rPr>
        <w:t>从社会保障计划中获利</w:t>
      </w:r>
    </w:p>
    <w:p w:rsidR="005052D3" w:rsidRDefault="005052D3">
      <w:pPr>
        <w:pStyle w:val="SingleTxt"/>
        <w:spacing w:after="120"/>
      </w:pPr>
      <w:r>
        <w:t xml:space="preserve">14.7.1  </w:t>
      </w:r>
      <w:r>
        <w:rPr>
          <w:rFonts w:hint="eastAsia"/>
        </w:rPr>
        <w:t>马拉维的社会保障形式是社会传统保障措施以及由政府和一些非政府组织支助的几个重要计划。没有正式通用的社会保障制度。</w:t>
      </w:r>
    </w:p>
    <w:p w:rsidR="005052D3" w:rsidRDefault="005052D3">
      <w:pPr>
        <w:pStyle w:val="SingleTxt"/>
        <w:spacing w:after="120"/>
      </w:pPr>
      <w:r>
        <w:t xml:space="preserve">14.7.2  </w:t>
      </w:r>
      <w:r>
        <w:rPr>
          <w:rFonts w:hint="eastAsia"/>
        </w:rPr>
        <w:t>非政府组织、政府和国际发展机构有时组织计划，旨在解决特别危机。从2001年到2002年，世界粮食计划署、天主教救济服务，世界展望和其他机构提供救济，向贫困的男子和妇女分发粮食。</w:t>
      </w:r>
      <w:r>
        <w:t xml:space="preserve"> </w:t>
      </w:r>
      <w:r>
        <w:rPr>
          <w:rFonts w:hint="eastAsia"/>
        </w:rPr>
        <w:t>其他非政府组织向营养不良的儿童和孕妇以及贫困的哺乳母亲提供补助的粮食。在学校里，世界粮食计划署和其他组织为学校提供粮食，为女孩发放家庭定量配给。这些计划在一些项目地区处于试点阶段。</w:t>
      </w:r>
    </w:p>
    <w:p w:rsidR="005052D3" w:rsidRDefault="005052D3">
      <w:pPr>
        <w:pStyle w:val="SingleTxt"/>
        <w:spacing w:after="120"/>
      </w:pPr>
      <w:r>
        <w:t xml:space="preserve">14.7.3  </w:t>
      </w:r>
      <w:r>
        <w:rPr>
          <w:rFonts w:hint="eastAsia"/>
        </w:rPr>
        <w:t>在政府的医院和健康中心，虽然提供的服务不够充分，但所有的服务都是免费的。在农业部门，政府于1999年通过一个名叫“起始包”（</w:t>
      </w:r>
      <w:r>
        <w:t>Starter Pack</w:t>
      </w:r>
      <w:r>
        <w:rPr>
          <w:rFonts w:hint="eastAsia"/>
        </w:rPr>
        <w:t>）的计划而提供创始投入。这个“包”，包括一袋做肥料的豆夹和几袋谷类种子，这是大多数农民（大部分是妇女）所感激的。在下一年的种植季节里，通用的起始包被“目标性投入计划”所取代，该计划针对孤儿和老年人。</w:t>
      </w:r>
      <w:r>
        <w:t xml:space="preserve"> </w:t>
      </w:r>
    </w:p>
    <w:p w:rsidR="005052D3" w:rsidRDefault="005052D3">
      <w:pPr>
        <w:pStyle w:val="SingleTxt"/>
        <w:spacing w:after="120"/>
      </w:pPr>
      <w:r>
        <w:t xml:space="preserve">14.7.4  </w:t>
      </w:r>
      <w:r>
        <w:rPr>
          <w:rFonts w:hint="eastAsia"/>
        </w:rPr>
        <w:t>农村妇女和男子的感觉是，传统的社会保障自《消除对妇女一切形式歧视公约》初始报告提交后严重恶化，主要是由于缺乏管理规定、停止发放津贴、艾滋病毒/艾滋病发病率高以及基本服务（如农业投入）日益私有化等原因造成的。</w:t>
      </w:r>
    </w:p>
    <w:p w:rsidR="005052D3" w:rsidRDefault="005052D3">
      <w:pPr>
        <w:pStyle w:val="SingleTxt"/>
        <w:spacing w:after="120"/>
        <w:rPr>
          <w:rFonts w:ascii="SimHei" w:eastAsia="SimHei"/>
          <w:color w:val="FF0000"/>
        </w:rPr>
      </w:pPr>
      <w:r>
        <w:rPr>
          <w:rFonts w:ascii="SimHei" w:eastAsia="SimHei"/>
          <w:color w:val="FF0000"/>
        </w:rPr>
        <w:t xml:space="preserve">14.8  </w:t>
      </w:r>
      <w:r>
        <w:rPr>
          <w:rFonts w:ascii="SimHei" w:eastAsia="SimHei" w:hint="eastAsia"/>
          <w:color w:val="FF0000"/>
        </w:rPr>
        <w:t>培训机会</w:t>
      </w:r>
    </w:p>
    <w:p w:rsidR="005052D3" w:rsidRDefault="005052D3">
      <w:pPr>
        <w:pStyle w:val="SingleTxt"/>
      </w:pPr>
      <w:r>
        <w:t xml:space="preserve">14.8.1  </w:t>
      </w:r>
      <w:r>
        <w:rPr>
          <w:rFonts w:hint="eastAsia"/>
        </w:rPr>
        <w:t>与城市的妇女和女孩相比，农村妇女和女孩与之存在很大差别。例如在农村地区，妇女和6岁及6岁以上女童中</w:t>
      </w:r>
      <w:r>
        <w:t>31.1%</w:t>
      </w:r>
      <w:r>
        <w:rPr>
          <w:rFonts w:hint="eastAsia"/>
        </w:rPr>
        <w:t>根本没有受过教育，而城市妇女和女童中，这一数字为</w:t>
      </w:r>
      <w:r>
        <w:t>11.7%</w:t>
      </w:r>
      <w:r>
        <w:rPr>
          <w:rFonts w:hint="eastAsia"/>
        </w:rPr>
        <w:t>。城市和农村中妇女和女孩的小学教育净入学率分别是</w:t>
      </w:r>
      <w:r>
        <w:t>87.5%</w:t>
      </w:r>
      <w:r>
        <w:rPr>
          <w:rFonts w:hint="eastAsia"/>
        </w:rPr>
        <w:t>和</w:t>
      </w:r>
      <w:r>
        <w:t>77.9%</w:t>
      </w:r>
      <w:r>
        <w:rPr>
          <w:rFonts w:hint="eastAsia"/>
        </w:rPr>
        <w:t>。</w:t>
      </w:r>
      <w:r>
        <w:t xml:space="preserve">  </w:t>
      </w:r>
    </w:p>
    <w:p w:rsidR="005052D3" w:rsidRDefault="005052D3">
      <w:pPr>
        <w:pStyle w:val="SingleTxt"/>
      </w:pPr>
      <w:r>
        <w:t xml:space="preserve">14.8.2  </w:t>
      </w:r>
      <w:r>
        <w:rPr>
          <w:rFonts w:hint="eastAsia"/>
        </w:rPr>
        <w:t>城市和农村妇女和女孩的中学入学率分别是</w:t>
      </w:r>
      <w:r>
        <w:t xml:space="preserve">23.4% </w:t>
      </w:r>
      <w:r>
        <w:rPr>
          <w:rFonts w:hint="eastAsia"/>
        </w:rPr>
        <w:t>和</w:t>
      </w:r>
      <w:r>
        <w:t xml:space="preserve"> 3.7%</w:t>
      </w:r>
      <w:r>
        <w:rPr>
          <w:rFonts w:hint="eastAsia"/>
        </w:rPr>
        <w:t>。</w:t>
      </w:r>
    </w:p>
    <w:p w:rsidR="005052D3" w:rsidRDefault="005052D3">
      <w:pPr>
        <w:pStyle w:val="SingleTxt"/>
      </w:pPr>
      <w:r>
        <w:t xml:space="preserve">14.8.3  </w:t>
      </w:r>
      <w:r>
        <w:rPr>
          <w:rFonts w:hint="eastAsia"/>
        </w:rPr>
        <w:t>农村妇女和女孩的小学留级率很高，一年级为</w:t>
      </w:r>
      <w:r>
        <w:t>47.1%</w:t>
      </w:r>
      <w:r>
        <w:rPr>
          <w:rFonts w:hint="eastAsia"/>
        </w:rPr>
        <w:t>，八年级为</w:t>
      </w:r>
      <w:r>
        <w:t>43.3%</w:t>
      </w:r>
      <w:r>
        <w:rPr>
          <w:rFonts w:hint="eastAsia"/>
        </w:rPr>
        <w:t>。城市女孩和妇女的留级率一年级和八年级留级率分别是</w:t>
      </w:r>
      <w:r>
        <w:t>29.1%</w:t>
      </w:r>
      <w:r>
        <w:rPr>
          <w:rFonts w:hint="eastAsia"/>
        </w:rPr>
        <w:t>和</w:t>
      </w:r>
      <w:r>
        <w:t>27.2%</w:t>
      </w:r>
      <w:r>
        <w:rPr>
          <w:rFonts w:hint="eastAsia"/>
        </w:rPr>
        <w:t>。2000年，农村女孩和妇女的留级率除七年级外，其余各年级都很高，农村女孩七年级的留级率为</w:t>
      </w:r>
      <w:r>
        <w:t>11.0%</w:t>
      </w:r>
      <w:r>
        <w:rPr>
          <w:rFonts w:hint="eastAsia"/>
        </w:rPr>
        <w:t>，而城市地区这一数字为</w:t>
      </w:r>
      <w:r>
        <w:t>12.4%</w:t>
      </w:r>
      <w:r>
        <w:rPr>
          <w:rFonts w:hint="eastAsia"/>
        </w:rPr>
        <w:t>。</w:t>
      </w:r>
      <w:r>
        <w:t xml:space="preserve"> </w:t>
      </w:r>
    </w:p>
    <w:p w:rsidR="005052D3" w:rsidRDefault="005052D3">
      <w:pPr>
        <w:pStyle w:val="SingleTxt"/>
      </w:pPr>
      <w:r>
        <w:t xml:space="preserve">14.8.4  </w:t>
      </w:r>
      <w:r>
        <w:rPr>
          <w:rFonts w:hint="eastAsia"/>
        </w:rPr>
        <w:t>在农村地区，各年级女孩的辍学率都较高。小学最后一年的辍学率最高，是</w:t>
      </w:r>
      <w:r>
        <w:t>14.1%</w:t>
      </w:r>
      <w:r>
        <w:rPr>
          <w:rFonts w:hint="eastAsia"/>
        </w:rPr>
        <w:t>，城市女孩和妇女的这一数字为</w:t>
      </w:r>
      <w:r>
        <w:t>9.9%</w:t>
      </w:r>
      <w:r>
        <w:rPr>
          <w:rFonts w:hint="eastAsia"/>
        </w:rPr>
        <w:t>。到八年级，农村地区的大多数女孩被迫结婚。</w:t>
      </w:r>
    </w:p>
    <w:p w:rsidR="005052D3" w:rsidRDefault="005052D3">
      <w:pPr>
        <w:pStyle w:val="SingleTxt"/>
      </w:pPr>
      <w:r>
        <w:tab/>
      </w:r>
      <w:r>
        <w:rPr>
          <w:rFonts w:hint="eastAsia"/>
        </w:rPr>
        <w:t>因此，农村妇女中间文盲是普遍现象。1998年，全国5岁及5岁以上妇女中共有</w:t>
      </w:r>
      <w:r>
        <w:t xml:space="preserve"> 2</w:t>
      </w:r>
      <w:r>
        <w:rPr>
          <w:rFonts w:hint="eastAsia"/>
        </w:rPr>
        <w:t xml:space="preserve"> </w:t>
      </w:r>
      <w:r>
        <w:t>072</w:t>
      </w:r>
      <w:r>
        <w:rPr>
          <w:rFonts w:hint="eastAsia"/>
        </w:rPr>
        <w:t xml:space="preserve"> </w:t>
      </w:r>
      <w:r>
        <w:t xml:space="preserve">805 </w:t>
      </w:r>
      <w:r>
        <w:rPr>
          <w:rFonts w:hint="eastAsia"/>
        </w:rPr>
        <w:t>名文盲，其中</w:t>
      </w:r>
      <w:r>
        <w:t xml:space="preserve"> 92.96%</w:t>
      </w:r>
      <w:r>
        <w:rPr>
          <w:rFonts w:hint="eastAsia"/>
        </w:rPr>
        <w:t>分布在农村地区。马拉维受教育的机会取决于所居住的地区。15-49岁的人口中，农村地区</w:t>
      </w:r>
      <w:r>
        <w:t>48.3%</w:t>
      </w:r>
      <w:r>
        <w:rPr>
          <w:rFonts w:hint="eastAsia"/>
        </w:rPr>
        <w:t>的人口根本不识字，而城市的这一数字为</w:t>
      </w:r>
      <w:r>
        <w:t>17.5%</w:t>
      </w:r>
      <w:r>
        <w:rPr>
          <w:rFonts w:hint="eastAsia"/>
        </w:rPr>
        <w:t>。全国不识字的妇女比例按年龄组划分如下：</w:t>
      </w:r>
      <w:r>
        <w:t xml:space="preserve">  </w:t>
      </w:r>
    </w:p>
    <w:p w:rsidR="005052D3" w:rsidRDefault="005052D3">
      <w:pPr>
        <w:pStyle w:val="BodyText"/>
        <w:tabs>
          <w:tab w:val="left" w:pos="840"/>
        </w:tabs>
        <w:spacing w:after="120" w:line="280" w:lineRule="atLeast"/>
        <w:rPr>
          <w:bCs/>
        </w:rPr>
      </w:pPr>
      <w:r>
        <w:rPr>
          <w:bCs/>
        </w:rPr>
        <w:t xml:space="preserve">                </w:t>
      </w:r>
      <w:r>
        <w:rPr>
          <w:rFonts w:hint="eastAsia"/>
          <w:bCs/>
        </w:rPr>
        <w:t>年龄</w:t>
      </w:r>
      <w:r>
        <w:rPr>
          <w:bCs/>
        </w:rPr>
        <w:t xml:space="preserve">              </w:t>
      </w:r>
      <w:r>
        <w:rPr>
          <w:rFonts w:hint="eastAsia"/>
          <w:bCs/>
        </w:rPr>
        <w:t>文盲比例</w:t>
      </w:r>
    </w:p>
    <w:p w:rsidR="005052D3" w:rsidRDefault="005052D3">
      <w:pPr>
        <w:pStyle w:val="BodyText"/>
        <w:tabs>
          <w:tab w:val="left" w:pos="840"/>
        </w:tabs>
        <w:spacing w:after="120" w:line="280" w:lineRule="atLeast"/>
        <w:rPr>
          <w:rFonts w:ascii="Times New Roman"/>
        </w:rPr>
      </w:pPr>
      <w:r>
        <w:rPr>
          <w:rFonts w:ascii="Times New Roman"/>
          <w:b/>
        </w:rPr>
        <w:t xml:space="preserve">             </w:t>
      </w:r>
      <w:r>
        <w:rPr>
          <w:rFonts w:ascii="Times New Roman"/>
          <w:b/>
        </w:rPr>
        <w:tab/>
      </w:r>
      <w:r>
        <w:rPr>
          <w:rFonts w:ascii="Times New Roman"/>
        </w:rPr>
        <w:t xml:space="preserve">15-19              </w:t>
      </w:r>
      <w:r>
        <w:rPr>
          <w:rFonts w:ascii="Times New Roman"/>
        </w:rPr>
        <w:tab/>
        <w:t>24.2</w:t>
      </w:r>
    </w:p>
    <w:p w:rsidR="005052D3" w:rsidRDefault="005052D3">
      <w:pPr>
        <w:pStyle w:val="BodyText"/>
        <w:tabs>
          <w:tab w:val="left" w:pos="840"/>
        </w:tabs>
        <w:spacing w:after="120" w:line="280" w:lineRule="atLeast"/>
        <w:rPr>
          <w:rFonts w:ascii="Times New Roman"/>
        </w:rPr>
      </w:pPr>
      <w:r>
        <w:rPr>
          <w:rFonts w:ascii="Times New Roman"/>
        </w:rPr>
        <w:t xml:space="preserve">             </w:t>
      </w:r>
      <w:r>
        <w:rPr>
          <w:rFonts w:ascii="Times New Roman"/>
        </w:rPr>
        <w:tab/>
        <w:t xml:space="preserve">20-24              </w:t>
      </w:r>
      <w:r>
        <w:rPr>
          <w:rFonts w:ascii="Times New Roman"/>
        </w:rPr>
        <w:tab/>
        <w:t>36.5</w:t>
      </w:r>
    </w:p>
    <w:p w:rsidR="005052D3" w:rsidRDefault="005052D3">
      <w:pPr>
        <w:pStyle w:val="BodyText"/>
        <w:tabs>
          <w:tab w:val="left" w:pos="840"/>
        </w:tabs>
        <w:spacing w:after="120" w:line="280" w:lineRule="atLeast"/>
        <w:rPr>
          <w:rFonts w:ascii="Times New Roman"/>
        </w:rPr>
      </w:pPr>
      <w:r>
        <w:rPr>
          <w:rFonts w:ascii="Times New Roman"/>
        </w:rPr>
        <w:t xml:space="preserve">             </w:t>
      </w:r>
      <w:r>
        <w:rPr>
          <w:rFonts w:ascii="Times New Roman"/>
        </w:rPr>
        <w:tab/>
        <w:t xml:space="preserve">25-29              </w:t>
      </w:r>
      <w:r>
        <w:rPr>
          <w:rFonts w:ascii="Times New Roman"/>
        </w:rPr>
        <w:tab/>
        <w:t>46.4</w:t>
      </w:r>
    </w:p>
    <w:p w:rsidR="005052D3" w:rsidRDefault="005052D3">
      <w:pPr>
        <w:pStyle w:val="BodyText"/>
        <w:tabs>
          <w:tab w:val="left" w:pos="840"/>
        </w:tabs>
        <w:spacing w:after="120" w:line="280" w:lineRule="atLeast"/>
        <w:rPr>
          <w:rFonts w:ascii="Times New Roman"/>
        </w:rPr>
      </w:pPr>
      <w:r>
        <w:rPr>
          <w:rFonts w:ascii="Times New Roman"/>
        </w:rPr>
        <w:t xml:space="preserve">             </w:t>
      </w:r>
      <w:r>
        <w:rPr>
          <w:rFonts w:ascii="Times New Roman"/>
        </w:rPr>
        <w:tab/>
        <w:t xml:space="preserve">30-34               </w:t>
      </w:r>
      <w:r>
        <w:rPr>
          <w:rFonts w:ascii="Times New Roman"/>
        </w:rPr>
        <w:tab/>
        <w:t>49.4</w:t>
      </w:r>
    </w:p>
    <w:p w:rsidR="005052D3" w:rsidRDefault="005052D3">
      <w:pPr>
        <w:pStyle w:val="BodyText"/>
        <w:tabs>
          <w:tab w:val="left" w:pos="840"/>
        </w:tabs>
        <w:spacing w:after="120" w:line="280" w:lineRule="atLeast"/>
        <w:rPr>
          <w:rFonts w:ascii="Times New Roman"/>
        </w:rPr>
      </w:pPr>
      <w:r>
        <w:rPr>
          <w:rFonts w:ascii="Times New Roman"/>
        </w:rPr>
        <w:t xml:space="preserve">             </w:t>
      </w:r>
      <w:r>
        <w:rPr>
          <w:rFonts w:ascii="Times New Roman"/>
        </w:rPr>
        <w:tab/>
        <w:t xml:space="preserve">35-39               </w:t>
      </w:r>
      <w:r>
        <w:rPr>
          <w:rFonts w:ascii="Times New Roman"/>
        </w:rPr>
        <w:tab/>
        <w:t>53.1</w:t>
      </w:r>
    </w:p>
    <w:p w:rsidR="005052D3" w:rsidRDefault="005052D3">
      <w:pPr>
        <w:pStyle w:val="BodyText"/>
        <w:tabs>
          <w:tab w:val="left" w:pos="840"/>
        </w:tabs>
        <w:spacing w:after="120" w:line="280" w:lineRule="atLeast"/>
        <w:rPr>
          <w:rFonts w:ascii="Times New Roman"/>
        </w:rPr>
      </w:pPr>
      <w:r>
        <w:rPr>
          <w:rFonts w:ascii="Times New Roman"/>
        </w:rPr>
        <w:t xml:space="preserve">             </w:t>
      </w:r>
      <w:r>
        <w:rPr>
          <w:rFonts w:ascii="Times New Roman"/>
        </w:rPr>
        <w:tab/>
        <w:t xml:space="preserve">40-44               </w:t>
      </w:r>
      <w:r>
        <w:rPr>
          <w:rFonts w:ascii="Times New Roman"/>
        </w:rPr>
        <w:tab/>
        <w:t>63.3</w:t>
      </w:r>
    </w:p>
    <w:p w:rsidR="005052D3" w:rsidRDefault="005052D3">
      <w:pPr>
        <w:pStyle w:val="BodyText"/>
        <w:tabs>
          <w:tab w:val="left" w:pos="840"/>
        </w:tabs>
        <w:spacing w:after="120" w:line="280" w:lineRule="atLeast"/>
        <w:rPr>
          <w:rFonts w:ascii="Times New Roman"/>
        </w:rPr>
      </w:pPr>
      <w:r>
        <w:rPr>
          <w:rFonts w:ascii="Times New Roman"/>
          <w:b/>
        </w:rPr>
        <w:t xml:space="preserve">             </w:t>
      </w:r>
      <w:r>
        <w:rPr>
          <w:rFonts w:ascii="Times New Roman"/>
          <w:b/>
        </w:rPr>
        <w:tab/>
      </w:r>
      <w:r>
        <w:rPr>
          <w:rFonts w:ascii="Times New Roman"/>
        </w:rPr>
        <w:t>45-49</w:t>
      </w:r>
      <w:r>
        <w:rPr>
          <w:rFonts w:ascii="Times New Roman"/>
          <w:b/>
        </w:rPr>
        <w:t xml:space="preserve">              </w:t>
      </w:r>
      <w:r>
        <w:rPr>
          <w:rFonts w:ascii="Times New Roman"/>
          <w:b/>
        </w:rPr>
        <w:tab/>
      </w:r>
      <w:r>
        <w:rPr>
          <w:rFonts w:ascii="Times New Roman"/>
        </w:rPr>
        <w:t>68.1</w:t>
      </w:r>
    </w:p>
    <w:p w:rsidR="005052D3" w:rsidRDefault="005052D3">
      <w:pPr>
        <w:pStyle w:val="SingleTxt"/>
        <w:rPr>
          <w:rFonts w:hint="eastAsia"/>
        </w:rPr>
      </w:pPr>
      <w:r>
        <w:rPr>
          <w:rFonts w:hint="eastAsia"/>
        </w:rPr>
        <w:t>这样，年龄越大，文盲人数越多，说明成年人扫盲的必要性。</w:t>
      </w:r>
    </w:p>
    <w:p w:rsidR="005052D3" w:rsidRDefault="005052D3">
      <w:pPr>
        <w:pStyle w:val="SingleTxt"/>
      </w:pPr>
      <w:r>
        <w:t xml:space="preserve">14.8.5  </w:t>
      </w:r>
      <w:r>
        <w:rPr>
          <w:rFonts w:hint="eastAsia"/>
        </w:rPr>
        <w:t>自第一次国家报告提交后，为成人提供的教育开始下降。对成人扫盲的要求很迫切，但由于资源有限，就限制了扫盲活动的开展。马拉维政府通过与性别和社区服务部合作，正试图在有限的资源内，使扫盲计划得到复苏。</w:t>
      </w:r>
    </w:p>
    <w:p w:rsidR="005052D3" w:rsidRDefault="005052D3">
      <w:pPr>
        <w:pStyle w:val="SingleTxt"/>
      </w:pPr>
      <w:r>
        <w:t xml:space="preserve">14.8.6  </w:t>
      </w:r>
      <w:r>
        <w:rPr>
          <w:rFonts w:hint="eastAsia"/>
        </w:rPr>
        <w:t>要求在社区一级开展工作的各部委提供对提高农村男子的妇女能力至关重要的服务。农业部拥有一个农田助手网络，其任务就是向小土地所有者的农民提供建议。健康和人口部的健康监督助手提供有关健康和卫生的咨询服务。林业部同样也派遣在社区一级工作的官员，提供有关林业管理的建议。性别和社区服务部有社区发展助手，他们充当社区一级发展工作的促进者和鼓励者。</w:t>
      </w:r>
      <w:r>
        <w:t xml:space="preserve"> </w:t>
      </w:r>
    </w:p>
    <w:p w:rsidR="005052D3" w:rsidRDefault="005052D3">
      <w:pPr>
        <w:pStyle w:val="SingleTxt"/>
      </w:pPr>
      <w:r>
        <w:t xml:space="preserve">14.8.7  </w:t>
      </w:r>
      <w:r>
        <w:rPr>
          <w:rFonts w:hint="eastAsia"/>
        </w:rPr>
        <w:t>尽管经济资源不足，一些访问过的社区仍然很感激政府社区工作者的奉献和努力。</w:t>
      </w:r>
    </w:p>
    <w:p w:rsidR="005052D3" w:rsidRDefault="005052D3">
      <w:pPr>
        <w:pStyle w:val="SingleTxt"/>
      </w:pPr>
      <w:r>
        <w:t xml:space="preserve">14.8.8  </w:t>
      </w:r>
      <w:r>
        <w:rPr>
          <w:rFonts w:hint="eastAsia"/>
        </w:rPr>
        <w:t>非政府组织在培训方面的工作正受到社区成员的关注和赞同。</w:t>
      </w:r>
    </w:p>
    <w:p w:rsidR="005052D3" w:rsidRDefault="005052D3">
      <w:pPr>
        <w:pStyle w:val="BodyText"/>
        <w:tabs>
          <w:tab w:val="left" w:pos="840"/>
        </w:tabs>
        <w:spacing w:after="120" w:line="300" w:lineRule="exact"/>
        <w:rPr>
          <w:rFonts w:ascii="SimHei" w:eastAsia="SimHei"/>
          <w:color w:val="FF0000"/>
        </w:rPr>
      </w:pPr>
      <w:r>
        <w:rPr>
          <w:rFonts w:ascii="SimHei" w:eastAsia="SimHei"/>
          <w:color w:val="FF0000"/>
        </w:rPr>
        <w:tab/>
      </w:r>
      <w:r>
        <w:rPr>
          <w:rFonts w:ascii="SimHei" w:eastAsia="SimHei"/>
          <w:color w:val="FF0000"/>
        </w:rPr>
        <w:tab/>
      </w:r>
      <w:r>
        <w:rPr>
          <w:rFonts w:ascii="SimHei" w:eastAsia="SimHei"/>
          <w:color w:val="FF0000"/>
        </w:rPr>
        <w:tab/>
      </w:r>
      <w:r>
        <w:rPr>
          <w:rFonts w:ascii="SimHei" w:eastAsia="SimHei" w:hint="eastAsia"/>
          <w:color w:val="FF0000"/>
        </w:rPr>
        <w:t>通过自助和合作就业</w:t>
      </w:r>
    </w:p>
    <w:p w:rsidR="005052D3" w:rsidRDefault="005052D3">
      <w:pPr>
        <w:pStyle w:val="SingleTxt"/>
      </w:pPr>
      <w:r>
        <w:t xml:space="preserve">14.8.9  </w:t>
      </w:r>
      <w:r>
        <w:rPr>
          <w:rFonts w:hint="eastAsia"/>
        </w:rPr>
        <w:t>自1994年以来，马拉维通过了一项有关合作社的新法律，作为宪法的补充。宪法规定了参加经济活动的权利。《合作协会法》</w:t>
      </w:r>
      <w:r>
        <w:rPr>
          <w:rStyle w:val="FootnoteReference"/>
          <w:rFonts w:ascii="Times New Roman"/>
        </w:rPr>
        <w:footnoteReference w:id="125"/>
      </w:r>
      <w:r>
        <w:t xml:space="preserve"> </w:t>
      </w:r>
      <w:r>
        <w:rPr>
          <w:rFonts w:hint="eastAsia"/>
        </w:rPr>
        <w:t>旨在成为合作社的框架。</w:t>
      </w:r>
    </w:p>
    <w:p w:rsidR="005052D3" w:rsidRDefault="005052D3">
      <w:pPr>
        <w:pStyle w:val="SingleTxt"/>
      </w:pPr>
      <w:r>
        <w:t xml:space="preserve">14.8.10 </w:t>
      </w:r>
      <w:r>
        <w:rPr>
          <w:rFonts w:hint="eastAsia"/>
        </w:rPr>
        <w:t xml:space="preserve"> 1994年以前，马拉维政府一直在为农村协调自助项目。参加这些项目有时是被迫的，受到人们的怨恨。在政府实施了多党制度和倡导文化自由以后，自助项目在某种程度上已经废除。这种变化的一个结果是农村社区基础设施恶化，普遍出现依赖政府综合症。</w:t>
      </w:r>
    </w:p>
    <w:p w:rsidR="005052D3" w:rsidRDefault="005052D3">
      <w:pPr>
        <w:pStyle w:val="SingleTxt"/>
      </w:pPr>
      <w:r>
        <w:t xml:space="preserve">14.8.11  </w:t>
      </w:r>
      <w:r>
        <w:rPr>
          <w:rFonts w:hint="eastAsia"/>
        </w:rPr>
        <w:t>为解决农村发展参与的差距，马拉维政府在消除贫困的计划框架内开展了一项名为马拉维社会行动基金（MASAF）的活动，用世界银行的基金资助社区项目。社区投入实物和时间，如为施工工作制砖（如学校施工）。</w:t>
      </w:r>
      <w:r>
        <w:t xml:space="preserve"> </w:t>
      </w:r>
    </w:p>
    <w:p w:rsidR="005052D3" w:rsidRDefault="005052D3">
      <w:pPr>
        <w:pStyle w:val="SingleTxt"/>
      </w:pPr>
      <w:r>
        <w:t xml:space="preserve">14.8.12 </w:t>
      </w:r>
      <w:r>
        <w:rPr>
          <w:rFonts w:hint="eastAsia"/>
        </w:rPr>
        <w:t xml:space="preserve"> 尽管合作社法已经通过，但在社区中还不被人所知。但是，在鼓励和动员社区成员成立农村地区合作社方面已经取得了进步。已经成立的合作社中包括奶农和养鸡、辣椒种植和饲料种植合作社。</w:t>
      </w:r>
    </w:p>
    <w:p w:rsidR="005052D3" w:rsidRDefault="005052D3">
      <w:pPr>
        <w:pStyle w:val="SingleTxt"/>
        <w:rPr>
          <w:rFonts w:ascii="SimHei" w:eastAsia="SimHei" w:hint="eastAsia"/>
          <w:color w:val="FF0000"/>
        </w:rPr>
      </w:pPr>
      <w:r>
        <w:rPr>
          <w:rFonts w:ascii="SimHei" w:eastAsia="SimHei"/>
          <w:color w:val="FF0000"/>
        </w:rPr>
        <w:t xml:space="preserve">14.9  </w:t>
      </w:r>
      <w:r>
        <w:rPr>
          <w:rFonts w:ascii="SimHei" w:eastAsia="SimHei" w:hint="eastAsia"/>
          <w:color w:val="FF0000"/>
        </w:rPr>
        <w:t>参与社区活动</w:t>
      </w:r>
    </w:p>
    <w:p w:rsidR="005052D3" w:rsidRDefault="005052D3">
      <w:pPr>
        <w:pStyle w:val="SingleTxt"/>
      </w:pPr>
      <w:r>
        <w:t xml:space="preserve">14.9.1  </w:t>
      </w:r>
      <w:r>
        <w:rPr>
          <w:rFonts w:hint="eastAsia"/>
        </w:rPr>
        <w:t>妇女和男子均参与社区活动，但其中的角色总是女性化或男性化。在有关发展的活动中，如制砖、修路和学校施工中，男女都参加。</w:t>
      </w:r>
    </w:p>
    <w:p w:rsidR="005052D3" w:rsidRDefault="005052D3">
      <w:pPr>
        <w:pStyle w:val="SingleTxt"/>
      </w:pPr>
      <w:r>
        <w:t xml:space="preserve">14.9.2  </w:t>
      </w:r>
      <w:r>
        <w:rPr>
          <w:rFonts w:hint="eastAsia"/>
        </w:rPr>
        <w:t>性别和社区服务部已经开展了几项基于社区的活动，旨在改善农村妇女的困境。这些活动包括经济授权小组、成人扫盲班、孤儿照管委员会、幼儿发展委员会和针对性别暴力的社区行动委员会。参与这些活动的妇女人数近几年里已经增加，主要是因为规定了30%参与人数的目标。例如，妇女应该在所有的经济授权小组中占70%，男子占30%。</w:t>
      </w:r>
    </w:p>
    <w:p w:rsidR="005052D3" w:rsidRDefault="005052D3">
      <w:pPr>
        <w:pStyle w:val="SingleTxt"/>
      </w:pPr>
      <w:r>
        <w:t xml:space="preserve">14.9.3  </w:t>
      </w:r>
      <w:r>
        <w:rPr>
          <w:rFonts w:hint="eastAsia"/>
        </w:rPr>
        <w:t>社区本身开展许多文化活动，互相动员参加计划良好的行动。这样的活动包括婚礼、葬礼和舞蹈。在艾滋病的情况下，一些社区已经组织了家庭护理方案和社区孤儿照管委员会，以解决紧迫问题。政府和一些非政府组织在开展家庭护理活动和建立幼儿发展中心的过程中提供技术支持。政府已经在幼儿发展和孤儿照管方面制定了政策以及其他弱势儿童政策，为开展这些活动的重大利益相关者提供指导方针。其他活动包括建立社区园，为教学和其他所需服务提供劳动力作为回报。许多非政府组织为这些工作提供资金，启动为孤儿和家庭护理服务所需的人力资源和财政资源。像自由基金会这样的组织，其赞助人是马拉维第一夫人Muluzi夫人，都在开展筹集资金活动在为孤儿和老年人提供支助方面起着重要的作用。</w:t>
      </w:r>
    </w:p>
    <w:p w:rsidR="005052D3" w:rsidRDefault="005052D3">
      <w:pPr>
        <w:pStyle w:val="SingleTxt"/>
      </w:pPr>
      <w:r>
        <w:t xml:space="preserve">14.9.4  </w:t>
      </w:r>
      <w:r>
        <w:rPr>
          <w:rFonts w:hint="eastAsia"/>
        </w:rPr>
        <w:t>社区参与反映了角色地位的结构，大多数妇女参加的是女性化的工作。当这些工作拥有报酬时，男子往往予以接管，相信性别的角色在发生改变。在严重贫困和赤贫的情况下，越来越多的男子愿意从事女性化的工作，只要能带来收入即可。</w:t>
      </w:r>
    </w:p>
    <w:p w:rsidR="005052D3" w:rsidRDefault="005052D3">
      <w:pPr>
        <w:pStyle w:val="SingleTxt"/>
        <w:rPr>
          <w:rFonts w:ascii="SimHei" w:eastAsia="SimHei"/>
          <w:color w:val="FF0000"/>
        </w:rPr>
      </w:pPr>
      <w:r>
        <w:rPr>
          <w:rFonts w:ascii="SimHei" w:eastAsia="SimHei"/>
          <w:color w:val="FF0000"/>
        </w:rPr>
        <w:t xml:space="preserve">14.10  </w:t>
      </w:r>
      <w:r>
        <w:rPr>
          <w:rFonts w:ascii="SimHei" w:eastAsia="SimHei" w:hint="eastAsia"/>
          <w:color w:val="FF0000"/>
        </w:rPr>
        <w:t>利用农业信贷、市场、适当的技术和公平土地改革</w:t>
      </w:r>
    </w:p>
    <w:p w:rsidR="005052D3" w:rsidRDefault="005052D3">
      <w:pPr>
        <w:pStyle w:val="SingleTxt"/>
      </w:pPr>
      <w:r>
        <w:t xml:space="preserve">14.10.1  </w:t>
      </w:r>
      <w:r>
        <w:rPr>
          <w:rFonts w:hint="eastAsia"/>
        </w:rPr>
        <w:t>妇女对土地的利用经常是通过家长。这些家长几乎清一色是男子。在父系社会，对土地的利用是通过男子。在母系社会，家长是舅舅。在这样的社会中，男子通过婚姻获得土地，除非该妇女被带到男方的村子居住。不论是在父系还是母系社会中，丈夫都被看作是其家庭所分配到的土地使用的主要管理者。自2002年起，已经开始根据新的土地政策制定一项新的《土地法》。</w:t>
      </w:r>
    </w:p>
    <w:p w:rsidR="005052D3" w:rsidRDefault="005052D3">
      <w:pPr>
        <w:pStyle w:val="SingleTxt"/>
      </w:pPr>
      <w:r>
        <w:t xml:space="preserve">14.10.2  </w:t>
      </w:r>
      <w:r>
        <w:rPr>
          <w:rFonts w:hint="eastAsia"/>
        </w:rPr>
        <w:t>第二，尽管自1994年以来信贷的利用情况有了改善，但农村妇女利用农业信贷的机会却在减少。1994年以前，农村男子和妇女都可以组织农民俱乐部利用政府提供的农业信贷。但政府已经不再提供信贷设施。相反，信贷设施已由私人信贷机构提供。</w:t>
      </w:r>
      <w:r>
        <w:t xml:space="preserve"> </w:t>
      </w:r>
    </w:p>
    <w:p w:rsidR="005052D3" w:rsidRDefault="005052D3">
      <w:pPr>
        <w:pStyle w:val="SingleTxt"/>
      </w:pPr>
      <w:r>
        <w:t xml:space="preserve">14.10.3  </w:t>
      </w:r>
      <w:r>
        <w:rPr>
          <w:rFonts w:hint="eastAsia"/>
        </w:rPr>
        <w:t>公平市场服务的提供自该国提交上一份报告后开始下降。这是因为拥有市场网络的农业发展和市场合作部关闭了一些市场，减少了一些服务，以便为农业市场的进一步自由化铺平道路。尽管农业私营商人人数有所增加，但社区表示，这些商人对农民的农产品出价太低，影响了妇女的生产力。</w:t>
      </w:r>
      <w:r>
        <w:t xml:space="preserve">  </w:t>
      </w:r>
    </w:p>
    <w:p w:rsidR="005052D3" w:rsidRDefault="005052D3">
      <w:pPr>
        <w:pStyle w:val="SingleTxt"/>
        <w:rPr>
          <w:rFonts w:ascii="SimHei" w:eastAsia="SimHei"/>
          <w:color w:val="FF0000"/>
        </w:rPr>
      </w:pPr>
      <w:r>
        <w:rPr>
          <w:rFonts w:ascii="SimHei" w:eastAsia="SimHei"/>
          <w:color w:val="FF0000"/>
        </w:rPr>
        <w:t xml:space="preserve">14.11  </w:t>
      </w:r>
      <w:r>
        <w:rPr>
          <w:rFonts w:ascii="SimHei" w:eastAsia="SimHei" w:hint="eastAsia"/>
          <w:color w:val="FF0000"/>
        </w:rPr>
        <w:t>生活标准的质量</w:t>
      </w:r>
    </w:p>
    <w:p w:rsidR="005052D3" w:rsidRDefault="005052D3">
      <w:pPr>
        <w:pStyle w:val="SingleTxt"/>
      </w:pPr>
      <w:r>
        <w:t xml:space="preserve">14.11.1  </w:t>
      </w:r>
      <w:r>
        <w:rPr>
          <w:rFonts w:hint="eastAsia"/>
        </w:rPr>
        <w:t>已经注意到，尽管宪法规定了发展权，农村地区生活标准的质量仍然很差。很差的生活质量反映在住房条件、用电和供水以及基础设施等方面。</w:t>
      </w:r>
    </w:p>
    <w:p w:rsidR="005052D3" w:rsidRDefault="005052D3">
      <w:pPr>
        <w:pStyle w:val="SingleTxt"/>
        <w:spacing w:after="120"/>
      </w:pPr>
      <w:r>
        <w:t xml:space="preserve">14.11.2  </w:t>
      </w:r>
      <w:r>
        <w:rPr>
          <w:rFonts w:hint="eastAsia"/>
        </w:rPr>
        <w:t>大多数马拉维人生活在较差的住房条件中。1998年</w:t>
      </w:r>
      <w:r>
        <w:rPr>
          <w:rFonts w:hint="eastAsia"/>
          <w:lang w:val="en-GB"/>
        </w:rPr>
        <w:t>，</w:t>
      </w:r>
      <w:r>
        <w:rPr>
          <w:rFonts w:hint="eastAsia"/>
        </w:rPr>
        <w:t>66</w:t>
      </w:r>
      <w:r>
        <w:rPr>
          <w:rFonts w:hint="eastAsia"/>
          <w:lang w:val="en-GB"/>
        </w:rPr>
        <w:t>%</w:t>
      </w:r>
      <w:r>
        <w:rPr>
          <w:rFonts w:hint="eastAsia"/>
        </w:rPr>
        <w:t>的人居住在带有茅草屋顶、泥墙或篱笆墙的房屋里。</w:t>
      </w:r>
      <w:r>
        <w:rPr>
          <w:rStyle w:val="FootnoteReference"/>
          <w:rFonts w:ascii="Times New Roman"/>
        </w:rPr>
        <w:footnoteReference w:id="126"/>
      </w:r>
      <w:r>
        <w:t xml:space="preserve"> </w:t>
      </w:r>
      <w:r>
        <w:rPr>
          <w:rFonts w:hint="eastAsia"/>
        </w:rPr>
        <w:t>过去，农村住房方案通过少数活动特别是人类安居组织而得以开展。该组织为农村地区的人民建造低成本、免利息的房屋。2001年</w:t>
      </w:r>
      <w:r>
        <w:rPr>
          <w:rFonts w:hint="eastAsia"/>
          <w:lang w:val="en-GB"/>
        </w:rPr>
        <w:t>，</w:t>
      </w:r>
      <w:r>
        <w:rPr>
          <w:rFonts w:hint="eastAsia"/>
        </w:rPr>
        <w:t>政府为农村弱势妇女和男子制定了一个村庄住房方案。</w:t>
      </w:r>
      <w:r>
        <w:t xml:space="preserve"> </w:t>
      </w:r>
    </w:p>
    <w:p w:rsidR="005052D3" w:rsidRDefault="005052D3">
      <w:pPr>
        <w:pStyle w:val="SingleTxt"/>
        <w:spacing w:after="120"/>
      </w:pPr>
      <w:r>
        <w:t xml:space="preserve">14.11.3  </w:t>
      </w:r>
      <w:r>
        <w:rPr>
          <w:rFonts w:hint="eastAsia"/>
        </w:rPr>
        <w:t>电气化在马拉维大多数农村地区仍然是件新鲜事。据估计，只有1%的农村地区用上了电，而城市地区有29%。从2002年起开始了一项农村电气化工程。</w:t>
      </w:r>
    </w:p>
    <w:p w:rsidR="005052D3" w:rsidRDefault="005052D3">
      <w:pPr>
        <w:pStyle w:val="SingleTxt"/>
        <w:spacing w:after="120"/>
      </w:pPr>
      <w:r>
        <w:t xml:space="preserve">14.11.4  </w:t>
      </w:r>
      <w:r>
        <w:rPr>
          <w:rFonts w:hint="eastAsia"/>
        </w:rPr>
        <w:t>可以改善农村地区生活质量的适当技术之一是使用太阳能。根据性别和社区服务部统计，农村地区大约有30家生物气工厂和1 000多户使用太阳能的家庭。</w:t>
      </w:r>
    </w:p>
    <w:p w:rsidR="005052D3" w:rsidRDefault="005052D3">
      <w:pPr>
        <w:pStyle w:val="SingleTxt"/>
        <w:spacing w:after="120"/>
      </w:pPr>
      <w:r>
        <w:t xml:space="preserve">14.11.5  </w:t>
      </w:r>
      <w:r>
        <w:rPr>
          <w:rFonts w:hint="eastAsia"/>
        </w:rPr>
        <w:t>安全供水服务是1994年以来的一项值得注意的改进。到1998年</w:t>
      </w:r>
      <w:r>
        <w:rPr>
          <w:rFonts w:hint="eastAsia"/>
          <w:lang w:val="en-GB"/>
        </w:rPr>
        <w:t>，</w:t>
      </w:r>
      <w:r>
        <w:t>26</w:t>
      </w:r>
      <w:r>
        <w:rPr>
          <w:rFonts w:hint="eastAsia"/>
        </w:rPr>
        <w:t>0万人或27</w:t>
      </w:r>
      <w:r>
        <w:rPr>
          <w:rFonts w:hint="eastAsia"/>
          <w:lang w:val="en-GB"/>
        </w:rPr>
        <w:t>%</w:t>
      </w:r>
      <w:r>
        <w:rPr>
          <w:rFonts w:hint="eastAsia"/>
        </w:rPr>
        <w:t>的人口可以利用井水作为饮用水的主要来源。25%</w:t>
      </w:r>
      <w:r>
        <w:rPr>
          <w:rFonts w:hint="eastAsia"/>
          <w:lang w:val="en-GB"/>
        </w:rPr>
        <w:t>的</w:t>
      </w:r>
      <w:r>
        <w:rPr>
          <w:rFonts w:hint="eastAsia"/>
        </w:rPr>
        <w:t>农村</w:t>
      </w:r>
      <w:r>
        <w:rPr>
          <w:rFonts w:hint="eastAsia"/>
          <w:lang w:val="en-GB"/>
        </w:rPr>
        <w:t>地区从没有得到保护</w:t>
      </w:r>
      <w:r>
        <w:rPr>
          <w:rFonts w:hint="eastAsia"/>
        </w:rPr>
        <w:t>的井里打水饮用，21%的农村地区使用管道水或社区水塔中的水。</w:t>
      </w:r>
      <w:r>
        <w:t xml:space="preserve"> </w:t>
      </w:r>
    </w:p>
    <w:p w:rsidR="005052D3" w:rsidRDefault="005052D3">
      <w:pPr>
        <w:pStyle w:val="SingleTxt"/>
        <w:spacing w:after="120"/>
      </w:pPr>
      <w:r>
        <w:t xml:space="preserve">14.11.6  </w:t>
      </w:r>
      <w:r>
        <w:rPr>
          <w:rFonts w:hint="eastAsia"/>
        </w:rPr>
        <w:t>马拉维政府从1994年开始加紧努力，保证人民能使用安全的饮用水，计划到1988年凿11 800眼井、</w:t>
      </w:r>
      <w:r>
        <w:t>5</w:t>
      </w:r>
      <w:r>
        <w:rPr>
          <w:rFonts w:hint="eastAsia"/>
        </w:rPr>
        <w:t xml:space="preserve"> </w:t>
      </w:r>
      <w:r>
        <w:t xml:space="preserve">000 </w:t>
      </w:r>
      <w:r>
        <w:rPr>
          <w:rFonts w:hint="eastAsia"/>
        </w:rPr>
        <w:t>眼有益的浅水井，开展66项农村重力送水方案和55项城市供水方案。同样，在62个重力管道送水方案内大约建10 000个打水点，但到2000年只安装了605个。</w:t>
      </w:r>
      <w:r>
        <w:t xml:space="preserve">  </w:t>
      </w:r>
    </w:p>
    <w:p w:rsidR="005052D3" w:rsidRDefault="005052D3">
      <w:pPr>
        <w:pStyle w:val="SingleTxt"/>
        <w:spacing w:after="120"/>
        <w:rPr>
          <w:rFonts w:ascii="SimHei" w:eastAsia="SimHei"/>
          <w:color w:val="FF0000"/>
        </w:rPr>
      </w:pPr>
      <w:r>
        <w:rPr>
          <w:rFonts w:ascii="SimHei" w:eastAsia="SimHei" w:hint="eastAsia"/>
          <w:color w:val="FF0000"/>
        </w:rPr>
        <w:t>结论</w:t>
      </w:r>
    </w:p>
    <w:p w:rsidR="005052D3" w:rsidRDefault="005052D3">
      <w:pPr>
        <w:pStyle w:val="SingleTxt"/>
        <w:spacing w:after="120"/>
        <w:rPr>
          <w:rFonts w:hint="eastAsia"/>
        </w:rPr>
      </w:pPr>
      <w:r>
        <w:tab/>
      </w:r>
      <w:r>
        <w:rPr>
          <w:rFonts w:hint="eastAsia"/>
        </w:rPr>
        <w:t>马拉维主要是农业国，贫困妇女占了农村人口和贫困人口的大多数。尽管宪法规定农村生活质量应该被看作是发展计划成功与否的一个重要指标，但这些标准还未被人认识到，特别是未被农村妇女认识到。原因是多方面的：社区工作人员较差的工作道德、男女参与制定发展的程度低、市场的自由化以及传统等。因此，农村社区和农村妇女中男女差距是最大的。</w:t>
      </w:r>
      <w:r>
        <w:t xml:space="preserve"> </w:t>
      </w:r>
    </w:p>
    <w:p w:rsidR="005052D3" w:rsidRDefault="005052D3">
      <w:pPr>
        <w:pStyle w:val="H1"/>
        <w:spacing w:after="120"/>
      </w:pPr>
      <w:bookmarkStart w:id="48" w:name="_Toc33784422"/>
      <w:bookmarkStart w:id="49" w:name="_Toc377350761"/>
      <w:bookmarkStart w:id="50" w:name="_Toc83142703"/>
      <w:r>
        <w:tab/>
      </w:r>
      <w:r>
        <w:tab/>
      </w:r>
      <w:r>
        <w:tab/>
      </w:r>
      <w:r>
        <w:rPr>
          <w:rFonts w:hint="eastAsia"/>
        </w:rPr>
        <w:t>第15条：法律面前的平等</w:t>
      </w:r>
      <w:bookmarkEnd w:id="48"/>
      <w:bookmarkEnd w:id="49"/>
      <w:bookmarkEnd w:id="50"/>
    </w:p>
    <w:p w:rsidR="005052D3" w:rsidRDefault="005052D3">
      <w:pPr>
        <w:numPr>
          <w:ilvl w:val="1"/>
          <w:numId w:val="19"/>
        </w:numPr>
        <w:tabs>
          <w:tab w:val="left" w:pos="840"/>
        </w:tabs>
        <w:spacing w:after="120"/>
        <w:ind w:left="1293" w:firstLine="0"/>
        <w:rPr>
          <w:rFonts w:eastAsia="SimHei"/>
          <w:bCs/>
          <w:color w:val="FF0000"/>
        </w:rPr>
      </w:pPr>
      <w:r>
        <w:rPr>
          <w:rFonts w:eastAsia="SimHei"/>
          <w:bCs/>
          <w:color w:val="FF0000"/>
        </w:rPr>
        <w:t>《消除对妇女一切形式歧视公约》</w:t>
      </w:r>
      <w:r>
        <w:rPr>
          <w:rFonts w:eastAsia="SimHei" w:hint="eastAsia"/>
          <w:bCs/>
          <w:color w:val="FF0000"/>
        </w:rPr>
        <w:t>标准</w:t>
      </w:r>
    </w:p>
    <w:p w:rsidR="005052D3" w:rsidRDefault="005052D3">
      <w:pPr>
        <w:tabs>
          <w:tab w:val="left" w:pos="840"/>
        </w:tabs>
        <w:spacing w:after="120"/>
        <w:rPr>
          <w:rFonts w:eastAsia="KaiTi_GB2312" w:hint="eastAsia"/>
          <w:color w:val="0000FF"/>
        </w:rPr>
      </w:pPr>
      <w:r>
        <w:rPr>
          <w:rFonts w:ascii="KaiTi_GB2312" w:eastAsia="KaiTi_GB2312"/>
          <w:color w:val="0000FF"/>
        </w:rPr>
        <w:tab/>
      </w:r>
      <w:r>
        <w:rPr>
          <w:rFonts w:ascii="KaiTi_GB2312" w:eastAsia="KaiTi_GB2312"/>
          <w:color w:val="0000FF"/>
        </w:rPr>
        <w:tab/>
      </w:r>
      <w:r>
        <w:rPr>
          <w:rFonts w:ascii="KaiTi_GB2312" w:eastAsia="KaiTi_GB2312"/>
          <w:color w:val="0000FF"/>
        </w:rPr>
        <w:tab/>
        <w:t>第</w:t>
      </w:r>
      <w:r>
        <w:rPr>
          <w:rFonts w:ascii="KaiTi_GB2312" w:eastAsia="KaiTi_GB2312" w:hint="eastAsia"/>
          <w:color w:val="0000FF"/>
        </w:rPr>
        <w:t>15</w:t>
      </w:r>
      <w:r>
        <w:rPr>
          <w:rFonts w:ascii="KaiTi_GB2312" w:eastAsia="KaiTi_GB2312"/>
          <w:color w:val="0000FF"/>
        </w:rPr>
        <w:t>条.</w:t>
      </w:r>
    </w:p>
    <w:p w:rsidR="005052D3" w:rsidRDefault="005052D3">
      <w:pPr>
        <w:pStyle w:val="SingleTxt"/>
        <w:spacing w:after="120"/>
        <w:rPr>
          <w:rFonts w:ascii="KaiTi_GB2312" w:eastAsia="KaiTi_GB2312"/>
          <w:color w:val="0000FF"/>
        </w:rPr>
      </w:pPr>
      <w:r>
        <w:rPr>
          <w:rFonts w:ascii="KaiTi_GB2312" w:eastAsia="KaiTi_GB2312" w:hint="eastAsia"/>
          <w:color w:val="0000FF"/>
        </w:rPr>
        <w:t xml:space="preserve">1. </w:t>
      </w:r>
      <w:r>
        <w:rPr>
          <w:rFonts w:ascii="KaiTi_GB2312" w:eastAsia="KaiTi_GB2312"/>
          <w:color w:val="0000FF"/>
        </w:rPr>
        <w:tab/>
        <w:t>缔约各国应给予男女在法律面前平等的地位。</w:t>
      </w:r>
    </w:p>
    <w:p w:rsidR="005052D3" w:rsidRDefault="005052D3">
      <w:pPr>
        <w:pStyle w:val="SingleTxt"/>
        <w:spacing w:after="120"/>
        <w:ind w:left="1695" w:hanging="431"/>
      </w:pPr>
      <w:r>
        <w:rPr>
          <w:rFonts w:hint="eastAsia"/>
        </w:rPr>
        <w:t xml:space="preserve">2. </w:t>
      </w:r>
      <w:r>
        <w:tab/>
      </w:r>
      <w:r>
        <w:rPr>
          <w:rFonts w:ascii="KaiTi_GB2312" w:eastAsia="KaiTi_GB2312"/>
          <w:color w:val="0000FF"/>
          <w:spacing w:val="4"/>
        </w:rPr>
        <w:t>缔约各国应在公民事务上，给予妇女与男子同等的法律行为能力，以及行使这种行为能力的相同机会。特别应给予妇女签订合同和管理财产的平等权利，并在法</w:t>
      </w:r>
      <w:r>
        <w:rPr>
          <w:rFonts w:ascii="KaiTi_GB2312" w:eastAsia="KaiTi_GB2312" w:hint="eastAsia"/>
          <w:color w:val="0000FF"/>
          <w:spacing w:val="4"/>
        </w:rPr>
        <w:t>院</w:t>
      </w:r>
      <w:r>
        <w:rPr>
          <w:rFonts w:ascii="KaiTi_GB2312" w:eastAsia="KaiTi_GB2312"/>
          <w:color w:val="0000FF"/>
          <w:spacing w:val="4"/>
        </w:rPr>
        <w:t>和法庭诉讼的各个阶段给予平等待遇</w:t>
      </w:r>
      <w:r>
        <w:rPr>
          <w:spacing w:val="4"/>
        </w:rPr>
        <w:t>。</w:t>
      </w:r>
    </w:p>
    <w:p w:rsidR="005052D3" w:rsidRDefault="005052D3">
      <w:pPr>
        <w:pStyle w:val="SingleTxt"/>
        <w:ind w:left="1695" w:hanging="431"/>
      </w:pPr>
      <w:r>
        <w:rPr>
          <w:rFonts w:hint="eastAsia"/>
        </w:rPr>
        <w:t xml:space="preserve">3. </w:t>
      </w:r>
      <w:r>
        <w:tab/>
      </w:r>
      <w:r>
        <w:rPr>
          <w:rFonts w:ascii="KaiTi_GB2312" w:eastAsia="KaiTi_GB2312"/>
          <w:color w:val="0000FF"/>
        </w:rPr>
        <w:t>缔约各国同意，旨在限制妇女法律行为能力的所有合同和其他任何具有法律效力的私人文</w:t>
      </w:r>
      <w:r>
        <w:rPr>
          <w:rFonts w:ascii="KaiTi_GB2312" w:eastAsia="KaiTi_GB2312" w:hint="eastAsia"/>
          <w:color w:val="0000FF"/>
        </w:rPr>
        <w:t>书</w:t>
      </w:r>
      <w:r>
        <w:rPr>
          <w:rFonts w:ascii="KaiTi_GB2312" w:eastAsia="KaiTi_GB2312"/>
          <w:color w:val="0000FF"/>
        </w:rPr>
        <w:t>，应一律视为无效</w:t>
      </w:r>
      <w:r>
        <w:t>。</w:t>
      </w:r>
    </w:p>
    <w:p w:rsidR="005052D3" w:rsidRDefault="005052D3">
      <w:pPr>
        <w:pStyle w:val="SingleTxt"/>
        <w:ind w:left="1695" w:hanging="431"/>
      </w:pPr>
      <w:r>
        <w:rPr>
          <w:rFonts w:hint="eastAsia"/>
        </w:rPr>
        <w:t xml:space="preserve">4. </w:t>
      </w:r>
      <w:r>
        <w:tab/>
      </w:r>
      <w:r>
        <w:rPr>
          <w:rFonts w:ascii="KaiTi_GB2312" w:eastAsia="KaiTi_GB2312"/>
          <w:color w:val="0000FF"/>
        </w:rPr>
        <w:t>缔约各国在有关人身移动和自由择居的法律方面，应给予男女相同的权利</w:t>
      </w:r>
      <w:r>
        <w:t>。</w:t>
      </w:r>
    </w:p>
    <w:p w:rsidR="005052D3" w:rsidRDefault="005052D3">
      <w:pPr>
        <w:numPr>
          <w:ilvl w:val="1"/>
          <w:numId w:val="19"/>
        </w:numPr>
        <w:tabs>
          <w:tab w:val="left" w:pos="840"/>
        </w:tabs>
        <w:spacing w:after="120" w:line="300" w:lineRule="atLeast"/>
        <w:ind w:left="1293" w:firstLine="0"/>
        <w:rPr>
          <w:rFonts w:eastAsia="SimHei"/>
          <w:bCs/>
          <w:color w:val="FF0000"/>
        </w:rPr>
      </w:pPr>
      <w:r>
        <w:rPr>
          <w:rFonts w:eastAsia="SimHei"/>
          <w:bCs/>
          <w:color w:val="FF0000"/>
        </w:rPr>
        <w:t xml:space="preserve">  </w:t>
      </w:r>
      <w:r>
        <w:rPr>
          <w:rFonts w:eastAsia="SimHei" w:hint="eastAsia"/>
          <w:bCs/>
          <w:color w:val="FF0000"/>
        </w:rPr>
        <w:t>导言</w:t>
      </w:r>
    </w:p>
    <w:p w:rsidR="005052D3" w:rsidRDefault="005052D3">
      <w:pPr>
        <w:pStyle w:val="SingleTxt"/>
      </w:pPr>
      <w:r>
        <w:t xml:space="preserve">15.2.1  </w:t>
      </w:r>
      <w:r>
        <w:rPr>
          <w:rFonts w:hint="eastAsia"/>
        </w:rPr>
        <w:t>目前正在对马拉维的法令进行检查和修改，以反映法律面前平等的原则。但是，习惯法和成文法中的确存在着法律面前不平等对待男女的规定。</w:t>
      </w:r>
      <w:r>
        <w:rPr>
          <w:bCs/>
        </w:rPr>
        <w:t>《消除对妇女一切形式歧视公约》</w:t>
      </w:r>
      <w:r>
        <w:rPr>
          <w:rFonts w:hint="eastAsia"/>
        </w:rPr>
        <w:t>的标准和马拉维宪法在法律面前平等方面并没有差别，不过，公约的规定尚未与国家的法律协调一致。</w:t>
      </w:r>
      <w:r>
        <w:t xml:space="preserve"> </w:t>
      </w:r>
    </w:p>
    <w:p w:rsidR="005052D3" w:rsidRDefault="005052D3">
      <w:pPr>
        <w:pStyle w:val="SingleTxt"/>
        <w:rPr>
          <w:rFonts w:ascii="SimHei" w:eastAsia="SimHei"/>
          <w:color w:val="FF0000"/>
        </w:rPr>
      </w:pPr>
      <w:r>
        <w:rPr>
          <w:rFonts w:ascii="SimHei" w:eastAsia="SimHei"/>
          <w:color w:val="FF0000"/>
        </w:rPr>
        <w:t xml:space="preserve">15.3  </w:t>
      </w:r>
      <w:r>
        <w:rPr>
          <w:rFonts w:ascii="SimHei" w:eastAsia="SimHei" w:hint="eastAsia"/>
          <w:color w:val="FF0000"/>
        </w:rPr>
        <w:t>男女在法律面前平等的一致性</w:t>
      </w:r>
    </w:p>
    <w:p w:rsidR="005052D3" w:rsidRDefault="005052D3">
      <w:pPr>
        <w:pStyle w:val="SingleTxt"/>
      </w:pPr>
      <w:r>
        <w:t xml:space="preserve">15.3.1  </w:t>
      </w:r>
      <w:r>
        <w:rPr>
          <w:rFonts w:hint="eastAsia"/>
        </w:rPr>
        <w:t>1966年宪法规定“不分肤色、种族或信仰，人人均应享有平等的权利和自由”。</w:t>
      </w:r>
      <w:r>
        <w:rPr>
          <w:rStyle w:val="FootnoteReference"/>
        </w:rPr>
        <w:footnoteReference w:id="127"/>
      </w:r>
      <w:r>
        <w:t xml:space="preserve"> </w:t>
      </w:r>
      <w:r>
        <w:rPr>
          <w:rFonts w:hint="eastAsia"/>
        </w:rPr>
        <w:t>宪法进一步规定，马拉维人民承认“《联合国人权宣言》中人身自由的神圣性</w:t>
      </w:r>
      <w:r>
        <w:rPr>
          <w:rFonts w:hint="eastAsia"/>
          <w:lang w:val="en-GB"/>
        </w:rPr>
        <w:t>”。</w:t>
      </w:r>
    </w:p>
    <w:p w:rsidR="005052D3" w:rsidRDefault="005052D3">
      <w:pPr>
        <w:pStyle w:val="SingleTxt"/>
      </w:pPr>
      <w:r>
        <w:t xml:space="preserve">15.3.2  </w:t>
      </w:r>
      <w:r>
        <w:rPr>
          <w:rFonts w:hint="eastAsia"/>
        </w:rPr>
        <w:t>但是，旧宪法本质上具有明显的局限和限制。没有关于妇女法律地位的规定以消除男女不平等。非歧视条款中没有明确提到性别。法律面前平等从属于国防、公共安全、公共秩序或国家经济利益所需的法律。</w:t>
      </w:r>
    </w:p>
    <w:p w:rsidR="005052D3" w:rsidRDefault="005052D3">
      <w:pPr>
        <w:pStyle w:val="SingleTxt"/>
      </w:pPr>
      <w:r>
        <w:t xml:space="preserve">15.3.3  </w:t>
      </w:r>
      <w:r>
        <w:rPr>
          <w:rFonts w:hint="eastAsia"/>
        </w:rPr>
        <w:t>1992年到1996年期间，马拉维转变为多党制政府。在此期间，对包括法律面前平等在内的人权有了更深刻的认识。来自北京会议的动力也推动妇女和男子享有更多的人权。结果妇女参与了宪法的审议过程，从而使法律面前平等的原则写入了宪法。但是</w:t>
      </w:r>
      <w:r>
        <w:rPr>
          <w:rFonts w:hint="eastAsia"/>
          <w:lang w:val="en-GB"/>
        </w:rPr>
        <w:t>，</w:t>
      </w:r>
      <w:r>
        <w:rPr>
          <w:rFonts w:hint="eastAsia"/>
        </w:rPr>
        <w:t>这一时期妇女政治参与程度的提高并没有改变政治以男子为主的旧格局。</w:t>
      </w:r>
      <w:r>
        <w:t xml:space="preserve"> </w:t>
      </w:r>
    </w:p>
    <w:p w:rsidR="005052D3" w:rsidRDefault="005052D3">
      <w:pPr>
        <w:pStyle w:val="SingleTxt"/>
      </w:pPr>
      <w:r>
        <w:t xml:space="preserve">15.3.4  </w:t>
      </w:r>
      <w:r>
        <w:rPr>
          <w:rFonts w:hint="eastAsia"/>
        </w:rPr>
        <w:t>法律面前平等的原则于1994年在法律中尤为突出，当时通过了目前的宪法。新宪法规定任何人在法律面前都有被视为人的权利。</w:t>
      </w:r>
      <w:r>
        <w:rPr>
          <w:rStyle w:val="FootnoteReference"/>
        </w:rPr>
        <w:footnoteReference w:id="128"/>
      </w:r>
      <w:r>
        <w:t xml:space="preserve"> </w:t>
      </w:r>
      <w:r>
        <w:rPr>
          <w:rFonts w:hint="eastAsia"/>
        </w:rPr>
        <w:t>要求国家通过政策和立法实行男女平等。</w:t>
      </w:r>
      <w:r>
        <w:rPr>
          <w:rStyle w:val="FootnoteReference"/>
        </w:rPr>
        <w:footnoteReference w:id="129"/>
      </w:r>
      <w:r>
        <w:t xml:space="preserve"> </w:t>
      </w:r>
      <w:r>
        <w:rPr>
          <w:rFonts w:hint="eastAsia"/>
        </w:rPr>
        <w:t>政府的政策将“推动民主管理并确保男女在马拉维法律面前的平等和公正”。</w:t>
      </w:r>
      <w:r>
        <w:rPr>
          <w:rStyle w:val="FootnoteReference"/>
        </w:rPr>
        <w:footnoteReference w:id="130"/>
      </w:r>
    </w:p>
    <w:p w:rsidR="005052D3" w:rsidRDefault="005052D3">
      <w:pPr>
        <w:pStyle w:val="SingleTxt"/>
      </w:pPr>
      <w:r>
        <w:t xml:space="preserve">15.3.5  </w:t>
      </w:r>
      <w:r>
        <w:rPr>
          <w:rFonts w:hint="eastAsia"/>
        </w:rPr>
        <w:t>习惯法在享有法律面前平等的权利方面设置了更多的限制。马拉维的习惯法从思想上假定男子拥有较高的地位，从而在政治和家庭领导、土地持有和处理方面也认为他们拥有较高的地位。</w:t>
      </w:r>
    </w:p>
    <w:p w:rsidR="005052D3" w:rsidRDefault="005052D3">
      <w:pPr>
        <w:pStyle w:val="SingleTxt"/>
      </w:pPr>
      <w:r>
        <w:t xml:space="preserve">15.3.6  </w:t>
      </w:r>
      <w:r>
        <w:rPr>
          <w:rFonts w:hint="eastAsia"/>
        </w:rPr>
        <w:t>1996年之后</w:t>
      </w:r>
      <w:r>
        <w:rPr>
          <w:rFonts w:hint="eastAsia"/>
          <w:lang w:val="en-GB"/>
        </w:rPr>
        <w:t>，从妇女参与发展转向妇女与发展，相关负责部门的名称分别更改为性别、青年和社区服务部以反映新的步骤。该部已经开创了许多社会层面的主动行动，以通过提高对妇女与发展问题的敏感度促进男女平等原则。除该部外，法律委员会目前正在审查包括习惯法在内可能违反法律面前男女平等原则的法律。国家电台、马拉维广播联盟和电视台都播放为推动平等原则而设计的节目。此外，政府已经允许几个女权非政府组织在马拉维开展工作。其中有些组织致力于法律中的男女平等。</w:t>
      </w:r>
    </w:p>
    <w:p w:rsidR="005052D3" w:rsidRDefault="005052D3">
      <w:pPr>
        <w:pStyle w:val="SingleTxt"/>
      </w:pPr>
      <w:r>
        <w:t xml:space="preserve">15.3.7  </w:t>
      </w:r>
      <w:r>
        <w:rPr>
          <w:rFonts w:hint="eastAsia"/>
        </w:rPr>
        <w:t>大多数马拉维人使用习惯法，而习惯法中男女平等的原则受到家长准则的挑战。例如</w:t>
      </w:r>
      <w:r>
        <w:rPr>
          <w:rFonts w:hint="eastAsia"/>
          <w:lang w:val="en-GB"/>
        </w:rPr>
        <w:t>，</w:t>
      </w:r>
      <w:r>
        <w:rPr>
          <w:rFonts w:hint="eastAsia"/>
        </w:rPr>
        <w:t>男子提交的案件通常比那些由妇女提交的案件更受到重视。其中的原因之一就是因为马拉维大多数妇女的地位被认为比男子的地位低。</w:t>
      </w:r>
    </w:p>
    <w:p w:rsidR="005052D3" w:rsidRDefault="005052D3">
      <w:pPr>
        <w:pStyle w:val="SingleTxt"/>
        <w:spacing w:after="120"/>
        <w:rPr>
          <w:rFonts w:ascii="SimHei" w:eastAsia="SimHei"/>
          <w:color w:val="FF0000"/>
        </w:rPr>
      </w:pPr>
      <w:r>
        <w:rPr>
          <w:rFonts w:ascii="SimHei" w:eastAsia="SimHei"/>
          <w:color w:val="FF0000"/>
        </w:rPr>
        <w:t xml:space="preserve">15.4  </w:t>
      </w:r>
      <w:r>
        <w:rPr>
          <w:rFonts w:ascii="SimHei" w:eastAsia="SimHei" w:hint="eastAsia"/>
          <w:color w:val="FF0000"/>
        </w:rPr>
        <w:t>民事事务中法定资格的平等</w:t>
      </w:r>
    </w:p>
    <w:p w:rsidR="005052D3" w:rsidRDefault="005052D3">
      <w:pPr>
        <w:pStyle w:val="SingleTxt"/>
        <w:spacing w:after="120"/>
      </w:pPr>
      <w:r>
        <w:t xml:space="preserve">15.4.1  </w:t>
      </w:r>
      <w:r>
        <w:rPr>
          <w:rFonts w:hint="eastAsia"/>
        </w:rPr>
        <w:t>提交第一次报告时，民事事务中有更多的限制，因为妇女中有关法律权利的知识非常贫乏。习惯法、宗教信仰、文化习俗和态度以及男女间不平衡的权力关系都对妇女产生了不利的影响。妇女仍然依附于男子，很少有权使用生产要素和赋予权力的设施，如土地、扩展服务，特别是资金。</w:t>
      </w:r>
    </w:p>
    <w:p w:rsidR="005052D3" w:rsidRDefault="005052D3">
      <w:pPr>
        <w:pStyle w:val="SingleTxt"/>
        <w:spacing w:after="120"/>
      </w:pPr>
      <w:r>
        <w:t xml:space="preserve">15.4.2  </w:t>
      </w:r>
      <w:r>
        <w:rPr>
          <w:rFonts w:hint="eastAsia"/>
        </w:rPr>
        <w:t>1992年到1996年间，法律没有发生改变。政府通过全国妇女参加发展委员会，即现在的国家妇女与发展信托委员会，撰写了一本名为《马拉维妇女和法律》的书，以扭转妇女在民事事务参与方面的劣势。这本书在国内和国际上发行，选自性别部、农业部、卫生部、教育部和非政府组织的120名推广人员接受了使用该书的培训。计划对该书进行审查并将其翻译成一种当地语言“chichewa”，以适应新宪法，其他法律正在制定当中。不过，该计划被看作是性别委员会特别法律改革的一部分。妇女对她们的法律权利和在法律中的平等地位缺乏足够的认识。</w:t>
      </w:r>
    </w:p>
    <w:p w:rsidR="005052D3" w:rsidRDefault="005052D3">
      <w:pPr>
        <w:pStyle w:val="SingleTxt"/>
        <w:spacing w:after="120"/>
      </w:pPr>
      <w:r>
        <w:t xml:space="preserve">15.4.3  </w:t>
      </w:r>
      <w:r>
        <w:rPr>
          <w:rFonts w:hint="eastAsia"/>
        </w:rPr>
        <w:t>新宪法载入了享有相同法定资格的权利。习惯法强调男子参与民事事务的重要性，在许多情况下，妇女必须通过男子处理婚姻等事务。这种情况因妇女中较低的教育水平而进一步恶化。</w:t>
      </w:r>
    </w:p>
    <w:p w:rsidR="005052D3" w:rsidRDefault="005052D3">
      <w:pPr>
        <w:pStyle w:val="SingleTxt"/>
        <w:spacing w:after="120"/>
      </w:pPr>
      <w:r>
        <w:t xml:space="preserve">15.4.4  </w:t>
      </w:r>
      <w:r>
        <w:rPr>
          <w:rFonts w:hint="eastAsia"/>
        </w:rPr>
        <w:t>性别和社区服务部就法律教育与女权非政府组织开展的协作工作值得注意。法律教育工作在所有的活动中都强调男女平等。微型贷款计划是加强实现妇女平等规定的策略之一。</w:t>
      </w:r>
    </w:p>
    <w:p w:rsidR="005052D3" w:rsidRDefault="005052D3">
      <w:pPr>
        <w:pStyle w:val="SingleTxt"/>
        <w:spacing w:after="120"/>
        <w:rPr>
          <w:rFonts w:ascii="SimHei" w:eastAsia="SimHei"/>
          <w:color w:val="FF0000"/>
        </w:rPr>
      </w:pPr>
      <w:r>
        <w:rPr>
          <w:rFonts w:ascii="SimHei" w:eastAsia="SimHei"/>
          <w:color w:val="FF0000"/>
        </w:rPr>
        <w:t xml:space="preserve">15.5  </w:t>
      </w:r>
      <w:r>
        <w:rPr>
          <w:rFonts w:ascii="SimHei" w:eastAsia="SimHei" w:hint="eastAsia"/>
          <w:color w:val="FF0000"/>
        </w:rPr>
        <w:t>缔结合同的平等权</w:t>
      </w:r>
    </w:p>
    <w:p w:rsidR="005052D3" w:rsidRDefault="005052D3">
      <w:pPr>
        <w:pStyle w:val="SingleTxt"/>
        <w:spacing w:after="120"/>
      </w:pPr>
      <w:r>
        <w:t xml:space="preserve">15.5.1  </w:t>
      </w:r>
      <w:r>
        <w:rPr>
          <w:rFonts w:hint="eastAsia"/>
        </w:rPr>
        <w:t>1994年之前，几乎没有妇女可以参与商业合同事务。商业合同男性化，被认为是男人圈内的事情。妇女很少参与商业合同事务是因为她们的识字率低并缺乏足够的可用资金。1992年到1996年，女青年的失业率高于男青年。</w:t>
      </w:r>
      <w:r>
        <w:rPr>
          <w:rStyle w:val="FootnoteReference"/>
          <w:szCs w:val="24"/>
        </w:rPr>
        <w:footnoteReference w:id="131"/>
      </w:r>
      <w:r>
        <w:t xml:space="preserve"> </w:t>
      </w:r>
      <w:r>
        <w:rPr>
          <w:rFonts w:hint="eastAsia"/>
        </w:rPr>
        <w:t>尽管女青年的失业率高于男青年，但没有专门的政策来推动妇女的就业或参与商业合同事务。</w:t>
      </w:r>
    </w:p>
    <w:p w:rsidR="005052D3" w:rsidRDefault="005052D3">
      <w:pPr>
        <w:pStyle w:val="SingleTxt"/>
        <w:spacing w:after="120"/>
      </w:pPr>
      <w:r>
        <w:t xml:space="preserve">15.5.2  </w:t>
      </w:r>
      <w:r>
        <w:rPr>
          <w:rFonts w:hint="eastAsia"/>
        </w:rPr>
        <w:t>新宪法明确规定妇女权利应包括参与合同事务的权利。</w:t>
      </w:r>
      <w:r>
        <w:rPr>
          <w:rStyle w:val="FootnoteReference"/>
          <w:szCs w:val="24"/>
        </w:rPr>
        <w:footnoteReference w:id="132"/>
      </w:r>
      <w:r>
        <w:t xml:space="preserve"> </w:t>
      </w:r>
      <w:r>
        <w:rPr>
          <w:rFonts w:hint="eastAsia"/>
        </w:rPr>
        <w:t>新政府鼓励面向妇女的微型贷款计划。2000年，因融资机构的计划数量增加，妇女对微型贷款设施的利用超过了男子。遗憾的是，妇女的借款额有低于男子的趋势，这可能是因为对土地等生产要素的控制权主要掌握在男子手中；而且马拉维妇女的群体形象是顺从的，而且轻视自己。她们没有自尊和自信。另外，法律在土地和贷款事务等方面的规定也不利于大多数妇女，因为她们的文化水平较低并且对法律很无知。</w:t>
      </w:r>
    </w:p>
    <w:p w:rsidR="005052D3" w:rsidRDefault="005052D3">
      <w:pPr>
        <w:pStyle w:val="SingleTxt"/>
        <w:spacing w:after="120" w:line="300" w:lineRule="exact"/>
        <w:rPr>
          <w:rFonts w:ascii="SimHei" w:eastAsia="SimHei"/>
          <w:color w:val="FF0000"/>
        </w:rPr>
      </w:pPr>
      <w:r>
        <w:rPr>
          <w:rFonts w:ascii="SimHei" w:eastAsia="SimHei"/>
          <w:color w:val="FF0000"/>
        </w:rPr>
        <w:t xml:space="preserve">15.6  </w:t>
      </w:r>
      <w:r>
        <w:rPr>
          <w:rFonts w:ascii="SimHei" w:eastAsia="SimHei" w:hint="eastAsia"/>
          <w:color w:val="FF0000"/>
        </w:rPr>
        <w:t>废除限制妇女法定资格的文件</w:t>
      </w:r>
    </w:p>
    <w:p w:rsidR="005052D3" w:rsidRDefault="005052D3">
      <w:pPr>
        <w:pStyle w:val="SingleTxt"/>
        <w:spacing w:after="120" w:line="300" w:lineRule="exact"/>
      </w:pPr>
      <w:r>
        <w:t xml:space="preserve">15.6.1  </w:t>
      </w:r>
      <w:r>
        <w:rPr>
          <w:rFonts w:hint="eastAsia"/>
        </w:rPr>
        <w:t>在提交第一份报告时，没有法律废除1988到1992年间限制妇女的法律文书。马拉维政府制订了一项价格控制政策，主要控制妇女与男子开支不成比例的食品和其它必须品项目。这种情况一直维持到1994年新政府放开价格为止。</w:t>
      </w:r>
    </w:p>
    <w:p w:rsidR="005052D3" w:rsidRDefault="005052D3">
      <w:pPr>
        <w:pStyle w:val="SingleTxt"/>
        <w:spacing w:after="120" w:line="300" w:lineRule="exact"/>
        <w:rPr>
          <w:spacing w:val="2"/>
        </w:rPr>
      </w:pPr>
      <w:r>
        <w:rPr>
          <w:spacing w:val="2"/>
        </w:rPr>
        <w:t xml:space="preserve">15.6.2  </w:t>
      </w:r>
      <w:r>
        <w:rPr>
          <w:rFonts w:hint="eastAsia"/>
          <w:spacing w:val="2"/>
        </w:rPr>
        <w:t>根据现行宪法，政府应通过立法消除歧视妇女的风俗和习惯。</w:t>
      </w:r>
      <w:r>
        <w:rPr>
          <w:rStyle w:val="FootnoteReference"/>
          <w:spacing w:val="2"/>
          <w:szCs w:val="24"/>
        </w:rPr>
        <w:footnoteReference w:id="133"/>
      </w:r>
      <w:r>
        <w:rPr>
          <w:rFonts w:hint="eastAsia"/>
          <w:spacing w:val="2"/>
        </w:rPr>
        <w:t>同时允许政府使用立法并宣布歧视性的习俗以及宣传这种习俗为应受法庭惩罚的犯罪。</w:t>
      </w:r>
      <w:r>
        <w:rPr>
          <w:rStyle w:val="FootnoteReference"/>
          <w:spacing w:val="2"/>
          <w:szCs w:val="24"/>
        </w:rPr>
        <w:footnoteReference w:id="134"/>
      </w:r>
      <w:r>
        <w:rPr>
          <w:spacing w:val="2"/>
        </w:rPr>
        <w:t xml:space="preserve"> </w:t>
      </w:r>
      <w:r>
        <w:rPr>
          <w:rFonts w:hint="eastAsia"/>
          <w:spacing w:val="2"/>
        </w:rPr>
        <w:t>有些公司和其他机构坚持应由丈夫而不是妻子来填写教育和其他服务的申请表。</w:t>
      </w:r>
    </w:p>
    <w:p w:rsidR="005052D3" w:rsidRDefault="005052D3">
      <w:pPr>
        <w:pStyle w:val="SingleTxt"/>
        <w:spacing w:after="120" w:line="300" w:lineRule="exact"/>
        <w:rPr>
          <w:rFonts w:ascii="SimHei" w:eastAsia="SimHei"/>
          <w:color w:val="FF0000"/>
        </w:rPr>
      </w:pPr>
      <w:r>
        <w:rPr>
          <w:rFonts w:ascii="SimHei" w:eastAsia="SimHei"/>
          <w:color w:val="FF0000"/>
        </w:rPr>
        <w:t xml:space="preserve">15.7  </w:t>
      </w:r>
      <w:r>
        <w:rPr>
          <w:rFonts w:ascii="SimHei" w:eastAsia="SimHei" w:hint="eastAsia"/>
          <w:color w:val="FF0000"/>
        </w:rPr>
        <w:t>管理财产的平等权利</w:t>
      </w:r>
    </w:p>
    <w:p w:rsidR="005052D3" w:rsidRDefault="005052D3">
      <w:pPr>
        <w:pStyle w:val="SingleTxt"/>
        <w:spacing w:after="120" w:line="300" w:lineRule="exact"/>
      </w:pPr>
      <w:r>
        <w:t xml:space="preserve">15.7.1  </w:t>
      </w:r>
      <w:r>
        <w:rPr>
          <w:rFonts w:hint="eastAsia"/>
        </w:rPr>
        <w:t>习惯法将更大的财产控制权赋予男子，结果形成了性别中的定型观念，有些法院决议认为丈夫在控制家庭财产方面拥有最终的法定权力。因为在性别角色的社会构造中，允许妇女主要管理女性财产。有些法令，如《遗嘱和遗产法》以及《注册土地法》，推动或容忍性别歧视。习惯法和文化准则允许已婚妇女管理被视为女性的财产。但是，目前在《遗嘱和遗产法》的审查过程中制定了一些性别敏感的规定，而且在某些情况下，对妇女和儿童的需求更为敏感。</w:t>
      </w:r>
    </w:p>
    <w:p w:rsidR="005052D3" w:rsidRDefault="005052D3">
      <w:pPr>
        <w:pStyle w:val="SingleTxt"/>
        <w:spacing w:after="120" w:line="300" w:lineRule="exact"/>
      </w:pPr>
      <w:r>
        <w:t xml:space="preserve">15.7.2  </w:t>
      </w:r>
      <w:r>
        <w:rPr>
          <w:rFonts w:hint="eastAsia"/>
        </w:rPr>
        <w:t>自1994年起，宪法要求民法中的权利平等必须包括独自或与他人获得并保持财产权的平等能力。</w:t>
      </w:r>
      <w:r>
        <w:rPr>
          <w:rStyle w:val="FootnoteReference"/>
          <w:szCs w:val="24"/>
        </w:rPr>
        <w:footnoteReference w:id="135"/>
      </w:r>
      <w:r>
        <w:t xml:space="preserve"> </w:t>
      </w:r>
      <w:r>
        <w:rPr>
          <w:rFonts w:hint="eastAsia"/>
        </w:rPr>
        <w:t>除宪法中的规定外，在某些特定的情况下对某些权利的享有可以受到限制或制约，法律不承认因家庭和其他非直接捐献，而获得的财产权。</w:t>
      </w:r>
      <w:r>
        <w:rPr>
          <w:rStyle w:val="FootnoteReference"/>
          <w:szCs w:val="24"/>
        </w:rPr>
        <w:footnoteReference w:id="136"/>
      </w:r>
      <w:r>
        <w:t xml:space="preserve"> </w:t>
      </w:r>
      <w:r>
        <w:rPr>
          <w:rFonts w:hint="eastAsia"/>
        </w:rPr>
        <w:t>1992年到1994年间，女企业主人数的增加主要是因为增加了对微型贷款的利用。但是，农村妇女大多数仍然无力获取和管理财产。特别是，以妇女为一家之主的家庭占全部家庭的30%，这些家庭在很大程度上比男子为一家之主的家庭更为贫困。</w:t>
      </w:r>
    </w:p>
    <w:p w:rsidR="005052D3" w:rsidRDefault="005052D3">
      <w:pPr>
        <w:pStyle w:val="SingleTxt"/>
        <w:spacing w:after="120"/>
      </w:pPr>
      <w:r>
        <w:t xml:space="preserve">15.7.3  </w:t>
      </w:r>
      <w:r>
        <w:rPr>
          <w:rFonts w:hint="eastAsia"/>
        </w:rPr>
        <w:t>1996年之后，政府与某些非政府组织协作，开展了更多提高性别敏感度和意识的活动。有关剥夺寡妇财产、马拉维盛行的做法、家庭暴力和性别暴力的研究和宣传工作大体上已经开展起来。此外，青年人权机构和小组、大学生已经开展活动以使社会对他们的法律权利敏感化。这些活动的影响势不可挡。社会成员开始意识到，女子和男子都可以拥有和控制财产，因为越来越多的女子受过教育并在经济上获得权力。</w:t>
      </w:r>
      <w:r>
        <w:t xml:space="preserve"> </w:t>
      </w:r>
    </w:p>
    <w:p w:rsidR="005052D3" w:rsidRDefault="005052D3">
      <w:pPr>
        <w:pStyle w:val="SingleTxt"/>
        <w:spacing w:after="120"/>
        <w:rPr>
          <w:rFonts w:ascii="SimHei" w:eastAsia="SimHei"/>
          <w:color w:val="FF0000"/>
        </w:rPr>
      </w:pPr>
      <w:r>
        <w:rPr>
          <w:rFonts w:ascii="SimHei" w:eastAsia="SimHei"/>
          <w:color w:val="FF0000"/>
        </w:rPr>
        <w:t xml:space="preserve">15.8  </w:t>
      </w:r>
      <w:r>
        <w:rPr>
          <w:rFonts w:ascii="SimHei" w:eastAsia="SimHei" w:hint="eastAsia"/>
          <w:color w:val="FF0000"/>
        </w:rPr>
        <w:t>在法律诉讼的所有阶段受到公平待遇</w:t>
      </w:r>
    </w:p>
    <w:p w:rsidR="005052D3" w:rsidRDefault="005052D3">
      <w:pPr>
        <w:pStyle w:val="SingleTxt"/>
      </w:pPr>
      <w:r>
        <w:t xml:space="preserve">15.8.1  </w:t>
      </w:r>
      <w:r>
        <w:rPr>
          <w:rFonts w:hint="eastAsia"/>
        </w:rPr>
        <w:t>1994年颁布的新宪法引起了部分司法改革和行动。总的非歧视条款要求必须保证人人平等并有效保护任何人都不会受到基于性别的歧视。</w:t>
      </w:r>
      <w:r>
        <w:rPr>
          <w:rStyle w:val="FootnoteReference"/>
        </w:rPr>
        <w:footnoteReference w:id="137"/>
      </w:r>
      <w:r>
        <w:rPr>
          <w:rFonts w:hint="eastAsia"/>
        </w:rPr>
        <w:t>每个人都有权使用法院或法庭</w:t>
      </w:r>
      <w:r>
        <w:rPr>
          <w:rStyle w:val="FootnoteReference"/>
        </w:rPr>
        <w:footnoteReference w:id="138"/>
      </w:r>
      <w:r>
        <w:rPr>
          <w:rFonts w:hint="eastAsia"/>
        </w:rPr>
        <w:t>并有权得到有效的补偿。</w:t>
      </w:r>
      <w:r>
        <w:rPr>
          <w:rStyle w:val="FootnoteReference"/>
        </w:rPr>
        <w:footnoteReference w:id="139"/>
      </w:r>
      <w:r>
        <w:t xml:space="preserve"> </w:t>
      </w:r>
      <w:r>
        <w:rPr>
          <w:rFonts w:hint="eastAsia"/>
        </w:rPr>
        <w:t>受到公平对待和公平审判的权利必须适用于每个人。作为法律改革的一部分，禁止妇女穿长裤的法律得以废止。政府与其重大利益相关者合作向寻求咨询和律师助手服务的妇女提供更多的免费法律援助。</w:t>
      </w:r>
      <w:r>
        <w:rPr>
          <w:rStyle w:val="FootnoteReference"/>
        </w:rPr>
        <w:footnoteReference w:id="140"/>
      </w:r>
    </w:p>
    <w:p w:rsidR="005052D3" w:rsidRDefault="005052D3">
      <w:pPr>
        <w:pStyle w:val="SingleTxt"/>
      </w:pPr>
      <w:r>
        <w:t xml:space="preserve">15.8.2  </w:t>
      </w:r>
      <w:r>
        <w:rPr>
          <w:rFonts w:hint="eastAsia"/>
        </w:rPr>
        <w:t>法律系统正在缓慢变革，但还有更多的工作要做。例如</w:t>
      </w:r>
      <w:r>
        <w:rPr>
          <w:rFonts w:hint="eastAsia"/>
          <w:lang w:val="en-GB"/>
        </w:rPr>
        <w:t>，</w:t>
      </w:r>
      <w:r>
        <w:rPr>
          <w:rFonts w:hint="eastAsia"/>
        </w:rPr>
        <w:t>正式和习惯的司法系统中有部分职能对性别不敏感。妇女在司法管理部门工作的人数不足。律师中，有些男子表现出性别不敏感态度，更愿意和男同事合作，诉讼各方威胁某些女律师。目前，妇女依然是强奸案的受害者。一名高等法院的法官宣布一名违背妇女意愿而与之发生关系的男子无罪，因为在法官看来，妇女总是对性说不，即使她们愿意发生性关系时也是这样。</w:t>
      </w:r>
      <w:r>
        <w:rPr>
          <w:rStyle w:val="FootnoteReference"/>
        </w:rPr>
        <w:footnoteReference w:id="141"/>
      </w:r>
      <w:r>
        <w:t xml:space="preserve"> </w:t>
      </w:r>
      <w:r>
        <w:rPr>
          <w:rFonts w:hint="eastAsia"/>
        </w:rPr>
        <w:t>正如财产剥夺问题中的证据所示，妇女对司法系统的利用依然很少。</w:t>
      </w:r>
    </w:p>
    <w:p w:rsidR="005052D3" w:rsidRDefault="005052D3">
      <w:pPr>
        <w:pStyle w:val="SingleTxt"/>
        <w:rPr>
          <w:rFonts w:ascii="SimHei" w:eastAsia="SimHei"/>
          <w:color w:val="FF0000"/>
        </w:rPr>
      </w:pPr>
      <w:r>
        <w:rPr>
          <w:rFonts w:ascii="SimHei" w:eastAsia="SimHei"/>
          <w:color w:val="FF0000"/>
        </w:rPr>
        <w:t xml:space="preserve">15.9  </w:t>
      </w:r>
      <w:r>
        <w:rPr>
          <w:rFonts w:ascii="SimHei" w:eastAsia="SimHei" w:hint="eastAsia"/>
          <w:color w:val="FF0000"/>
        </w:rPr>
        <w:t>平等自由迁移</w:t>
      </w:r>
    </w:p>
    <w:p w:rsidR="005052D3" w:rsidRDefault="005052D3">
      <w:pPr>
        <w:pStyle w:val="SingleTxt"/>
      </w:pPr>
      <w:r>
        <w:t xml:space="preserve">15.9.1  </w:t>
      </w:r>
      <w:r>
        <w:rPr>
          <w:rFonts w:hint="eastAsia"/>
        </w:rPr>
        <w:t>19</w:t>
      </w:r>
      <w:r>
        <w:rPr>
          <w:rFonts w:hint="eastAsia"/>
          <w:spacing w:val="2"/>
        </w:rPr>
        <w:t>94年宪法承认每个人均有在马拉维境内自由迁移以及离开马拉维的权利。</w:t>
      </w:r>
      <w:r>
        <w:rPr>
          <w:rStyle w:val="FootnoteReference"/>
          <w:spacing w:val="2"/>
        </w:rPr>
        <w:footnoteReference w:id="142"/>
      </w:r>
      <w:r>
        <w:rPr>
          <w:spacing w:val="2"/>
        </w:rPr>
        <w:t xml:space="preserve"> </w:t>
      </w:r>
      <w:r>
        <w:rPr>
          <w:rFonts w:hint="eastAsia"/>
          <w:spacing w:val="2"/>
        </w:rPr>
        <w:t>公</w:t>
      </w:r>
      <w:r>
        <w:rPr>
          <w:rFonts w:hint="eastAsia"/>
        </w:rPr>
        <w:t>共安全法的限制性保护也被取消。随着文化程度的提高以及现金经济的发展，越来越多的妇女正在行使这一权利。不过，家庭男成员，如父亲、丈夫、叔伯和兄弟，依然控制着妇女的迁移。</w:t>
      </w:r>
    </w:p>
    <w:p w:rsidR="005052D3" w:rsidRDefault="005052D3">
      <w:pPr>
        <w:pStyle w:val="SingleTxt"/>
        <w:rPr>
          <w:rFonts w:ascii="SimHei" w:eastAsia="SimHei"/>
          <w:color w:val="FF0000"/>
        </w:rPr>
      </w:pPr>
      <w:r>
        <w:rPr>
          <w:rFonts w:ascii="SimHei" w:eastAsia="SimHei"/>
          <w:color w:val="FF0000"/>
        </w:rPr>
        <w:t xml:space="preserve">15.10  </w:t>
      </w:r>
      <w:r>
        <w:rPr>
          <w:rFonts w:ascii="SimHei" w:eastAsia="SimHei" w:hint="eastAsia"/>
          <w:color w:val="FF0000"/>
        </w:rPr>
        <w:t>平等地自由选择住所和住处</w:t>
      </w:r>
    </w:p>
    <w:p w:rsidR="005052D3" w:rsidRDefault="005052D3">
      <w:pPr>
        <w:pStyle w:val="SingleTxt"/>
        <w:spacing w:after="120" w:line="300" w:lineRule="exact"/>
      </w:pPr>
      <w:r>
        <w:t xml:space="preserve">15.10.1  </w:t>
      </w:r>
      <w:r>
        <w:rPr>
          <w:rFonts w:hint="eastAsia"/>
        </w:rPr>
        <w:t>在提交第一份报告期间，（1988年到1992年），实行的是公民身份取决于丈夫或父亲的婚姻法。该法规定，马拉维妇女与非马拉维人结婚生育的孩子不具有马拉维的公民身份。</w:t>
      </w:r>
      <w:r>
        <w:rPr>
          <w:rStyle w:val="FootnoteReference"/>
        </w:rPr>
        <w:footnoteReference w:id="143"/>
      </w:r>
      <w:r>
        <w:t xml:space="preserve"> </w:t>
      </w:r>
      <w:r>
        <w:rPr>
          <w:rFonts w:hint="eastAsia"/>
        </w:rPr>
        <w:t>妇女的住处取决于婚姻和家庭位置。习惯法分别要求母系社会中的妇女和父系社会中的妇女居住在她或丈夫的村庄，除非她的丈夫表示他或他的家庭愿意居住在其他地方。</w:t>
      </w:r>
    </w:p>
    <w:p w:rsidR="005052D3" w:rsidRDefault="005052D3">
      <w:pPr>
        <w:pStyle w:val="SingleTxt"/>
        <w:spacing w:after="120" w:line="300" w:lineRule="exact"/>
      </w:pPr>
      <w:r>
        <w:t xml:space="preserve">15.10.2  </w:t>
      </w:r>
      <w:r>
        <w:rPr>
          <w:rFonts w:hint="eastAsia"/>
        </w:rPr>
        <w:t>1992年到1996年期间，法律委员会建议议会修改有关公民身份的法律，但是因为技术上的问题，提议遭到了拒绝。</w:t>
      </w:r>
      <w:r>
        <w:t xml:space="preserve"> </w:t>
      </w:r>
    </w:p>
    <w:p w:rsidR="005052D3" w:rsidRDefault="005052D3">
      <w:pPr>
        <w:pStyle w:val="SingleTxt"/>
        <w:spacing w:after="120" w:line="300" w:lineRule="exact"/>
        <w:rPr>
          <w:rFonts w:ascii="SimHei" w:eastAsia="SimHei"/>
          <w:color w:val="FF0000"/>
        </w:rPr>
      </w:pPr>
      <w:r>
        <w:rPr>
          <w:rFonts w:ascii="SimHei" w:eastAsia="SimHei"/>
          <w:color w:val="FF0000"/>
        </w:rPr>
        <w:t xml:space="preserve">15.10.3  </w:t>
      </w:r>
      <w:r>
        <w:rPr>
          <w:rFonts w:ascii="SimHei" w:eastAsia="SimHei" w:hint="eastAsia"/>
          <w:color w:val="FF0000"/>
        </w:rPr>
        <w:t>结论</w:t>
      </w:r>
    </w:p>
    <w:p w:rsidR="005052D3" w:rsidRDefault="005052D3">
      <w:pPr>
        <w:pStyle w:val="SingleTxt"/>
        <w:spacing w:after="120" w:line="300" w:lineRule="exact"/>
      </w:pPr>
      <w:r>
        <w:tab/>
      </w:r>
      <w:r>
        <w:rPr>
          <w:rFonts w:hint="eastAsia"/>
        </w:rPr>
        <w:t>1994年宪法与以前的宪法不同，在男女平等方面有大量的规定。文化因素、传统、有关男女的定型观念以及妇女在经济方面的相对无力依然妨碍着实际上的平等。宪法框架提供了进一步促进男女平等和实现宪法规定的基础。</w:t>
      </w:r>
    </w:p>
    <w:p w:rsidR="005052D3" w:rsidRDefault="005052D3">
      <w:pPr>
        <w:pStyle w:val="H1"/>
        <w:spacing w:after="120" w:line="300" w:lineRule="exact"/>
      </w:pPr>
      <w:bookmarkStart w:id="51" w:name="_Toc33784423"/>
      <w:bookmarkStart w:id="52" w:name="_Toc377350762"/>
      <w:bookmarkStart w:id="53" w:name="_Toc83142704"/>
      <w:r>
        <w:tab/>
      </w:r>
      <w:r>
        <w:tab/>
      </w:r>
      <w:r>
        <w:tab/>
      </w:r>
      <w:r>
        <w:rPr>
          <w:rFonts w:hint="eastAsia"/>
        </w:rPr>
        <w:t>第</w:t>
      </w:r>
      <w:r>
        <w:t>16</w:t>
      </w:r>
      <w:r>
        <w:rPr>
          <w:rFonts w:hint="eastAsia"/>
        </w:rPr>
        <w:t>条</w:t>
      </w:r>
      <w:r>
        <w:t>:</w:t>
      </w:r>
      <w:r>
        <w:rPr>
          <w:rFonts w:hint="eastAsia"/>
        </w:rPr>
        <w:t>婚姻和家庭法律中的平等</w:t>
      </w:r>
      <w:bookmarkEnd w:id="51"/>
      <w:bookmarkEnd w:id="52"/>
      <w:bookmarkEnd w:id="53"/>
    </w:p>
    <w:p w:rsidR="005052D3" w:rsidRDefault="005052D3">
      <w:pPr>
        <w:numPr>
          <w:ilvl w:val="1"/>
          <w:numId w:val="21"/>
        </w:numPr>
        <w:tabs>
          <w:tab w:val="left" w:pos="840"/>
        </w:tabs>
        <w:spacing w:after="120" w:line="300" w:lineRule="exact"/>
        <w:ind w:left="1293" w:firstLine="0"/>
        <w:rPr>
          <w:rFonts w:eastAsia="SimHei"/>
          <w:bCs/>
          <w:color w:val="FF0000"/>
        </w:rPr>
      </w:pPr>
      <w:r>
        <w:rPr>
          <w:rFonts w:eastAsia="SimHei"/>
          <w:bCs/>
          <w:color w:val="FF0000"/>
        </w:rPr>
        <w:t>《消除对妇女一切形式歧视公约》</w:t>
      </w:r>
      <w:r>
        <w:rPr>
          <w:rFonts w:eastAsia="SimHei" w:hint="eastAsia"/>
          <w:bCs/>
          <w:color w:val="FF0000"/>
        </w:rPr>
        <w:t>标准</w:t>
      </w:r>
    </w:p>
    <w:p w:rsidR="005052D3" w:rsidRDefault="005052D3">
      <w:pPr>
        <w:pStyle w:val="SingleTxt"/>
        <w:spacing w:after="120" w:line="300" w:lineRule="exact"/>
      </w:pPr>
      <w:r>
        <w:rPr>
          <w:rFonts w:ascii="KaiTi_GB2312" w:eastAsia="KaiTi_GB2312"/>
          <w:color w:val="0000FF"/>
        </w:rPr>
        <w:t>第</w:t>
      </w:r>
      <w:r>
        <w:rPr>
          <w:rFonts w:ascii="KaiTi_GB2312" w:eastAsia="KaiTi_GB2312" w:hint="eastAsia"/>
          <w:color w:val="0000FF"/>
        </w:rPr>
        <w:t>16</w:t>
      </w:r>
      <w:r>
        <w:rPr>
          <w:rFonts w:ascii="KaiTi_GB2312" w:eastAsia="KaiTi_GB2312"/>
          <w:color w:val="0000FF"/>
        </w:rPr>
        <w:t>条</w:t>
      </w:r>
      <w:r>
        <w:t>.</w:t>
      </w:r>
    </w:p>
    <w:p w:rsidR="005052D3" w:rsidRDefault="005052D3">
      <w:pPr>
        <w:pStyle w:val="SingleTxt"/>
        <w:spacing w:after="120" w:line="300" w:lineRule="exact"/>
        <w:ind w:left="1695" w:hanging="431"/>
        <w:rPr>
          <w:rFonts w:ascii="KaiTi_GB2312" w:eastAsia="KaiTi_GB2312"/>
          <w:color w:val="0000FF"/>
        </w:rPr>
      </w:pPr>
      <w:r>
        <w:rPr>
          <w:rFonts w:ascii="KaiTi_GB2312" w:eastAsia="KaiTi_GB2312" w:hint="eastAsia"/>
          <w:color w:val="0000FF"/>
        </w:rPr>
        <w:t xml:space="preserve">1. </w:t>
      </w:r>
      <w:r>
        <w:rPr>
          <w:rFonts w:ascii="KaiTi_GB2312" w:eastAsia="KaiTi_GB2312"/>
          <w:color w:val="0000FF"/>
        </w:rPr>
        <w:tab/>
        <w:t>缔约各国应采取一切适当措施，消除在有关婚姻和家庭关系的一切事</w:t>
      </w:r>
      <w:r>
        <w:rPr>
          <w:rFonts w:ascii="KaiTi_GB2312" w:eastAsia="KaiTi_GB2312" w:hint="eastAsia"/>
          <w:color w:val="0000FF"/>
        </w:rPr>
        <w:t>项</w:t>
      </w:r>
      <w:r>
        <w:rPr>
          <w:rFonts w:ascii="KaiTi_GB2312" w:eastAsia="KaiTi_GB2312"/>
          <w:color w:val="0000FF"/>
        </w:rPr>
        <w:t>上对妇女的歧视，并特别应保证</w:t>
      </w:r>
      <w:r>
        <w:rPr>
          <w:rFonts w:ascii="KaiTi_GB2312" w:eastAsia="KaiTi_GB2312" w:hint="eastAsia"/>
          <w:color w:val="0000FF"/>
        </w:rPr>
        <w:t>她们</w:t>
      </w:r>
      <w:r>
        <w:rPr>
          <w:rFonts w:ascii="KaiTi_GB2312" w:eastAsia="KaiTi_GB2312"/>
          <w:color w:val="0000FF"/>
        </w:rPr>
        <w:t>在男女平等的基础上：</w:t>
      </w:r>
    </w:p>
    <w:p w:rsidR="005052D3" w:rsidRDefault="005052D3" w:rsidP="00B33158">
      <w:pPr>
        <w:tabs>
          <w:tab w:val="left" w:pos="1260"/>
        </w:tabs>
        <w:spacing w:after="120" w:line="300" w:lineRule="exact"/>
        <w:ind w:leftChars="400" w:left="31680" w:hanging="420"/>
      </w:pPr>
      <w:r>
        <w:tab/>
      </w:r>
      <w:r>
        <w:tab/>
      </w:r>
      <w:r>
        <w:tab/>
        <w:t>(a)</w:t>
      </w:r>
      <w:r>
        <w:tab/>
      </w:r>
      <w:r>
        <w:rPr>
          <w:rFonts w:ascii="KaiTi_GB2312" w:eastAsia="KaiTi_GB2312"/>
          <w:color w:val="0000FF"/>
        </w:rPr>
        <w:t>有相同的缔婚权利</w:t>
      </w:r>
      <w:r>
        <w:t>；</w:t>
      </w:r>
    </w:p>
    <w:p w:rsidR="005052D3" w:rsidRDefault="005052D3" w:rsidP="00B33158">
      <w:pPr>
        <w:tabs>
          <w:tab w:val="left" w:pos="1260"/>
        </w:tabs>
        <w:spacing w:after="120" w:line="300" w:lineRule="exact"/>
        <w:ind w:leftChars="400" w:left="31680" w:hanging="420"/>
      </w:pPr>
      <w:r>
        <w:tab/>
      </w:r>
      <w:r>
        <w:tab/>
      </w:r>
      <w:r>
        <w:tab/>
        <w:t>(b)</w:t>
      </w:r>
      <w:r>
        <w:tab/>
      </w:r>
      <w:r>
        <w:rPr>
          <w:rFonts w:ascii="KaiTi_GB2312" w:eastAsia="KaiTi_GB2312"/>
          <w:color w:val="0000FF"/>
        </w:rPr>
        <w:t>有相同的自由选择配偶和非经本人自由表示、完全同意不缔婚</w:t>
      </w:r>
      <w:r>
        <w:rPr>
          <w:rFonts w:ascii="KaiTi_GB2312" w:eastAsia="KaiTi_GB2312" w:hint="eastAsia"/>
          <w:color w:val="0000FF"/>
        </w:rPr>
        <w:t>约</w:t>
      </w:r>
      <w:r>
        <w:rPr>
          <w:rFonts w:ascii="KaiTi_GB2312" w:eastAsia="KaiTi_GB2312"/>
          <w:color w:val="0000FF"/>
        </w:rPr>
        <w:t>的权利</w:t>
      </w:r>
      <w:r>
        <w:t>；</w:t>
      </w:r>
    </w:p>
    <w:p w:rsidR="005052D3" w:rsidRDefault="005052D3" w:rsidP="00B33158">
      <w:pPr>
        <w:tabs>
          <w:tab w:val="left" w:pos="1260"/>
        </w:tabs>
        <w:spacing w:after="120" w:line="300" w:lineRule="exact"/>
        <w:ind w:leftChars="400" w:left="31680" w:hanging="420"/>
      </w:pPr>
      <w:r>
        <w:tab/>
      </w:r>
      <w:r>
        <w:tab/>
      </w:r>
      <w:r>
        <w:tab/>
        <w:t>(c)</w:t>
      </w:r>
      <w:r>
        <w:tab/>
      </w:r>
      <w:r>
        <w:rPr>
          <w:rFonts w:ascii="KaiTi_GB2312" w:eastAsia="KaiTi_GB2312"/>
          <w:color w:val="0000FF"/>
        </w:rPr>
        <w:t>在婚姻存续期间以及解除婚姻关系时，有相同的权利和义务</w:t>
      </w:r>
      <w:r>
        <w:t>；</w:t>
      </w:r>
    </w:p>
    <w:p w:rsidR="005052D3" w:rsidRDefault="005052D3">
      <w:pPr>
        <w:pStyle w:val="SingleTxt"/>
        <w:spacing w:after="120" w:line="300" w:lineRule="exact"/>
        <w:ind w:left="2126" w:hanging="431"/>
      </w:pPr>
      <w:r>
        <w:rPr>
          <w:rFonts w:ascii="KaiTi_GB2312" w:eastAsia="KaiTi_GB2312"/>
          <w:color w:val="0000FF"/>
        </w:rPr>
        <w:t>(d)</w:t>
      </w:r>
      <w:r>
        <w:rPr>
          <w:rFonts w:ascii="KaiTi_GB2312" w:eastAsia="KaiTi_GB2312"/>
          <w:color w:val="0000FF"/>
        </w:rPr>
        <w:tab/>
        <w:t>不论婚姻状况如何，在有关子女的事务上，作为父母亲有相同的权利和义务，但在任何情形下，均应以子女的利益为重</w:t>
      </w:r>
      <w:r>
        <w:t>；</w:t>
      </w:r>
    </w:p>
    <w:p w:rsidR="005052D3" w:rsidRDefault="005052D3">
      <w:pPr>
        <w:pStyle w:val="SingleTxt"/>
        <w:spacing w:after="120" w:line="300" w:lineRule="exact"/>
        <w:ind w:left="2126" w:hanging="431"/>
        <w:rPr>
          <w:rFonts w:hint="eastAsia"/>
        </w:rPr>
      </w:pPr>
      <w:r>
        <w:t>(e)</w:t>
      </w:r>
      <w:r>
        <w:tab/>
      </w:r>
      <w:r>
        <w:rPr>
          <w:rFonts w:ascii="KaiTi_GB2312" w:eastAsia="KaiTi_GB2312"/>
          <w:color w:val="0000FF"/>
        </w:rPr>
        <w:t>有相向的权利自由负责地决定子女人数和生育间隔，并有机会获得</w:t>
      </w:r>
      <w:r>
        <w:rPr>
          <w:rFonts w:ascii="KaiTi_GB2312" w:eastAsia="KaiTi_GB2312" w:hint="eastAsia"/>
          <w:color w:val="0000FF"/>
        </w:rPr>
        <w:t>使她们</w:t>
      </w:r>
      <w:r>
        <w:rPr>
          <w:rFonts w:ascii="KaiTi_GB2312" w:eastAsia="KaiTi_GB2312"/>
          <w:color w:val="0000FF"/>
        </w:rPr>
        <w:t>行使这种权利的知识、教育和方法</w:t>
      </w:r>
      <w:r>
        <w:rPr>
          <w:rFonts w:hint="eastAsia"/>
        </w:rPr>
        <w:t>；</w:t>
      </w:r>
    </w:p>
    <w:p w:rsidR="005052D3" w:rsidRDefault="005052D3">
      <w:pPr>
        <w:pStyle w:val="SingleTxt"/>
        <w:spacing w:after="120" w:line="300" w:lineRule="exact"/>
        <w:ind w:left="2126" w:hanging="431"/>
        <w:rPr>
          <w:rFonts w:hint="eastAsia"/>
        </w:rPr>
      </w:pPr>
      <w:r>
        <w:t>(f)</w:t>
      </w:r>
      <w:r>
        <w:tab/>
      </w:r>
      <w:r>
        <w:rPr>
          <w:rFonts w:ascii="KaiTi_GB2312" w:eastAsia="KaiTi_GB2312"/>
          <w:color w:val="0000FF"/>
        </w:rPr>
        <w:t>在监护、看管、受托和收养子女或类似的制度方面，如果国家法规有这些观念的话，有相同的权利和义务，但在任何情形下，均应以子女的利益为重</w:t>
      </w:r>
      <w:r>
        <w:t>；</w:t>
      </w:r>
    </w:p>
    <w:p w:rsidR="005052D3" w:rsidRDefault="005052D3">
      <w:pPr>
        <w:pStyle w:val="SingleTxt"/>
        <w:spacing w:after="120" w:line="300" w:lineRule="exact"/>
        <w:ind w:left="2126" w:hanging="431"/>
        <w:rPr>
          <w:rFonts w:hint="eastAsia"/>
        </w:rPr>
      </w:pPr>
      <w:r>
        <w:t>(g)</w:t>
      </w:r>
      <w:r>
        <w:tab/>
      </w:r>
      <w:r>
        <w:rPr>
          <w:rFonts w:ascii="KaiTi_GB2312" w:eastAsia="KaiTi_GB2312"/>
          <w:color w:val="0000FF"/>
        </w:rPr>
        <w:t>夫妻有相同的个人权利，包括选择姓氏、专业和职业的权利</w:t>
      </w:r>
      <w:r>
        <w:t>；</w:t>
      </w:r>
    </w:p>
    <w:p w:rsidR="005052D3" w:rsidRDefault="005052D3">
      <w:pPr>
        <w:pStyle w:val="SingleTxt"/>
        <w:spacing w:after="120" w:line="300" w:lineRule="exact"/>
        <w:ind w:left="2126" w:hanging="431"/>
      </w:pPr>
      <w:r>
        <w:t>(h)</w:t>
      </w:r>
      <w:r>
        <w:tab/>
      </w:r>
      <w:r>
        <w:rPr>
          <w:rFonts w:ascii="KaiTi_GB2312" w:eastAsia="KaiTi_GB2312"/>
          <w:color w:val="0000FF"/>
        </w:rPr>
        <w:t>配偶双方在财产的所有、取得、经营、管理、享有、处置方面，不论是无偿的或是收取价值酬报的，都具有相同的权利</w:t>
      </w:r>
      <w:r>
        <w:t>；</w:t>
      </w:r>
    </w:p>
    <w:p w:rsidR="005052D3" w:rsidRDefault="005052D3">
      <w:pPr>
        <w:pStyle w:val="SingleTxt"/>
        <w:spacing w:after="120" w:line="300" w:lineRule="exact"/>
        <w:ind w:left="1695" w:hanging="431"/>
        <w:rPr>
          <w:rFonts w:eastAsia="MS Mincho"/>
        </w:rPr>
      </w:pPr>
      <w:r>
        <w:rPr>
          <w:rFonts w:hint="eastAsia"/>
        </w:rPr>
        <w:t xml:space="preserve">2. </w:t>
      </w:r>
      <w:r>
        <w:tab/>
      </w:r>
      <w:r>
        <w:rPr>
          <w:rFonts w:ascii="KaiTi_GB2312" w:eastAsia="KaiTi_GB2312"/>
          <w:color w:val="0000FF"/>
        </w:rPr>
        <w:t>童年订婚和</w:t>
      </w:r>
      <w:r>
        <w:rPr>
          <w:rFonts w:ascii="KaiTi_GB2312" w:eastAsia="KaiTi_GB2312" w:hint="eastAsia"/>
          <w:color w:val="0000FF"/>
        </w:rPr>
        <w:t>童</w:t>
      </w:r>
      <w:r>
        <w:rPr>
          <w:rFonts w:ascii="KaiTi_GB2312" w:eastAsia="KaiTi_GB2312"/>
          <w:color w:val="0000FF"/>
        </w:rPr>
        <w:t>婚应不具法律效力、并应采取一切必要行动，包括制订法律</w:t>
      </w:r>
      <w:r>
        <w:rPr>
          <w:rFonts w:ascii="KaiTi_GB2312" w:eastAsia="KaiTi_GB2312" w:hint="eastAsia"/>
          <w:color w:val="0000FF"/>
        </w:rPr>
        <w:t>，</w:t>
      </w:r>
      <w:r>
        <w:rPr>
          <w:rFonts w:ascii="KaiTi_GB2312" w:eastAsia="KaiTi_GB2312"/>
          <w:color w:val="0000FF"/>
        </w:rPr>
        <w:t>规定结婚最低年龄，并规定婚姻必须向正式机构登记</w:t>
      </w:r>
      <w:r>
        <w:t>。</w:t>
      </w:r>
    </w:p>
    <w:p w:rsidR="005052D3" w:rsidRDefault="005052D3">
      <w:pPr>
        <w:numPr>
          <w:ilvl w:val="1"/>
          <w:numId w:val="21"/>
        </w:numPr>
        <w:tabs>
          <w:tab w:val="left" w:pos="840"/>
        </w:tabs>
        <w:spacing w:after="120" w:line="300" w:lineRule="exact"/>
        <w:ind w:left="1293" w:firstLine="0"/>
        <w:rPr>
          <w:rFonts w:eastAsia="SimHei"/>
          <w:bCs/>
          <w:color w:val="FF0000"/>
        </w:rPr>
      </w:pPr>
      <w:r>
        <w:rPr>
          <w:rFonts w:eastAsia="SimHei"/>
          <w:bCs/>
          <w:color w:val="FF0000"/>
        </w:rPr>
        <w:t xml:space="preserve">  </w:t>
      </w:r>
      <w:r>
        <w:rPr>
          <w:rFonts w:eastAsia="SimHei" w:hint="eastAsia"/>
          <w:bCs/>
          <w:color w:val="FF0000"/>
        </w:rPr>
        <w:t>导言</w:t>
      </w:r>
    </w:p>
    <w:p w:rsidR="005052D3" w:rsidRDefault="005052D3">
      <w:pPr>
        <w:pStyle w:val="SingleTxt"/>
        <w:rPr>
          <w:spacing w:val="-4"/>
        </w:rPr>
      </w:pPr>
      <w:r>
        <w:rPr>
          <w:spacing w:val="-4"/>
        </w:rPr>
        <w:t xml:space="preserve">16.2.1  </w:t>
      </w:r>
      <w:r>
        <w:rPr>
          <w:rFonts w:hint="eastAsia"/>
          <w:spacing w:val="-4"/>
        </w:rPr>
        <w:t>宪法规定家庭必须被看作是基本的社会单位，并受到社会的保护。</w:t>
      </w:r>
      <w:r>
        <w:rPr>
          <w:rStyle w:val="FootnoteReference"/>
          <w:spacing w:val="-4"/>
        </w:rPr>
        <w:footnoteReference w:id="144"/>
      </w:r>
      <w:r>
        <w:rPr>
          <w:spacing w:val="-4"/>
        </w:rPr>
        <w:t xml:space="preserve"> </w:t>
      </w:r>
      <w:r>
        <w:rPr>
          <w:rFonts w:hint="eastAsia"/>
          <w:spacing w:val="-4"/>
        </w:rPr>
        <w:t>此外，宪法第24条特别保护妇女“受到法律充分和平等的保护”以及不受歧视的权利。</w:t>
      </w:r>
    </w:p>
    <w:p w:rsidR="005052D3" w:rsidRDefault="005052D3">
      <w:pPr>
        <w:pStyle w:val="SingleTxt"/>
      </w:pPr>
      <w:r>
        <w:t xml:space="preserve">16.2.2  </w:t>
      </w:r>
      <w:r>
        <w:rPr>
          <w:rFonts w:hint="eastAsia"/>
        </w:rPr>
        <w:t>在马拉维，家庭是实现男女平等和消除不平等以及定型观念的关键。因此</w:t>
      </w:r>
      <w:r>
        <w:rPr>
          <w:rFonts w:hint="eastAsia"/>
          <w:lang w:val="en-GB"/>
        </w:rPr>
        <w:t>，</w:t>
      </w:r>
      <w:r>
        <w:rPr>
          <w:rFonts w:hint="eastAsia"/>
        </w:rPr>
        <w:t>需要逐步将注意力集中在家庭上，以便在消除对妇女的歧视和推进男女平等方面事半功倍。</w:t>
      </w:r>
      <w:r>
        <w:t xml:space="preserve"> </w:t>
      </w:r>
    </w:p>
    <w:p w:rsidR="005052D3" w:rsidRDefault="005052D3">
      <w:pPr>
        <w:pStyle w:val="SingleTxt"/>
      </w:pPr>
      <w:r>
        <w:t xml:space="preserve">16.2.3  </w:t>
      </w:r>
      <w:r>
        <w:rPr>
          <w:rFonts w:hint="eastAsia"/>
        </w:rPr>
        <w:t>男女不平等在从婚姻开始到结束的家庭生活的各个阶段都很明显。此外</w:t>
      </w:r>
      <w:r>
        <w:rPr>
          <w:rFonts w:hint="eastAsia"/>
          <w:lang w:val="en-GB"/>
        </w:rPr>
        <w:t>，</w:t>
      </w:r>
      <w:r>
        <w:rPr>
          <w:rFonts w:hint="eastAsia"/>
        </w:rPr>
        <w:t>法律以婚姻为基础，忽视为消除歧视而设计的计划。</w:t>
      </w:r>
    </w:p>
    <w:p w:rsidR="005052D3" w:rsidRDefault="005052D3">
      <w:pPr>
        <w:numPr>
          <w:ilvl w:val="1"/>
          <w:numId w:val="21"/>
        </w:numPr>
        <w:tabs>
          <w:tab w:val="left" w:pos="840"/>
        </w:tabs>
        <w:spacing w:after="120"/>
        <w:ind w:left="1293" w:firstLine="0"/>
        <w:rPr>
          <w:rFonts w:eastAsia="SimHei"/>
          <w:bCs/>
          <w:color w:val="FF0000"/>
        </w:rPr>
      </w:pPr>
      <w:r>
        <w:rPr>
          <w:rFonts w:eastAsia="SimHei"/>
          <w:bCs/>
          <w:color w:val="FF0000"/>
        </w:rPr>
        <w:t xml:space="preserve">  </w:t>
      </w:r>
      <w:r>
        <w:rPr>
          <w:rFonts w:eastAsia="SimHei" w:hint="eastAsia"/>
          <w:bCs/>
          <w:color w:val="FF0000"/>
        </w:rPr>
        <w:t>结婚</w:t>
      </w:r>
    </w:p>
    <w:p w:rsidR="005052D3" w:rsidRDefault="005052D3">
      <w:pPr>
        <w:pStyle w:val="SingleTxt"/>
      </w:pPr>
      <w:r>
        <w:t xml:space="preserve">16.3.1  </w:t>
      </w:r>
      <w:r>
        <w:rPr>
          <w:rFonts w:hint="eastAsia"/>
        </w:rPr>
        <w:t>妇女和男子通常在择偶和结婚方面享有相同的权利。宪法第22条进一步加强了这一规定，保证男女在结婚和组成家庭方面享有同等的权利。1994年之前，这种权利没有得到明确认可。</w:t>
      </w:r>
    </w:p>
    <w:p w:rsidR="005052D3" w:rsidRDefault="005052D3">
      <w:pPr>
        <w:pStyle w:val="SingleTxt"/>
      </w:pPr>
      <w:r>
        <w:t xml:space="preserve">16.3.2  </w:t>
      </w:r>
      <w:r>
        <w:rPr>
          <w:rFonts w:hint="eastAsia"/>
        </w:rPr>
        <w:t>宪法第22条对非自愿或强迫婚姻均有规定，并且不鼓励15岁以下的人结婚。另一方面</w:t>
      </w:r>
      <w:r>
        <w:rPr>
          <w:rFonts w:hint="eastAsia"/>
          <w:lang w:val="en-GB"/>
        </w:rPr>
        <w:t>，</w:t>
      </w:r>
      <w:r>
        <w:rPr>
          <w:rFonts w:hint="eastAsia"/>
        </w:rPr>
        <w:t>15到18岁之间的人结婚需要得到父母的完全同意。宪法允许儿童结婚。这与婚姻法第19条相抵触，婚姻法第19条规定结婚的最小年龄为21岁，而且需要父母同意。</w:t>
      </w:r>
      <w:r>
        <w:t xml:space="preserve"> </w:t>
      </w:r>
    </w:p>
    <w:p w:rsidR="005052D3" w:rsidRDefault="005052D3">
      <w:pPr>
        <w:pStyle w:val="SingleTxt"/>
      </w:pPr>
      <w:r>
        <w:t xml:space="preserve">16.3.3  </w:t>
      </w:r>
      <w:r>
        <w:rPr>
          <w:rFonts w:hint="eastAsia"/>
        </w:rPr>
        <w:t>马拉维存在童婚。</w:t>
      </w:r>
      <w:r>
        <w:t>75%</w:t>
      </w:r>
      <w:r>
        <w:rPr>
          <w:rFonts w:hint="eastAsia"/>
        </w:rPr>
        <w:t>的女子在</w:t>
      </w:r>
      <w:r>
        <w:t>20</w:t>
      </w:r>
      <w:r>
        <w:rPr>
          <w:rFonts w:hint="eastAsia"/>
        </w:rPr>
        <w:t>岁之前结婚，而男子在20岁之前结婚的占21%。在编制报告的社会互动过程中，早婚得到了确认。年仅12岁的女孩只要能够怀孕就结婚了。尽管数量已经急剧减少，但童婚依然存在。马拉维农村中依然存在着间接的强迫婚姻，贫困的加剧使情况进一步恶化。例如</w:t>
      </w:r>
      <w:r>
        <w:rPr>
          <w:rFonts w:hint="eastAsia"/>
          <w:lang w:val="en-GB"/>
        </w:rPr>
        <w:t>，</w:t>
      </w:r>
      <w:r>
        <w:rPr>
          <w:rFonts w:hint="eastAsia"/>
        </w:rPr>
        <w:t>父母往往鼓励他们的孩子早婚，以减轻经济负担甚至获得经济支持的新来源。</w:t>
      </w:r>
    </w:p>
    <w:p w:rsidR="005052D3" w:rsidRDefault="005052D3">
      <w:pPr>
        <w:pStyle w:val="SingleTxt"/>
        <w:rPr>
          <w:rFonts w:hint="eastAsia"/>
        </w:rPr>
      </w:pPr>
      <w:r>
        <w:t xml:space="preserve">16.3.4  </w:t>
      </w:r>
      <w:r>
        <w:rPr>
          <w:rFonts w:hint="eastAsia"/>
        </w:rPr>
        <w:t>报告编制期间的社会互动表明，男女在结婚和成家方面的权利并不总是平等的，特别是因为在许多婚姻中潜在的一夫多妻的特点。妇女往往因为害怕失去财政和物质支持，特别是害怕失去孩子，而被迫留在这样的婚姻中。</w:t>
      </w:r>
    </w:p>
    <w:p w:rsidR="005052D3" w:rsidRDefault="005052D3">
      <w:pPr>
        <w:numPr>
          <w:ilvl w:val="1"/>
          <w:numId w:val="21"/>
        </w:numPr>
        <w:tabs>
          <w:tab w:val="left" w:pos="840"/>
        </w:tabs>
        <w:spacing w:after="120"/>
        <w:ind w:left="1293" w:firstLine="0"/>
        <w:rPr>
          <w:rFonts w:eastAsia="SimHei"/>
          <w:bCs/>
          <w:color w:val="FF0000"/>
        </w:rPr>
      </w:pPr>
      <w:r>
        <w:rPr>
          <w:rFonts w:eastAsia="SimHei"/>
          <w:bCs/>
          <w:color w:val="FF0000"/>
        </w:rPr>
        <w:t xml:space="preserve">  </w:t>
      </w:r>
      <w:r>
        <w:rPr>
          <w:rFonts w:eastAsia="SimHei" w:hint="eastAsia"/>
          <w:bCs/>
          <w:color w:val="FF0000"/>
        </w:rPr>
        <w:t>婚姻和礼仪的类型</w:t>
      </w:r>
    </w:p>
    <w:p w:rsidR="005052D3" w:rsidRDefault="005052D3">
      <w:pPr>
        <w:pStyle w:val="SingleTxt"/>
      </w:pPr>
      <w:r>
        <w:t xml:space="preserve">16.4.1  </w:t>
      </w:r>
      <w:r>
        <w:rPr>
          <w:rFonts w:hint="eastAsia"/>
        </w:rPr>
        <w:t>马拉维的法律体系规定了多种不同的婚姻体系，这在向妇女分配权利时造成了歧视。婚姻权根据夫妻选择的婚姻形式进行分配，而婚姻形式本质上由文化、宗教和成文法决定。</w:t>
      </w:r>
      <w:r>
        <w:t xml:space="preserve"> </w:t>
      </w:r>
    </w:p>
    <w:p w:rsidR="005052D3" w:rsidRDefault="005052D3">
      <w:pPr>
        <w:pStyle w:val="SingleTxt"/>
      </w:pPr>
      <w:r>
        <w:t xml:space="preserve">16.4.2  </w:t>
      </w:r>
      <w:r>
        <w:rPr>
          <w:rFonts w:hint="eastAsia"/>
        </w:rPr>
        <w:t>在马拉维，主要的婚姻形式由非洲习惯法决定。而这种习惯法本身就根据社会是父系的（主要在北方省）或母系的（主要在中央省的部分地区和南方省）进行调整。这些婚姻是潜在的一夫多妻婚姻，其合法性取决于“</w:t>
      </w:r>
      <w:r>
        <w:t>lobola</w:t>
      </w:r>
      <w:r>
        <w:rPr>
          <w:rFonts w:hint="eastAsia"/>
        </w:rPr>
        <w:t>（男方在婚礼前送给新娘的彩礼）”</w:t>
      </w:r>
      <w:r>
        <w:rPr>
          <w:rFonts w:hint="eastAsia"/>
          <w:iCs/>
        </w:rPr>
        <w:t>的支付或根据父系社会习俗庆祝的新娘的婚姻价格。“Lob</w:t>
      </w:r>
      <w:r>
        <w:rPr>
          <w:iCs/>
        </w:rPr>
        <w:t>o</w:t>
      </w:r>
      <w:r>
        <w:rPr>
          <w:rFonts w:hint="eastAsia"/>
          <w:iCs/>
        </w:rPr>
        <w:t>la”的代价是妇女的生育和作为妻子提供的其他服务。</w:t>
      </w:r>
      <w:r>
        <w:t>Lobola</w:t>
      </w:r>
      <w:r>
        <w:rPr>
          <w:rFonts w:hint="eastAsia"/>
          <w:iCs/>
        </w:rPr>
        <w:t>的数量因妇女的行为和教育情况而不同。如果家庭认为，根据女儿的行为确定她不是很有价值，则收取少量lobola。</w:t>
      </w:r>
      <w:r>
        <w:t xml:space="preserve"> </w:t>
      </w:r>
      <w:r>
        <w:rPr>
          <w:rFonts w:hint="eastAsia"/>
        </w:rPr>
        <w:t>风俗把妇女作为一种交换商品。在南方省的</w:t>
      </w:r>
      <w:r>
        <w:t>Nsanje</w:t>
      </w:r>
      <w:r>
        <w:rPr>
          <w:rFonts w:hint="eastAsia"/>
        </w:rPr>
        <w:t>，父系社会的lobola也根据妇女实际或潜在的性生活表现而发生变化，由包括她父亲在内的乱伦行为决定。</w:t>
      </w:r>
    </w:p>
    <w:p w:rsidR="005052D3" w:rsidRDefault="005052D3">
      <w:pPr>
        <w:pStyle w:val="SingleTxt"/>
      </w:pPr>
      <w:r>
        <w:t xml:space="preserve">16.4.3  </w:t>
      </w:r>
      <w:r>
        <w:rPr>
          <w:rFonts w:hint="eastAsia"/>
        </w:rPr>
        <w:t>对母系社会而言</w:t>
      </w:r>
      <w:r>
        <w:rPr>
          <w:rFonts w:hint="eastAsia"/>
          <w:lang w:val="en-GB"/>
        </w:rPr>
        <w:t>，</w:t>
      </w:r>
      <w:r>
        <w:rPr>
          <w:rFonts w:hint="eastAsia"/>
        </w:rPr>
        <w:t>婚姻的有效性取决于婚姻促成者</w:t>
      </w:r>
      <w:r>
        <w:rPr>
          <w:rFonts w:hint="eastAsia"/>
          <w:lang w:val="en-GB"/>
        </w:rPr>
        <w:t>，这个婚姻促成者通常是男子。合乎习俗的婚姻可以在地区议会注册，但是这种注册并不改变婚姻的性质，很少有人利用这一机构领取结婚证书。</w:t>
      </w:r>
    </w:p>
    <w:p w:rsidR="005052D3" w:rsidRDefault="005052D3">
      <w:pPr>
        <w:pStyle w:val="SingleTxt"/>
        <w:rPr>
          <w:spacing w:val="2"/>
        </w:rPr>
      </w:pPr>
      <w:r>
        <w:rPr>
          <w:spacing w:val="2"/>
        </w:rPr>
        <w:t xml:space="preserve">16.4.4  </w:t>
      </w:r>
      <w:r>
        <w:rPr>
          <w:rFonts w:hint="eastAsia"/>
          <w:spacing w:val="2"/>
        </w:rPr>
        <w:t>无论婚后居住在女方还是男方的婚姻都坚持男方预付礼物以表明意向的严肃性。如果求婚者和女子同意结婚，男方与女方进行沟通。在马拉维南部的父系系统中，求婚者通过女方向女方家庭送交定金。之后</w:t>
      </w:r>
      <w:r>
        <w:rPr>
          <w:rFonts w:hint="eastAsia"/>
          <w:spacing w:val="2"/>
          <w:lang w:val="en-GB"/>
        </w:rPr>
        <w:t>，无论在哪个地区，青年男子的代表与女方代表会面，并代表大家庭求婚。在这一阶段，</w:t>
      </w:r>
      <w:r>
        <w:rPr>
          <w:spacing w:val="2"/>
        </w:rPr>
        <w:t xml:space="preserve"> </w:t>
      </w:r>
      <w:r>
        <w:rPr>
          <w:rFonts w:hint="eastAsia"/>
          <w:spacing w:val="2"/>
        </w:rPr>
        <w:t>女方收取“Chiwongo”，在有些地区则收取“Chamlomo”，以表明想娶女子为妻的正式意向。订婚是一项公共活动，男方要提交礼物，以表明他愿意承担他作为男子的责任。礼物通常包括一把斧子、一把锄头和一块布，表明他将照顾女子并管理家庭。</w:t>
      </w:r>
      <w:r>
        <w:rPr>
          <w:spacing w:val="2"/>
        </w:rPr>
        <w:t xml:space="preserve"> </w:t>
      </w:r>
    </w:p>
    <w:p w:rsidR="005052D3" w:rsidRDefault="005052D3">
      <w:pPr>
        <w:pStyle w:val="SingleTxt"/>
      </w:pPr>
      <w:r>
        <w:t xml:space="preserve">16.4.5  </w:t>
      </w:r>
      <w:r>
        <w:rPr>
          <w:rFonts w:hint="eastAsia"/>
        </w:rPr>
        <w:t>第二类是根据婚姻法缔结的婚姻。</w:t>
      </w:r>
      <w:r>
        <w:rPr>
          <w:rStyle w:val="FootnoteReference"/>
        </w:rPr>
        <w:footnoteReference w:id="145"/>
      </w:r>
      <w:r>
        <w:t xml:space="preserve"> </w:t>
      </w:r>
      <w:r>
        <w:rPr>
          <w:rFonts w:hint="eastAsia"/>
        </w:rPr>
        <w:t>这些婚姻遵循的是旧的英国婚姻法律制度，遵循的是一夫一妻的原则。这一规定得到了刑法的进一步加强，因为刑法中规定了重婚罪。</w:t>
      </w:r>
      <w:r>
        <w:rPr>
          <w:rStyle w:val="FootnoteReference"/>
        </w:rPr>
        <w:footnoteReference w:id="146"/>
      </w:r>
      <w:r>
        <w:t xml:space="preserve"> </w:t>
      </w:r>
      <w:r>
        <w:rPr>
          <w:rFonts w:hint="eastAsia"/>
        </w:rPr>
        <w:t>这种婚姻的有效性取决于在婚姻登记员处的登记。</w:t>
      </w:r>
    </w:p>
    <w:p w:rsidR="005052D3" w:rsidRDefault="005052D3">
      <w:pPr>
        <w:pStyle w:val="SingleTxt"/>
      </w:pPr>
      <w:r>
        <w:t xml:space="preserve">16.4.6  </w:t>
      </w:r>
      <w:r>
        <w:rPr>
          <w:rFonts w:hint="eastAsia"/>
        </w:rPr>
        <w:t>第三类是根据亚洲法律（婚姻、离婚和继承法）订立婚约的婚姻。</w:t>
      </w:r>
      <w:r>
        <w:rPr>
          <w:rStyle w:val="FootnoteReference"/>
        </w:rPr>
        <w:footnoteReference w:id="147"/>
      </w:r>
      <w:r>
        <w:t xml:space="preserve"> </w:t>
      </w:r>
      <w:r>
        <w:rPr>
          <w:rFonts w:hint="eastAsia"/>
        </w:rPr>
        <w:t>这些婚姻遵循的是亚洲的习俗。这项法律满足的是马拉维少数亚洲社区成员的利益。这些婚姻以新娘的财富和一夫多妻为特点。</w:t>
      </w:r>
    </w:p>
    <w:p w:rsidR="005052D3" w:rsidRDefault="005052D3">
      <w:pPr>
        <w:pStyle w:val="SingleTxt"/>
      </w:pPr>
      <w:r>
        <w:t xml:space="preserve">16.4.7  </w:t>
      </w:r>
      <w:r>
        <w:rPr>
          <w:rFonts w:hint="eastAsia"/>
        </w:rPr>
        <w:t>第四类是根据《非洲婚姻（基督教仪式注册）法》缔结的婚姻。这些婚姻的仪式在基督教教堂举行，但依然保留习俗，因此这些婚姻是潜在的一夫多妻制婚姻，那些在罗马天主教堂、安息日会教堂和英国国教会教堂根据婚姻法注册的婚姻除外。</w:t>
      </w:r>
    </w:p>
    <w:p w:rsidR="005052D3" w:rsidRDefault="005052D3">
      <w:pPr>
        <w:pStyle w:val="SingleTxt"/>
      </w:pPr>
      <w:r>
        <w:t xml:space="preserve">16.4.8  </w:t>
      </w:r>
      <w:r>
        <w:rPr>
          <w:rFonts w:hint="eastAsia"/>
        </w:rPr>
        <w:t>因此，尽管在马拉维出现的许多基督教堂中举行婚礼的妇女试图并认为缔结的是一夫一妻制的婚约，但法律却无视这种意图。</w:t>
      </w:r>
    </w:p>
    <w:p w:rsidR="005052D3" w:rsidRDefault="005052D3">
      <w:pPr>
        <w:pStyle w:val="SingleTxt"/>
      </w:pPr>
      <w:r>
        <w:t xml:space="preserve">16.4.9  </w:t>
      </w:r>
      <w:r>
        <w:rPr>
          <w:rFonts w:hint="eastAsia"/>
        </w:rPr>
        <w:t>第五类是“通过声名和长期同居”形成的婚姻，由1994年宪法提出。</w:t>
      </w:r>
      <w:r>
        <w:rPr>
          <w:rStyle w:val="FootnoteReference"/>
        </w:rPr>
        <w:footnoteReference w:id="148"/>
      </w:r>
      <w:r>
        <w:t xml:space="preserve"> </w:t>
      </w:r>
      <w:r>
        <w:rPr>
          <w:rFonts w:hint="eastAsia"/>
        </w:rPr>
        <w:t>尽管这一规定为没有举行正式婚礼的夫妻提供了保障，但许多马拉维人发现这种结合是无法令人接受的，而且还会损害社会的凝聚力，因为这种结合未能使亲属、社会成员以及朋友参与两人结合的婚礼。在非洲人看来，婚姻不仅仅是两个人的结合，而且是两个大家庭的联合。马拉维其他人进一步认为，承认名义上的或同居的两性关系是婚姻关系，迫使自由选择不被看作是根据婚姻制度结婚的夫妇遵守法律。</w:t>
      </w:r>
    </w:p>
    <w:p w:rsidR="005052D3" w:rsidRDefault="005052D3">
      <w:pPr>
        <w:numPr>
          <w:ilvl w:val="1"/>
          <w:numId w:val="21"/>
        </w:numPr>
        <w:tabs>
          <w:tab w:val="left" w:pos="840"/>
        </w:tabs>
        <w:spacing w:after="120"/>
        <w:ind w:left="1293" w:firstLine="0"/>
        <w:rPr>
          <w:rFonts w:eastAsia="SimHei"/>
          <w:bCs/>
          <w:color w:val="FF0000"/>
        </w:rPr>
      </w:pPr>
      <w:r>
        <w:rPr>
          <w:rFonts w:eastAsia="SimHei"/>
          <w:bCs/>
          <w:color w:val="FF0000"/>
        </w:rPr>
        <w:t xml:space="preserve">  </w:t>
      </w:r>
      <w:r>
        <w:rPr>
          <w:rFonts w:eastAsia="SimHei" w:hint="eastAsia"/>
          <w:bCs/>
          <w:color w:val="FF0000"/>
        </w:rPr>
        <w:t>家庭中的一般权利和义务</w:t>
      </w:r>
    </w:p>
    <w:p w:rsidR="005052D3" w:rsidRDefault="005052D3">
      <w:pPr>
        <w:pStyle w:val="SingleTxt"/>
        <w:spacing w:line="340" w:lineRule="exact"/>
      </w:pPr>
      <w:r>
        <w:t xml:space="preserve">16.5.1  </w:t>
      </w:r>
      <w:r>
        <w:rPr>
          <w:rFonts w:hint="eastAsia"/>
        </w:rPr>
        <w:t>尽管马拉维的法律以婚姻为基础，但它关注的主要是形成和解除婚姻，使得家庭中的生活很缺乏管理。即使知道家庭内部存在着不公平，家庭仍被视为私人领域。尽管家庭被看作是私事，但丈夫被看作是一家之长。</w:t>
      </w:r>
    </w:p>
    <w:p w:rsidR="005052D3" w:rsidRDefault="005052D3">
      <w:pPr>
        <w:pStyle w:val="SingleTxt"/>
        <w:spacing w:line="340" w:lineRule="exact"/>
      </w:pPr>
      <w:r>
        <w:t xml:space="preserve">16.5.2  </w:t>
      </w:r>
      <w:r>
        <w:rPr>
          <w:rFonts w:hint="eastAsia"/>
        </w:rPr>
        <w:t>家庭中的角色被男性化或女性化。丈夫作为家长，通常管理婚姻和家庭事务。如果妻子这样做，她或她的丈夫就会被人轻视，说是没有结婚的人。在编制报告的社会咨询过程中了解到，有些传统角色正在改变，特别是在接受了两性新知识的地区，但主要原因是贫困。例如</w:t>
      </w:r>
      <w:r>
        <w:rPr>
          <w:rFonts w:hint="eastAsia"/>
          <w:lang w:val="en-GB"/>
        </w:rPr>
        <w:t>，</w:t>
      </w:r>
      <w:r>
        <w:rPr>
          <w:rFonts w:hint="eastAsia"/>
        </w:rPr>
        <w:t>越来越多的男子帮助妻子做饭以及搬运食物和水。即使诸如捣玉米等某些角色仍然被看作是属于妇女的，男子也可以用汽车或自行车把玉米送往脱粒站或玉米磨房。根据社会习俗，园艺被看作是由双方共同分担的。</w:t>
      </w:r>
    </w:p>
    <w:p w:rsidR="005052D3" w:rsidRDefault="005052D3">
      <w:pPr>
        <w:pStyle w:val="SingleTxt"/>
        <w:spacing w:line="340" w:lineRule="exact"/>
      </w:pPr>
      <w:r>
        <w:t xml:space="preserve">16.5.3  </w:t>
      </w:r>
      <w:r>
        <w:rPr>
          <w:rFonts w:hint="eastAsia"/>
        </w:rPr>
        <w:t>即使在受过教育的妇女当中，丈夫是家长的观念也非常强烈，这得到了宗教的支持，而且传统婚姻被看作是妇女生活的缩影和生存机制。例如，许多职业妇女因为婚姻而放弃了自己的职业生涯，以维持婚姻并遵从她们丈夫和家庭的意愿。</w:t>
      </w:r>
    </w:p>
    <w:p w:rsidR="005052D3" w:rsidRDefault="005052D3">
      <w:pPr>
        <w:pStyle w:val="SingleTxt"/>
        <w:spacing w:line="340" w:lineRule="exact"/>
        <w:rPr>
          <w:rFonts w:ascii="SimHei" w:eastAsia="SimHei"/>
          <w:color w:val="FF0000"/>
        </w:rPr>
      </w:pPr>
      <w:r>
        <w:rPr>
          <w:rFonts w:ascii="SimHei" w:eastAsia="SimHei"/>
          <w:color w:val="FF0000"/>
        </w:rPr>
        <w:t xml:space="preserve">16.6  </w:t>
      </w:r>
      <w:r>
        <w:rPr>
          <w:rFonts w:ascii="SimHei" w:eastAsia="SimHei" w:hint="eastAsia"/>
          <w:color w:val="FF0000"/>
        </w:rPr>
        <w:t>家庭隐私和不公正</w:t>
      </w:r>
    </w:p>
    <w:p w:rsidR="005052D3" w:rsidRDefault="005052D3">
      <w:pPr>
        <w:pStyle w:val="SingleTxt"/>
        <w:spacing w:line="340" w:lineRule="exact"/>
      </w:pPr>
      <w:r>
        <w:t xml:space="preserve">16.6.1  </w:t>
      </w:r>
      <w:r>
        <w:rPr>
          <w:rFonts w:hint="eastAsia"/>
        </w:rPr>
        <w:t>法律和社会将家庭看作私人领域加剧了家庭功能的混乱和对大多数妇女权利的侵犯。许多马拉维家庭中存在的不公平，包括身体、心理、经济、性和社会形式的家庭暴力。随着性别和社区服务部及其合作伙伴开展的提高认识运动的深入，报告家庭暴力的妇女人数也在增加。从1995年的3 900人增加到1999年的8 000人，直到2003年的20 000人以上。</w:t>
      </w:r>
      <w:r>
        <w:rPr>
          <w:rStyle w:val="FootnoteReference"/>
        </w:rPr>
        <w:footnoteReference w:id="149"/>
      </w:r>
    </w:p>
    <w:p w:rsidR="005052D3" w:rsidRDefault="005052D3">
      <w:pPr>
        <w:pStyle w:val="SingleTxt"/>
        <w:spacing w:line="340" w:lineRule="exact"/>
      </w:pPr>
      <w:r>
        <w:t xml:space="preserve">16.6.2  </w:t>
      </w:r>
      <w:r>
        <w:rPr>
          <w:rFonts w:hint="eastAsia"/>
        </w:rPr>
        <w:t>涉及这些问题的非政府组织数量在逐渐增加，它们的服务包括为受虐待妇女提供保护，并在某些情况下对强迫婚姻或童婚进行干预。</w:t>
      </w:r>
      <w:r>
        <w:t xml:space="preserve"> </w:t>
      </w:r>
    </w:p>
    <w:p w:rsidR="005052D3" w:rsidRDefault="005052D3">
      <w:pPr>
        <w:pStyle w:val="SingleTxt"/>
        <w:spacing w:line="340" w:lineRule="exact"/>
        <w:rPr>
          <w:rFonts w:ascii="SimHei" w:eastAsia="SimHei"/>
          <w:color w:val="FF0000"/>
        </w:rPr>
      </w:pPr>
      <w:r>
        <w:rPr>
          <w:rFonts w:ascii="SimHei" w:eastAsia="SimHei"/>
          <w:color w:val="FF0000"/>
        </w:rPr>
        <w:t xml:space="preserve">16.7  </w:t>
      </w:r>
      <w:r>
        <w:rPr>
          <w:rFonts w:ascii="SimHei" w:eastAsia="SimHei" w:hint="eastAsia"/>
          <w:color w:val="FF0000"/>
        </w:rPr>
        <w:t>财产权</w:t>
      </w:r>
    </w:p>
    <w:p w:rsidR="005052D3" w:rsidRDefault="005052D3">
      <w:pPr>
        <w:pStyle w:val="SingleTxt"/>
        <w:spacing w:line="340" w:lineRule="exact"/>
      </w:pPr>
      <w:r>
        <w:t xml:space="preserve">16.7.1  </w:t>
      </w:r>
      <w:r>
        <w:rPr>
          <w:rFonts w:hint="eastAsia"/>
        </w:rPr>
        <w:t>尽管宪法目前明确规定了无论其婚姻状况如何，妇女均享有获得和保持财产权的平等权利，但是没有具体的法律管理婚姻存续期间的婚姻财产权（配偶之间）。</w:t>
      </w:r>
      <w:r>
        <w:rPr>
          <w:rStyle w:val="FootnoteReference"/>
        </w:rPr>
        <w:footnoteReference w:id="150"/>
      </w:r>
      <w:r>
        <w:t xml:space="preserve"> </w:t>
      </w:r>
      <w:r>
        <w:rPr>
          <w:rFonts w:hint="eastAsia"/>
        </w:rPr>
        <w:t>而对所有的婚姻，财产权都是女性化的或男性化的。例如，炊具属于妇女，而土地和汽车等其他财产通常则属于男子。</w:t>
      </w:r>
    </w:p>
    <w:p w:rsidR="005052D3" w:rsidRDefault="005052D3">
      <w:pPr>
        <w:pStyle w:val="SingleTxt"/>
        <w:spacing w:after="160" w:line="340" w:lineRule="exact"/>
      </w:pPr>
      <w:r>
        <w:t xml:space="preserve">16.7.2  </w:t>
      </w:r>
      <w:r>
        <w:rPr>
          <w:rFonts w:hint="eastAsia"/>
        </w:rPr>
        <w:t>虽然所有的家庭成员都可能从财产中获益，但其所有权属于丈夫、妻子或孩子。这主要是因为马拉维的大多数人把财产只看作是目标，而不看作是能把没有头衔的人包括在内的权力关系。</w:t>
      </w:r>
    </w:p>
    <w:p w:rsidR="005052D3" w:rsidRDefault="005052D3">
      <w:pPr>
        <w:pStyle w:val="SingleTxt"/>
        <w:spacing w:after="160" w:line="340" w:lineRule="exact"/>
        <w:rPr>
          <w:rFonts w:ascii="SimHei" w:eastAsia="SimHei"/>
          <w:color w:val="FF0000"/>
        </w:rPr>
      </w:pPr>
      <w:r>
        <w:rPr>
          <w:rFonts w:ascii="SimHei" w:eastAsia="SimHei"/>
          <w:color w:val="FF0000"/>
        </w:rPr>
        <w:t xml:space="preserve">16.8  </w:t>
      </w:r>
      <w:r>
        <w:rPr>
          <w:rFonts w:ascii="SimHei" w:eastAsia="SimHei" w:hint="eastAsia"/>
          <w:color w:val="FF0000"/>
        </w:rPr>
        <w:t>家长的责任</w:t>
      </w:r>
    </w:p>
    <w:p w:rsidR="005052D3" w:rsidRDefault="005052D3">
      <w:pPr>
        <w:pStyle w:val="SingleTxt"/>
        <w:spacing w:after="160" w:line="340" w:lineRule="exact"/>
      </w:pPr>
      <w:r>
        <w:t xml:space="preserve">16.8.1  </w:t>
      </w:r>
      <w:r>
        <w:rPr>
          <w:rFonts w:hint="eastAsia"/>
        </w:rPr>
        <w:t>根据法律，妇女和父母双方有责任明确自己的身份，抚养自己的子女。父母结婚后，双方均有平等的监护权，有权对子女进行监护（身体上的照管和管理）。</w:t>
      </w:r>
      <w:r>
        <w:rPr>
          <w:rStyle w:val="FootnoteReference"/>
        </w:rPr>
        <w:footnoteReference w:id="151"/>
      </w:r>
      <w:r>
        <w:t xml:space="preserve"> </w:t>
      </w:r>
      <w:r>
        <w:rPr>
          <w:rFonts w:hint="eastAsia"/>
        </w:rPr>
        <w:t>监护权包括抚养子女成人，不会仅因为父母分离而失去抚养子女的权利。在父母分居和离婚时，对子女的监护权通常属于母亲，特别是年幼的子女。一些子女可以是正式收养的，</w:t>
      </w:r>
      <w:r>
        <w:rPr>
          <w:rStyle w:val="FootnoteReference"/>
        </w:rPr>
        <w:footnoteReference w:id="152"/>
      </w:r>
      <w:r>
        <w:rPr>
          <w:rFonts w:hint="eastAsia"/>
        </w:rPr>
        <w:t>但大多数收养都是非正式的，是亲戚间的收养，这些通常是失去父母的孤儿，随着艾滋病的传播，这样的儿童人数在增加。</w:t>
      </w:r>
    </w:p>
    <w:p w:rsidR="005052D3" w:rsidRDefault="005052D3">
      <w:pPr>
        <w:pStyle w:val="SingleTxt"/>
        <w:spacing w:after="160" w:line="340" w:lineRule="exact"/>
      </w:pPr>
      <w:r>
        <w:t xml:space="preserve">16.8.2  </w:t>
      </w:r>
      <w:r>
        <w:rPr>
          <w:rFonts w:hint="eastAsia"/>
        </w:rPr>
        <w:t>子女在夫妻生活中被看成是十分重要的。如果妻子不能生育</w:t>
      </w:r>
      <w:r>
        <w:rPr>
          <w:rFonts w:hint="eastAsia"/>
          <w:lang w:val="en-GB"/>
        </w:rPr>
        <w:t>，</w:t>
      </w:r>
      <w:r>
        <w:rPr>
          <w:rFonts w:hint="eastAsia"/>
        </w:rPr>
        <w:t>往往会受到指摘。在这样的情况下，按习俗结婚的丈夫通常要再娶一位妻子，或者找理由进行婚外生活。如果丈夫不能生育</w:t>
      </w:r>
      <w:r>
        <w:rPr>
          <w:rFonts w:hint="eastAsia"/>
          <w:lang w:val="en-GB"/>
        </w:rPr>
        <w:t>，</w:t>
      </w:r>
      <w:r>
        <w:rPr>
          <w:rFonts w:hint="eastAsia"/>
        </w:rPr>
        <w:t>妇女可能会被迫与另外一个能使他怀孕的男人发生性关系。如果妻子在未征得丈夫同意的情况下这样做，就会被迫离婚或在家中受到虐待。还有些情况下，把一个“</w:t>
      </w:r>
      <w:r>
        <w:t>fisi</w:t>
      </w:r>
      <w:r>
        <w:rPr>
          <w:rFonts w:hint="eastAsia"/>
        </w:rPr>
        <w:t>”</w:t>
      </w:r>
      <w:r>
        <w:t>hyena</w:t>
      </w:r>
      <w:r>
        <w:rPr>
          <w:rFonts w:hint="eastAsia"/>
        </w:rPr>
        <w:t>（土狼）带回家与妻子发生性关系，由</w:t>
      </w:r>
      <w:r>
        <w:t>fisi</w:t>
      </w:r>
      <w:r>
        <w:rPr>
          <w:rFonts w:hint="eastAsia"/>
        </w:rPr>
        <w:t>代表丈夫生育。</w:t>
      </w:r>
    </w:p>
    <w:p w:rsidR="005052D3" w:rsidRDefault="005052D3">
      <w:pPr>
        <w:pStyle w:val="SingleTxt"/>
        <w:spacing w:after="160" w:line="340" w:lineRule="exact"/>
      </w:pPr>
      <w:r>
        <w:t xml:space="preserve">16.8.3  </w:t>
      </w:r>
      <w:r>
        <w:rPr>
          <w:rFonts w:hint="eastAsia"/>
        </w:rPr>
        <w:t>如果未婚生育子女，</w:t>
      </w:r>
      <w:r>
        <w:rPr>
          <w:rFonts w:hint="eastAsia"/>
          <w:lang w:val="en-GB"/>
        </w:rPr>
        <w:t>《私生子法》规定母亲可以申请抚养权。父亲所付费用提高到了每月</w:t>
      </w:r>
      <w:r>
        <w:t>3</w:t>
      </w:r>
      <w:r>
        <w:rPr>
          <w:rFonts w:hint="eastAsia"/>
        </w:rPr>
        <w:t xml:space="preserve"> </w:t>
      </w:r>
      <w:r>
        <w:t>000.00</w:t>
      </w:r>
      <w:r>
        <w:rPr>
          <w:rFonts w:hint="eastAsia"/>
        </w:rPr>
        <w:t>克瓦查</w:t>
      </w:r>
      <w:r>
        <w:t xml:space="preserve"> (66.7</w:t>
      </w:r>
      <w:r>
        <w:rPr>
          <w:rFonts w:hint="eastAsia"/>
        </w:rPr>
        <w:t>美元，当时的汇率为1美元等于45克瓦查)，或者一次总付</w:t>
      </w:r>
      <w:r>
        <w:t>30</w:t>
      </w:r>
      <w:r>
        <w:rPr>
          <w:rFonts w:hint="eastAsia"/>
        </w:rPr>
        <w:t xml:space="preserve"> </w:t>
      </w:r>
      <w:r>
        <w:t>000.00</w:t>
      </w:r>
      <w:r>
        <w:rPr>
          <w:rFonts w:hint="eastAsia"/>
        </w:rPr>
        <w:t>克瓦查</w:t>
      </w:r>
      <w:r>
        <w:t xml:space="preserve"> (666.7</w:t>
      </w:r>
      <w:r>
        <w:rPr>
          <w:rFonts w:hint="eastAsia"/>
        </w:rPr>
        <w:t>美元，当时的汇率为</w:t>
      </w:r>
      <w:r>
        <w:t xml:space="preserve"> </w:t>
      </w:r>
      <w:r>
        <w:rPr>
          <w:rFonts w:hint="eastAsia"/>
        </w:rPr>
        <w:t>1美元等于45克瓦查)。母亲提供的证据和法庭记录表明，很多父亲拖欠子女的抚养费。在这样的情况下，母亲的负担很重，但母亲一旦滥用父亲对子女的抚养费，就会受到起诉。</w:t>
      </w:r>
      <w:r>
        <w:rPr>
          <w:rStyle w:val="FootnoteReference"/>
        </w:rPr>
        <w:footnoteReference w:id="153"/>
      </w:r>
    </w:p>
    <w:p w:rsidR="005052D3" w:rsidRDefault="005052D3">
      <w:pPr>
        <w:pStyle w:val="SingleTxt"/>
        <w:spacing w:after="160" w:line="340" w:lineRule="exact"/>
      </w:pPr>
      <w:r>
        <w:t xml:space="preserve">16.8.4  </w:t>
      </w:r>
      <w:r>
        <w:rPr>
          <w:rFonts w:hint="eastAsia"/>
        </w:rPr>
        <w:t>为编制本报告在社区调查时发现，丈夫决定子女的数量，大多数妇女认为孩子多会使婚姻更加稳固。子女可以用作与丈夫谈判的工具，特别是一夫多妻的家庭。但是也发现，越来越多的妇女背着丈夫到计划生育服务部门求助，保证子女之间的合理间隔。</w:t>
      </w:r>
    </w:p>
    <w:p w:rsidR="005052D3" w:rsidRDefault="005052D3">
      <w:pPr>
        <w:pStyle w:val="SingleTxt"/>
        <w:spacing w:after="160" w:line="340" w:lineRule="exact"/>
      </w:pPr>
      <w:r>
        <w:t xml:space="preserve">16.8.5  </w:t>
      </w:r>
      <w:r>
        <w:rPr>
          <w:rFonts w:hint="eastAsia"/>
        </w:rPr>
        <w:t>在婚姻存续期，子女被看作是属于父母双方的，但在分居或婚姻解体时通常会留给妇女。即使在父权制社会，这也越来越成为规范。原因是，男子发现抚养孩子在经济上是负担，特别是如果他们决定再婚的话。</w:t>
      </w:r>
      <w:r>
        <w:t xml:space="preserve"> </w:t>
      </w:r>
    </w:p>
    <w:p w:rsidR="005052D3" w:rsidRDefault="005052D3">
      <w:pPr>
        <w:pStyle w:val="SingleTxt"/>
        <w:spacing w:after="160" w:line="340" w:lineRule="exact"/>
        <w:rPr>
          <w:rFonts w:ascii="SimHei" w:eastAsia="SimHei"/>
          <w:color w:val="FF0000"/>
        </w:rPr>
      </w:pPr>
      <w:r>
        <w:rPr>
          <w:rFonts w:ascii="SimHei" w:eastAsia="SimHei"/>
          <w:color w:val="FF0000"/>
        </w:rPr>
        <w:t xml:space="preserve">16.9  </w:t>
      </w:r>
      <w:r>
        <w:rPr>
          <w:rFonts w:ascii="SimHei" w:eastAsia="SimHei" w:hint="eastAsia"/>
          <w:color w:val="FF0000"/>
        </w:rPr>
        <w:t>性生活的权利</w:t>
      </w:r>
    </w:p>
    <w:p w:rsidR="005052D3" w:rsidRDefault="005052D3">
      <w:pPr>
        <w:pStyle w:val="SingleTxt"/>
      </w:pPr>
      <w:r>
        <w:t xml:space="preserve">16.9.1  </w:t>
      </w:r>
      <w:r>
        <w:rPr>
          <w:rFonts w:hint="eastAsia"/>
        </w:rPr>
        <w:t>所有的婚姻制度均认为，配偶双方均有享受性生活的权利，但如果丈夫过分需要和渴望性生活，是可以接受的。正是在这样的情况下，允许丈夫娶更多的妻子来满足其性生活的欲望。随着贫困的加剧，许多男子拥有多个性伙伴，所以他们更愿意不正式结婚。相反，他们拥有情人，与很多女人发生性关系。根据2000年人口保健调查（DHS），只有1%受采访的已婚妇女在过去12个月内与其他性伙伴发生性关系，而男子为18%。</w:t>
      </w:r>
    </w:p>
    <w:p w:rsidR="005052D3" w:rsidRDefault="005052D3">
      <w:pPr>
        <w:pStyle w:val="SingleTxt"/>
      </w:pPr>
      <w:r>
        <w:t xml:space="preserve">16.9.2  </w:t>
      </w:r>
      <w:r>
        <w:rPr>
          <w:rFonts w:hint="eastAsia"/>
        </w:rPr>
        <w:t>在典型的法律歧视下，丈夫可以要求与其妻子发生性关系的男子给与赔偿金。如果丈夫犯下这样的通奸罪，则不能要求作这样的赔偿。</w:t>
      </w:r>
      <w:r>
        <w:rPr>
          <w:rStyle w:val="FootnoteReference"/>
        </w:rPr>
        <w:footnoteReference w:id="154"/>
      </w:r>
    </w:p>
    <w:p w:rsidR="005052D3" w:rsidRDefault="005052D3">
      <w:pPr>
        <w:pStyle w:val="SingleTxt"/>
        <w:rPr>
          <w:rFonts w:ascii="SimHei" w:eastAsia="SimHei"/>
          <w:color w:val="FF0000"/>
        </w:rPr>
      </w:pPr>
      <w:r>
        <w:rPr>
          <w:rFonts w:ascii="SimHei" w:eastAsia="SimHei"/>
          <w:color w:val="FF0000"/>
        </w:rPr>
        <w:t xml:space="preserve">16.10  </w:t>
      </w:r>
      <w:r>
        <w:rPr>
          <w:rFonts w:ascii="SimHei" w:eastAsia="SimHei" w:hint="eastAsia"/>
          <w:color w:val="FF0000"/>
        </w:rPr>
        <w:t>一般婚姻终止</w:t>
      </w:r>
    </w:p>
    <w:p w:rsidR="005052D3" w:rsidRDefault="005052D3">
      <w:pPr>
        <w:pStyle w:val="SingleTxt"/>
      </w:pPr>
      <w:r>
        <w:t>16.10.1</w:t>
      </w:r>
      <w:r>
        <w:tab/>
      </w:r>
      <w:r>
        <w:rPr>
          <w:rFonts w:hint="eastAsia"/>
        </w:rPr>
        <w:t>婚姻终止有不同的条件和结果。根据婚姻法登记的婚姻在配偶都活着的时侯很难终止婚姻。这样的婚姻除非有特殊的贫困和困难，否则在婚后的三年内不能终止。因此，处在失调的婚姻中的妇女必须忍受，至少在三年以后，或者表明情况已经非常难以忍受，她才可以得到解脱。</w:t>
      </w:r>
      <w:r>
        <w:rPr>
          <w:rStyle w:val="FootnoteReference"/>
        </w:rPr>
        <w:footnoteReference w:id="155"/>
      </w:r>
      <w:r>
        <w:t xml:space="preserve"> </w:t>
      </w:r>
      <w:r>
        <w:rPr>
          <w:rFonts w:hint="eastAsia"/>
        </w:rPr>
        <w:t>至于离婚，配偶双方必须证明对方犯有不可饶恕的通奸罪，或者对方很残忍对四肢或健康造成威胁，或者连续三年被抛弃。</w:t>
      </w:r>
      <w:r>
        <w:rPr>
          <w:rStyle w:val="FootnoteReference"/>
        </w:rPr>
        <w:footnoteReference w:id="156"/>
      </w:r>
    </w:p>
    <w:p w:rsidR="005052D3" w:rsidRDefault="005052D3">
      <w:pPr>
        <w:pStyle w:val="SingleTxt"/>
        <w:rPr>
          <w:rFonts w:hint="eastAsia"/>
        </w:rPr>
      </w:pPr>
      <w:r>
        <w:t xml:space="preserve">16.10.2  </w:t>
      </w:r>
      <w:r>
        <w:rPr>
          <w:rFonts w:hint="eastAsia"/>
        </w:rPr>
        <w:t>婚姻中的忍耐在马拉维是通过为新婚夫妇举办烹调宴会和咨询会而教给夫妻双方的。许多有关婚礼的歌曲告诉妇女婚姻意味着什么，告诉她必须学会支撑和忍受。按习惯法缔结的婚姻拥有支持和咨询体制，和根据婚姻法登记的婚姻相比，则更容易终止。按习惯法缔结的婚姻往往具有婚姻的促成者，这些促成者是与某一方关系较近的、德高望重的亲戚。处在失调婚姻中的妇女如果自己无法解决夫妻之间的分歧，可以和丈夫的代表联系，寻求帮助。丈夫也可以与妻子一方的婚姻促成者联系。如果一位促成者不能解决冲突，他们可以与配偶一方或双方讨论此事。一旦婚姻促成者没能解决夫妻冲突而由此导致婚姻终止，习惯法允许双方离婚。原则是，如果夫妻双方或一方不想继续维持婚姻，就没有理由迫使双方继续维持婚姻。</w:t>
      </w:r>
      <w:r>
        <w:t xml:space="preserve"> </w:t>
      </w:r>
    </w:p>
    <w:p w:rsidR="005052D3" w:rsidRDefault="005052D3">
      <w:pPr>
        <w:pStyle w:val="SingleTxt"/>
        <w:rPr>
          <w:rFonts w:ascii="SimHei" w:eastAsia="SimHei"/>
          <w:color w:val="FF0000"/>
        </w:rPr>
      </w:pPr>
      <w:r>
        <w:rPr>
          <w:rFonts w:ascii="SimHei" w:eastAsia="SimHei"/>
          <w:color w:val="FF0000"/>
        </w:rPr>
        <w:t xml:space="preserve">16.11  </w:t>
      </w:r>
      <w:r>
        <w:rPr>
          <w:rFonts w:ascii="SimHei" w:eastAsia="SimHei" w:hint="eastAsia"/>
          <w:color w:val="FF0000"/>
        </w:rPr>
        <w:t>终止、财产、子女和抚养</w:t>
      </w:r>
    </w:p>
    <w:p w:rsidR="005052D3" w:rsidRDefault="005052D3">
      <w:pPr>
        <w:pStyle w:val="SingleTxt"/>
      </w:pPr>
      <w:r>
        <w:t>16.11.1</w:t>
      </w:r>
      <w:r>
        <w:tab/>
      </w:r>
      <w:r>
        <w:rPr>
          <w:rFonts w:hint="eastAsia"/>
        </w:rPr>
        <w:t>离婚中经常出现的三个问题是财产、子女照管和抚养，而这些问题往往对妇女不利。财产根据其女性化还是男性化来分配。高级法院坚持能证明权利属于自己的一方获得财产。如果一方的要求是根据自己的贡献，马拉维法院仍然认为该贡献必须是直接的，而且是财政方面的。家务和非直接的贡献没有什么价值。1994年宪法没有改善这种状况，因为该宪法规定，妇女有权享有“合理处置其与丈夫共同拥有的财产</w:t>
      </w:r>
      <w:r>
        <w:rPr>
          <w:rFonts w:hint="eastAsia"/>
          <w:lang w:val="en-GB"/>
        </w:rPr>
        <w:t>”。这意味着，共同拥有或分别拥有或妻子奉献的部分得不到公平分配。</w:t>
      </w:r>
    </w:p>
    <w:p w:rsidR="005052D3" w:rsidRDefault="005052D3">
      <w:pPr>
        <w:pStyle w:val="SingleTxt"/>
      </w:pPr>
      <w:r>
        <w:t xml:space="preserve">16.11.2 </w:t>
      </w:r>
      <w:r>
        <w:tab/>
      </w:r>
      <w:r>
        <w:rPr>
          <w:rFonts w:hint="eastAsia"/>
        </w:rPr>
        <w:t>但是宪法或许已经改进了抚养法。要求妇女有权享受“公平抚养，考虑到所有情况，特别是前夫的生计手段以及子女的需求</w:t>
      </w:r>
      <w:r>
        <w:rPr>
          <w:rFonts w:hint="eastAsia"/>
          <w:lang w:val="en-GB"/>
        </w:rPr>
        <w:t>”。</w:t>
      </w:r>
      <w:r>
        <w:rPr>
          <w:rStyle w:val="FootnoteReference"/>
        </w:rPr>
        <w:footnoteReference w:id="157"/>
      </w:r>
      <w:r>
        <w:t xml:space="preserve"> </w:t>
      </w:r>
      <w:r>
        <w:rPr>
          <w:rFonts w:hint="eastAsia"/>
        </w:rPr>
        <w:t>《已婚妇女（抚养）法》</w:t>
      </w:r>
      <w:r>
        <w:rPr>
          <w:rStyle w:val="FootnoteReference"/>
        </w:rPr>
        <w:footnoteReference w:id="158"/>
      </w:r>
      <w:r>
        <w:t xml:space="preserve"> </w:t>
      </w:r>
      <w:r>
        <w:rPr>
          <w:rFonts w:hint="eastAsia"/>
        </w:rPr>
        <w:t>还继续生效，把抚养只看作是男子的义务，这种规定长期有效，除非妻子或丈夫去世，或妻子犯有通奸罪或再婚。根据这一法律，妻子被看作是依赖于婚姻的，没有能力维持自己的经济生活。</w:t>
      </w:r>
    </w:p>
    <w:p w:rsidR="005052D3" w:rsidRDefault="005052D3">
      <w:pPr>
        <w:pStyle w:val="SingleTxt"/>
        <w:spacing w:after="120" w:line="318" w:lineRule="exact"/>
      </w:pPr>
      <w:r>
        <w:t xml:space="preserve">16.11.3  </w:t>
      </w:r>
      <w:r>
        <w:rPr>
          <w:rFonts w:hint="eastAsia"/>
        </w:rPr>
        <w:t>1994年宪法进一步要求子女的监护、照管和保护的平等权利。根据习惯法，从母居婚姻中生育的孩子归母亲一方所有。从父居婚姻中生育的孩子归父亲一方所有。至于根据婚姻法结婚生育的孩子，法庭基于对孩子幸福的考虑而确定监护权。根据这一原则，年幼的子女通常判给母亲，因为关注的重点并非子女的权利。</w:t>
      </w:r>
    </w:p>
    <w:p w:rsidR="005052D3" w:rsidRDefault="005052D3">
      <w:pPr>
        <w:pStyle w:val="SingleTxt"/>
        <w:spacing w:after="120" w:line="318" w:lineRule="exact"/>
        <w:rPr>
          <w:rFonts w:hint="eastAsia"/>
        </w:rPr>
      </w:pPr>
      <w:r>
        <w:t xml:space="preserve">16.11.4  </w:t>
      </w:r>
      <w:r>
        <w:rPr>
          <w:rFonts w:hint="eastAsia"/>
        </w:rPr>
        <w:t>人权委员会已经成功地对根据父权习惯法体制而把子女从母亲身边带走的不合理行为进行干预。该委员会在这种情况下的目的是，保证被忽视的子女得到适当的照顾。这种做法包括为孩子的利益而谈判抚养费问题。</w:t>
      </w:r>
    </w:p>
    <w:p w:rsidR="005052D3" w:rsidRDefault="005052D3">
      <w:pPr>
        <w:pStyle w:val="SingleTxt"/>
        <w:spacing w:after="120" w:line="318" w:lineRule="exact"/>
        <w:rPr>
          <w:rFonts w:ascii="SimHei" w:eastAsia="SimHei"/>
          <w:color w:val="FF0000"/>
        </w:rPr>
      </w:pPr>
      <w:r>
        <w:rPr>
          <w:rFonts w:ascii="SimHei" w:eastAsia="SimHei"/>
          <w:color w:val="FF0000"/>
        </w:rPr>
        <w:t xml:space="preserve">16.12  </w:t>
      </w:r>
      <w:r>
        <w:rPr>
          <w:rFonts w:ascii="SimHei" w:eastAsia="SimHei" w:hint="eastAsia"/>
          <w:color w:val="FF0000"/>
        </w:rPr>
        <w:t>终止、死亡和财产</w:t>
      </w:r>
    </w:p>
    <w:p w:rsidR="005052D3" w:rsidRDefault="005052D3">
      <w:pPr>
        <w:pStyle w:val="SingleTxt"/>
        <w:spacing w:after="120" w:line="318" w:lineRule="exact"/>
      </w:pPr>
      <w:r>
        <w:t xml:space="preserve">16.12.1  </w:t>
      </w:r>
      <w:r>
        <w:rPr>
          <w:rFonts w:hint="eastAsia"/>
        </w:rPr>
        <w:t>财产获取/剥夺是实现妇女婚姻财产权的一个非常重要的障碍。改变遗产法的尝试并没有真正解决当婚姻因一方死亡终止后寡妇遇到的问题。对于共同财产，法律规定，居住在男方的寡妇可以获得财产的一半，而在女方居住的寡妇只能获得财产的五分之二。</w:t>
      </w:r>
      <w:r>
        <w:rPr>
          <w:rStyle w:val="FootnoteReference"/>
        </w:rPr>
        <w:footnoteReference w:id="159"/>
      </w:r>
      <w:r>
        <w:t xml:space="preserve"> </w:t>
      </w:r>
      <w:r>
        <w:rPr>
          <w:rFonts w:hint="eastAsia"/>
        </w:rPr>
        <w:t>因此不仅存在着对妇女的歧视，而且在妇女中间也存在歧视。至于鳏夫或男子，法律认为男子不能依靠妇女，因此，在丈夫继承妻子的共同遗产方面没有做出任何规定。</w:t>
      </w:r>
    </w:p>
    <w:p w:rsidR="005052D3" w:rsidRDefault="005052D3">
      <w:pPr>
        <w:pStyle w:val="SingleTxt"/>
        <w:spacing w:after="120" w:line="318" w:lineRule="exact"/>
      </w:pPr>
      <w:r>
        <w:t xml:space="preserve">16.12.2  </w:t>
      </w:r>
      <w:r>
        <w:rPr>
          <w:rFonts w:hint="eastAsia"/>
        </w:rPr>
        <w:t>此外，《遗嘱和遗产法》第14条</w:t>
      </w:r>
      <w:r>
        <w:rPr>
          <w:rStyle w:val="FootnoteReference"/>
        </w:rPr>
        <w:footnoteReference w:id="160"/>
      </w:r>
      <w:r>
        <w:rPr>
          <w:rFonts w:hint="eastAsia"/>
        </w:rPr>
        <w:t>规定，对根据婚姻法缔结的婚约，如果遗嘱中有意识地明确将一个配偶排除在外，则法庭不能不对此加以考虑。这一规定对妇女的影响超过了对男子的影响，因为男女之间经济的普遍不平等也出现在家庭关系中。男子根据遗嘱留下财产时处于更有利的位置，任何排除都会对妇女产生消极的和不公平的影响。</w:t>
      </w:r>
    </w:p>
    <w:p w:rsidR="005052D3" w:rsidRDefault="005052D3">
      <w:pPr>
        <w:pStyle w:val="SingleTxt"/>
        <w:spacing w:after="120" w:line="318" w:lineRule="exact"/>
      </w:pPr>
      <w:r>
        <w:t xml:space="preserve">16.12.3  </w:t>
      </w:r>
      <w:r>
        <w:rPr>
          <w:rFonts w:hint="eastAsia"/>
        </w:rPr>
        <w:t>对《遗嘱和遗产法》的修改使起诉“财产掠夺者”的规定失效，因为还没有指定必需的公诉人。警察、人权委员会和某些酋长使得这一缺陷在小范围内得到了弥补。公诉检察官已经成功地起诉了几个案件。但是</w:t>
      </w:r>
      <w:r>
        <w:rPr>
          <w:rFonts w:hint="eastAsia"/>
          <w:lang w:val="en-GB"/>
        </w:rPr>
        <w:t>，</w:t>
      </w:r>
      <w:r>
        <w:rPr>
          <w:rFonts w:hint="eastAsia"/>
        </w:rPr>
        <w:t>对遗嘱和遗产法的全面审查试图解决所有这些确定的问题，并有望于明年生效。</w:t>
      </w:r>
    </w:p>
    <w:p w:rsidR="005052D3" w:rsidRDefault="005052D3">
      <w:pPr>
        <w:pStyle w:val="SingleTxt"/>
        <w:spacing w:after="120" w:line="318" w:lineRule="exact"/>
        <w:rPr>
          <w:rFonts w:ascii="SimHei" w:eastAsia="SimHei"/>
          <w:color w:val="FF0000"/>
        </w:rPr>
      </w:pPr>
      <w:r>
        <w:rPr>
          <w:rFonts w:ascii="SimHei" w:eastAsia="SimHei"/>
          <w:color w:val="FF0000"/>
        </w:rPr>
        <w:t xml:space="preserve">16.13  </w:t>
      </w:r>
      <w:r>
        <w:rPr>
          <w:rFonts w:ascii="SimHei" w:eastAsia="SimHei" w:hint="eastAsia"/>
          <w:color w:val="FF0000"/>
        </w:rPr>
        <w:t>在法律上被忽略的家庭</w:t>
      </w:r>
    </w:p>
    <w:p w:rsidR="005052D3" w:rsidRDefault="005052D3">
      <w:pPr>
        <w:pStyle w:val="SingleTxt"/>
        <w:spacing w:after="120" w:line="318" w:lineRule="exact"/>
      </w:pPr>
      <w:r>
        <w:t>16.13.1</w:t>
      </w:r>
      <w:r>
        <w:tab/>
      </w:r>
      <w:r>
        <w:rPr>
          <w:rFonts w:hint="eastAsia"/>
        </w:rPr>
        <w:t>马拉维法律规定，所有的家庭都以婚姻为基础。不幸的是，1998年，只有55%的10岁及以上年龄的人结婚。</w:t>
      </w:r>
      <w:r>
        <w:t xml:space="preserve">37% </w:t>
      </w:r>
      <w:r>
        <w:rPr>
          <w:rFonts w:hint="eastAsia"/>
        </w:rPr>
        <w:t>的人从未结婚。女性支撑的家庭占了全部家庭的</w:t>
      </w:r>
      <w:r>
        <w:t>26%</w:t>
      </w:r>
      <w:r>
        <w:rPr>
          <w:rFonts w:hint="eastAsia"/>
        </w:rPr>
        <w:t>。注重婚姻家庭的法律忽视了非正式婚姻中人们的利益。这样的家庭包括单亲父母、由孩子支撑的家庭，由孩子支撑的家庭于1999年占全部家庭的15%，其中还包括由祖父母支撑的家庭。这些家庭的数量因艾滋病而增加，艾滋病夺去了许多父母的生命。例如</w:t>
      </w:r>
      <w:r>
        <w:rPr>
          <w:rFonts w:hint="eastAsia"/>
          <w:lang w:val="en-GB"/>
        </w:rPr>
        <w:t>，</w:t>
      </w:r>
      <w:r>
        <w:rPr>
          <w:rFonts w:hint="eastAsia"/>
        </w:rPr>
        <w:t>据估计，到2110年，全国的孤儿人数将占儿童总人数的</w:t>
      </w:r>
      <w:r>
        <w:t>20.1%</w:t>
      </w:r>
      <w:r>
        <w:rPr>
          <w:rFonts w:hint="eastAsia"/>
        </w:rPr>
        <w:t>，这表明由孩子支撑的家庭会猛增，由亲戚（特别是祖母）照顾孩子的负担会越来越重。</w:t>
      </w:r>
    </w:p>
    <w:p w:rsidR="005052D3" w:rsidRDefault="005052D3">
      <w:pPr>
        <w:pStyle w:val="SingleTxt"/>
      </w:pPr>
      <w:r>
        <w:t xml:space="preserve">16.13.2  </w:t>
      </w:r>
      <w:r>
        <w:rPr>
          <w:rFonts w:hint="eastAsia"/>
        </w:rPr>
        <w:t>马拉维政府及其合作伙伴开展计划，保证孤儿的利益得到满足。由性别和社区服务部协调的一个有关孤儿照管计划覆盖了全国各地，强调社区照顾孤儿的能力培养。一些非政府组织致力于老年人和有特殊信仰社区的利益，由于艾滋病毒/艾滋病的流行而增加了对老年计划的支助。</w:t>
      </w:r>
      <w:r>
        <w:t xml:space="preserve"> </w:t>
      </w:r>
    </w:p>
    <w:p w:rsidR="005052D3" w:rsidRDefault="005052D3">
      <w:pPr>
        <w:pStyle w:val="SingleTxt"/>
      </w:pPr>
      <w:r>
        <w:t xml:space="preserve">16.13.3  </w:t>
      </w:r>
      <w:r>
        <w:rPr>
          <w:rFonts w:hint="eastAsia"/>
        </w:rPr>
        <w:t>马拉维社会行动基金（MASAF）已经把目标服务放在由女性当家长的家庭。已经开始开展工作关注未成年母亲及其子女的利益。还需要做许多工作，因为很多女孩因为怀孕而辍学，她们被迫过早支撑家庭或担负家庭责任，所以需要帮助。</w:t>
      </w:r>
    </w:p>
    <w:p w:rsidR="005052D3" w:rsidRDefault="005052D3">
      <w:pPr>
        <w:pStyle w:val="SingleTxt"/>
        <w:rPr>
          <w:rFonts w:ascii="SimHei" w:eastAsia="SimHei"/>
          <w:color w:val="FF0000"/>
        </w:rPr>
      </w:pPr>
      <w:r>
        <w:rPr>
          <w:rFonts w:ascii="SimHei" w:eastAsia="SimHei"/>
          <w:color w:val="FF0000"/>
        </w:rPr>
        <w:t xml:space="preserve">16.14  </w:t>
      </w:r>
      <w:r>
        <w:rPr>
          <w:rFonts w:ascii="SimHei" w:eastAsia="SimHei" w:hint="eastAsia"/>
          <w:color w:val="FF0000"/>
        </w:rPr>
        <w:t>结论</w:t>
      </w:r>
    </w:p>
    <w:p w:rsidR="005052D3" w:rsidRDefault="005052D3">
      <w:pPr>
        <w:pStyle w:val="SingleTxt"/>
        <w:rPr>
          <w:lang w:val="en-GB"/>
        </w:rPr>
      </w:pPr>
      <w:r>
        <w:tab/>
      </w:r>
      <w:r>
        <w:rPr>
          <w:rFonts w:hint="eastAsia"/>
        </w:rPr>
        <w:t>马拉维的家庭关系打上了男女之间不平等权力的烙印。家庭以及组成家庭时的仪式使人们形成了对性别的定型观念，尽管这种观念可能会发生改变。家庭被看作是私人的，很多不公正现象如家庭暴力和忽视现象未被发现。法律在家庭不平等和不公正方面起了主要作用。法律不仅歧视妇女，妇女中间也发生歧视。另外</w:t>
      </w:r>
      <w:r>
        <w:rPr>
          <w:rFonts w:hint="eastAsia"/>
          <w:lang w:val="en-GB"/>
        </w:rPr>
        <w:t>，法律真正忽视了一些由女性或子女支撑的家庭。</w:t>
      </w:r>
    </w:p>
    <w:p w:rsidR="005052D3" w:rsidRDefault="005052D3">
      <w:pPr>
        <w:pStyle w:val="H1"/>
        <w:spacing w:after="120"/>
      </w:pPr>
      <w:bookmarkStart w:id="54" w:name="_Toc33784424"/>
      <w:bookmarkStart w:id="55" w:name="_Toc377350763"/>
      <w:bookmarkStart w:id="56" w:name="_Toc83142705"/>
      <w:r>
        <w:tab/>
      </w:r>
      <w:r>
        <w:tab/>
      </w:r>
      <w:r>
        <w:tab/>
      </w:r>
      <w:r>
        <w:rPr>
          <w:rFonts w:hint="eastAsia"/>
        </w:rPr>
        <w:t>报告的资料来源</w:t>
      </w:r>
      <w:bookmarkEnd w:id="54"/>
      <w:bookmarkEnd w:id="55"/>
      <w:bookmarkEnd w:id="56"/>
    </w:p>
    <w:p w:rsidR="005052D3" w:rsidRDefault="005052D3">
      <w:pPr>
        <w:pStyle w:val="SingleTxt"/>
      </w:pPr>
      <w:r>
        <w:tab/>
      </w:r>
      <w:r>
        <w:rPr>
          <w:rFonts w:hint="eastAsia"/>
        </w:rPr>
        <w:t>本报告中的信息取自多种来源。不过，主要来源是由国家统计局编制的官方政府报告、政治文件和成文法以及政府使用的联合国文件。最丰富的信息来源是报告编制期间覆盖了全国三个省的社会调查。</w:t>
      </w:r>
    </w:p>
    <w:p w:rsidR="005052D3" w:rsidRDefault="00AD7C1E" w:rsidP="00AD7C1E">
      <w:pPr>
        <w:pStyle w:val="SingleTxt"/>
        <w:rPr>
          <w:sz w:val="20"/>
        </w:rPr>
      </w:pPr>
      <w:r>
        <w:rPr>
          <w:noProof/>
          <w:sz w:val="20"/>
        </w:rPr>
        <w:pict>
          <v:line id="_x0000_s2075" style="position:absolute;left:0;text-align:left;z-index:11" from="210.3pt,43.4pt" to="282.3pt,43.4pt" strokeweight=".25pt"/>
        </w:pict>
      </w:r>
      <w:r w:rsidR="005052D3">
        <w:rPr>
          <w:rFonts w:ascii="Times New Roman"/>
          <w:szCs w:val="24"/>
        </w:rPr>
        <w:tab/>
      </w:r>
      <w:r w:rsidR="005052D3">
        <w:rPr>
          <w:rFonts w:ascii="Times New Roman" w:hint="eastAsia"/>
          <w:szCs w:val="24"/>
        </w:rPr>
        <w:t>部分资料来源在报告脚注中已经注明。脚注仅仅是指示性的，不一定全面。</w:t>
      </w:r>
    </w:p>
    <w:sectPr w:rsidR="005052D3">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052D3" w:rsidRDefault="005052D3">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NO&gt;&gt;N0441929C&lt;&lt;ODS JOB NO&gt;&gt;</w:t>
      </w:r>
    </w:p>
    <w:p w:rsidR="005052D3" w:rsidRDefault="005052D3">
      <w:pPr>
        <w:pStyle w:val="CommentText"/>
      </w:pPr>
      <w:r>
        <w:t>&lt;&lt;ODS DOC SYMBOL1&gt;&gt;CEDAW/C/MWI/2-5&lt;&lt;ODS DOC SYMBOL1&gt;&gt;</w:t>
      </w:r>
    </w:p>
    <w:p w:rsidR="005052D3" w:rsidRDefault="005052D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33158">
      <w:pPr>
        <w:spacing w:line="240" w:lineRule="auto"/>
      </w:pPr>
      <w:r>
        <w:separator/>
      </w:r>
    </w:p>
  </w:endnote>
  <w:endnote w:type="continuationSeparator" w:id="0">
    <w:p w:rsidR="00000000" w:rsidRDefault="00B3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KaiTi_GB2312">
    <w:altName w:val="Arial Unicode MS"/>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_GB2312">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052D3">
      <w:tblPrEx>
        <w:tblCellMar>
          <w:top w:w="0" w:type="dxa"/>
          <w:bottom w:w="0" w:type="dxa"/>
        </w:tblCellMar>
      </w:tblPrEx>
      <w:tc>
        <w:tcPr>
          <w:tcW w:w="5034" w:type="dxa"/>
          <w:vAlign w:val="bottom"/>
        </w:tcPr>
        <w:p w:rsidR="005052D3" w:rsidRDefault="005052D3">
          <w:pPr>
            <w:pStyle w:val="Footer"/>
          </w:pPr>
          <w:r>
            <w:fldChar w:fldCharType="begin"/>
          </w:r>
          <w:r>
            <w:instrText xml:space="preserve"> PAGE  \* MERGEFORMAT </w:instrText>
          </w:r>
          <w:r>
            <w:fldChar w:fldCharType="separate"/>
          </w:r>
          <w:r w:rsidR="006B3673">
            <w:t>84</w:t>
          </w:r>
          <w:r>
            <w:fldChar w:fldCharType="end"/>
          </w:r>
        </w:p>
      </w:tc>
      <w:tc>
        <w:tcPr>
          <w:tcW w:w="5034" w:type="dxa"/>
          <w:vAlign w:val="bottom"/>
        </w:tcPr>
        <w:p w:rsidR="005052D3" w:rsidRDefault="005052D3">
          <w:pPr>
            <w:pStyle w:val="Footer"/>
            <w:jc w:val="right"/>
          </w:pPr>
        </w:p>
      </w:tc>
    </w:tr>
  </w:tbl>
  <w:p w:rsidR="005052D3" w:rsidRDefault="005052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052D3">
      <w:tblPrEx>
        <w:tblCellMar>
          <w:top w:w="0" w:type="dxa"/>
          <w:bottom w:w="0" w:type="dxa"/>
        </w:tblCellMar>
      </w:tblPrEx>
      <w:tc>
        <w:tcPr>
          <w:tcW w:w="5034" w:type="dxa"/>
          <w:vAlign w:val="bottom"/>
        </w:tcPr>
        <w:p w:rsidR="005052D3" w:rsidRDefault="005052D3">
          <w:pPr>
            <w:pStyle w:val="Footer"/>
          </w:pPr>
        </w:p>
      </w:tc>
      <w:tc>
        <w:tcPr>
          <w:tcW w:w="5034" w:type="dxa"/>
          <w:vAlign w:val="bottom"/>
        </w:tcPr>
        <w:p w:rsidR="005052D3" w:rsidRDefault="005052D3">
          <w:pPr>
            <w:pStyle w:val="Footer"/>
            <w:jc w:val="right"/>
          </w:pPr>
          <w:r>
            <w:fldChar w:fldCharType="begin"/>
          </w:r>
          <w:r>
            <w:instrText xml:space="preserve"> PAGE  \* MERGEFORMAT </w:instrText>
          </w:r>
          <w:r>
            <w:fldChar w:fldCharType="separate"/>
          </w:r>
          <w:r w:rsidR="006B3673">
            <w:t>83</w:t>
          </w:r>
          <w:r>
            <w:fldChar w:fldCharType="end"/>
          </w:r>
        </w:p>
      </w:tc>
    </w:tr>
  </w:tbl>
  <w:p w:rsidR="005052D3" w:rsidRDefault="005052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2D3" w:rsidRDefault="005052D3">
    <w:pPr>
      <w:pStyle w:val="Footer"/>
      <w:rPr>
        <w:b w:val="0"/>
        <w:sz w:val="21"/>
      </w:rPr>
    </w:pPr>
    <w:r>
      <w:rPr>
        <w:b w:val="0"/>
        <w:sz w:val="21"/>
      </w:rPr>
      <w:t>04-41929 (C)    051004    061004</w:t>
    </w:r>
  </w:p>
  <w:p w:rsidR="005052D3" w:rsidRDefault="005052D3">
    <w:pPr>
      <w:spacing w:before="60" w:line="200" w:lineRule="exact"/>
      <w:rPr>
        <w:rFonts w:ascii="Barcode 3 of 9 by request" w:hAnsi="Barcode 3 of 9 by request"/>
        <w:b/>
      </w:rPr>
    </w:pPr>
    <w:r>
      <w:rPr>
        <w:rFonts w:ascii="Barcode 3 of 9 by request" w:hAnsi="Barcode 3 of 9 by request"/>
        <w:b/>
      </w:rPr>
      <w:t>*0441929*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2D3" w:rsidRDefault="005052D3">
      <w:pPr>
        <w:pStyle w:val="Footer"/>
        <w:spacing w:after="80"/>
        <w:ind w:left="792"/>
        <w:rPr>
          <w:sz w:val="16"/>
        </w:rPr>
      </w:pPr>
      <w:r>
        <w:rPr>
          <w:sz w:val="16"/>
        </w:rPr>
        <w:t>__________________</w:t>
      </w:r>
    </w:p>
  </w:footnote>
  <w:footnote w:type="continuationSeparator" w:id="0">
    <w:p w:rsidR="005052D3" w:rsidRDefault="005052D3">
      <w:pPr>
        <w:pStyle w:val="Footer"/>
        <w:spacing w:after="80"/>
        <w:ind w:left="792"/>
        <w:rPr>
          <w:sz w:val="16"/>
        </w:rPr>
      </w:pPr>
      <w:r>
        <w:rPr>
          <w:sz w:val="16"/>
        </w:rPr>
        <w:t>__________________</w:t>
      </w:r>
    </w:p>
  </w:footnote>
  <w:footnote w:id="1">
    <w:p w:rsidR="005052D3" w:rsidRDefault="005052D3">
      <w:pPr>
        <w:pStyle w:val="FootnoteText"/>
        <w:tabs>
          <w:tab w:val="clear" w:pos="418"/>
          <w:tab w:val="right" w:pos="1195"/>
          <w:tab w:val="left" w:pos="1264"/>
          <w:tab w:val="left" w:pos="1695"/>
          <w:tab w:val="left" w:pos="2126"/>
          <w:tab w:val="left" w:pos="2557"/>
        </w:tabs>
        <w:ind w:left="1264" w:right="1264" w:hanging="432"/>
        <w:jc w:val="both"/>
      </w:pPr>
      <w:r>
        <w:tab/>
      </w:r>
      <w:r>
        <w:rPr>
          <w:rStyle w:val="FootnoteReference"/>
        </w:rPr>
        <w:t>*</w:t>
      </w:r>
      <w:r>
        <w:tab/>
      </w:r>
      <w:r>
        <w:rPr>
          <w:rFonts w:hint="eastAsia"/>
        </w:rPr>
        <w:t>本文件未经正式编辑。秘书处于2004年6月11日收到马拉维的第二、第三、第四和第五次合并定期报告。关于马拉维政府提交的初次报告，见CEDAW/C/5/Add.58，在委员会第九届会议上对该报告进行了审议。</w:t>
      </w:r>
    </w:p>
  </w:footnote>
  <w:footnote w:id="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rPr>
          <w:rFonts w:hint="eastAsia"/>
        </w:rPr>
        <w:tab/>
        <w:t>CEDAW</w:t>
      </w:r>
      <w:r>
        <w:rPr>
          <w:rFonts w:hint="eastAsia"/>
          <w:lang w:val="en-GB"/>
        </w:rPr>
        <w:t>/</w:t>
      </w:r>
      <w:r>
        <w:rPr>
          <w:rFonts w:hint="eastAsia"/>
        </w:rPr>
        <w:t>C/SR.154。</w:t>
      </w:r>
    </w:p>
  </w:footnote>
  <w:footnote w:id="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rPr>
          <w:rFonts w:hint="eastAsia"/>
        </w:rPr>
        <w:tab/>
        <w:t>该委员会现有9名成员，他们是：</w:t>
      </w:r>
      <w:r>
        <w:t xml:space="preserve">Christobel Chakwana </w:t>
      </w:r>
      <w:r>
        <w:rPr>
          <w:rFonts w:hint="eastAsia"/>
        </w:rPr>
        <w:t>（性别、青年和社区服务部），</w:t>
      </w:r>
      <w:r>
        <w:t xml:space="preserve"> Trifonia Dafter </w:t>
      </w:r>
      <w:r>
        <w:rPr>
          <w:rFonts w:hint="eastAsia"/>
        </w:rPr>
        <w:t>（社会及社区服务议会委员会主席），</w:t>
      </w:r>
      <w:r>
        <w:t xml:space="preserve"> Garton Kamchedzera </w:t>
      </w:r>
      <w:r>
        <w:rPr>
          <w:rFonts w:hint="eastAsia"/>
        </w:rPr>
        <w:t>（马拉维大学法律系），</w:t>
      </w:r>
      <w:r>
        <w:t xml:space="preserve"> Mercy Makhambera </w:t>
      </w:r>
      <w:r>
        <w:rPr>
          <w:rFonts w:hint="eastAsia"/>
        </w:rPr>
        <w:t>（马拉维人权资源中心），</w:t>
      </w:r>
      <w:r>
        <w:t xml:space="preserve"> Emily Makuta </w:t>
      </w:r>
      <w:r>
        <w:rPr>
          <w:rFonts w:hint="eastAsia"/>
        </w:rPr>
        <w:t>（投资发展银行），</w:t>
      </w:r>
      <w:r>
        <w:t>Fiona Mwale</w:t>
      </w:r>
      <w:r>
        <w:rPr>
          <w:rFonts w:hint="eastAsia"/>
        </w:rPr>
        <w:t>（司法部），</w:t>
      </w:r>
      <w:r>
        <w:t xml:space="preserve">Mike Mwanyula </w:t>
      </w:r>
      <w:r>
        <w:rPr>
          <w:rFonts w:hint="eastAsia"/>
        </w:rPr>
        <w:t>（财政部），</w:t>
      </w:r>
      <w:r>
        <w:t xml:space="preserve"> Sophia Nthenda </w:t>
      </w:r>
      <w:r>
        <w:rPr>
          <w:rFonts w:hint="eastAsia"/>
        </w:rPr>
        <w:t>（公共事务委员会）及</w:t>
      </w:r>
      <w:r>
        <w:t xml:space="preserve">Vita Onwuasoanya </w:t>
      </w:r>
      <w:r>
        <w:rPr>
          <w:rFonts w:hint="eastAsia"/>
        </w:rPr>
        <w:t>（防灾、救灾和恢复部）。</w:t>
      </w:r>
    </w:p>
  </w:footnote>
  <w:footnote w:id="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国家统计局，《1988年马拉维人口和住房普查的最终结果报告》（松巴；国家统计局，2000年）。</w:t>
      </w:r>
    </w:p>
  </w:footnote>
  <w:footnote w:id="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开发计划署，《2002年人类发展报告》（牛津：牛津大学出版社，2002年）。</w:t>
      </w:r>
    </w:p>
  </w:footnote>
  <w:footnote w:id="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rPr>
          <w:rFonts w:hint="eastAsia"/>
        </w:rPr>
        <w:tab/>
        <w:t>南非警察署、开发计划署、南共体，《南共体地区人类发展2000》（哈拉雷；南非警察署书店，2000年）。</w:t>
      </w:r>
    </w:p>
  </w:footnote>
  <w:footnote w:id="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rPr>
          <w:rFonts w:hint="eastAsia"/>
        </w:rPr>
        <w:tab/>
        <w:t>75克瓦查等于1美元。</w:t>
      </w:r>
    </w:p>
  </w:footnote>
  <w:footnote w:id="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rPr>
          <w:rFonts w:hint="eastAsia"/>
        </w:rPr>
        <w:tab/>
        <w:t>马拉维政府，《经济报告》（利隆圭；马拉维政府，各年份）。</w:t>
      </w:r>
    </w:p>
  </w:footnote>
  <w:footnote w:id="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rPr>
          <w:rFonts w:hint="eastAsia"/>
        </w:rPr>
        <w:tab/>
        <w:t>马拉维政府，“减贫战略文件”（利隆圭；马拉维政府：2001年），第16页。</w:t>
      </w:r>
    </w:p>
  </w:footnote>
  <w:footnote w:id="1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rPr>
          <w:rFonts w:hint="eastAsia"/>
        </w:rPr>
        <w:tab/>
        <w:t>马拉维宪法，1994，第7-9条。</w:t>
      </w:r>
    </w:p>
  </w:footnote>
  <w:footnote w:id="1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马拉维宪法，第</w:t>
      </w:r>
      <w:r>
        <w:rPr>
          <w:lang w:val="fr-FR"/>
        </w:rPr>
        <w:t xml:space="preserve"> 78-79</w:t>
      </w:r>
      <w:r>
        <w:rPr>
          <w:rFonts w:hint="eastAsia"/>
          <w:lang w:val="fr-FR"/>
        </w:rPr>
        <w:t>、</w:t>
      </w:r>
      <w:r>
        <w:rPr>
          <w:lang w:val="fr-FR"/>
        </w:rPr>
        <w:t xml:space="preserve"> 92-94</w:t>
      </w:r>
      <w:r>
        <w:rPr>
          <w:rFonts w:hint="eastAsia"/>
          <w:lang w:val="fr-FR"/>
        </w:rPr>
        <w:t>、</w:t>
      </w:r>
      <w:r>
        <w:rPr>
          <w:lang w:val="fr-FR"/>
        </w:rPr>
        <w:t xml:space="preserve"> 98 </w:t>
      </w:r>
      <w:r>
        <w:rPr>
          <w:rFonts w:hint="eastAsia"/>
          <w:lang w:val="fr-FR"/>
        </w:rPr>
        <w:t>和</w:t>
      </w:r>
      <w:r>
        <w:rPr>
          <w:lang w:val="fr-FR"/>
        </w:rPr>
        <w:t xml:space="preserve"> 99</w:t>
      </w:r>
      <w:r>
        <w:rPr>
          <w:rFonts w:hint="eastAsia"/>
          <w:lang w:val="fr-FR"/>
        </w:rPr>
        <w:t>条。</w:t>
      </w:r>
    </w:p>
  </w:footnote>
  <w:footnote w:id="1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rFonts w:hint="eastAsia"/>
          <w:lang w:val="fr-FR"/>
        </w:rPr>
        <w:tab/>
      </w:r>
      <w:r>
        <w:rPr>
          <w:rFonts w:hint="eastAsia"/>
        </w:rPr>
        <w:t>马拉维宪法，</w:t>
      </w:r>
      <w:r>
        <w:rPr>
          <w:rFonts w:hint="eastAsia"/>
          <w:lang w:val="fr-FR"/>
        </w:rPr>
        <w:t>第</w:t>
      </w:r>
      <w:r>
        <w:rPr>
          <w:lang w:val="fr-FR"/>
        </w:rPr>
        <w:t>7</w:t>
      </w:r>
      <w:r>
        <w:rPr>
          <w:rFonts w:hint="eastAsia"/>
          <w:lang w:val="fr-FR"/>
        </w:rPr>
        <w:t>条。</w:t>
      </w:r>
    </w:p>
  </w:footnote>
  <w:footnote w:id="1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rFonts w:hint="eastAsia"/>
          <w:lang w:val="fr-FR"/>
        </w:rPr>
        <w:tab/>
      </w:r>
      <w:r>
        <w:rPr>
          <w:rFonts w:hint="eastAsia"/>
        </w:rPr>
        <w:t>马拉维宪法</w:t>
      </w:r>
      <w:r>
        <w:rPr>
          <w:rFonts w:hint="eastAsia"/>
          <w:lang w:val="fr-FR"/>
        </w:rPr>
        <w:t>，第</w:t>
      </w:r>
      <w:r>
        <w:rPr>
          <w:lang w:val="fr-FR"/>
        </w:rPr>
        <w:t xml:space="preserve"> 48</w:t>
      </w:r>
      <w:r>
        <w:rPr>
          <w:rFonts w:hint="eastAsia"/>
          <w:lang w:val="fr-FR"/>
        </w:rPr>
        <w:t>、</w:t>
      </w:r>
      <w:r>
        <w:rPr>
          <w:lang w:val="fr-FR"/>
        </w:rPr>
        <w:t xml:space="preserve"> 53</w:t>
      </w:r>
      <w:r>
        <w:rPr>
          <w:rFonts w:hint="eastAsia"/>
          <w:lang w:val="fr-FR"/>
        </w:rPr>
        <w:t>、</w:t>
      </w:r>
      <w:r>
        <w:rPr>
          <w:lang w:val="fr-FR"/>
        </w:rPr>
        <w:t xml:space="preserve"> 55</w:t>
      </w:r>
      <w:r>
        <w:rPr>
          <w:rFonts w:hint="eastAsia"/>
          <w:lang w:val="fr-FR"/>
        </w:rPr>
        <w:t>条。</w:t>
      </w:r>
    </w:p>
  </w:footnote>
  <w:footnote w:id="1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rFonts w:hint="eastAsia"/>
          <w:lang w:val="fr-FR"/>
        </w:rPr>
        <w:tab/>
      </w:r>
      <w:r>
        <w:rPr>
          <w:rFonts w:hint="eastAsia"/>
        </w:rPr>
        <w:t>马拉维宪法，第</w:t>
      </w:r>
      <w:r>
        <w:rPr>
          <w:lang w:val="fr-FR"/>
        </w:rPr>
        <w:t xml:space="preserve"> 8</w:t>
      </w:r>
      <w:r>
        <w:rPr>
          <w:rFonts w:hint="eastAsia"/>
          <w:lang w:val="fr-FR"/>
        </w:rPr>
        <w:t>条。</w:t>
      </w:r>
    </w:p>
  </w:footnote>
  <w:footnote w:id="1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rFonts w:hint="eastAsia"/>
          <w:lang w:val="fr-FR"/>
        </w:rPr>
        <w:tab/>
      </w:r>
      <w:r>
        <w:rPr>
          <w:rFonts w:hint="eastAsia"/>
        </w:rPr>
        <w:t>马拉维宪法，第</w:t>
      </w:r>
      <w:r>
        <w:rPr>
          <w:lang w:val="fr-FR"/>
        </w:rPr>
        <w:t xml:space="preserve"> 9</w:t>
      </w:r>
      <w:r>
        <w:rPr>
          <w:rFonts w:hint="eastAsia"/>
          <w:lang w:val="fr-FR"/>
        </w:rPr>
        <w:t>、</w:t>
      </w:r>
      <w:r>
        <w:rPr>
          <w:lang w:val="fr-FR"/>
        </w:rPr>
        <w:t>103</w:t>
      </w:r>
      <w:r>
        <w:rPr>
          <w:rFonts w:hint="eastAsia"/>
          <w:lang w:val="fr-FR"/>
        </w:rPr>
        <w:t>、</w:t>
      </w:r>
      <w:r>
        <w:rPr>
          <w:lang w:val="fr-FR"/>
        </w:rPr>
        <w:t>105</w:t>
      </w:r>
      <w:r>
        <w:rPr>
          <w:rFonts w:hint="eastAsia"/>
          <w:lang w:val="fr-FR"/>
        </w:rPr>
        <w:t>、</w:t>
      </w:r>
      <w:r>
        <w:rPr>
          <w:lang w:val="fr-FR"/>
        </w:rPr>
        <w:t>106</w:t>
      </w:r>
      <w:r>
        <w:rPr>
          <w:rFonts w:hint="eastAsia"/>
          <w:lang w:val="fr-FR"/>
        </w:rPr>
        <w:t>、</w:t>
      </w:r>
      <w:r>
        <w:rPr>
          <w:lang w:val="fr-FR"/>
        </w:rPr>
        <w:t>108-109</w:t>
      </w:r>
      <w:r>
        <w:rPr>
          <w:rFonts w:hint="eastAsia"/>
          <w:lang w:val="fr-FR"/>
        </w:rPr>
        <w:t>、</w:t>
      </w:r>
      <w:r>
        <w:rPr>
          <w:lang w:val="fr-FR"/>
        </w:rPr>
        <w:t>110</w:t>
      </w:r>
      <w:r>
        <w:rPr>
          <w:rFonts w:hint="eastAsia"/>
          <w:lang w:val="fr-FR"/>
        </w:rPr>
        <w:t>和</w:t>
      </w:r>
      <w:r>
        <w:rPr>
          <w:lang w:val="fr-FR"/>
        </w:rPr>
        <w:t>111</w:t>
      </w:r>
      <w:r>
        <w:rPr>
          <w:rFonts w:hint="eastAsia"/>
          <w:lang w:val="fr-FR"/>
        </w:rPr>
        <w:t>条。</w:t>
      </w:r>
    </w:p>
  </w:footnote>
  <w:footnote w:id="1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rPr>
        <w:t>马拉维宪法，第</w:t>
      </w:r>
      <w:r>
        <w:rPr>
          <w:lang w:val="fr-FR"/>
        </w:rPr>
        <w:t xml:space="preserve"> 9</w:t>
      </w:r>
      <w:r>
        <w:rPr>
          <w:rFonts w:hint="eastAsia"/>
          <w:lang w:val="fr-FR"/>
        </w:rPr>
        <w:t>条。</w:t>
      </w:r>
    </w:p>
  </w:footnote>
  <w:footnote w:id="1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rPr>
        <w:t>马拉维宪法，第</w:t>
      </w:r>
      <w:r>
        <w:rPr>
          <w:lang w:val="fr-FR"/>
        </w:rPr>
        <w:t>11</w:t>
      </w:r>
      <w:r>
        <w:rPr>
          <w:rFonts w:hint="eastAsia"/>
          <w:lang w:val="fr-FR"/>
        </w:rPr>
        <w:t>条。</w:t>
      </w:r>
    </w:p>
  </w:footnote>
  <w:footnote w:id="1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rPr>
        <w:t>马拉维宪法，第11</w:t>
      </w:r>
      <w:r>
        <w:rPr>
          <w:lang w:val="fr-FR"/>
        </w:rPr>
        <w:t>(1)(a)</w:t>
      </w:r>
      <w:r>
        <w:rPr>
          <w:rFonts w:hint="eastAsia"/>
          <w:lang w:val="fr-FR"/>
        </w:rPr>
        <w:t>条。</w:t>
      </w:r>
    </w:p>
  </w:footnote>
  <w:footnote w:id="1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rPr>
        <w:t>马拉维宪法，第</w:t>
      </w:r>
      <w:r>
        <w:rPr>
          <w:lang w:val="fr-FR"/>
        </w:rPr>
        <w:t>11(1)(b)</w:t>
      </w:r>
      <w:r>
        <w:rPr>
          <w:rFonts w:hint="eastAsia"/>
          <w:lang w:val="fr-FR"/>
        </w:rPr>
        <w:t>条。</w:t>
      </w:r>
    </w:p>
  </w:footnote>
  <w:footnote w:id="2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rPr>
        <w:t>马拉维宪法</w:t>
      </w:r>
      <w:r>
        <w:rPr>
          <w:rFonts w:hint="eastAsia"/>
          <w:lang w:val="fr-FR"/>
        </w:rPr>
        <w:t>，第</w:t>
      </w:r>
      <w:r>
        <w:rPr>
          <w:lang w:val="fr-FR"/>
        </w:rPr>
        <w:t xml:space="preserve"> 11(1)(c)</w:t>
      </w:r>
      <w:r>
        <w:rPr>
          <w:rFonts w:hint="eastAsia"/>
          <w:lang w:val="fr-FR"/>
        </w:rPr>
        <w:t>条。</w:t>
      </w:r>
    </w:p>
  </w:footnote>
  <w:footnote w:id="2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rPr>
          <w:lang w:val="fr-FR"/>
        </w:rPr>
        <w:tab/>
      </w:r>
      <w:r>
        <w:rPr>
          <w:rFonts w:hint="eastAsia"/>
        </w:rPr>
        <w:t>马拉维宪法</w:t>
      </w:r>
      <w:r>
        <w:rPr>
          <w:rFonts w:hint="eastAsia"/>
          <w:lang w:val="fr-FR"/>
        </w:rPr>
        <w:t>，第</w:t>
      </w:r>
      <w:r>
        <w:rPr>
          <w:lang w:val="fr-FR"/>
        </w:rPr>
        <w:t>211</w:t>
      </w:r>
      <w:r>
        <w:rPr>
          <w:rFonts w:hint="eastAsia"/>
          <w:lang w:val="fr-FR"/>
        </w:rPr>
        <w:t>条。</w:t>
      </w:r>
    </w:p>
  </w:footnote>
  <w:footnote w:id="2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rPr>
        <w:t>马拉维宪法</w:t>
      </w:r>
      <w:r>
        <w:rPr>
          <w:rFonts w:hint="eastAsia"/>
          <w:lang w:val="fr-FR"/>
        </w:rPr>
        <w:t>，第</w:t>
      </w:r>
      <w:r>
        <w:rPr>
          <w:lang w:val="fr-FR"/>
        </w:rPr>
        <w:t xml:space="preserve"> 11</w:t>
      </w:r>
      <w:r>
        <w:rPr>
          <w:rFonts w:hint="eastAsia"/>
          <w:lang w:val="fr-FR"/>
        </w:rPr>
        <w:t>条。</w:t>
      </w:r>
    </w:p>
  </w:footnote>
  <w:footnote w:id="2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rPr>
        <w:t>马拉维宪法</w:t>
      </w:r>
      <w:r>
        <w:rPr>
          <w:rFonts w:hint="eastAsia"/>
          <w:lang w:val="fr-FR"/>
        </w:rPr>
        <w:t>，第</w:t>
      </w:r>
      <w:r>
        <w:rPr>
          <w:lang w:val="fr-FR"/>
        </w:rPr>
        <w:t>12</w:t>
      </w:r>
      <w:r>
        <w:rPr>
          <w:rFonts w:hint="eastAsia"/>
          <w:lang w:val="fr-FR"/>
        </w:rPr>
        <w:t>条。</w:t>
      </w:r>
    </w:p>
  </w:footnote>
  <w:footnote w:id="2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rPr>
        <w:t>马拉维宪法</w:t>
      </w:r>
      <w:r>
        <w:rPr>
          <w:rFonts w:hint="eastAsia"/>
          <w:lang w:val="fr-FR"/>
        </w:rPr>
        <w:t>，第</w:t>
      </w:r>
      <w:r>
        <w:rPr>
          <w:lang w:val="fr-FR"/>
        </w:rPr>
        <w:t>12</w:t>
      </w:r>
      <w:r>
        <w:rPr>
          <w:rFonts w:hint="eastAsia"/>
          <w:lang w:val="fr-FR"/>
        </w:rPr>
        <w:t>条。</w:t>
      </w:r>
    </w:p>
  </w:footnote>
  <w:footnote w:id="2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tab/>
      </w:r>
      <w:r>
        <w:rPr>
          <w:rFonts w:hint="eastAsia"/>
        </w:rPr>
        <w:t>马拉维宪法，第</w:t>
      </w:r>
      <w:r>
        <w:t xml:space="preserve"> 103 (2)</w:t>
      </w:r>
      <w:r>
        <w:rPr>
          <w:rFonts w:hint="eastAsia"/>
        </w:rPr>
        <w:t>条。</w:t>
      </w:r>
    </w:p>
  </w:footnote>
  <w:footnote w:id="2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tab/>
      </w:r>
      <w:r>
        <w:rPr>
          <w:rFonts w:hint="eastAsia"/>
        </w:rPr>
        <w:t>同上。</w:t>
      </w:r>
    </w:p>
  </w:footnote>
  <w:footnote w:id="2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tab/>
      </w:r>
      <w:r>
        <w:rPr>
          <w:rFonts w:hint="eastAsia"/>
        </w:rPr>
        <w:t>马拉维宪法，第</w:t>
      </w:r>
      <w:r>
        <w:t>120</w:t>
      </w:r>
      <w:r>
        <w:rPr>
          <w:rFonts w:hint="eastAsia"/>
        </w:rPr>
        <w:t>条。</w:t>
      </w:r>
    </w:p>
  </w:footnote>
  <w:footnote w:id="2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tab/>
      </w:r>
      <w:r>
        <w:rPr>
          <w:rFonts w:hint="eastAsia"/>
        </w:rPr>
        <w:t>马拉维宪法，第</w:t>
      </w:r>
      <w:r>
        <w:t xml:space="preserve"> 129</w:t>
      </w:r>
      <w:r>
        <w:rPr>
          <w:rFonts w:hint="eastAsia"/>
        </w:rPr>
        <w:t>条。</w:t>
      </w:r>
    </w:p>
  </w:footnote>
  <w:footnote w:id="2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tab/>
      </w:r>
      <w:r>
        <w:rPr>
          <w:rFonts w:hint="eastAsia"/>
        </w:rPr>
        <w:t>马拉维宪法，第132条。</w:t>
      </w:r>
    </w:p>
  </w:footnote>
  <w:footnote w:id="3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tab/>
      </w:r>
      <w:r>
        <w:rPr>
          <w:rFonts w:hint="eastAsia"/>
        </w:rPr>
        <w:t>马拉维宪法，第123条和监察员法。</w:t>
      </w:r>
    </w:p>
  </w:footnote>
  <w:footnote w:id="3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tab/>
      </w:r>
      <w:r>
        <w:rPr>
          <w:rFonts w:hint="eastAsia"/>
        </w:rPr>
        <w:t>马拉维宪法，第130条和人权委员会法。</w:t>
      </w:r>
    </w:p>
  </w:footnote>
  <w:footnote w:id="3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tab/>
      </w:r>
      <w:r>
        <w:rPr>
          <w:rFonts w:hint="eastAsia"/>
        </w:rPr>
        <w:t>马拉维宪法，第135条和法律委员会法，第  号。</w:t>
      </w:r>
    </w:p>
  </w:footnote>
  <w:footnote w:id="3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tab/>
      </w:r>
      <w:r>
        <w:rPr>
          <w:rFonts w:hint="eastAsia"/>
        </w:rPr>
        <w:t>马拉维宪法，第</w:t>
      </w:r>
      <w:r>
        <w:t>46(1)</w:t>
      </w:r>
      <w:r>
        <w:rPr>
          <w:rFonts w:hint="eastAsia"/>
        </w:rPr>
        <w:t>条。</w:t>
      </w:r>
    </w:p>
  </w:footnote>
  <w:footnote w:id="3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tab/>
      </w:r>
      <w:r>
        <w:rPr>
          <w:rFonts w:hint="eastAsia"/>
        </w:rPr>
        <w:t>马拉维宪法，第</w:t>
      </w:r>
      <w:r>
        <w:t>46(2)</w:t>
      </w:r>
      <w:r>
        <w:rPr>
          <w:rFonts w:hint="eastAsia"/>
        </w:rPr>
        <w:t>条。</w:t>
      </w:r>
    </w:p>
  </w:footnote>
  <w:footnote w:id="3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tab/>
      </w:r>
      <w:r>
        <w:rPr>
          <w:rFonts w:hint="eastAsia"/>
        </w:rPr>
        <w:t>马拉维宪法，第</w:t>
      </w:r>
      <w:r>
        <w:t>46(3)</w:t>
      </w:r>
      <w:r>
        <w:rPr>
          <w:rFonts w:hint="eastAsia"/>
        </w:rPr>
        <w:t>和</w:t>
      </w:r>
      <w:r>
        <w:t>(4)</w:t>
      </w:r>
      <w:r>
        <w:rPr>
          <w:rFonts w:hint="eastAsia"/>
        </w:rPr>
        <w:t>条。</w:t>
      </w:r>
    </w:p>
  </w:footnote>
  <w:footnote w:id="3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tab/>
      </w:r>
      <w:r>
        <w:rPr>
          <w:rFonts w:hint="eastAsia"/>
        </w:rPr>
        <w:t>第</w:t>
      </w:r>
      <w:r>
        <w:t>46(2)(b)</w:t>
      </w:r>
      <w:r>
        <w:rPr>
          <w:rFonts w:hint="eastAsia"/>
        </w:rPr>
        <w:t>条。</w:t>
      </w:r>
    </w:p>
  </w:footnote>
  <w:footnote w:id="3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马拉维宪法，1996年，第  条。</w:t>
      </w:r>
    </w:p>
  </w:footnote>
  <w:footnote w:id="3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1994年马拉维宪法，第12（v）条。</w:t>
      </w:r>
    </w:p>
  </w:footnote>
  <w:footnote w:id="3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马拉维宪法，第20条。</w:t>
      </w:r>
    </w:p>
  </w:footnote>
  <w:footnote w:id="4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监察员办公室，投诉记录（利隆圭，监察员办公室，2002年）。</w:t>
      </w:r>
    </w:p>
  </w:footnote>
  <w:footnote w:id="4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rPr>
          <w:lang w:val="fr-FR"/>
        </w:rPr>
        <w:tab/>
      </w:r>
      <w:r>
        <w:rPr>
          <w:rStyle w:val="FootnoteReference"/>
        </w:rPr>
        <w:footnoteRef/>
      </w:r>
      <w:r>
        <w:rPr>
          <w:lang w:val="fr-FR"/>
        </w:rPr>
        <w:tab/>
      </w:r>
      <w:r>
        <w:rPr>
          <w:rFonts w:hint="eastAsia"/>
          <w:lang w:val="fr-FR"/>
        </w:rPr>
        <w:t>就业法，2000年第6号法令，第5条。</w:t>
      </w:r>
    </w:p>
  </w:footnote>
  <w:footnote w:id="42">
    <w:p w:rsidR="005052D3" w:rsidRDefault="005052D3">
      <w:pPr>
        <w:tabs>
          <w:tab w:val="right" w:pos="1195"/>
          <w:tab w:val="left" w:pos="1264"/>
          <w:tab w:val="left" w:pos="1695"/>
          <w:tab w:val="left" w:pos="2126"/>
          <w:tab w:val="left" w:pos="2557"/>
        </w:tabs>
        <w:spacing w:after="60" w:line="260" w:lineRule="exact"/>
        <w:ind w:left="1264" w:right="1264" w:hanging="432"/>
        <w:jc w:val="both"/>
        <w:rPr>
          <w:rFonts w:hint="eastAsia"/>
          <w:sz w:val="18"/>
        </w:rPr>
      </w:pPr>
      <w:r>
        <w:rPr>
          <w:sz w:val="18"/>
        </w:rPr>
        <w:tab/>
      </w:r>
      <w:r>
        <w:rPr>
          <w:rStyle w:val="FootnoteReference"/>
          <w:sz w:val="18"/>
        </w:rPr>
        <w:footnoteRef/>
      </w:r>
      <w:r>
        <w:rPr>
          <w:noProof/>
          <w:sz w:val="18"/>
        </w:rPr>
        <w:tab/>
      </w:r>
      <w:r>
        <w:rPr>
          <w:i/>
          <w:iCs/>
          <w:noProof/>
          <w:sz w:val="18"/>
        </w:rPr>
        <w:t>Thandiwe Okeke</w:t>
      </w:r>
      <w:r>
        <w:rPr>
          <w:rFonts w:hint="eastAsia"/>
          <w:noProof/>
          <w:sz w:val="18"/>
        </w:rPr>
        <w:t>诉检察长，</w:t>
      </w:r>
      <w:r>
        <w:rPr>
          <w:rFonts w:hint="eastAsia"/>
          <w:iCs/>
          <w:noProof/>
          <w:sz w:val="18"/>
        </w:rPr>
        <w:t>民事申请汇编，1997年第73号（未公开），</w:t>
      </w:r>
      <w:r>
        <w:rPr>
          <w:noProof/>
          <w:sz w:val="18"/>
        </w:rPr>
        <w:t>Mwaungulu</w:t>
      </w:r>
      <w:r>
        <w:rPr>
          <w:rFonts w:hint="eastAsia"/>
          <w:noProof/>
          <w:sz w:val="18"/>
        </w:rPr>
        <w:t>法官。</w:t>
      </w:r>
    </w:p>
  </w:footnote>
  <w:footnote w:id="4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马拉维宪法，第13（a）条。</w:t>
      </w:r>
    </w:p>
  </w:footnote>
  <w:footnote w:id="4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马拉维宪法，第20条。</w:t>
      </w:r>
    </w:p>
  </w:footnote>
  <w:footnote w:id="4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马拉维宪法，第13（a）条。</w:t>
      </w:r>
    </w:p>
  </w:footnote>
  <w:footnote w:id="4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w:t>
      </w:r>
      <w:r>
        <w:rPr>
          <w:lang w:val="fr-FR"/>
        </w:rPr>
        <w:t>23 (a)(ii)</w:t>
      </w:r>
      <w:r>
        <w:rPr>
          <w:rFonts w:hint="eastAsia"/>
          <w:lang w:val="fr-FR"/>
        </w:rPr>
        <w:t>条。</w:t>
      </w:r>
    </w:p>
  </w:footnote>
  <w:footnote w:id="4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w:t>
      </w:r>
      <w:r>
        <w:rPr>
          <w:lang w:val="fr-FR"/>
        </w:rPr>
        <w:t>13(a)(iii)</w:t>
      </w:r>
      <w:r>
        <w:rPr>
          <w:rFonts w:hint="eastAsia"/>
          <w:lang w:val="fr-FR"/>
        </w:rPr>
        <w:t>条。</w:t>
      </w:r>
    </w:p>
  </w:footnote>
  <w:footnote w:id="4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1994年马拉维宪法，第</w:t>
      </w:r>
      <w:r>
        <w:rPr>
          <w:lang w:val="fr-FR"/>
        </w:rPr>
        <w:t>20(2)</w:t>
      </w:r>
      <w:r>
        <w:rPr>
          <w:rFonts w:hint="eastAsia"/>
          <w:lang w:val="fr-FR"/>
        </w:rPr>
        <w:t>条。</w:t>
      </w:r>
    </w:p>
  </w:footnote>
  <w:footnote w:id="4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1994年马拉维宪法，第  条。</w:t>
      </w:r>
    </w:p>
  </w:footnote>
  <w:footnote w:id="5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1994年马拉维宪法，第</w:t>
      </w:r>
      <w:r>
        <w:rPr>
          <w:lang w:val="fr-FR"/>
        </w:rPr>
        <w:t>24(1)</w:t>
      </w:r>
      <w:r>
        <w:rPr>
          <w:rFonts w:hint="eastAsia"/>
          <w:lang w:val="fr-FR"/>
        </w:rPr>
        <w:t>条。</w:t>
      </w:r>
    </w:p>
  </w:footnote>
  <w:footnote w:id="5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1994年马拉维宪法，第30条。</w:t>
      </w:r>
    </w:p>
  </w:footnote>
  <w:footnote w:id="5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1994年马拉维宪法，第</w:t>
      </w:r>
      <w:r>
        <w:t>30(3)</w:t>
      </w:r>
      <w:r>
        <w:rPr>
          <w:rFonts w:hint="eastAsia"/>
        </w:rPr>
        <w:t>条。</w:t>
      </w:r>
    </w:p>
  </w:footnote>
  <w:footnote w:id="5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遗嘱和遗产法，1967年第25号</w:t>
      </w:r>
      <w:r>
        <w:t xml:space="preserve"> (</w:t>
      </w:r>
      <w:r>
        <w:rPr>
          <w:rFonts w:hint="eastAsia"/>
        </w:rPr>
        <w:t>第</w:t>
      </w:r>
      <w:r>
        <w:t>10:02</w:t>
      </w:r>
      <w:r>
        <w:rPr>
          <w:rFonts w:hint="eastAsia"/>
        </w:rPr>
        <w:t>章，马拉维法律</w:t>
      </w:r>
      <w:r>
        <w:t>)</w:t>
      </w:r>
      <w:r>
        <w:rPr>
          <w:rFonts w:hint="eastAsia"/>
        </w:rPr>
        <w:t>，第84A条。</w:t>
      </w:r>
    </w:p>
  </w:footnote>
  <w:footnote w:id="5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法律委员会，“委员会有关刑事司法的报告”（利隆圭；马拉维法律委员会，2000年）。</w:t>
      </w:r>
    </w:p>
  </w:footnote>
  <w:footnote w:id="5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就业法，2000年第6号，第47、48和49条。</w:t>
      </w:r>
    </w:p>
  </w:footnote>
  <w:footnote w:id="5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马拉维政府，《国家行动纲领：第四次妇女问题世界会议的后续活动》（利隆圭；儿童基金会，1997年）。</w:t>
      </w:r>
    </w:p>
  </w:footnote>
  <w:footnote w:id="5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马拉维政府，“2020年远景：国家长期远景研究”（利隆圭；马拉维政府），第88页。</w:t>
      </w:r>
    </w:p>
  </w:footnote>
  <w:footnote w:id="5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马拉维政府，《国家性别政策》（利隆圭；马拉维，2000年）。</w:t>
      </w:r>
    </w:p>
  </w:footnote>
  <w:footnote w:id="5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马拉维政府，《国家性别政策》（利隆圭；马拉维政府，2000年），第5.5段。</w:t>
      </w:r>
      <w:r>
        <w:t xml:space="preserve"> </w:t>
      </w:r>
    </w:p>
  </w:footnote>
  <w:footnote w:id="6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rPr>
          <w:rFonts w:hint="eastAsia"/>
        </w:rPr>
        <w:tab/>
        <w:t>马拉维政府，《马拉维减贫战略文件》（利隆圭；马拉维政府，2002年）。</w:t>
      </w:r>
    </w:p>
  </w:footnote>
  <w:footnote w:id="6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rPr>
          <w:rFonts w:hint="eastAsia"/>
        </w:rPr>
        <w:tab/>
        <w:t>该报告的第一部分。</w:t>
      </w:r>
    </w:p>
  </w:footnote>
  <w:footnote w:id="6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rPr>
          <w:rFonts w:hint="eastAsia"/>
        </w:rPr>
        <w:tab/>
        <w:t>南方及非洲妇女和法律研究信托基金——马拉维，《寻求公正》，（布兰太尔；WILSA－马拉维，2000年）。</w:t>
      </w:r>
    </w:p>
  </w:footnote>
  <w:footnote w:id="6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rPr>
          <w:rFonts w:hint="eastAsia"/>
        </w:rPr>
        <w:tab/>
        <w:t>南方及非洲妇女和法律研究信托基金，《对寡妇财产的剥夺》（布兰太尔；WILSA－马拉维，即将出版）。</w:t>
      </w:r>
    </w:p>
  </w:footnote>
  <w:footnote w:id="6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rPr>
          <w:rFonts w:hint="eastAsia"/>
        </w:rPr>
        <w:tab/>
        <w:t>行政长官法，1967年第30号（第10.01章，马拉维法律）。</w:t>
      </w:r>
    </w:p>
  </w:footnote>
  <w:footnote w:id="6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rPr>
          <w:rFonts w:hint="eastAsia"/>
        </w:rPr>
        <w:tab/>
        <w:t>马拉维宪法，第</w:t>
      </w:r>
      <w:r>
        <w:t>44</w:t>
      </w:r>
      <w:r>
        <w:rPr>
          <w:rFonts w:hint="eastAsia"/>
        </w:rPr>
        <w:t>条。</w:t>
      </w:r>
    </w:p>
  </w:footnote>
  <w:footnote w:id="6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rPr>
          <w:rFonts w:hint="eastAsia"/>
        </w:rPr>
        <w:tab/>
        <w:t>人权委员会，“1999-2000年人权委员会报告”（利隆圭；人权委员会，</w:t>
      </w:r>
      <w:r>
        <w:t>2000</w:t>
      </w:r>
      <w:r>
        <w:rPr>
          <w:rFonts w:hint="eastAsia"/>
        </w:rPr>
        <w:t>年）</w:t>
      </w:r>
      <w:r>
        <w:t>。</w:t>
      </w:r>
    </w:p>
  </w:footnote>
  <w:footnote w:id="6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i/>
          <w:iCs/>
        </w:rPr>
        <w:t>Rashid Hussein James v Rep</w:t>
      </w:r>
      <w:r>
        <w:t xml:space="preserve">, </w:t>
      </w:r>
      <w:r>
        <w:rPr>
          <w:rFonts w:hint="eastAsia"/>
        </w:rPr>
        <w:t>1999年高级法院第12号刑事案件。</w:t>
      </w:r>
      <w:r>
        <w:t xml:space="preserve"> </w:t>
      </w:r>
    </w:p>
  </w:footnote>
  <w:footnote w:id="6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行动纲领和1995年9月4日-15日在中国北京举行的第四次妇女问题世界会议的《北京宣言》（纽约；联合国，1996年）；1997年在马拉维布兰太尔发表的南部非洲发展共同体关于性别和发展的宣言；南部非洲发展共同体关于保护妇女和儿童免受暴力以及消除此种暴力的补遗。</w:t>
      </w:r>
    </w:p>
  </w:footnote>
  <w:footnote w:id="6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1994年</w:t>
      </w:r>
      <w:r>
        <w:rPr>
          <w:rFonts w:hint="eastAsia"/>
          <w:lang w:val="fr-FR"/>
        </w:rPr>
        <w:t>马拉维宪法，第四部分，特别是第</w:t>
      </w:r>
      <w:r>
        <w:t>13</w:t>
      </w:r>
      <w:r>
        <w:rPr>
          <w:rFonts w:hint="eastAsia"/>
        </w:rPr>
        <w:t>、</w:t>
      </w:r>
      <w:r>
        <w:t>24</w:t>
      </w:r>
      <w:r>
        <w:rPr>
          <w:rFonts w:hint="eastAsia"/>
        </w:rPr>
        <w:t>和</w:t>
      </w:r>
      <w:r>
        <w:t xml:space="preserve"> 30</w:t>
      </w:r>
      <w:r>
        <w:rPr>
          <w:rFonts w:hint="eastAsia"/>
        </w:rPr>
        <w:t>条。</w:t>
      </w:r>
    </w:p>
  </w:footnote>
  <w:footnote w:id="7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马拉维政府，《国家性别政策》（利隆圭；马拉维政府），</w:t>
      </w:r>
      <w:r>
        <w:t>5.5</w:t>
      </w:r>
      <w:r>
        <w:rPr>
          <w:rFonts w:hint="eastAsia"/>
        </w:rPr>
        <w:t>。</w:t>
      </w:r>
    </w:p>
  </w:footnote>
  <w:footnote w:id="7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政党（注册）法，地方政府法，选举委员会法，总统选举法和议会选举法。</w:t>
      </w:r>
    </w:p>
  </w:footnote>
  <w:footnote w:id="7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rPr>
          <w:lang w:val="fr-FR"/>
        </w:rPr>
        <w:tab/>
      </w:r>
      <w:r>
        <w:rPr>
          <w:rFonts w:hint="eastAsia"/>
          <w:lang w:val="fr-FR"/>
        </w:rPr>
        <w:t>马拉维宪法，第</w:t>
      </w:r>
      <w:r>
        <w:rPr>
          <w:lang w:val="fr-FR"/>
        </w:rPr>
        <w:t>30</w:t>
      </w:r>
      <w:r>
        <w:rPr>
          <w:rFonts w:hint="eastAsia"/>
          <w:lang w:val="fr-FR"/>
        </w:rPr>
        <w:t>条。</w:t>
      </w:r>
    </w:p>
  </w:footnote>
  <w:footnote w:id="7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rPr>
          <w:rFonts w:hint="eastAsia"/>
          <w:lang w:val="fr-FR"/>
        </w:rPr>
        <w:tab/>
        <w:t>“马拉维G</w:t>
      </w:r>
      <w:r>
        <w:rPr>
          <w:lang w:val="fr-FR"/>
        </w:rPr>
        <w:t>emini</w:t>
      </w:r>
      <w:r>
        <w:rPr>
          <w:rFonts w:hint="eastAsia"/>
          <w:lang w:val="fr-FR"/>
        </w:rPr>
        <w:t>调查”</w:t>
      </w:r>
      <w:r>
        <w:rPr>
          <w:lang w:val="fr-FR"/>
        </w:rPr>
        <w:t xml:space="preserve"> (</w:t>
      </w:r>
      <w:r>
        <w:rPr>
          <w:rFonts w:hint="eastAsia"/>
          <w:lang w:val="fr-FR"/>
        </w:rPr>
        <w:t>松巴；</w:t>
      </w:r>
      <w:r>
        <w:rPr>
          <w:lang w:val="fr-FR"/>
        </w:rPr>
        <w:t>2002</w:t>
      </w:r>
      <w:r>
        <w:rPr>
          <w:rFonts w:hint="eastAsia"/>
          <w:lang w:val="fr-FR"/>
        </w:rPr>
        <w:t>年</w:t>
      </w:r>
      <w:r>
        <w:rPr>
          <w:lang w:val="fr-FR"/>
        </w:rPr>
        <w:t>)</w:t>
      </w:r>
      <w:r>
        <w:rPr>
          <w:rFonts w:hint="eastAsia"/>
          <w:lang w:val="fr-FR"/>
        </w:rPr>
        <w:t>。</w:t>
      </w:r>
    </w:p>
  </w:footnote>
  <w:footnote w:id="7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国家统计局，综合家庭调查（松巴；国家统计局，2000年）。</w:t>
      </w:r>
    </w:p>
  </w:footnote>
  <w:footnote w:id="7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1994年马拉维宪法，第</w:t>
      </w:r>
      <w:r>
        <w:rPr>
          <w:lang w:val="fr-FR"/>
        </w:rPr>
        <w:t>24(2</w:t>
      </w:r>
      <w:r>
        <w:rPr>
          <w:rFonts w:hint="eastAsia"/>
          <w:lang w:val="fr-FR"/>
        </w:rPr>
        <w:t>)条。</w:t>
      </w:r>
    </w:p>
  </w:footnote>
  <w:footnote w:id="7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w:t>
      </w:r>
      <w:r>
        <w:rPr>
          <w:lang w:val="fr-FR"/>
        </w:rPr>
        <w:t>30(3)</w:t>
      </w:r>
      <w:r>
        <w:rPr>
          <w:rFonts w:hint="eastAsia"/>
          <w:lang w:val="fr-FR"/>
        </w:rPr>
        <w:t>条。</w:t>
      </w:r>
    </w:p>
  </w:footnote>
  <w:footnote w:id="7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该报告，第</w:t>
      </w:r>
      <w:r>
        <w:t>10</w:t>
      </w:r>
      <w:r>
        <w:rPr>
          <w:rFonts w:hint="eastAsia"/>
        </w:rPr>
        <w:t>条。</w:t>
      </w:r>
    </w:p>
  </w:footnote>
  <w:footnote w:id="7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第</w:t>
      </w:r>
      <w:r>
        <w:t>140-147</w:t>
      </w:r>
      <w:r>
        <w:rPr>
          <w:rFonts w:hint="eastAsia"/>
        </w:rPr>
        <w:t>条。</w:t>
      </w:r>
    </w:p>
  </w:footnote>
  <w:footnote w:id="7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刑法，第</w:t>
      </w:r>
      <w:r>
        <w:t>140-147</w:t>
      </w:r>
      <w:r>
        <w:rPr>
          <w:rFonts w:hint="eastAsia"/>
        </w:rPr>
        <w:t>条。</w:t>
      </w:r>
    </w:p>
  </w:footnote>
  <w:footnote w:id="8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法律委员会，“刑事司法委员会的报告”（利隆圭；马拉维法律委员会，2000年）。</w:t>
      </w:r>
    </w:p>
  </w:footnote>
  <w:footnote w:id="8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马拉维宪法，第40条。</w:t>
      </w:r>
    </w:p>
  </w:footnote>
  <w:footnote w:id="8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w:t>
      </w:r>
      <w:r>
        <w:rPr>
          <w:lang w:val="fr-FR"/>
        </w:rPr>
        <w:t>40</w:t>
      </w:r>
      <w:r>
        <w:rPr>
          <w:rFonts w:hint="eastAsia"/>
          <w:lang w:val="fr-FR"/>
        </w:rPr>
        <w:t>条。</w:t>
      </w:r>
    </w:p>
  </w:footnote>
  <w:footnote w:id="8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w:t>
      </w:r>
      <w:r>
        <w:rPr>
          <w:lang w:val="fr-FR"/>
        </w:rPr>
        <w:t>40</w:t>
      </w:r>
      <w:r>
        <w:rPr>
          <w:rFonts w:hint="eastAsia"/>
          <w:lang w:val="fr-FR"/>
        </w:rPr>
        <w:t>条。</w:t>
      </w:r>
    </w:p>
  </w:footnote>
  <w:footnote w:id="8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马拉维宪法，第32条。</w:t>
      </w:r>
    </w:p>
  </w:footnote>
  <w:footnote w:id="8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rPr>
          <w:lang w:val="fr-FR"/>
        </w:rPr>
        <w:tab/>
      </w:r>
      <w:r>
        <w:rPr>
          <w:rStyle w:val="FootnoteReference"/>
        </w:rPr>
        <w:footnoteRef/>
      </w:r>
      <w:r>
        <w:rPr>
          <w:lang w:val="fr-FR"/>
        </w:rPr>
        <w:tab/>
      </w:r>
      <w:r>
        <w:rPr>
          <w:rFonts w:hint="eastAsia"/>
          <w:lang w:val="fr-FR"/>
        </w:rPr>
        <w:t>马拉维宪法，第</w:t>
      </w:r>
      <w:r>
        <w:t>13 (a)</w:t>
      </w:r>
      <w:r>
        <w:rPr>
          <w:rFonts w:hint="eastAsia"/>
        </w:rPr>
        <w:t>和</w:t>
      </w:r>
      <w:r>
        <w:t>24</w:t>
      </w:r>
      <w:r>
        <w:rPr>
          <w:rFonts w:hint="eastAsia"/>
        </w:rPr>
        <w:t>条。</w:t>
      </w:r>
    </w:p>
  </w:footnote>
  <w:footnote w:id="8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rPr>
          <w:lang w:val="fr-FR"/>
        </w:rPr>
        <w:tab/>
      </w:r>
      <w:r>
        <w:rPr>
          <w:rFonts w:hint="eastAsia"/>
          <w:lang w:val="fr-FR"/>
        </w:rPr>
        <w:t>马拉维宪法，第</w:t>
      </w:r>
      <w:r>
        <w:rPr>
          <w:lang w:val="fr-FR"/>
        </w:rPr>
        <w:t>24(1)(iv)</w:t>
      </w:r>
      <w:r>
        <w:rPr>
          <w:rFonts w:hint="eastAsia"/>
          <w:lang w:val="fr-FR"/>
        </w:rPr>
        <w:t>条。</w:t>
      </w:r>
    </w:p>
  </w:footnote>
  <w:footnote w:id="8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rPr>
          <w:lang w:val="fr-FR"/>
        </w:rPr>
        <w:tab/>
      </w:r>
      <w:r>
        <w:rPr>
          <w:rFonts w:hint="eastAsia"/>
          <w:lang w:val="fr-FR"/>
        </w:rPr>
        <w:t>马拉维宪法，第</w:t>
      </w:r>
      <w:r>
        <w:rPr>
          <w:lang w:val="fr-FR"/>
        </w:rPr>
        <w:t>47(2)</w:t>
      </w:r>
      <w:r>
        <w:rPr>
          <w:rFonts w:hint="eastAsia"/>
          <w:lang w:val="fr-FR"/>
        </w:rPr>
        <w:t>条。</w:t>
      </w:r>
    </w:p>
  </w:footnote>
  <w:footnote w:id="8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公民身份法，第9条。</w:t>
      </w:r>
    </w:p>
  </w:footnote>
  <w:footnote w:id="8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马拉维宪法，第13（f）条。</w:t>
      </w:r>
    </w:p>
  </w:footnote>
  <w:footnote w:id="9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马拉维政府，“马拉维2000年教育基本统计”（利隆圭；教育部，2000年）。</w:t>
      </w:r>
    </w:p>
  </w:footnote>
  <w:footnote w:id="9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关于中学和小学教育的数字来自马拉维政府，“2000年马拉维教育基本统计”（利隆圭；教育部，2000年）。</w:t>
      </w:r>
    </w:p>
  </w:footnote>
  <w:footnote w:id="9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1996年第16号法。</w:t>
      </w:r>
    </w:p>
  </w:footnote>
  <w:footnote w:id="9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2000年第6号法。</w:t>
      </w:r>
    </w:p>
  </w:footnote>
  <w:footnote w:id="9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2000年第6号法，第3 条。</w:t>
      </w:r>
    </w:p>
  </w:footnote>
  <w:footnote w:id="9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国家统计局，1998年马拉维人口和住房普查最终普查结果报告</w:t>
      </w:r>
      <w:r>
        <w:t>(</w:t>
      </w:r>
      <w:r>
        <w:rPr>
          <w:rFonts w:hint="eastAsia"/>
        </w:rPr>
        <w:t>松巴；国家统计局，2000年)。</w:t>
      </w:r>
    </w:p>
  </w:footnote>
  <w:footnote w:id="9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马拉维宪法，第29条。</w:t>
      </w:r>
    </w:p>
  </w:footnote>
  <w:footnote w:id="9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w:t>
      </w:r>
      <w:r>
        <w:rPr>
          <w:lang w:val="fr-FR"/>
        </w:rPr>
        <w:t>31</w:t>
      </w:r>
      <w:r>
        <w:rPr>
          <w:rFonts w:hint="eastAsia"/>
          <w:lang w:val="fr-FR"/>
        </w:rPr>
        <w:t>条。</w:t>
      </w:r>
    </w:p>
  </w:footnote>
  <w:footnote w:id="9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rFonts w:hint="eastAsia"/>
          <w:lang w:val="fr-FR"/>
        </w:rPr>
        <w:tab/>
      </w:r>
      <w:r>
        <w:rPr>
          <w:rFonts w:hint="eastAsia"/>
        </w:rPr>
        <w:t>数字来自</w:t>
      </w:r>
      <w:r>
        <w:rPr>
          <w:rFonts w:hint="eastAsia"/>
          <w:lang w:val="fr-FR"/>
        </w:rPr>
        <w:t>：</w:t>
      </w:r>
      <w:r>
        <w:rPr>
          <w:rFonts w:hint="eastAsia"/>
        </w:rPr>
        <w:t>国家统计局</w:t>
      </w:r>
      <w:r>
        <w:rPr>
          <w:rFonts w:hint="eastAsia"/>
          <w:lang w:val="fr-FR"/>
        </w:rPr>
        <w:t>，《1998</w:t>
      </w:r>
      <w:r>
        <w:rPr>
          <w:rFonts w:hint="eastAsia"/>
        </w:rPr>
        <w:t>年马拉维人口和住房普查最终普查结果报告》（松巴</w:t>
      </w:r>
      <w:r>
        <w:rPr>
          <w:rFonts w:hint="eastAsia"/>
          <w:lang w:val="fr-FR"/>
        </w:rPr>
        <w:t>；</w:t>
      </w:r>
      <w:r>
        <w:rPr>
          <w:rFonts w:hint="eastAsia"/>
        </w:rPr>
        <w:t>国家统计局</w:t>
      </w:r>
      <w:r>
        <w:rPr>
          <w:rFonts w:hint="eastAsia"/>
          <w:lang w:val="fr-FR"/>
        </w:rPr>
        <w:t>，2000年）</w:t>
      </w:r>
      <w:r>
        <w:rPr>
          <w:rFonts w:hint="eastAsia"/>
        </w:rPr>
        <w:t>。</w:t>
      </w:r>
      <w:r>
        <w:rPr>
          <w:lang w:val="fr-FR"/>
        </w:rPr>
        <w:t xml:space="preserve"> </w:t>
      </w:r>
    </w:p>
  </w:footnote>
  <w:footnote w:id="9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监察员办公室，“投诉登记”（利隆圭；监察员办公室，2002年）。</w:t>
      </w:r>
    </w:p>
  </w:footnote>
  <w:footnote w:id="10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马拉维宪法，第13 (c)条。</w:t>
      </w:r>
    </w:p>
  </w:footnote>
  <w:footnote w:id="10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lang w:val="fr-FR"/>
        </w:rPr>
        <w:t>马拉维宪法，第13 (b)条。</w:t>
      </w:r>
    </w:p>
  </w:footnote>
  <w:footnote w:id="10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例如，在该国向CRC提交的报告中，这些数字就取自此报告。</w:t>
      </w:r>
    </w:p>
  </w:footnote>
  <w:footnote w:id="10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数字来源：国家统计局和ORC Macro，《2000年马拉维人口保健调查》（松巴和Calverton；国家统计局；2000年）。</w:t>
      </w:r>
    </w:p>
  </w:footnote>
  <w:footnote w:id="10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rPr>
          <w:rFonts w:hint="eastAsia"/>
        </w:rPr>
        <w:tab/>
        <w:t>国家统计局和OCR Macro，《2000年马拉维人口保健调查》（松巴和Calverton；国家统计局；2000年），第7章。</w:t>
      </w:r>
    </w:p>
  </w:footnote>
  <w:footnote w:id="10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国家统计局和ORC Macro，《2000年马拉维人口保健调查》（松巴和Calverton；国家统计局；2000年）。</w:t>
      </w:r>
    </w:p>
  </w:footnote>
  <w:footnote w:id="10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国家统计局和ORC Macro，《2000年马拉维人口保健调查》（松巴和Calverton；国家统计局，2000年），第7章。</w:t>
      </w:r>
    </w:p>
  </w:footnote>
  <w:footnote w:id="10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还参见：开发计划署，《2001年马拉维国家人口发展报告》（</w:t>
      </w:r>
      <w:r>
        <w:t>(</w:t>
      </w:r>
      <w:r>
        <w:rPr>
          <w:rFonts w:hint="eastAsia"/>
        </w:rPr>
        <w:t>利隆圭；开发计划署，</w:t>
      </w:r>
      <w:r>
        <w:t>2001</w:t>
      </w:r>
      <w:r>
        <w:rPr>
          <w:rFonts w:hint="eastAsia"/>
        </w:rPr>
        <w:t>年)。</w:t>
      </w:r>
    </w:p>
  </w:footnote>
  <w:footnote w:id="10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马拉维政府，“减贫战略文件”（马拉维政府；利隆圭，2001年）。</w:t>
      </w:r>
    </w:p>
  </w:footnote>
  <w:footnote w:id="10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马拉维宪法，第30条。</w:t>
      </w:r>
    </w:p>
  </w:footnote>
  <w:footnote w:id="11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马拉维宪法，第三和第四部分。</w:t>
      </w:r>
    </w:p>
  </w:footnote>
  <w:footnote w:id="11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rPr>
          <w:lang w:val="fr-FR"/>
        </w:rPr>
        <w:tab/>
      </w:r>
      <w:r>
        <w:rPr>
          <w:rFonts w:hint="eastAsia"/>
          <w:lang w:val="fr-FR"/>
        </w:rPr>
        <w:t>马拉维宪法，第</w:t>
      </w:r>
      <w:r>
        <w:rPr>
          <w:lang w:val="fr-FR"/>
        </w:rPr>
        <w:t>13((h)</w:t>
      </w:r>
      <w:r>
        <w:rPr>
          <w:rFonts w:hint="eastAsia"/>
          <w:lang w:val="fr-FR"/>
        </w:rPr>
        <w:t>条。</w:t>
      </w:r>
    </w:p>
  </w:footnote>
  <w:footnote w:id="11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w:t>
      </w:r>
      <w:r>
        <w:rPr>
          <w:lang w:val="fr-FR"/>
        </w:rPr>
        <w:t>13(j)</w:t>
      </w:r>
      <w:r>
        <w:rPr>
          <w:rFonts w:hint="eastAsia"/>
          <w:lang w:val="fr-FR"/>
        </w:rPr>
        <w:t>条。</w:t>
      </w:r>
    </w:p>
  </w:footnote>
  <w:footnote w:id="11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w:t>
      </w:r>
      <w:r>
        <w:rPr>
          <w:lang w:val="fr-FR"/>
        </w:rPr>
        <w:t xml:space="preserve"> 26</w:t>
      </w:r>
      <w:r>
        <w:rPr>
          <w:rFonts w:hint="eastAsia"/>
          <w:lang w:val="fr-FR"/>
        </w:rPr>
        <w:t>条。</w:t>
      </w:r>
    </w:p>
  </w:footnote>
  <w:footnote w:id="11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rPr>
          <w:lang w:val="fr-FR"/>
        </w:rPr>
        <w:tab/>
      </w:r>
      <w:r>
        <w:rPr>
          <w:rFonts w:hint="eastAsia"/>
        </w:rPr>
        <w:t>国家统计局</w:t>
      </w:r>
      <w:r>
        <w:rPr>
          <w:rFonts w:hint="eastAsia"/>
          <w:lang w:val="fr-FR"/>
        </w:rPr>
        <w:t>，《1998</w:t>
      </w:r>
      <w:r>
        <w:rPr>
          <w:rFonts w:hint="eastAsia"/>
        </w:rPr>
        <w:t>年马拉维人口和住房普查最终普查报告》（松巴；国家统计局，</w:t>
      </w:r>
      <w:r>
        <w:rPr>
          <w:lang w:val="fr-FR"/>
        </w:rPr>
        <w:t>2000</w:t>
      </w:r>
      <w:r>
        <w:rPr>
          <w:rFonts w:hint="eastAsia"/>
          <w:lang w:val="fr-FR"/>
        </w:rPr>
        <w:t>年）。</w:t>
      </w:r>
    </w:p>
  </w:footnote>
  <w:footnote w:id="11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rPr>
          <w:lang w:val="fr-FR"/>
        </w:rPr>
        <w:tab/>
      </w:r>
      <w:r>
        <w:rPr>
          <w:rFonts w:hint="eastAsia"/>
          <w:lang w:val="fr-FR"/>
        </w:rPr>
        <w:t>马拉维宪法，第1</w:t>
      </w:r>
      <w:r>
        <w:rPr>
          <w:lang w:val="fr-FR"/>
        </w:rPr>
        <w:t>3(</w:t>
      </w:r>
      <w:r>
        <w:rPr>
          <w:rFonts w:hint="eastAsia"/>
          <w:lang w:val="fr-FR"/>
        </w:rPr>
        <w:t xml:space="preserve">  </w:t>
      </w:r>
      <w:r>
        <w:rPr>
          <w:lang w:val="fr-FR"/>
        </w:rPr>
        <w:t>)</w:t>
      </w:r>
      <w:r>
        <w:rPr>
          <w:rFonts w:hint="eastAsia"/>
          <w:lang w:val="fr-FR"/>
        </w:rPr>
        <w:t>条。</w:t>
      </w:r>
    </w:p>
  </w:footnote>
  <w:footnote w:id="11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马拉维宪法，第30条。</w:t>
      </w:r>
    </w:p>
  </w:footnote>
  <w:footnote w:id="11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rPr>
          <w:lang w:val="fr-FR"/>
        </w:rPr>
        <w:tab/>
      </w:r>
      <w:r>
        <w:rPr>
          <w:rStyle w:val="FootnoteReference"/>
        </w:rPr>
        <w:footnoteRef/>
      </w:r>
      <w:r>
        <w:tab/>
      </w:r>
      <w:r>
        <w:rPr>
          <w:rFonts w:hint="eastAsia"/>
        </w:rPr>
        <w:t>马拉维宪法，第</w:t>
      </w:r>
      <w:r>
        <w:t>20</w:t>
      </w:r>
      <w:r>
        <w:rPr>
          <w:rFonts w:hint="eastAsia"/>
        </w:rPr>
        <w:t>和</w:t>
      </w:r>
      <w:r>
        <w:t>24</w:t>
      </w:r>
      <w:r>
        <w:rPr>
          <w:rFonts w:hint="eastAsia"/>
        </w:rPr>
        <w:t>条。</w:t>
      </w:r>
    </w:p>
  </w:footnote>
  <w:footnote w:id="11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国家统计局和</w:t>
      </w:r>
      <w:r>
        <w:t>ORC Macro</w:t>
      </w:r>
      <w:r>
        <w:rPr>
          <w:rFonts w:hint="eastAsia"/>
        </w:rPr>
        <w:t>：《2000年马拉维人口保健调查》（松巴和</w:t>
      </w:r>
      <w:r>
        <w:t>Calverton</w:t>
      </w:r>
      <w:r>
        <w:rPr>
          <w:rFonts w:hint="eastAsia"/>
        </w:rPr>
        <w:t>，2001年），第3章。</w:t>
      </w:r>
    </w:p>
  </w:footnote>
  <w:footnote w:id="11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国家统计局和</w:t>
      </w:r>
      <w:r>
        <w:t>ORC Macro</w:t>
      </w:r>
      <w:r>
        <w:rPr>
          <w:rFonts w:hint="eastAsia"/>
        </w:rPr>
        <w:t>：《2000年马拉维人口保健调查》（松巴和</w:t>
      </w:r>
      <w:r>
        <w:t>Calverton</w:t>
      </w:r>
      <w:r>
        <w:rPr>
          <w:rFonts w:hint="eastAsia"/>
        </w:rPr>
        <w:t>；国家统计局和Calverton；2001年）。</w:t>
      </w:r>
    </w:p>
  </w:footnote>
  <w:footnote w:id="12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1987年第25号法（第</w:t>
      </w:r>
      <w:r>
        <w:t>10:01</w:t>
      </w:r>
      <w:r>
        <w:rPr>
          <w:rFonts w:hint="eastAsia"/>
        </w:rPr>
        <w:t>章，马拉维法律），第</w:t>
      </w:r>
      <w:r>
        <w:t>14-18</w:t>
      </w:r>
      <w:r>
        <w:rPr>
          <w:rFonts w:hint="eastAsia"/>
        </w:rPr>
        <w:t>条。</w:t>
      </w:r>
    </w:p>
  </w:footnote>
  <w:footnote w:id="12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马拉维政府，“马拉维土地政策”（利隆圭；农业和住房部，2001年）。</w:t>
      </w:r>
      <w:r>
        <w:t xml:space="preserve"> </w:t>
      </w:r>
    </w:p>
  </w:footnote>
  <w:footnote w:id="12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国家统计局，1997-1998年综合家庭调查（松巴；国家统计局，2000年），第38页。</w:t>
      </w:r>
    </w:p>
  </w:footnote>
  <w:footnote w:id="12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根据该报告第12条实施的讨论。</w:t>
      </w:r>
    </w:p>
  </w:footnote>
  <w:footnote w:id="12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国家统计局和</w:t>
      </w:r>
      <w:r>
        <w:t>ORC Macro</w:t>
      </w:r>
      <w:r>
        <w:rPr>
          <w:rFonts w:hint="eastAsia"/>
        </w:rPr>
        <w:t>：《2000年马拉维人口保健调查》（松巴和</w:t>
      </w:r>
      <w:r>
        <w:t>Calverton</w:t>
      </w:r>
      <w:r>
        <w:rPr>
          <w:rFonts w:hint="eastAsia"/>
        </w:rPr>
        <w:t>；国家统计局和Calverton， 2001年），第</w:t>
      </w:r>
      <w:r>
        <w:t>10</w:t>
      </w:r>
      <w:r>
        <w:rPr>
          <w:rFonts w:hint="eastAsia"/>
        </w:rPr>
        <w:t>章。</w:t>
      </w:r>
    </w:p>
  </w:footnote>
  <w:footnote w:id="12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名为1999年第30号法案。</w:t>
      </w:r>
    </w:p>
  </w:footnote>
  <w:footnote w:id="12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国家统计局，《</w:t>
      </w:r>
      <w:r>
        <w:rPr>
          <w:rFonts w:hint="eastAsia"/>
          <w:lang w:val="fr-FR"/>
        </w:rPr>
        <w:t>1998</w:t>
      </w:r>
      <w:r>
        <w:rPr>
          <w:rFonts w:hint="eastAsia"/>
        </w:rPr>
        <w:t>年马拉维人口和住房普查最终普查报告》（松巴；国家统计局，</w:t>
      </w:r>
      <w:r>
        <w:rPr>
          <w:lang w:val="fr-FR"/>
        </w:rPr>
        <w:t>2000</w:t>
      </w:r>
      <w:r>
        <w:rPr>
          <w:rFonts w:hint="eastAsia"/>
          <w:lang w:val="fr-FR"/>
        </w:rPr>
        <w:t>年</w:t>
      </w:r>
      <w:r>
        <w:rPr>
          <w:rFonts w:hint="eastAsia"/>
        </w:rPr>
        <w:t>），第12章。</w:t>
      </w:r>
    </w:p>
  </w:footnote>
  <w:footnote w:id="12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第2</w:t>
      </w:r>
      <w:r>
        <w:rPr>
          <w:lang w:val="fr-FR"/>
        </w:rPr>
        <w:t>(</w:t>
      </w:r>
      <w:r>
        <w:rPr>
          <w:rFonts w:hint="eastAsia"/>
          <w:lang w:val="fr-FR"/>
        </w:rPr>
        <w:t>1</w:t>
      </w:r>
      <w:r>
        <w:rPr>
          <w:lang w:val="fr-FR"/>
        </w:rPr>
        <w:t>)</w:t>
      </w:r>
      <w:r>
        <w:rPr>
          <w:rFonts w:hint="eastAsia"/>
          <w:lang w:val="fr-FR"/>
        </w:rPr>
        <w:t>（iv）条。</w:t>
      </w:r>
    </w:p>
  </w:footnote>
  <w:footnote w:id="12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马拉维宪法，第41（1）条。</w:t>
      </w:r>
    </w:p>
  </w:footnote>
  <w:footnote w:id="12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马拉维宪法，第13（a）条。</w:t>
      </w:r>
    </w:p>
  </w:footnote>
  <w:footnote w:id="13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rPr>
          <w:lang w:val="fr-FR"/>
        </w:rPr>
        <w:tab/>
      </w:r>
      <w:r>
        <w:rPr>
          <w:rFonts w:hint="eastAsia"/>
        </w:rPr>
        <w:t>马拉维政府</w:t>
      </w:r>
      <w:r>
        <w:rPr>
          <w:rFonts w:hint="eastAsia"/>
          <w:lang w:val="fr-FR"/>
        </w:rPr>
        <w:t>，</w:t>
      </w:r>
      <w:r>
        <w:rPr>
          <w:rFonts w:hint="eastAsia"/>
        </w:rPr>
        <w:t>国家性别政策</w:t>
      </w:r>
      <w:r>
        <w:rPr>
          <w:rFonts w:hint="eastAsia"/>
          <w:lang w:val="fr-FR"/>
        </w:rPr>
        <w:t>（</w:t>
      </w:r>
      <w:r>
        <w:rPr>
          <w:rFonts w:hint="eastAsia"/>
        </w:rPr>
        <w:t>利隆圭</w:t>
      </w:r>
      <w:r>
        <w:rPr>
          <w:rFonts w:hint="eastAsia"/>
          <w:lang w:val="fr-FR"/>
        </w:rPr>
        <w:t>；</w:t>
      </w:r>
      <w:r>
        <w:rPr>
          <w:rFonts w:hint="eastAsia"/>
        </w:rPr>
        <w:t>性别和社区服务部</w:t>
      </w:r>
      <w:r>
        <w:rPr>
          <w:rFonts w:hint="eastAsia"/>
          <w:lang w:val="fr-FR"/>
        </w:rPr>
        <w:t>，2002年），</w:t>
      </w:r>
      <w:r>
        <w:rPr>
          <w:rFonts w:hint="eastAsia"/>
        </w:rPr>
        <w:t>第</w:t>
      </w:r>
      <w:r>
        <w:rPr>
          <w:lang w:val="fr-FR"/>
        </w:rPr>
        <w:t>5.5</w:t>
      </w:r>
      <w:r>
        <w:rPr>
          <w:rFonts w:hint="eastAsia"/>
          <w:lang w:val="fr-FR"/>
        </w:rPr>
        <w:t>条。</w:t>
      </w:r>
    </w:p>
  </w:footnote>
  <w:footnote w:id="13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马拉维政府和联合国在马拉维，马拉维贫困状况分析（利隆圭；马拉维政府和联合国在马拉维），第122页。</w:t>
      </w:r>
    </w:p>
  </w:footnote>
  <w:footnote w:id="13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tab/>
      </w:r>
      <w:r>
        <w:rPr>
          <w:rFonts w:hint="eastAsia"/>
        </w:rPr>
        <w:t>马拉维宪法，1994，第</w:t>
      </w:r>
      <w:r>
        <w:t>24(1)(a)(i)</w:t>
      </w:r>
      <w:r>
        <w:rPr>
          <w:rFonts w:hint="eastAsia"/>
        </w:rPr>
        <w:t>条。</w:t>
      </w:r>
    </w:p>
  </w:footnote>
  <w:footnote w:id="13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tab/>
      </w:r>
      <w:r>
        <w:rPr>
          <w:rFonts w:hint="eastAsia"/>
        </w:rPr>
        <w:t>马拉维宪法，第</w:t>
      </w:r>
      <w:r>
        <w:t>24(2)</w:t>
      </w:r>
      <w:r>
        <w:rPr>
          <w:rFonts w:hint="eastAsia"/>
        </w:rPr>
        <w:t>条。</w:t>
      </w:r>
    </w:p>
  </w:footnote>
  <w:footnote w:id="13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tab/>
      </w:r>
      <w:r>
        <w:rPr>
          <w:rFonts w:hint="eastAsia"/>
        </w:rPr>
        <w:t>马拉维宪法，第</w:t>
      </w:r>
      <w:r>
        <w:t>24(2)</w:t>
      </w:r>
      <w:r>
        <w:rPr>
          <w:rFonts w:hint="eastAsia"/>
        </w:rPr>
        <w:t>条。</w:t>
      </w:r>
    </w:p>
  </w:footnote>
  <w:footnote w:id="13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tab/>
      </w:r>
      <w:r>
        <w:rPr>
          <w:rFonts w:hint="eastAsia"/>
        </w:rPr>
        <w:t>宪法，第</w:t>
      </w:r>
      <w:r>
        <w:t>24(1)(a)(ii)</w:t>
      </w:r>
      <w:r>
        <w:rPr>
          <w:rFonts w:hint="eastAsia"/>
        </w:rPr>
        <w:t>条</w:t>
      </w:r>
    </w:p>
  </w:footnote>
  <w:footnote w:id="13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i/>
          <w:iCs/>
        </w:rPr>
        <w:tab/>
        <w:t>Malinki</w:t>
      </w:r>
      <w:r>
        <w:rPr>
          <w:rFonts w:hint="eastAsia"/>
        </w:rPr>
        <w:t>诉</w:t>
      </w:r>
      <w:r>
        <w:rPr>
          <w:i/>
          <w:iCs/>
        </w:rPr>
        <w:t xml:space="preserve"> Malinki </w:t>
      </w:r>
      <w:r>
        <w:t xml:space="preserve"> (1978-1980</w:t>
      </w:r>
      <w:r>
        <w:rPr>
          <w:rFonts w:hint="eastAsia"/>
        </w:rPr>
        <w:t>年</w:t>
      </w:r>
      <w:r>
        <w:t>)</w:t>
      </w:r>
      <w:r>
        <w:rPr>
          <w:rFonts w:hint="eastAsia"/>
        </w:rPr>
        <w:t>，92页马拉维法律报告，</w:t>
      </w:r>
      <w:r>
        <w:t>441</w:t>
      </w:r>
      <w:r>
        <w:rPr>
          <w:rFonts w:hint="eastAsia"/>
        </w:rPr>
        <w:t>。</w:t>
      </w:r>
    </w:p>
  </w:footnote>
  <w:footnote w:id="13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rPr>
          <w:lang w:val="fr-FR"/>
        </w:rPr>
        <w:tab/>
      </w:r>
      <w:r>
        <w:rPr>
          <w:rFonts w:hint="eastAsia"/>
          <w:lang w:val="fr-FR"/>
        </w:rPr>
        <w:t>宪法，第</w:t>
      </w:r>
      <w:r>
        <w:rPr>
          <w:lang w:val="fr-FR"/>
        </w:rPr>
        <w:t>20(1)</w:t>
      </w:r>
      <w:r>
        <w:rPr>
          <w:rFonts w:hint="eastAsia"/>
          <w:lang w:val="fr-FR"/>
        </w:rPr>
        <w:t>条。</w:t>
      </w:r>
    </w:p>
  </w:footnote>
  <w:footnote w:id="13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rPr>
          <w:lang w:val="fr-FR"/>
        </w:rPr>
        <w:tab/>
      </w:r>
      <w:r>
        <w:rPr>
          <w:rFonts w:hint="eastAsia"/>
          <w:lang w:val="fr-FR"/>
        </w:rPr>
        <w:t>马拉维宪法，第</w:t>
      </w:r>
      <w:r>
        <w:rPr>
          <w:lang w:val="fr-FR"/>
        </w:rPr>
        <w:t>41(2)</w:t>
      </w:r>
      <w:r>
        <w:rPr>
          <w:rFonts w:hint="eastAsia"/>
          <w:lang w:val="fr-FR"/>
        </w:rPr>
        <w:t>条。</w:t>
      </w:r>
    </w:p>
  </w:footnote>
  <w:footnote w:id="13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rPr>
          <w:lang w:val="fr-FR"/>
        </w:rPr>
        <w:tab/>
      </w:r>
      <w:r>
        <w:rPr>
          <w:rFonts w:hint="eastAsia"/>
        </w:rPr>
        <w:t>马拉维宪法</w:t>
      </w:r>
      <w:r>
        <w:rPr>
          <w:rFonts w:hint="eastAsia"/>
          <w:lang w:val="fr-FR"/>
        </w:rPr>
        <w:t>，</w:t>
      </w:r>
      <w:r>
        <w:rPr>
          <w:rFonts w:hint="eastAsia"/>
        </w:rPr>
        <w:t>地</w:t>
      </w:r>
      <w:r>
        <w:rPr>
          <w:lang w:val="fr-FR"/>
        </w:rPr>
        <w:t>41(3)</w:t>
      </w:r>
      <w:r>
        <w:rPr>
          <w:rFonts w:hint="eastAsia"/>
        </w:rPr>
        <w:t>条。</w:t>
      </w:r>
    </w:p>
  </w:footnote>
  <w:footnote w:id="14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rPr>
        <w:t>马拉维法律委员会</w:t>
      </w:r>
      <w:r>
        <w:rPr>
          <w:rFonts w:hint="eastAsia"/>
          <w:lang w:val="fr-FR"/>
        </w:rPr>
        <w:t>，</w:t>
      </w:r>
      <w:r>
        <w:rPr>
          <w:rFonts w:hint="eastAsia"/>
        </w:rPr>
        <w:t>刑事改革特别法律委员会报告</w:t>
      </w:r>
      <w:r>
        <w:rPr>
          <w:rFonts w:hint="eastAsia"/>
          <w:lang w:val="fr-FR"/>
        </w:rPr>
        <w:t>（</w:t>
      </w:r>
      <w:r>
        <w:rPr>
          <w:rFonts w:hint="eastAsia"/>
        </w:rPr>
        <w:t>利隆圭</w:t>
      </w:r>
      <w:r>
        <w:rPr>
          <w:rFonts w:hint="eastAsia"/>
          <w:lang w:val="fr-FR"/>
        </w:rPr>
        <w:t>；</w:t>
      </w:r>
      <w:r>
        <w:rPr>
          <w:rFonts w:hint="eastAsia"/>
        </w:rPr>
        <w:t>法律委员会</w:t>
      </w:r>
      <w:r>
        <w:rPr>
          <w:rFonts w:hint="eastAsia"/>
          <w:lang w:val="fr-FR"/>
        </w:rPr>
        <w:t>；2000年）</w:t>
      </w:r>
      <w:r>
        <w:rPr>
          <w:rFonts w:hint="eastAsia"/>
        </w:rPr>
        <w:t>。</w:t>
      </w:r>
    </w:p>
  </w:footnote>
  <w:footnote w:id="14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i/>
          <w:iCs/>
          <w:lang w:val="fr-FR"/>
        </w:rPr>
        <w:tab/>
        <w:t>Rashid Hussein James v Rep</w:t>
      </w:r>
      <w:r>
        <w:rPr>
          <w:lang w:val="fr-FR"/>
        </w:rPr>
        <w:t xml:space="preserve">, </w:t>
      </w:r>
      <w:r>
        <w:rPr>
          <w:rFonts w:hint="eastAsia"/>
        </w:rPr>
        <w:t>高等法院犯罪案例</w:t>
      </w:r>
      <w:r>
        <w:rPr>
          <w:rFonts w:hint="eastAsia"/>
          <w:lang w:val="fr-FR"/>
        </w:rPr>
        <w:t>，1999</w:t>
      </w:r>
      <w:r>
        <w:rPr>
          <w:rFonts w:hint="eastAsia"/>
        </w:rPr>
        <w:t>年第</w:t>
      </w:r>
      <w:r>
        <w:rPr>
          <w:rFonts w:hint="eastAsia"/>
          <w:lang w:val="fr-FR"/>
        </w:rPr>
        <w:t>12</w:t>
      </w:r>
      <w:r>
        <w:rPr>
          <w:rFonts w:hint="eastAsia"/>
        </w:rPr>
        <w:t>号</w:t>
      </w:r>
    </w:p>
  </w:footnote>
  <w:footnote w:id="14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lang w:val="fr-FR"/>
        </w:rPr>
      </w:pPr>
      <w:r>
        <w:rPr>
          <w:lang w:val="fr-FR"/>
        </w:rPr>
        <w:tab/>
      </w:r>
      <w:r>
        <w:rPr>
          <w:rStyle w:val="FootnoteReference"/>
        </w:rPr>
        <w:footnoteRef/>
      </w:r>
      <w:r>
        <w:rPr>
          <w:lang w:val="fr-FR"/>
        </w:rPr>
        <w:tab/>
      </w:r>
      <w:r>
        <w:rPr>
          <w:rFonts w:hint="eastAsia"/>
        </w:rPr>
        <w:t>马拉维宪法</w:t>
      </w:r>
      <w:r>
        <w:rPr>
          <w:rFonts w:hint="eastAsia"/>
          <w:lang w:val="fr-FR"/>
        </w:rPr>
        <w:t>，</w:t>
      </w:r>
      <w:r>
        <w:rPr>
          <w:rFonts w:hint="eastAsia"/>
        </w:rPr>
        <w:t>第</w:t>
      </w:r>
      <w:r>
        <w:rPr>
          <w:lang w:val="fr-FR"/>
        </w:rPr>
        <w:t>39(1)</w:t>
      </w:r>
      <w:r>
        <w:rPr>
          <w:rFonts w:hint="eastAsia"/>
        </w:rPr>
        <w:t>和</w:t>
      </w:r>
      <w:r>
        <w:rPr>
          <w:lang w:val="fr-FR"/>
        </w:rPr>
        <w:t>(2)</w:t>
      </w:r>
      <w:r>
        <w:rPr>
          <w:rFonts w:hint="eastAsia"/>
        </w:rPr>
        <w:t>条。</w:t>
      </w:r>
    </w:p>
  </w:footnote>
  <w:footnote w:id="14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rPr>
        <w:t>公民身份法</w:t>
      </w:r>
      <w:r>
        <w:rPr>
          <w:rFonts w:hint="eastAsia"/>
          <w:lang w:val="fr-FR"/>
        </w:rPr>
        <w:t>，</w:t>
      </w:r>
      <w:r>
        <w:rPr>
          <w:rFonts w:hint="eastAsia"/>
        </w:rPr>
        <w:t>第</w:t>
      </w:r>
      <w:r>
        <w:rPr>
          <w:rFonts w:hint="eastAsia"/>
          <w:lang w:val="fr-FR"/>
        </w:rPr>
        <w:t>9</w:t>
      </w:r>
      <w:r>
        <w:rPr>
          <w:rFonts w:hint="eastAsia"/>
        </w:rPr>
        <w:t>条。</w:t>
      </w:r>
    </w:p>
  </w:footnote>
  <w:footnote w:id="14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马拉维宪法，第</w:t>
      </w:r>
      <w:r>
        <w:t>13(1)</w:t>
      </w:r>
      <w:r>
        <w:rPr>
          <w:rFonts w:hint="eastAsia"/>
        </w:rPr>
        <w:t>条和第</w:t>
      </w:r>
      <w:r>
        <w:t>22</w:t>
      </w:r>
      <w:r>
        <w:rPr>
          <w:rFonts w:hint="eastAsia"/>
        </w:rPr>
        <w:t>条。</w:t>
      </w:r>
    </w:p>
  </w:footnote>
  <w:footnote w:id="14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 xml:space="preserve">1902年第3号法令（第25 </w:t>
      </w:r>
      <w:r>
        <w:t>:</w:t>
      </w:r>
      <w:r>
        <w:rPr>
          <w:rFonts w:hint="eastAsia"/>
        </w:rPr>
        <w:t xml:space="preserve"> 01章，马拉维法律）。</w:t>
      </w:r>
    </w:p>
  </w:footnote>
  <w:footnote w:id="14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刑法，1929年第22号法令（第7</w:t>
      </w:r>
      <w:r>
        <w:t xml:space="preserve">: </w:t>
      </w:r>
      <w:r>
        <w:rPr>
          <w:rFonts w:hint="eastAsia"/>
        </w:rPr>
        <w:t>01章</w:t>
      </w:r>
      <w:r>
        <w:t xml:space="preserve">, </w:t>
      </w:r>
      <w:r>
        <w:rPr>
          <w:rFonts w:hint="eastAsia"/>
        </w:rPr>
        <w:t>马拉维法律），第164条和165条。</w:t>
      </w:r>
    </w:p>
  </w:footnote>
  <w:footnote w:id="14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1902年第3号法令（第25</w:t>
      </w:r>
      <w:r>
        <w:t xml:space="preserve">: </w:t>
      </w:r>
      <w:r>
        <w:rPr>
          <w:rFonts w:hint="eastAsia"/>
        </w:rPr>
        <w:t>01章</w:t>
      </w:r>
      <w:r>
        <w:t xml:space="preserve">, </w:t>
      </w:r>
      <w:r>
        <w:rPr>
          <w:rFonts w:hint="eastAsia"/>
        </w:rPr>
        <w:t>马拉维法律）。</w:t>
      </w:r>
    </w:p>
  </w:footnote>
  <w:footnote w:id="14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马拉维宪法，第</w:t>
      </w:r>
      <w:r>
        <w:t>22(5)</w:t>
      </w:r>
      <w:r>
        <w:rPr>
          <w:rFonts w:hint="eastAsia"/>
        </w:rPr>
        <w:t>条。</w:t>
      </w:r>
    </w:p>
  </w:footnote>
  <w:footnote w:id="14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联合国系统在马拉维，“马拉维共同国家评估”（利隆圭；联合国在马拉维，2001年），第70</w:t>
      </w:r>
      <w:r>
        <w:tab/>
      </w:r>
      <w:r>
        <w:rPr>
          <w:rFonts w:hint="eastAsia"/>
        </w:rPr>
        <w:t>页。</w:t>
      </w:r>
    </w:p>
  </w:footnote>
  <w:footnote w:id="15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马拉维宪法，1994，第</w:t>
      </w:r>
      <w:r>
        <w:rPr>
          <w:lang w:val="fr-FR"/>
        </w:rPr>
        <w:t>24(1)(ii)</w:t>
      </w:r>
      <w:r>
        <w:rPr>
          <w:rFonts w:hint="eastAsia"/>
          <w:lang w:val="fr-FR"/>
        </w:rPr>
        <w:t>条。</w:t>
      </w:r>
    </w:p>
  </w:footnote>
  <w:footnote w:id="151">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马拉维宪法，1994，第</w:t>
      </w:r>
      <w:r>
        <w:rPr>
          <w:lang w:val="fr-FR"/>
        </w:rPr>
        <w:t>24(1)(iii)</w:t>
      </w:r>
      <w:r>
        <w:rPr>
          <w:rFonts w:hint="eastAsia"/>
          <w:lang w:val="fr-FR"/>
        </w:rPr>
        <w:t>条。</w:t>
      </w:r>
    </w:p>
  </w:footnote>
  <w:footnote w:id="152">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收养法，号，（章，马拉维法律）。</w:t>
      </w:r>
    </w:p>
  </w:footnote>
  <w:footnote w:id="153">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私生子法，1946年第25号法（第</w:t>
      </w:r>
      <w:r>
        <w:t>26:02</w:t>
      </w:r>
      <w:r>
        <w:rPr>
          <w:rFonts w:hint="eastAsia"/>
        </w:rPr>
        <w:t>章，马拉维法律）。</w:t>
      </w:r>
      <w:r>
        <w:t xml:space="preserve"> </w:t>
      </w:r>
    </w:p>
  </w:footnote>
  <w:footnote w:id="154">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离婚法，1905年第5号法（第</w:t>
      </w:r>
      <w:r>
        <w:t xml:space="preserve"> 25:04</w:t>
      </w:r>
      <w:r>
        <w:rPr>
          <w:rFonts w:hint="eastAsia"/>
        </w:rPr>
        <w:t>章，马拉维法律）。</w:t>
      </w:r>
    </w:p>
  </w:footnote>
  <w:footnote w:id="155">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离婚法，1905年第5号法（第</w:t>
      </w:r>
      <w:r>
        <w:t xml:space="preserve"> 25:04</w:t>
      </w:r>
      <w:r>
        <w:rPr>
          <w:rFonts w:hint="eastAsia"/>
        </w:rPr>
        <w:t>章，马拉维法律）。</w:t>
      </w:r>
    </w:p>
  </w:footnote>
  <w:footnote w:id="156">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rFonts w:hint="eastAsia"/>
        </w:rPr>
      </w:pPr>
      <w:r>
        <w:tab/>
      </w:r>
      <w:r>
        <w:rPr>
          <w:rStyle w:val="FootnoteReference"/>
        </w:rPr>
        <w:footnoteRef/>
      </w:r>
      <w:r>
        <w:tab/>
      </w:r>
      <w:r>
        <w:rPr>
          <w:rFonts w:hint="eastAsia"/>
        </w:rPr>
        <w:t>离婚法，1905年第5号法（第</w:t>
      </w:r>
      <w:r>
        <w:t xml:space="preserve"> 25:04</w:t>
      </w:r>
      <w:r>
        <w:rPr>
          <w:rFonts w:hint="eastAsia"/>
        </w:rPr>
        <w:t>章，马拉维法律）。</w:t>
      </w:r>
    </w:p>
  </w:footnote>
  <w:footnote w:id="157">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rPr>
          <w:lang w:val="fr-FR"/>
        </w:rPr>
      </w:pPr>
      <w:r>
        <w:rPr>
          <w:lang w:val="fr-FR"/>
        </w:rPr>
        <w:tab/>
      </w:r>
      <w:r>
        <w:rPr>
          <w:rStyle w:val="FootnoteReference"/>
        </w:rPr>
        <w:footnoteRef/>
      </w:r>
      <w:r>
        <w:rPr>
          <w:lang w:val="fr-FR"/>
        </w:rPr>
        <w:tab/>
      </w:r>
      <w:r>
        <w:rPr>
          <w:rFonts w:hint="eastAsia"/>
          <w:lang w:val="fr-FR"/>
        </w:rPr>
        <w:t>马拉维宪法</w:t>
      </w:r>
      <w:r>
        <w:rPr>
          <w:rFonts w:hint="eastAsia"/>
        </w:rPr>
        <w:t>，</w:t>
      </w:r>
      <w:r>
        <w:rPr>
          <w:rFonts w:hint="eastAsia"/>
          <w:lang w:val="fr-FR"/>
        </w:rPr>
        <w:t>第</w:t>
      </w:r>
      <w:r>
        <w:rPr>
          <w:lang w:val="fr-FR"/>
        </w:rPr>
        <w:t>24(1)(b)(ii)</w:t>
      </w:r>
      <w:r>
        <w:rPr>
          <w:rFonts w:hint="eastAsia"/>
          <w:lang w:val="fr-FR"/>
        </w:rPr>
        <w:t>条。</w:t>
      </w:r>
    </w:p>
  </w:footnote>
  <w:footnote w:id="158">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1948年第13号（第</w:t>
      </w:r>
      <w:r>
        <w:t xml:space="preserve"> 25:05</w:t>
      </w:r>
      <w:r>
        <w:rPr>
          <w:rFonts w:hint="eastAsia"/>
        </w:rPr>
        <w:t>章</w:t>
      </w:r>
      <w:r>
        <w:t xml:space="preserve">, </w:t>
      </w:r>
      <w:r>
        <w:rPr>
          <w:rFonts w:hint="eastAsia"/>
        </w:rPr>
        <w:t>马拉维法律）。</w:t>
      </w:r>
      <w:r>
        <w:t xml:space="preserve"> </w:t>
      </w:r>
    </w:p>
  </w:footnote>
  <w:footnote w:id="159">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遗嘱和遗产法，1967年第25号法令（第10</w:t>
      </w:r>
      <w:r>
        <w:t>:</w:t>
      </w:r>
      <w:r>
        <w:rPr>
          <w:rFonts w:hint="eastAsia"/>
        </w:rPr>
        <w:t>02章，马拉维法律）第16条（a和b）。</w:t>
      </w:r>
      <w:r>
        <w:t xml:space="preserve"> </w:t>
      </w:r>
    </w:p>
  </w:footnote>
  <w:footnote w:id="160">
    <w:p w:rsidR="005052D3" w:rsidRDefault="005052D3">
      <w:pPr>
        <w:pStyle w:val="FootnoteText"/>
        <w:tabs>
          <w:tab w:val="clear" w:pos="418"/>
          <w:tab w:val="right" w:pos="1195"/>
          <w:tab w:val="left" w:pos="1264"/>
          <w:tab w:val="left" w:pos="1695"/>
          <w:tab w:val="left" w:pos="2126"/>
          <w:tab w:val="left" w:pos="2557"/>
        </w:tabs>
        <w:spacing w:after="60" w:line="260" w:lineRule="exact"/>
        <w:ind w:left="1264" w:right="1264" w:hanging="432"/>
        <w:jc w:val="both"/>
      </w:pPr>
      <w:r>
        <w:tab/>
      </w:r>
      <w:r>
        <w:rPr>
          <w:rStyle w:val="FootnoteReference"/>
        </w:rPr>
        <w:footnoteRef/>
      </w:r>
      <w:r>
        <w:tab/>
      </w:r>
      <w:r>
        <w:rPr>
          <w:rFonts w:hint="eastAsia"/>
        </w:rPr>
        <w:t>1967年第25号法令（第10</w:t>
      </w:r>
      <w:r>
        <w:t>:</w:t>
      </w:r>
      <w:r>
        <w:rPr>
          <w:rFonts w:hint="eastAsia"/>
        </w:rPr>
        <w:t>02章，马拉维法律）。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2D3" w:rsidRDefault="005052D3">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052D3">
                  <w:tblPrEx>
                    <w:tblCellMar>
                      <w:top w:w="0" w:type="dxa"/>
                      <w:bottom w:w="0" w:type="dxa"/>
                    </w:tblCellMar>
                  </w:tblPrEx>
                  <w:trPr>
                    <w:trHeight w:hRule="exact" w:val="864"/>
                  </w:trPr>
                  <w:tc>
                    <w:tcPr>
                      <w:tcW w:w="4838" w:type="dxa"/>
                      <w:vAlign w:val="bottom"/>
                    </w:tcPr>
                    <w:p w:rsidR="005052D3" w:rsidRDefault="005052D3">
                      <w:pPr>
                        <w:pStyle w:val="Header"/>
                        <w:spacing w:after="80"/>
                        <w:rPr>
                          <w:b/>
                          <w:sz w:val="17"/>
                        </w:rPr>
                      </w:pPr>
                      <w:r>
                        <w:rPr>
                          <w:b/>
                          <w:sz w:val="17"/>
                        </w:rPr>
                        <w:t>CEDAW/C/MWI/2-5</w:t>
                      </w:r>
                    </w:p>
                  </w:tc>
                  <w:tc>
                    <w:tcPr>
                      <w:tcW w:w="5048" w:type="dxa"/>
                      <w:vAlign w:val="bottom"/>
                    </w:tcPr>
                    <w:p w:rsidR="005052D3" w:rsidRDefault="005052D3">
                      <w:pPr>
                        <w:pStyle w:val="Header"/>
                      </w:pPr>
                    </w:p>
                  </w:tc>
                </w:tr>
              </w:tbl>
              <w:p w:rsidR="005052D3" w:rsidRDefault="005052D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2D3" w:rsidRDefault="005052D3">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052D3">
                  <w:tblPrEx>
                    <w:tblCellMar>
                      <w:top w:w="0" w:type="dxa"/>
                      <w:bottom w:w="0" w:type="dxa"/>
                    </w:tblCellMar>
                  </w:tblPrEx>
                  <w:trPr>
                    <w:trHeight w:hRule="exact" w:val="864"/>
                  </w:trPr>
                  <w:tc>
                    <w:tcPr>
                      <w:tcW w:w="4838" w:type="dxa"/>
                      <w:vAlign w:val="bottom"/>
                    </w:tcPr>
                    <w:p w:rsidR="005052D3" w:rsidRDefault="005052D3">
                      <w:pPr>
                        <w:pStyle w:val="Header"/>
                      </w:pPr>
                    </w:p>
                  </w:tc>
                  <w:tc>
                    <w:tcPr>
                      <w:tcW w:w="5048" w:type="dxa"/>
                      <w:vAlign w:val="bottom"/>
                    </w:tcPr>
                    <w:p w:rsidR="005052D3" w:rsidRDefault="005052D3">
                      <w:pPr>
                        <w:pStyle w:val="Header"/>
                        <w:spacing w:after="80"/>
                        <w:jc w:val="right"/>
                        <w:rPr>
                          <w:b/>
                          <w:sz w:val="17"/>
                        </w:rPr>
                      </w:pPr>
                      <w:r>
                        <w:rPr>
                          <w:b/>
                          <w:sz w:val="17"/>
                        </w:rPr>
                        <w:t>CEDAW/C/MWI/2-5</w:t>
                      </w:r>
                    </w:p>
                  </w:tc>
                </w:tr>
              </w:tbl>
              <w:p w:rsidR="005052D3" w:rsidRDefault="005052D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052D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052D3" w:rsidRDefault="005052D3">
          <w:pPr>
            <w:pStyle w:val="Header"/>
            <w:spacing w:after="120"/>
          </w:pPr>
        </w:p>
      </w:tc>
      <w:tc>
        <w:tcPr>
          <w:tcW w:w="1872" w:type="dxa"/>
          <w:tcBorders>
            <w:top w:val="nil"/>
            <w:left w:val="nil"/>
            <w:bottom w:val="single" w:sz="4" w:space="0" w:color="auto"/>
            <w:right w:val="nil"/>
          </w:tcBorders>
          <w:vAlign w:val="bottom"/>
        </w:tcPr>
        <w:p w:rsidR="005052D3" w:rsidRDefault="005052D3">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5052D3" w:rsidRDefault="005052D3">
          <w:pPr>
            <w:pStyle w:val="Header"/>
            <w:spacing w:after="120"/>
          </w:pPr>
        </w:p>
      </w:tc>
      <w:tc>
        <w:tcPr>
          <w:tcW w:w="6523" w:type="dxa"/>
          <w:gridSpan w:val="3"/>
          <w:tcBorders>
            <w:top w:val="nil"/>
            <w:left w:val="nil"/>
            <w:bottom w:val="single" w:sz="4" w:space="0" w:color="auto"/>
            <w:right w:val="nil"/>
          </w:tcBorders>
          <w:vAlign w:val="bottom"/>
        </w:tcPr>
        <w:p w:rsidR="005052D3" w:rsidRDefault="005052D3">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/C/MWI/2-5</w:t>
          </w:r>
        </w:p>
      </w:tc>
    </w:tr>
    <w:tr w:rsidR="005052D3">
      <w:tblPrEx>
        <w:tblCellMar>
          <w:top w:w="0" w:type="dxa"/>
          <w:bottom w:w="0" w:type="dxa"/>
        </w:tblCellMar>
      </w:tblPrEx>
      <w:trPr>
        <w:trHeight w:hRule="exact" w:val="2880"/>
      </w:trPr>
      <w:tc>
        <w:tcPr>
          <w:tcW w:w="1267" w:type="dxa"/>
          <w:tcBorders>
            <w:left w:val="nil"/>
            <w:bottom w:val="single" w:sz="12" w:space="0" w:color="auto"/>
            <w:right w:val="nil"/>
          </w:tcBorders>
        </w:tcPr>
        <w:p w:rsidR="005052D3" w:rsidRDefault="005052D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6.25pt;height:46.5pt">
                <v:imagedata r:id="rId1" o:title="_unlogo"/>
              </v:shape>
            </w:pict>
          </w:r>
        </w:p>
        <w:p w:rsidR="005052D3" w:rsidRDefault="005052D3">
          <w:pPr>
            <w:pStyle w:val="Header"/>
            <w:spacing w:before="109"/>
            <w:ind w:left="-72"/>
          </w:pPr>
        </w:p>
      </w:tc>
      <w:tc>
        <w:tcPr>
          <w:tcW w:w="5227" w:type="dxa"/>
          <w:gridSpan w:val="3"/>
          <w:tcBorders>
            <w:left w:val="nil"/>
            <w:bottom w:val="single" w:sz="12" w:space="0" w:color="auto"/>
            <w:right w:val="nil"/>
          </w:tcBorders>
        </w:tcPr>
        <w:p w:rsidR="005052D3" w:rsidRDefault="005052D3">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5052D3" w:rsidRDefault="005052D3">
          <w:pPr>
            <w:pStyle w:val="Header"/>
            <w:spacing w:before="109"/>
          </w:pPr>
        </w:p>
      </w:tc>
      <w:tc>
        <w:tcPr>
          <w:tcW w:w="3180" w:type="dxa"/>
          <w:gridSpan w:val="2"/>
          <w:tcBorders>
            <w:left w:val="nil"/>
            <w:bottom w:val="single" w:sz="12" w:space="0" w:color="auto"/>
            <w:right w:val="nil"/>
          </w:tcBorders>
        </w:tcPr>
        <w:p w:rsidR="005052D3" w:rsidRDefault="005052D3">
          <w:pPr>
            <w:spacing w:before="240" w:line="240" w:lineRule="exact"/>
            <w:rPr>
              <w:rFonts w:ascii="Times New Roman"/>
            </w:rPr>
          </w:pPr>
          <w:r>
            <w:rPr>
              <w:rFonts w:ascii="Times New Roman"/>
            </w:rPr>
            <w:t>Distr.: General</w:t>
          </w:r>
        </w:p>
        <w:p w:rsidR="005052D3" w:rsidRDefault="005052D3">
          <w:pPr>
            <w:spacing w:line="240" w:lineRule="exact"/>
            <w:rPr>
              <w:rFonts w:ascii="Times New Roman"/>
            </w:rPr>
          </w:pPr>
          <w:r>
            <w:rPr>
              <w:rFonts w:ascii="Times New Roman"/>
            </w:rPr>
            <w:t>28 April 2004</w:t>
          </w:r>
        </w:p>
        <w:p w:rsidR="005052D3" w:rsidRDefault="005052D3">
          <w:pPr>
            <w:spacing w:line="240" w:lineRule="exact"/>
            <w:rPr>
              <w:rFonts w:ascii="Times New Roman"/>
            </w:rPr>
          </w:pPr>
          <w:r>
            <w:rPr>
              <w:rFonts w:ascii="Times New Roman"/>
            </w:rPr>
            <w:t>Chinese</w:t>
          </w:r>
        </w:p>
        <w:p w:rsidR="005052D3" w:rsidRDefault="005052D3">
          <w:pPr>
            <w:spacing w:line="240" w:lineRule="exact"/>
            <w:rPr>
              <w:rFonts w:ascii="Times New Roman"/>
            </w:rPr>
          </w:pPr>
          <w:r>
            <w:rPr>
              <w:rFonts w:ascii="Times New Roman"/>
            </w:rPr>
            <w:t>Original: English</w:t>
          </w:r>
        </w:p>
      </w:tc>
    </w:tr>
  </w:tbl>
  <w:p w:rsidR="005052D3" w:rsidRDefault="005052D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002BB"/>
    <w:multiLevelType w:val="multilevel"/>
    <w:tmpl w:val="98C648CC"/>
    <w:lvl w:ilvl="0">
      <w:start w:val="1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
    <w:nsid w:val="1320625C"/>
    <w:multiLevelType w:val="multilevel"/>
    <w:tmpl w:val="D16A64C6"/>
    <w:lvl w:ilvl="0">
      <w:start w:val="15"/>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ascii="SimHei" w:eastAsia="SimHei" w:hint="eastAsia"/>
      </w:rPr>
    </w:lvl>
    <w:lvl w:ilvl="2">
      <w:start w:val="1"/>
      <w:numFmt w:val="decimal"/>
      <w:lvlText w:val="%1.%2.%3"/>
      <w:lvlJc w:val="left"/>
      <w:pPr>
        <w:tabs>
          <w:tab w:val="num" w:pos="920"/>
        </w:tabs>
        <w:ind w:left="9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A2C45F9"/>
    <w:multiLevelType w:val="multilevel"/>
    <w:tmpl w:val="FA2402E6"/>
    <w:lvl w:ilvl="0">
      <w:start w:val="9"/>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39D443FB"/>
    <w:multiLevelType w:val="multilevel"/>
    <w:tmpl w:val="1FB48102"/>
    <w:lvl w:ilvl="0">
      <w:start w:val="7"/>
      <w:numFmt w:val="decimal"/>
      <w:lvlText w:val="%1"/>
      <w:lvlJc w:val="left"/>
      <w:pPr>
        <w:tabs>
          <w:tab w:val="num" w:pos="450"/>
        </w:tabs>
        <w:ind w:left="450" w:hanging="450"/>
      </w:pPr>
      <w:rPr>
        <w:rFonts w:hint="default"/>
      </w:rPr>
    </w:lvl>
    <w:lvl w:ilvl="1">
      <w:start w:val="4"/>
      <w:numFmt w:val="decimal"/>
      <w:lvlText w:val="%1.%2"/>
      <w:lvlJc w:val="left"/>
      <w:pPr>
        <w:tabs>
          <w:tab w:val="num" w:pos="450"/>
        </w:tabs>
        <w:ind w:left="450" w:hanging="45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6">
    <w:nsid w:val="3F264356"/>
    <w:multiLevelType w:val="hybridMultilevel"/>
    <w:tmpl w:val="234EB5A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pStyle w:val="BulletPoint"/>
      <w:lvlText w:val=""/>
      <w:lvlJc w:val="left"/>
      <w:pPr>
        <w:tabs>
          <w:tab w:val="num" w:pos="2340"/>
        </w:tabs>
        <w:ind w:left="2340" w:hanging="360"/>
      </w:pPr>
      <w:rPr>
        <w:rFonts w:ascii="Symbol" w:hAnsi="Symbo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431D619C"/>
    <w:multiLevelType w:val="multilevel"/>
    <w:tmpl w:val="C848297A"/>
    <w:lvl w:ilvl="0">
      <w:start w:val="1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SimHei" w:eastAsia="SimHei" w:hint="eastAsia"/>
      </w:rPr>
    </w:lvl>
    <w:lvl w:ilvl="2">
      <w:start w:val="1"/>
      <w:numFmt w:val="upperLetter"/>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44E2653"/>
    <w:multiLevelType w:val="multilevel"/>
    <w:tmpl w:val="1DE66F46"/>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44BC224E"/>
    <w:multiLevelType w:val="hybridMultilevel"/>
    <w:tmpl w:val="A672D8C0"/>
    <w:lvl w:ilvl="0" w:tplc="FFFFFFFF">
      <w:start w:val="1"/>
      <w:numFmt w:val="bullet"/>
      <w:lvlText w:val="o"/>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45D53DD0"/>
    <w:multiLevelType w:val="multilevel"/>
    <w:tmpl w:val="CEA8915C"/>
    <w:lvl w:ilvl="0">
      <w:start w:val="8"/>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2">
    <w:nsid w:val="5AE37422"/>
    <w:multiLevelType w:val="multilevel"/>
    <w:tmpl w:val="A9584A82"/>
    <w:lvl w:ilvl="0">
      <w:start w:val="10"/>
      <w:numFmt w:val="decimal"/>
      <w:lvlText w:val="%1"/>
      <w:lvlJc w:val="left"/>
      <w:pPr>
        <w:tabs>
          <w:tab w:val="num" w:pos="630"/>
        </w:tabs>
        <w:ind w:left="630" w:hanging="630"/>
      </w:pPr>
      <w:rPr>
        <w:rFonts w:hint="default"/>
      </w:rPr>
    </w:lvl>
    <w:lvl w:ilvl="1">
      <w:start w:val="2"/>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3">
    <w:nsid w:val="5D567DC1"/>
    <w:multiLevelType w:val="multilevel"/>
    <w:tmpl w:val="1E8E985E"/>
    <w:lvl w:ilvl="0">
      <w:start w:val="1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ascii="SimHei" w:eastAsia="SimHei" w:hint="eastAsia"/>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7A2E0873"/>
    <w:multiLevelType w:val="hybridMultilevel"/>
    <w:tmpl w:val="B2E44C9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num w:numId="1">
    <w:abstractNumId w:val="11"/>
  </w:num>
  <w:num w:numId="2">
    <w:abstractNumId w:val="11"/>
  </w:num>
  <w:num w:numId="3">
    <w:abstractNumId w:val="11"/>
  </w:num>
  <w:num w:numId="4">
    <w:abstractNumId w:val="11"/>
  </w:num>
  <w:num w:numId="5">
    <w:abstractNumId w:val="11"/>
  </w:num>
  <w:num w:numId="6">
    <w:abstractNumId w:val="11"/>
  </w:num>
  <w:num w:numId="7">
    <w:abstractNumId w:val="11"/>
  </w:num>
  <w:num w:numId="8">
    <w:abstractNumId w:val="11"/>
  </w:num>
  <w:num w:numId="9">
    <w:abstractNumId w:val="11"/>
  </w:num>
  <w:num w:numId="10">
    <w:abstractNumId w:val="5"/>
  </w:num>
  <w:num w:numId="11">
    <w:abstractNumId w:val="15"/>
  </w:num>
  <w:num w:numId="12">
    <w:abstractNumId w:val="6"/>
  </w:num>
  <w:num w:numId="13">
    <w:abstractNumId w:val="14"/>
  </w:num>
  <w:num w:numId="14">
    <w:abstractNumId w:val="8"/>
  </w:num>
  <w:num w:numId="15">
    <w:abstractNumId w:val="10"/>
  </w:num>
  <w:num w:numId="16">
    <w:abstractNumId w:val="4"/>
  </w:num>
  <w:num w:numId="17">
    <w:abstractNumId w:val="12"/>
  </w:num>
  <w:num w:numId="18">
    <w:abstractNumId w:val="2"/>
  </w:num>
  <w:num w:numId="19">
    <w:abstractNumId w:val="1"/>
  </w:num>
  <w:num w:numId="20">
    <w:abstractNumId w:val="7"/>
  </w:num>
  <w:num w:numId="21">
    <w:abstractNumId w:val="0"/>
  </w:num>
  <w:num w:numId="22">
    <w:abstractNumId w:val="13"/>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10/2004 2:45: PM"/>
    <w:docVar w:name="DocCategory" w:val="Doc"/>
    <w:docVar w:name="DocType" w:val="Final"/>
    <w:docVar w:name="JobNo" w:val="0441929C"/>
    <w:docVar w:name="OandT" w:val=" "/>
    <w:docVar w:name="Symbol1" w:val="CEDAW/C/MWI/2-5"/>
    <w:docVar w:name="Symbol2" w:val="-"/>
  </w:docVars>
  <w:rsids>
    <w:rsidRoot w:val="00AD7C1E"/>
    <w:rsid w:val="005052D3"/>
    <w:rsid w:val="006B3673"/>
    <w:rsid w:val="00AD7C1E"/>
    <w:rsid w:val="00B33158"/>
    <w:rsid w:val="00DE68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aliases w:val="带编号的标题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aliases w:val="带编号的标题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Title">
    <w:name w:val="Title"/>
    <w:basedOn w:val="Normal"/>
    <w:qFormat/>
    <w:pPr>
      <w:widowControl w:val="0"/>
      <w:numPr>
        <w:numId w:val="10"/>
      </w:numPr>
      <w:spacing w:line="360" w:lineRule="auto"/>
      <w:jc w:val="center"/>
    </w:pPr>
    <w:rPr>
      <w:rFonts w:ascii="Times New Roman" w:eastAsia="STKaiti"/>
      <w:b/>
      <w:kern w:val="2"/>
      <w:sz w:val="24"/>
    </w:rPr>
  </w:style>
  <w:style w:type="paragraph" w:customStyle="1" w:styleId="a">
    <w:name w:val="简要记录正文"/>
    <w:basedOn w:val="Normal"/>
    <w:pPr>
      <w:widowControl w:val="0"/>
      <w:numPr>
        <w:numId w:val="11"/>
      </w:numPr>
      <w:autoSpaceDE w:val="0"/>
      <w:autoSpaceDN w:val="0"/>
      <w:adjustRightInd w:val="0"/>
      <w:spacing w:beforeLines="150" w:before="360" w:afterLines="150" w:after="360" w:line="240" w:lineRule="auto"/>
    </w:pPr>
    <w:rPr>
      <w:rFonts w:ascii="Times New Roman"/>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customStyle="1" w:styleId="BulletPoint">
    <w:name w:val="Bullet Point"/>
    <w:basedOn w:val="Normal"/>
    <w:pPr>
      <w:numPr>
        <w:ilvl w:val="2"/>
        <w:numId w:val="12"/>
      </w:numPr>
      <w:spacing w:before="60" w:line="259" w:lineRule="auto"/>
      <w:jc w:val="both"/>
    </w:pPr>
    <w:rPr>
      <w:rFonts w:ascii="Tahoma" w:hAnsi="Tahoma"/>
      <w:kern w:val="0"/>
      <w:sz w:val="22"/>
      <w:lang w:val="en-GB" w:eastAsia="en-US"/>
    </w:rPr>
  </w:style>
  <w:style w:type="paragraph" w:styleId="TOC1">
    <w:name w:val="toc 1"/>
    <w:basedOn w:val="Normal"/>
    <w:next w:val="Normal"/>
    <w:autoRedefine/>
    <w:semiHidden/>
    <w:pPr>
      <w:widowControl w:val="0"/>
      <w:tabs>
        <w:tab w:val="right" w:leader="dot" w:pos="8302"/>
      </w:tabs>
      <w:spacing w:line="240" w:lineRule="auto"/>
      <w:jc w:val="both"/>
    </w:pPr>
    <w:rPr>
      <w:rFonts w:ascii="Times New Roman" w:eastAsia="SimHei"/>
      <w:noProof/>
      <w:kern w:val="2"/>
    </w:rPr>
  </w:style>
  <w:style w:type="paragraph" w:customStyle="1" w:styleId="2">
    <w:name w:val="样式2"/>
    <w:basedOn w:val="Normal"/>
    <w:pPr>
      <w:widowControl w:val="0"/>
      <w:spacing w:beforeLines="50" w:before="50" w:afterLines="50" w:after="50" w:line="240" w:lineRule="auto"/>
      <w:jc w:val="both"/>
    </w:pPr>
    <w:rPr>
      <w:rFonts w:ascii="Book Antiqua" w:eastAsia="KaiTi_GB2312" w:hAnsi="Book Antiqua"/>
      <w:kern w:val="2"/>
      <w:sz w:val="24"/>
      <w:szCs w:val="24"/>
      <w:lang w:val="es-ES"/>
    </w:rPr>
  </w:style>
  <w:style w:type="paragraph" w:styleId="BodyTextIndent">
    <w:name w:val="Body Text Indent"/>
    <w:basedOn w:val="Normal"/>
    <w:pPr>
      <w:widowControl w:val="0"/>
      <w:adjustRightInd w:val="0"/>
      <w:spacing w:after="240" w:line="360" w:lineRule="exact"/>
      <w:ind w:firstLine="425"/>
      <w:jc w:val="both"/>
      <w:textAlignment w:val="baseline"/>
    </w:pPr>
    <w:rPr>
      <w:rFonts w:ascii="Times New Roman"/>
      <w:kern w:val="0"/>
    </w:rPr>
  </w:style>
  <w:style w:type="paragraph" w:styleId="Date">
    <w:name w:val="Date"/>
    <w:basedOn w:val="Normal"/>
    <w:next w:val="Normal"/>
    <w:pPr>
      <w:widowControl w:val="0"/>
      <w:adjustRightInd w:val="0"/>
      <w:spacing w:line="312" w:lineRule="atLeast"/>
      <w:jc w:val="both"/>
      <w:textAlignment w:val="baseline"/>
    </w:pPr>
    <w:rPr>
      <w:rFonts w:ascii="Times New Roman"/>
      <w:kern w:val="0"/>
    </w:rPr>
  </w:style>
  <w:style w:type="paragraph" w:styleId="BodyText3">
    <w:name w:val="Body Text 3"/>
    <w:basedOn w:val="Normal"/>
    <w:pPr>
      <w:spacing w:line="240" w:lineRule="auto"/>
      <w:jc w:val="both"/>
    </w:pPr>
    <w:rPr>
      <w:rFonts w:ascii="Times New Roman"/>
      <w:color w:val="000000"/>
      <w:kern w:val="0"/>
      <w:sz w:val="24"/>
      <w:lang w:val="fr-FR" w:eastAsia="en-US"/>
    </w:rPr>
  </w:style>
  <w:style w:type="character" w:styleId="PageNumber">
    <w:name w:val="page number"/>
    <w:basedOn w:val="DefaultParagraphFont"/>
  </w:style>
  <w:style w:type="paragraph" w:styleId="BlockText">
    <w:name w:val="Block Text"/>
    <w:basedOn w:val="Normal"/>
    <w:pPr>
      <w:widowControl w:val="0"/>
      <w:adjustRightInd w:val="0"/>
      <w:spacing w:after="240" w:line="440" w:lineRule="exact"/>
      <w:ind w:left="794" w:right="794" w:firstLine="425"/>
      <w:jc w:val="both"/>
      <w:textAlignment w:val="baseline"/>
    </w:pPr>
    <w:rPr>
      <w:rFonts w:ascii="Times New Roman"/>
      <w:kern w:val="0"/>
    </w:rPr>
  </w:style>
  <w:style w:type="paragraph" w:styleId="BodyTextIndent2">
    <w:name w:val="Body Text Indent 2"/>
    <w:basedOn w:val="Normal"/>
    <w:pPr>
      <w:widowControl w:val="0"/>
      <w:spacing w:line="240" w:lineRule="auto"/>
      <w:ind w:firstLine="462"/>
      <w:jc w:val="both"/>
    </w:pPr>
    <w:rPr>
      <w:rFonts w:ascii="Times New Roman"/>
      <w:i/>
      <w:kern w:val="2"/>
    </w:rPr>
  </w:style>
  <w:style w:type="paragraph" w:styleId="BodyTextIndent3">
    <w:name w:val="Body Text Indent 3"/>
    <w:basedOn w:val="Normal"/>
    <w:pPr>
      <w:widowControl w:val="0"/>
      <w:tabs>
        <w:tab w:val="left" w:pos="2079"/>
      </w:tabs>
      <w:spacing w:line="240" w:lineRule="auto"/>
      <w:ind w:left="942"/>
      <w:jc w:val="both"/>
    </w:pPr>
    <w:rPr>
      <w:rFonts w:ascii="Times New Roman"/>
      <w:kern w:val="2"/>
    </w:rPr>
  </w:style>
  <w:style w:type="paragraph" w:styleId="TOC2">
    <w:name w:val="toc 2"/>
    <w:basedOn w:val="Normal"/>
    <w:next w:val="Normal"/>
    <w:autoRedefine/>
    <w:semiHidden/>
    <w:pPr>
      <w:widowControl w:val="0"/>
      <w:tabs>
        <w:tab w:val="center" w:leader="dot" w:pos="8880"/>
        <w:tab w:val="right" w:pos="9720"/>
      </w:tabs>
      <w:adjustRightInd w:val="0"/>
      <w:spacing w:after="120" w:line="320" w:lineRule="atLeast"/>
      <w:ind w:leftChars="200" w:left="420"/>
      <w:jc w:val="both"/>
      <w:textAlignment w:val="baseline"/>
    </w:pPr>
    <w:rPr>
      <w:rFonts w:ascii="Times New Roman"/>
      <w:kern w:val="0"/>
    </w:rPr>
  </w:style>
  <w:style w:type="paragraph" w:styleId="BalloonText">
    <w:name w:val="Balloon Text"/>
    <w:basedOn w:val="Normal"/>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oleObject2.bin"/><Relationship Id="rId26"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image" Target="media/image6.w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wmf"/><Relationship Id="rId25" Type="http://schemas.openxmlformats.org/officeDocument/2006/relationships/image" Target="media/image8.w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oleObject5.bin"/><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7.bin"/><Relationship Id="rId10" Type="http://schemas.openxmlformats.org/officeDocument/2006/relationships/footer" Target="footer2.xml"/><Relationship Id="rId19" Type="http://schemas.openxmlformats.org/officeDocument/2006/relationships/image" Target="media/image5.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oleObject" Target="embeddings/oleObject4.bin"/><Relationship Id="rId27" Type="http://schemas.openxmlformats.org/officeDocument/2006/relationships/image" Target="media/image9.wmf"/><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286</TotalTime>
  <Pages>84</Pages>
  <Words>11100</Words>
  <Characters>63271</Characters>
  <Application>Microsoft Office Word</Application>
  <DocSecurity>4</DocSecurity>
  <Lines>527</Lines>
  <Paragraphs>148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74223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Chengzhi.Du</dc:creator>
  <cp:keywords/>
  <dc:description/>
  <cp:lastModifiedBy>ctpu2.chao</cp:lastModifiedBy>
  <cp:revision>49</cp:revision>
  <cp:lastPrinted>2004-10-06T09:21:00Z</cp:lastPrinted>
  <dcterms:created xsi:type="dcterms:W3CDTF">2004-10-05T12:45:00Z</dcterms:created>
  <dcterms:modified xsi:type="dcterms:W3CDTF">2004-10-11T10:34:00Z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0441929</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CEDAW/C/MWI/2-5</vt:lpwstr>
  </property>
</Properties>
</file>