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6806" w:rsidRPr="00CA5F9C" w:rsidRDefault="00296806" w:rsidP="00296806">
      <w:pPr>
        <w:spacing w:line="240" w:lineRule="auto"/>
        <w:rPr>
          <w:sz w:val="6"/>
        </w:rPr>
        <w:sectPr w:rsidR="00296806" w:rsidRPr="00CA5F9C" w:rsidSect="00415056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08"/>
          <w:noEndnote/>
          <w:titlePg/>
          <w:docGrid w:linePitch="360"/>
        </w:sectPr>
      </w:pPr>
      <w:r w:rsidRPr="00CA5F9C">
        <w:rPr>
          <w:rStyle w:val="CommentReference"/>
        </w:rPr>
        <w:commentReference w:id="0"/>
      </w:r>
    </w:p>
    <w:p w:rsidR="00FD009B" w:rsidRDefault="00FD009B" w:rsidP="00FD009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 xml:space="preserve">Comité para la Eliminación de la Discriminación </w:t>
      </w:r>
      <w:r>
        <w:br/>
        <w:t>contra la Mujer</w:t>
      </w:r>
    </w:p>
    <w:p w:rsidR="00FD009B" w:rsidRPr="00FD009B" w:rsidRDefault="00FD009B" w:rsidP="00FD009B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/>
        </w:rPr>
      </w:pPr>
      <w:r w:rsidRPr="00FD009B">
        <w:rPr>
          <w:b/>
        </w:rPr>
        <w:t>Grupo de trabajo anterior al período de sesiones</w:t>
      </w:r>
    </w:p>
    <w:p w:rsidR="00FD009B" w:rsidRPr="00FD009B" w:rsidRDefault="00FD009B" w:rsidP="00FD009B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/>
        </w:rPr>
      </w:pPr>
      <w:r w:rsidRPr="00FD009B">
        <w:rPr>
          <w:b/>
        </w:rPr>
        <w:t>39º período de sesiones</w:t>
      </w:r>
    </w:p>
    <w:p w:rsidR="00FD009B" w:rsidRDefault="00FD009B" w:rsidP="00FD009B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>23 de julio a 10 de agosto de 2007</w:t>
      </w:r>
    </w:p>
    <w:p w:rsidR="00FD009B" w:rsidRPr="00FD009B" w:rsidRDefault="00FD009B" w:rsidP="00FD009B">
      <w:pPr>
        <w:pStyle w:val="SingleTxt"/>
        <w:spacing w:after="0" w:line="120" w:lineRule="exact"/>
        <w:rPr>
          <w:sz w:val="10"/>
        </w:rPr>
      </w:pPr>
    </w:p>
    <w:p w:rsidR="00FD009B" w:rsidRPr="00FD009B" w:rsidRDefault="00FD009B" w:rsidP="00FD009B">
      <w:pPr>
        <w:pStyle w:val="SingleTxt"/>
        <w:spacing w:after="0" w:line="120" w:lineRule="exact"/>
        <w:rPr>
          <w:sz w:val="10"/>
        </w:rPr>
      </w:pPr>
    </w:p>
    <w:p w:rsidR="00FD009B" w:rsidRPr="00FD009B" w:rsidRDefault="00FD009B" w:rsidP="00FD009B">
      <w:pPr>
        <w:pStyle w:val="SingleTxt"/>
        <w:spacing w:after="0" w:line="120" w:lineRule="exact"/>
        <w:rPr>
          <w:sz w:val="10"/>
        </w:rPr>
      </w:pPr>
    </w:p>
    <w:p w:rsidR="00FD009B" w:rsidRPr="00FD009B" w:rsidRDefault="00FD009B" w:rsidP="00FD009B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spacing w:val="4"/>
          <w:szCs w:val="28"/>
        </w:rPr>
      </w:pPr>
      <w:r>
        <w:tab/>
      </w:r>
      <w:r>
        <w:tab/>
      </w:r>
      <w:r w:rsidRPr="00FD009B">
        <w:rPr>
          <w:spacing w:val="4"/>
          <w:szCs w:val="28"/>
        </w:rPr>
        <w:t xml:space="preserve">Lista de cuestiones y preguntas relativas al examen </w:t>
      </w:r>
      <w:r>
        <w:rPr>
          <w:spacing w:val="4"/>
          <w:szCs w:val="28"/>
        </w:rPr>
        <w:br/>
      </w:r>
      <w:r w:rsidRPr="00FD009B">
        <w:rPr>
          <w:spacing w:val="4"/>
          <w:szCs w:val="28"/>
        </w:rPr>
        <w:t>de los informes iniciales</w:t>
      </w:r>
    </w:p>
    <w:p w:rsidR="00FD009B" w:rsidRPr="00FD009B" w:rsidRDefault="00FD009B" w:rsidP="00FD009B">
      <w:pPr>
        <w:pStyle w:val="SingleTxt"/>
        <w:spacing w:after="0" w:line="120" w:lineRule="exact"/>
        <w:rPr>
          <w:sz w:val="10"/>
        </w:rPr>
      </w:pPr>
    </w:p>
    <w:p w:rsidR="00FD009B" w:rsidRPr="00FD009B" w:rsidRDefault="00FD009B" w:rsidP="00FD009B">
      <w:pPr>
        <w:pStyle w:val="SingleTxt"/>
        <w:spacing w:after="0" w:line="120" w:lineRule="exact"/>
        <w:rPr>
          <w:sz w:val="10"/>
        </w:rPr>
      </w:pPr>
    </w:p>
    <w:p w:rsidR="00FD009B" w:rsidRDefault="00FD009B" w:rsidP="00FD009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Islas Cook</w:t>
      </w:r>
    </w:p>
    <w:p w:rsidR="00FD009B" w:rsidRPr="00FD009B" w:rsidRDefault="00FD009B" w:rsidP="00FD009B">
      <w:pPr>
        <w:pStyle w:val="SingleTxt"/>
        <w:spacing w:after="0" w:line="120" w:lineRule="exact"/>
        <w:rPr>
          <w:sz w:val="10"/>
        </w:rPr>
      </w:pPr>
    </w:p>
    <w:p w:rsidR="00FD009B" w:rsidRPr="00FD009B" w:rsidRDefault="00FD009B" w:rsidP="00FD009B">
      <w:pPr>
        <w:pStyle w:val="SingleTxt"/>
        <w:spacing w:after="0" w:line="120" w:lineRule="exact"/>
        <w:rPr>
          <w:sz w:val="10"/>
        </w:rPr>
      </w:pPr>
    </w:p>
    <w:p w:rsidR="00FD009B" w:rsidRDefault="00FD009B" w:rsidP="00FD009B">
      <w:pPr>
        <w:pStyle w:val="SingleTxt"/>
        <w:numPr>
          <w:ilvl w:val="0"/>
          <w:numId w:val="3"/>
        </w:numPr>
        <w:tabs>
          <w:tab w:val="clear" w:pos="475"/>
          <w:tab w:val="num" w:pos="1742"/>
        </w:tabs>
        <w:suppressAutoHyphens/>
        <w:ind w:left="1267"/>
      </w:pPr>
      <w:r>
        <w:t>El grupo de trabajo anterior al período de sesiones examinó el informe inicial de las Islas Cook (CEDAW/C/COK/1).</w:t>
      </w:r>
    </w:p>
    <w:p w:rsidR="00FD009B" w:rsidRPr="00FD009B" w:rsidRDefault="00FD009B" w:rsidP="00FD009B">
      <w:pPr>
        <w:pStyle w:val="SingleTxt"/>
        <w:spacing w:after="0" w:line="120" w:lineRule="exact"/>
        <w:rPr>
          <w:sz w:val="10"/>
        </w:rPr>
      </w:pPr>
    </w:p>
    <w:p w:rsidR="00FD009B" w:rsidRDefault="00FD009B" w:rsidP="00FD009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C9006B">
        <w:t>Aspectos generales</w:t>
      </w:r>
      <w:r>
        <w:t xml:space="preserve"> </w:t>
      </w:r>
    </w:p>
    <w:p w:rsidR="00FD009B" w:rsidRPr="00FD009B" w:rsidRDefault="00FD009B" w:rsidP="00FD009B">
      <w:pPr>
        <w:pStyle w:val="SingleTxt"/>
        <w:spacing w:after="0" w:line="120" w:lineRule="exact"/>
        <w:rPr>
          <w:sz w:val="10"/>
        </w:rPr>
      </w:pPr>
    </w:p>
    <w:p w:rsidR="00FD009B" w:rsidRDefault="00FD009B" w:rsidP="00FD009B">
      <w:pPr>
        <w:pStyle w:val="SingleTxt"/>
        <w:numPr>
          <w:ilvl w:val="0"/>
          <w:numId w:val="3"/>
        </w:numPr>
        <w:tabs>
          <w:tab w:val="clear" w:pos="475"/>
          <w:tab w:val="num" w:pos="1742"/>
        </w:tabs>
        <w:suppressAutoHyphens/>
        <w:ind w:left="1267"/>
      </w:pPr>
      <w:r>
        <w:t xml:space="preserve">Sírvase proporcionar información </w:t>
      </w:r>
      <w:r w:rsidR="00C9006B">
        <w:t xml:space="preserve">adicional </w:t>
      </w:r>
      <w:r>
        <w:t xml:space="preserve">sobre el proceso de elaboración del informe inicial. </w:t>
      </w:r>
      <w:r w:rsidR="00C9006B">
        <w:t>L</w:t>
      </w:r>
      <w:r>
        <w:t>a información debe especificar los departamentos del Gobierno que participaron en esa tarea y la índole y el alcance de su participación</w:t>
      </w:r>
      <w:r w:rsidR="00C9006B">
        <w:t>,</w:t>
      </w:r>
      <w:r>
        <w:t xml:space="preserve"> y si se celebraron consultas con grupos de mujeres y con los Aronga Mana.</w:t>
      </w:r>
    </w:p>
    <w:p w:rsidR="00FD009B" w:rsidRDefault="00FD009B" w:rsidP="00FD009B">
      <w:pPr>
        <w:pStyle w:val="SingleTxt"/>
        <w:numPr>
          <w:ilvl w:val="0"/>
          <w:numId w:val="3"/>
        </w:numPr>
        <w:tabs>
          <w:tab w:val="clear" w:pos="475"/>
          <w:tab w:val="num" w:pos="1742"/>
        </w:tabs>
        <w:suppressAutoHyphens/>
        <w:ind w:left="1267"/>
      </w:pPr>
      <w:r>
        <w:t xml:space="preserve">Sírvase indicar si el Gobierno se propone retirar sus reservas al apartado f) del artículo 2, </w:t>
      </w:r>
      <w:r w:rsidR="00C9006B">
        <w:t>e</w:t>
      </w:r>
      <w:r>
        <w:t xml:space="preserve">l apartado a) del artículo 5 y </w:t>
      </w:r>
      <w:r w:rsidR="00C9006B">
        <w:t>e</w:t>
      </w:r>
      <w:r>
        <w:t>l apartado b) del párrafo 2 del artículo 11 de la Convención en un plazo determinado.</w:t>
      </w:r>
    </w:p>
    <w:p w:rsidR="00FD009B" w:rsidRPr="00FD009B" w:rsidRDefault="00FD009B" w:rsidP="00FD009B">
      <w:pPr>
        <w:pStyle w:val="SingleTxt"/>
        <w:spacing w:after="0" w:line="120" w:lineRule="exact"/>
        <w:rPr>
          <w:sz w:val="10"/>
        </w:rPr>
      </w:pPr>
    </w:p>
    <w:p w:rsidR="00FD009B" w:rsidRDefault="00FD009B" w:rsidP="00FD009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Artículos 1 y 2</w:t>
      </w:r>
    </w:p>
    <w:p w:rsidR="00FD009B" w:rsidRPr="00FD009B" w:rsidRDefault="00FD009B" w:rsidP="00FD009B">
      <w:pPr>
        <w:pStyle w:val="SingleTxt"/>
        <w:spacing w:after="0" w:line="120" w:lineRule="exact"/>
        <w:rPr>
          <w:sz w:val="10"/>
        </w:rPr>
      </w:pPr>
    </w:p>
    <w:p w:rsidR="00FD009B" w:rsidRDefault="00FD009B" w:rsidP="00FD009B">
      <w:pPr>
        <w:pStyle w:val="SingleTxt"/>
        <w:numPr>
          <w:ilvl w:val="0"/>
          <w:numId w:val="3"/>
        </w:numPr>
        <w:tabs>
          <w:tab w:val="clear" w:pos="475"/>
          <w:tab w:val="num" w:pos="1742"/>
        </w:tabs>
        <w:suppressAutoHyphens/>
        <w:ind w:left="1267"/>
      </w:pPr>
      <w:r>
        <w:t>El artículo 64 de la Constitución garantiza los derechos humanos y las libertades fundamentales sin dis</w:t>
      </w:r>
      <w:r w:rsidR="00C9006B">
        <w:t>criminación basada en el sexo</w:t>
      </w:r>
      <w:r>
        <w:t xml:space="preserve">, pero no parece </w:t>
      </w:r>
      <w:r w:rsidR="00C9006B">
        <w:t xml:space="preserve">existir </w:t>
      </w:r>
      <w:r>
        <w:t>una disposición basada en el artículo 1 de la Convención, que prohíbe la discriminación directa e indirecta. Sírvase proporcionar información sobre las medidas previstas para incluir una disposición de es</w:t>
      </w:r>
      <w:r w:rsidR="00C9006B">
        <w:t>a</w:t>
      </w:r>
      <w:r>
        <w:t xml:space="preserve"> </w:t>
      </w:r>
      <w:r w:rsidR="00C9006B">
        <w:t xml:space="preserve">índole </w:t>
      </w:r>
      <w:r>
        <w:t>en la Constitución u otro texto legislativo apropiado en un plazo determinado.</w:t>
      </w:r>
    </w:p>
    <w:p w:rsidR="00FD009B" w:rsidRDefault="00C9006B" w:rsidP="00FD009B">
      <w:pPr>
        <w:pStyle w:val="SingleTxt"/>
        <w:numPr>
          <w:ilvl w:val="0"/>
          <w:numId w:val="3"/>
        </w:numPr>
        <w:tabs>
          <w:tab w:val="clear" w:pos="475"/>
          <w:tab w:val="num" w:pos="1742"/>
        </w:tabs>
        <w:suppressAutoHyphens/>
        <w:ind w:left="1267"/>
      </w:pPr>
      <w:r>
        <w:t>Sírvase</w:t>
      </w:r>
      <w:r w:rsidR="00FD009B">
        <w:t xml:space="preserve"> proporcionar información sobre los planes del Gobierno para ofrecer asistencia jurídica a las mujeres </w:t>
      </w:r>
      <w:r w:rsidR="00AF1480">
        <w:t>que soliciten</w:t>
      </w:r>
      <w:r w:rsidR="00FD009B">
        <w:t xml:space="preserve"> reparac</w:t>
      </w:r>
      <w:r>
        <w:t>ión en casos de discriminación.</w:t>
      </w:r>
    </w:p>
    <w:p w:rsidR="00FD009B" w:rsidRDefault="00C9006B" w:rsidP="00FD009B">
      <w:pPr>
        <w:pStyle w:val="SingleTxt"/>
        <w:numPr>
          <w:ilvl w:val="0"/>
          <w:numId w:val="3"/>
        </w:numPr>
        <w:tabs>
          <w:tab w:val="clear" w:pos="475"/>
          <w:tab w:val="num" w:pos="1742"/>
        </w:tabs>
        <w:suppressAutoHyphens/>
        <w:ind w:left="1267"/>
      </w:pPr>
      <w:r>
        <w:t>Sírvase</w:t>
      </w:r>
      <w:r w:rsidR="00FD009B">
        <w:t xml:space="preserve"> facilitar información sobre la condición </w:t>
      </w:r>
      <w:r w:rsidR="00AF1480">
        <w:t>y el efecto d</w:t>
      </w:r>
      <w:r w:rsidR="00FD009B">
        <w:t xml:space="preserve">el derecho consuetudinario </w:t>
      </w:r>
      <w:r w:rsidR="00AF1480">
        <w:t>e indicar qué legislación prevalece cuando hay</w:t>
      </w:r>
      <w:r w:rsidR="00FD009B">
        <w:t xml:space="preserve"> un conflicto entre el derecho consuetudinario, la legislación nacional y las normas inter</w:t>
      </w:r>
      <w:r w:rsidR="00AF1480">
        <w:t>nacionales de derechos humanos.</w:t>
      </w:r>
    </w:p>
    <w:p w:rsidR="00FD009B" w:rsidRDefault="00FD009B" w:rsidP="00FD009B">
      <w:pPr>
        <w:pStyle w:val="SingleTxt"/>
        <w:numPr>
          <w:ilvl w:val="0"/>
          <w:numId w:val="3"/>
        </w:numPr>
        <w:tabs>
          <w:tab w:val="clear" w:pos="475"/>
          <w:tab w:val="num" w:pos="1742"/>
        </w:tabs>
        <w:suppressAutoHyphens/>
        <w:ind w:left="1267"/>
      </w:pPr>
      <w:r>
        <w:t xml:space="preserve">En el informe se indica (párr. 2.5) </w:t>
      </w:r>
      <w:r w:rsidR="00462608">
        <w:t xml:space="preserve">que </w:t>
      </w:r>
      <w:r>
        <w:t xml:space="preserve">en un informe de 2005 se </w:t>
      </w:r>
      <w:r w:rsidR="00AF1480">
        <w:t xml:space="preserve">señalaron ciertos casos de incompatibilidad en algunas </w:t>
      </w:r>
      <w:r>
        <w:t xml:space="preserve">esferas entre las leyes de las Islas Cook y la Convención. </w:t>
      </w:r>
      <w:r w:rsidR="00C9006B">
        <w:t>Sírvase</w:t>
      </w:r>
      <w:r>
        <w:t xml:space="preserve"> </w:t>
      </w:r>
      <w:r w:rsidR="00AF1480">
        <w:t>proporcionar una explicación más detallada sobre las incompatibilidades señaladas en el informe y el plan de</w:t>
      </w:r>
      <w:r>
        <w:t xml:space="preserve"> trabajo del grupo establecido para dirigir la reforma de </w:t>
      </w:r>
      <w:r w:rsidR="00AF1480">
        <w:t>la legislación pertinente.</w:t>
      </w:r>
    </w:p>
    <w:p w:rsidR="00FD009B" w:rsidRPr="00FD009B" w:rsidRDefault="00FD009B" w:rsidP="00FD009B">
      <w:pPr>
        <w:pStyle w:val="SingleTxt"/>
        <w:spacing w:after="0" w:line="120" w:lineRule="exact"/>
        <w:rPr>
          <w:sz w:val="10"/>
        </w:rPr>
      </w:pPr>
    </w:p>
    <w:p w:rsidR="00FD009B" w:rsidRDefault="00FD009B" w:rsidP="00FD009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Artículo 3</w:t>
      </w:r>
    </w:p>
    <w:p w:rsidR="00FD009B" w:rsidRPr="00FD009B" w:rsidRDefault="00FD009B" w:rsidP="00FD009B">
      <w:pPr>
        <w:pStyle w:val="SingleTxt"/>
        <w:spacing w:after="0" w:line="120" w:lineRule="exact"/>
        <w:rPr>
          <w:sz w:val="10"/>
        </w:rPr>
      </w:pPr>
    </w:p>
    <w:p w:rsidR="00FD009B" w:rsidRDefault="00FD009B" w:rsidP="00FD009B">
      <w:pPr>
        <w:pStyle w:val="SingleTxt"/>
        <w:numPr>
          <w:ilvl w:val="0"/>
          <w:numId w:val="3"/>
        </w:numPr>
        <w:tabs>
          <w:tab w:val="clear" w:pos="475"/>
          <w:tab w:val="num" w:pos="1742"/>
        </w:tabs>
        <w:suppressAutoHyphens/>
        <w:ind w:left="1267"/>
      </w:pPr>
      <w:r>
        <w:t xml:space="preserve">Sírvase proporcionar información sobre las dificultades a que se enfrenta la División de Género y Desarrollo </w:t>
      </w:r>
      <w:r w:rsidR="00AF1480">
        <w:t>d</w:t>
      </w:r>
      <w:r>
        <w:t xml:space="preserve">el Ministerio de Asuntos Internos </w:t>
      </w:r>
      <w:r w:rsidR="00AF1480">
        <w:t>para</w:t>
      </w:r>
      <w:r>
        <w:t xml:space="preserve"> aplicar las políticas nacionales y el alcance de su cooperación con los funcionarios encargados de las actividades de </w:t>
      </w:r>
      <w:r w:rsidR="00AF1480">
        <w:t xml:space="preserve">promoción de la condición </w:t>
      </w:r>
      <w:r>
        <w:t>de la mujer en las islas ex</w:t>
      </w:r>
      <w:r w:rsidR="00AF1480">
        <w:t>teriores.</w:t>
      </w:r>
    </w:p>
    <w:p w:rsidR="00FD009B" w:rsidRPr="00FD009B" w:rsidRDefault="00FD009B" w:rsidP="00FD009B">
      <w:pPr>
        <w:pStyle w:val="SingleTxt"/>
        <w:spacing w:after="0" w:line="120" w:lineRule="exact"/>
        <w:rPr>
          <w:sz w:val="10"/>
        </w:rPr>
      </w:pPr>
    </w:p>
    <w:p w:rsidR="00FD009B" w:rsidRDefault="00FD009B" w:rsidP="00FD009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Artículo 4 (medidas </w:t>
      </w:r>
      <w:r w:rsidR="003473F3">
        <w:t xml:space="preserve">de carácter temporal </w:t>
      </w:r>
      <w:r>
        <w:t>especiales)</w:t>
      </w:r>
    </w:p>
    <w:p w:rsidR="00FD009B" w:rsidRPr="00FD009B" w:rsidRDefault="00FD009B" w:rsidP="00FD009B">
      <w:pPr>
        <w:pStyle w:val="SingleTxt"/>
        <w:spacing w:after="0" w:line="120" w:lineRule="exact"/>
        <w:rPr>
          <w:sz w:val="10"/>
        </w:rPr>
      </w:pPr>
    </w:p>
    <w:p w:rsidR="00FD009B" w:rsidRDefault="00FD009B" w:rsidP="00FD009B">
      <w:pPr>
        <w:pStyle w:val="SingleTxt"/>
        <w:numPr>
          <w:ilvl w:val="0"/>
          <w:numId w:val="3"/>
        </w:numPr>
        <w:tabs>
          <w:tab w:val="clear" w:pos="475"/>
          <w:tab w:val="num" w:pos="1742"/>
        </w:tabs>
        <w:suppressAutoHyphens/>
        <w:ind w:left="1267"/>
      </w:pPr>
      <w:r>
        <w:t>En el informe se indica (párr. 4.1) que se han adoptado medidas</w:t>
      </w:r>
      <w:r w:rsidR="003473F3">
        <w:t xml:space="preserve"> para reflejar la diversidad de género</w:t>
      </w:r>
      <w:r>
        <w:t xml:space="preserve">, en particular mediante la promulgación de leyes y la concesión de becas </w:t>
      </w:r>
      <w:r w:rsidR="003473F3">
        <w:t>de estudio</w:t>
      </w:r>
      <w:r>
        <w:t>, pero esas iniciativas p</w:t>
      </w:r>
      <w:r w:rsidR="003473F3">
        <w:t>ueden no recibir a</w:t>
      </w:r>
      <w:r>
        <w:t xml:space="preserve">poyo de las propias mujeres. </w:t>
      </w:r>
      <w:r w:rsidR="00C9006B">
        <w:t>Sírvase</w:t>
      </w:r>
      <w:r>
        <w:t xml:space="preserve"> indicar si se han celebrado consultas con los grupos de mujeres al respecto. </w:t>
      </w:r>
      <w:r w:rsidR="00C9006B">
        <w:t>Sírvase</w:t>
      </w:r>
      <w:r>
        <w:t xml:space="preserve"> también suministrar información sobre las medidas para a</w:t>
      </w:r>
      <w:r w:rsidR="003473F3">
        <w:t>celer</w:t>
      </w:r>
      <w:r>
        <w:t xml:space="preserve">ar </w:t>
      </w:r>
      <w:r w:rsidR="00FE17C5">
        <w:t xml:space="preserve">la igualdad de facto </w:t>
      </w:r>
      <w:r>
        <w:t xml:space="preserve">entre mujeres y hombres y sobre las medidas adoptadas por el Gobierno para informar a la opinión pública sobre el propósito de dichas medidas, </w:t>
      </w:r>
      <w:r w:rsidR="00FE17C5">
        <w:t>incluidas las medidas especiales de carácter temporal adoptadas de conf</w:t>
      </w:r>
      <w:r>
        <w:t>ormidad con el párrafo 1 del artículo 4 de la Convención y la recomendación general No. 25 del Comité.</w:t>
      </w:r>
    </w:p>
    <w:p w:rsidR="00FD009B" w:rsidRPr="00FD009B" w:rsidRDefault="00FD009B" w:rsidP="00FD009B">
      <w:pPr>
        <w:pStyle w:val="SingleTxt"/>
        <w:spacing w:after="0" w:line="120" w:lineRule="exact"/>
        <w:rPr>
          <w:sz w:val="10"/>
        </w:rPr>
      </w:pPr>
    </w:p>
    <w:p w:rsidR="00FD009B" w:rsidRDefault="00FD009B" w:rsidP="00FD009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Artículo 5</w:t>
      </w:r>
    </w:p>
    <w:p w:rsidR="00FD009B" w:rsidRPr="00FD009B" w:rsidRDefault="00FD009B" w:rsidP="00FD009B">
      <w:pPr>
        <w:pStyle w:val="SingleTxt"/>
        <w:spacing w:after="0" w:line="120" w:lineRule="exact"/>
        <w:rPr>
          <w:sz w:val="10"/>
        </w:rPr>
      </w:pPr>
    </w:p>
    <w:p w:rsidR="00FD009B" w:rsidRDefault="00FD009B" w:rsidP="00FD009B">
      <w:pPr>
        <w:pStyle w:val="SingleTxt"/>
        <w:numPr>
          <w:ilvl w:val="0"/>
          <w:numId w:val="3"/>
        </w:numPr>
        <w:tabs>
          <w:tab w:val="clear" w:pos="475"/>
          <w:tab w:val="num" w:pos="1742"/>
        </w:tabs>
        <w:suppressAutoHyphens/>
        <w:ind w:left="1267"/>
      </w:pPr>
      <w:r>
        <w:t>En el informe se indica que tanto los organismos gubernamentales como las organizaciones no gubernamentales han realizado campañas públicas para promover la igual</w:t>
      </w:r>
      <w:r w:rsidR="00FE17C5">
        <w:t>dad de género y</w:t>
      </w:r>
      <w:r>
        <w:t xml:space="preserve"> la eliminación de los estereotipos. </w:t>
      </w:r>
      <w:r w:rsidR="00C9006B">
        <w:t>Sírvase</w:t>
      </w:r>
      <w:r>
        <w:t xml:space="preserve"> proporcionar información sobre el alcance, </w:t>
      </w:r>
      <w:r w:rsidR="00FE17C5">
        <w:t>el contenido y el efecto</w:t>
      </w:r>
      <w:r>
        <w:t xml:space="preserve"> de las medidas adoptadas por el Gobierno y otros agentes para concienciar a la opinión pública sobre las prácticas y actitudes culturales que discriminan a las mujeres y sobre la necesidad de eliminarlas. </w:t>
      </w:r>
    </w:p>
    <w:p w:rsidR="00FD009B" w:rsidRPr="00FD009B" w:rsidRDefault="00FD009B" w:rsidP="00FD009B">
      <w:pPr>
        <w:pStyle w:val="SingleTxt"/>
        <w:spacing w:after="0" w:line="120" w:lineRule="exact"/>
        <w:rPr>
          <w:sz w:val="10"/>
        </w:rPr>
      </w:pPr>
    </w:p>
    <w:p w:rsidR="00FD009B" w:rsidRDefault="00FD009B" w:rsidP="00FD009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Artículo 6</w:t>
      </w:r>
    </w:p>
    <w:p w:rsidR="00FD009B" w:rsidRPr="00FD009B" w:rsidRDefault="00FD009B" w:rsidP="00FD009B">
      <w:pPr>
        <w:pStyle w:val="SingleTxt"/>
        <w:spacing w:after="0" w:line="120" w:lineRule="exact"/>
        <w:rPr>
          <w:sz w:val="10"/>
        </w:rPr>
      </w:pPr>
    </w:p>
    <w:p w:rsidR="00FD009B" w:rsidRDefault="00C9006B" w:rsidP="00FD009B">
      <w:pPr>
        <w:pStyle w:val="SingleTxt"/>
        <w:numPr>
          <w:ilvl w:val="0"/>
          <w:numId w:val="3"/>
        </w:numPr>
        <w:tabs>
          <w:tab w:val="clear" w:pos="475"/>
          <w:tab w:val="num" w:pos="1742"/>
        </w:tabs>
        <w:suppressAutoHyphens/>
        <w:ind w:left="1267"/>
      </w:pPr>
      <w:r>
        <w:t>Sírvase</w:t>
      </w:r>
      <w:r w:rsidR="00FD009B">
        <w:t xml:space="preserve"> proporcionar información sobre los resultados de la reforma legislativa (párr. 6.2), concretamente la Ley de delitos de 2004, en que se abordan cuestiones como la seguridad y la trata de seres humanos, y sobre la aplicación de dicha ley.</w:t>
      </w:r>
    </w:p>
    <w:p w:rsidR="00FD009B" w:rsidRPr="00FD009B" w:rsidRDefault="00FD009B" w:rsidP="00FD009B">
      <w:pPr>
        <w:pStyle w:val="SingleTxt"/>
        <w:spacing w:after="0" w:line="120" w:lineRule="exact"/>
        <w:rPr>
          <w:sz w:val="10"/>
        </w:rPr>
      </w:pPr>
    </w:p>
    <w:p w:rsidR="00FD009B" w:rsidRDefault="00FD009B" w:rsidP="00FD009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Artículos 7 y 8</w:t>
      </w:r>
    </w:p>
    <w:p w:rsidR="00FD009B" w:rsidRPr="00FD009B" w:rsidRDefault="00FD009B" w:rsidP="00FD009B">
      <w:pPr>
        <w:pStyle w:val="SingleTxt"/>
        <w:spacing w:after="0" w:line="120" w:lineRule="exact"/>
        <w:rPr>
          <w:sz w:val="10"/>
        </w:rPr>
      </w:pPr>
    </w:p>
    <w:p w:rsidR="00FD009B" w:rsidRDefault="00FD009B" w:rsidP="00FD009B">
      <w:pPr>
        <w:pStyle w:val="SingleTxt"/>
        <w:numPr>
          <w:ilvl w:val="0"/>
          <w:numId w:val="3"/>
        </w:numPr>
        <w:tabs>
          <w:tab w:val="clear" w:pos="475"/>
          <w:tab w:val="num" w:pos="1742"/>
        </w:tabs>
        <w:suppressAutoHyphens/>
        <w:ind w:left="1267"/>
      </w:pPr>
      <w:r>
        <w:t xml:space="preserve">Las mujeres desempeñan con frecuencia funciones de liderazgo tradicionales carentes de poder político, pero siguen estando insuficientemente representadas </w:t>
      </w:r>
      <w:r w:rsidR="00FE17C5">
        <w:t>en los al</w:t>
      </w:r>
      <w:r>
        <w:t>tos cargos directivos de la administración públi</w:t>
      </w:r>
      <w:r w:rsidR="00FE17C5">
        <w:t>ca, en el Par</w:t>
      </w:r>
      <w:r>
        <w:t xml:space="preserve">lamento y en el gobierno de las islas exteriores. </w:t>
      </w:r>
      <w:r w:rsidR="00C9006B">
        <w:t>Sírvase</w:t>
      </w:r>
      <w:r>
        <w:t xml:space="preserve"> indicar qué medidas está adoptando el Gobierno para aplicar plenamente lo estipulado en el apartado b) del artículo 7 de la Convención, incluida la adopción de medidas especiales de carácter temporal.</w:t>
      </w:r>
    </w:p>
    <w:p w:rsidR="00FD009B" w:rsidRPr="00FD009B" w:rsidRDefault="00FD009B" w:rsidP="00FD009B">
      <w:pPr>
        <w:pStyle w:val="SingleTxt"/>
        <w:spacing w:after="0" w:line="120" w:lineRule="exact"/>
        <w:rPr>
          <w:sz w:val="10"/>
        </w:rPr>
      </w:pPr>
    </w:p>
    <w:p w:rsidR="00FD009B" w:rsidRDefault="00FD009B" w:rsidP="00FD009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Artículo 10</w:t>
      </w:r>
    </w:p>
    <w:p w:rsidR="00FD009B" w:rsidRPr="00FD009B" w:rsidRDefault="00FD009B" w:rsidP="00FD009B">
      <w:pPr>
        <w:pStyle w:val="SingleTxt"/>
        <w:spacing w:after="0" w:line="120" w:lineRule="exact"/>
        <w:rPr>
          <w:sz w:val="10"/>
        </w:rPr>
      </w:pPr>
    </w:p>
    <w:p w:rsidR="00FD009B" w:rsidRDefault="00C9006B" w:rsidP="00FD009B">
      <w:pPr>
        <w:pStyle w:val="SingleTxt"/>
        <w:numPr>
          <w:ilvl w:val="0"/>
          <w:numId w:val="3"/>
        </w:numPr>
        <w:tabs>
          <w:tab w:val="clear" w:pos="475"/>
          <w:tab w:val="num" w:pos="1742"/>
        </w:tabs>
        <w:suppressAutoHyphens/>
        <w:ind w:left="1267"/>
      </w:pPr>
      <w:r>
        <w:t>Sírvase</w:t>
      </w:r>
      <w:r w:rsidR="00FD009B">
        <w:t xml:space="preserve"> proporcionar información sobre el proye</w:t>
      </w:r>
      <w:r w:rsidR="00FE17C5">
        <w:t>c</w:t>
      </w:r>
      <w:r w:rsidR="00FD009B">
        <w:t xml:space="preserve">to de reforma legislativa de la Ley de educación (párr. 10.32) </w:t>
      </w:r>
      <w:r w:rsidR="00FE17C5">
        <w:t xml:space="preserve">y especificar </w:t>
      </w:r>
      <w:r w:rsidR="00FD009B">
        <w:t xml:space="preserve">de qué manera se </w:t>
      </w:r>
      <w:r w:rsidR="00FE17C5">
        <w:t>prevé que l</w:t>
      </w:r>
      <w:r w:rsidR="00FD009B">
        <w:t xml:space="preserve">os logros a nivel educativo </w:t>
      </w:r>
      <w:r w:rsidR="00FE17C5">
        <w:t xml:space="preserve">se manifiesten en avance en la carrera, en particular entre las mujeres. </w:t>
      </w:r>
      <w:r>
        <w:t>Sírvase</w:t>
      </w:r>
      <w:r w:rsidR="00FD009B">
        <w:t xml:space="preserve"> también facilitar información sobre la Universidad del Pacífico Meridional, en particular el número de estudiantes, el porcentaje de estudiantes mujeres, las asignaturas que se imparten y las asig</w:t>
      </w:r>
      <w:r w:rsidR="00FE17C5">
        <w:t>naturas que eligen las alumnas.</w:t>
      </w:r>
    </w:p>
    <w:p w:rsidR="00FD009B" w:rsidRPr="00FD009B" w:rsidRDefault="00FD009B" w:rsidP="00FD009B">
      <w:pPr>
        <w:pStyle w:val="SingleTxt"/>
        <w:spacing w:after="0" w:line="120" w:lineRule="exact"/>
        <w:rPr>
          <w:sz w:val="10"/>
        </w:rPr>
      </w:pPr>
    </w:p>
    <w:p w:rsidR="00FD009B" w:rsidRDefault="00FD009B" w:rsidP="00FD009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Artículo 11</w:t>
      </w:r>
    </w:p>
    <w:p w:rsidR="00FD009B" w:rsidRPr="00FD009B" w:rsidRDefault="00FD009B" w:rsidP="00FD009B">
      <w:pPr>
        <w:pStyle w:val="SingleTxt"/>
        <w:spacing w:after="0" w:line="120" w:lineRule="exact"/>
        <w:rPr>
          <w:sz w:val="10"/>
        </w:rPr>
      </w:pPr>
    </w:p>
    <w:p w:rsidR="00FD009B" w:rsidRDefault="00FD009B" w:rsidP="00FD009B">
      <w:pPr>
        <w:pStyle w:val="SingleTxt"/>
        <w:numPr>
          <w:ilvl w:val="0"/>
          <w:numId w:val="3"/>
        </w:numPr>
        <w:tabs>
          <w:tab w:val="clear" w:pos="475"/>
          <w:tab w:val="num" w:pos="1742"/>
        </w:tabs>
        <w:suppressAutoHyphens/>
        <w:ind w:left="1267"/>
      </w:pPr>
      <w:r>
        <w:t xml:space="preserve">Según se indica en el informe, en la actualidad no existen leyes ni políticas que protejan a las empleadas del acoso sexual en el lugar de trabajo. </w:t>
      </w:r>
      <w:r w:rsidR="00C9006B">
        <w:t>Sírvase</w:t>
      </w:r>
      <w:r>
        <w:t xml:space="preserve"> proporcionar información sobre las medidas adoptadas para formular leyes sobre acoso sexual en el lugar de trabajo y sobre el pl</w:t>
      </w:r>
      <w:r w:rsidR="00072B74">
        <w:t>azo previsto para promulgarlas.</w:t>
      </w:r>
    </w:p>
    <w:p w:rsidR="00FD009B" w:rsidRDefault="00FD009B" w:rsidP="00FD009B">
      <w:pPr>
        <w:pStyle w:val="SingleTxt"/>
        <w:numPr>
          <w:ilvl w:val="0"/>
          <w:numId w:val="3"/>
        </w:numPr>
        <w:tabs>
          <w:tab w:val="clear" w:pos="475"/>
          <w:tab w:val="num" w:pos="1742"/>
        </w:tabs>
        <w:suppressAutoHyphens/>
        <w:ind w:left="1267"/>
      </w:pPr>
      <w:r>
        <w:t xml:space="preserve">En el informe se </w:t>
      </w:r>
      <w:r w:rsidR="00072B74">
        <w:t>señala que la legislación no incluye la obligación de los empleadores del sector privado de otorgar prestaciones por maternidad y paternidad a los empleados. Tampoco prohíbe la rescisión de un contrato de trabajo debido a un embarazo o al nacimien</w:t>
      </w:r>
      <w:r>
        <w:t xml:space="preserve">to de un hijo. </w:t>
      </w:r>
      <w:r w:rsidR="00C9006B">
        <w:t>Sírvase</w:t>
      </w:r>
      <w:r>
        <w:t xml:space="preserve"> proporcionar información sobre el estado del nuevo proyecto de ley </w:t>
      </w:r>
      <w:r w:rsidR="00072B74">
        <w:t xml:space="preserve">del trabajo para garantizar la protección a las mujeres de todos los sectores respecto de la maternidad, incluidas </w:t>
      </w:r>
      <w:r>
        <w:t xml:space="preserve"> la prohibición del despido por embarazo o maternidad y las prestacion</w:t>
      </w:r>
      <w:r w:rsidR="00291E3B">
        <w:t>es por maternidad y paternidad.</w:t>
      </w:r>
    </w:p>
    <w:p w:rsidR="00FD009B" w:rsidRDefault="00FD009B" w:rsidP="00FD009B">
      <w:pPr>
        <w:pStyle w:val="SingleTxt"/>
        <w:numPr>
          <w:ilvl w:val="0"/>
          <w:numId w:val="3"/>
        </w:numPr>
        <w:tabs>
          <w:tab w:val="clear" w:pos="475"/>
          <w:tab w:val="num" w:pos="1742"/>
        </w:tabs>
        <w:suppressAutoHyphens/>
        <w:ind w:left="1267"/>
      </w:pPr>
      <w:r>
        <w:t>Habida cuenta de la pre</w:t>
      </w:r>
      <w:r w:rsidR="00072B74">
        <w:t>sencia de gran número de trabajadores extranjeros en l</w:t>
      </w:r>
      <w:r>
        <w:t xml:space="preserve">as Islas Cook, sírvase suministrar  información sobre las medidas adoptadas por el </w:t>
      </w:r>
      <w:r w:rsidR="00072B74">
        <w:t>G</w:t>
      </w:r>
      <w:r>
        <w:t>obierno para hacer frente a la falta de salvaguard</w:t>
      </w:r>
      <w:r w:rsidR="00072B74">
        <w:t>i</w:t>
      </w:r>
      <w:r>
        <w:t xml:space="preserve">as para las trabajadoras migrantes, </w:t>
      </w:r>
      <w:r w:rsidR="00072B74">
        <w:t xml:space="preserve">incluida </w:t>
      </w:r>
      <w:r>
        <w:t>información sobre los resultados del examen de las políticas de inmigración</w:t>
      </w:r>
      <w:r w:rsidR="00AC0665">
        <w:t xml:space="preserve"> y </w:t>
      </w:r>
      <w:r>
        <w:t xml:space="preserve">las medidas adoptadas </w:t>
      </w:r>
      <w:r w:rsidR="00AC0665">
        <w:t>de resultas de ese examen</w:t>
      </w:r>
      <w:r w:rsidR="00462608">
        <w:t>,</w:t>
      </w:r>
      <w:r w:rsidR="00AC0665">
        <w:t xml:space="preserve"> y especifica</w:t>
      </w:r>
      <w:r w:rsidR="00462608">
        <w:t>r</w:t>
      </w:r>
      <w:r w:rsidR="00AC0665">
        <w:t xml:space="preserve"> si se ha incorporado, o se prevé incorporar, una perspectiva de género en el análisis, la </w:t>
      </w:r>
      <w:r w:rsidR="00692C23">
        <w:t>formulación</w:t>
      </w:r>
      <w:r>
        <w:t xml:space="preserve"> y la </w:t>
      </w:r>
      <w:r w:rsidR="00AC0665">
        <w:t>aplica</w:t>
      </w:r>
      <w:r>
        <w:t>ción de políticas y programas dimanantes de</w:t>
      </w:r>
      <w:r w:rsidR="00AC0665">
        <w:t xml:space="preserve"> ese</w:t>
      </w:r>
      <w:r>
        <w:t xml:space="preserve"> examen.</w:t>
      </w:r>
    </w:p>
    <w:p w:rsidR="00FD009B" w:rsidRDefault="00FD009B" w:rsidP="00FD009B">
      <w:pPr>
        <w:pStyle w:val="SingleTxt"/>
        <w:numPr>
          <w:ilvl w:val="0"/>
          <w:numId w:val="3"/>
        </w:numPr>
        <w:tabs>
          <w:tab w:val="clear" w:pos="475"/>
          <w:tab w:val="num" w:pos="1742"/>
        </w:tabs>
        <w:suppressAutoHyphens/>
        <w:ind w:left="1267"/>
      </w:pPr>
      <w:r>
        <w:t xml:space="preserve">En el informe se indica que existe una elevada tasa de migración hacia el exterior </w:t>
      </w:r>
      <w:r w:rsidR="00AC0665">
        <w:t>d</w:t>
      </w:r>
      <w:r>
        <w:t>e</w:t>
      </w:r>
      <w:r w:rsidR="00AC0665">
        <w:t xml:space="preserve"> los habitantes de las Islas Cook, incluidas las</w:t>
      </w:r>
      <w:r>
        <w:t xml:space="preserve"> mujeres. </w:t>
      </w:r>
      <w:r w:rsidR="00C9006B">
        <w:t>Sírvase</w:t>
      </w:r>
      <w:r>
        <w:t xml:space="preserve"> aclarar los motivos </w:t>
      </w:r>
      <w:r w:rsidR="00AC0665">
        <w:t>d</w:t>
      </w:r>
      <w:r>
        <w:t>e la migración hacia el exterior e indicar si se trata de una migración permanente o temporal y qué medidas se han adoptado para informar a las mujeres sobre los posibles riesgos de la migración.</w:t>
      </w:r>
    </w:p>
    <w:p w:rsidR="00FD009B" w:rsidRPr="00FD009B" w:rsidRDefault="00FD009B" w:rsidP="00FD009B">
      <w:pPr>
        <w:pStyle w:val="SingleTxt"/>
        <w:spacing w:after="0" w:line="120" w:lineRule="exact"/>
        <w:rPr>
          <w:sz w:val="10"/>
        </w:rPr>
      </w:pPr>
    </w:p>
    <w:p w:rsidR="00FD009B" w:rsidRDefault="00FD009B" w:rsidP="00FD009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Artículo 12 </w:t>
      </w:r>
    </w:p>
    <w:p w:rsidR="00FD009B" w:rsidRPr="00FD009B" w:rsidRDefault="00FD009B" w:rsidP="00FD009B">
      <w:pPr>
        <w:pStyle w:val="SingleTxt"/>
        <w:spacing w:after="0" w:line="120" w:lineRule="exact"/>
        <w:rPr>
          <w:sz w:val="10"/>
        </w:rPr>
      </w:pPr>
    </w:p>
    <w:p w:rsidR="00FD009B" w:rsidRDefault="00FD009B" w:rsidP="00FD009B">
      <w:pPr>
        <w:pStyle w:val="SingleTxt"/>
        <w:numPr>
          <w:ilvl w:val="0"/>
          <w:numId w:val="3"/>
        </w:numPr>
        <w:tabs>
          <w:tab w:val="clear" w:pos="475"/>
          <w:tab w:val="num" w:pos="1742"/>
        </w:tabs>
        <w:suppressAutoHyphens/>
        <w:ind w:left="1267"/>
      </w:pPr>
      <w:r>
        <w:t>En el informe se reconoce que las mujeres han expresado preocupación por la falta de mujeres profesionales de</w:t>
      </w:r>
      <w:r w:rsidR="00CD4B32">
        <w:t xml:space="preserve">l sector de </w:t>
      </w:r>
      <w:r>
        <w:t xml:space="preserve">la salud </w:t>
      </w:r>
      <w:r w:rsidR="00CD4B32">
        <w:t xml:space="preserve">como circunstancia que limita su acceso a </w:t>
      </w:r>
      <w:r>
        <w:t xml:space="preserve">los servicios de atención de la salud sexual y reproductiva, especialmente en las islas exteriores. La mayoría de las mujeres embarazadas de las islas exteriores </w:t>
      </w:r>
      <w:r w:rsidR="00CD4B32">
        <w:t>son remitidas al</w:t>
      </w:r>
      <w:r>
        <w:t xml:space="preserve"> hospital de Rarotonga para recibir atención obstétrica y </w:t>
      </w:r>
      <w:r w:rsidR="00CD4B32">
        <w:t xml:space="preserve">para el parto, y los casos más complejos, se remiten a </w:t>
      </w:r>
      <w:r>
        <w:t xml:space="preserve">Nueva Zelandia. </w:t>
      </w:r>
      <w:r w:rsidR="00C9006B">
        <w:t>Sírvase</w:t>
      </w:r>
      <w:r>
        <w:t xml:space="preserve"> proporcionar información sobre las medidas adoptadas a fin de </w:t>
      </w:r>
      <w:r w:rsidR="00D46669">
        <w:t>mejorar</w:t>
      </w:r>
      <w:r>
        <w:t xml:space="preserve"> la calidad de los servicios de atención de la salud sexual y reproductiva, </w:t>
      </w:r>
      <w:r w:rsidR="00D46669">
        <w:t>incluidos los servicios de obstetricia, en las Islas Cook, en particular en las islas exteriores</w:t>
      </w:r>
      <w:r w:rsidR="00462608">
        <w:t>,</w:t>
      </w:r>
      <w:r w:rsidR="00D46669">
        <w:t xml:space="preserve"> y para facilitar el acceso de las mujeres a esos servicios.</w:t>
      </w:r>
    </w:p>
    <w:p w:rsidR="00FD009B" w:rsidRDefault="00FD009B" w:rsidP="00FD009B">
      <w:pPr>
        <w:pStyle w:val="SingleTxt"/>
        <w:numPr>
          <w:ilvl w:val="0"/>
          <w:numId w:val="3"/>
        </w:numPr>
        <w:tabs>
          <w:tab w:val="clear" w:pos="475"/>
          <w:tab w:val="num" w:pos="1742"/>
        </w:tabs>
        <w:suppressAutoHyphens/>
        <w:ind w:left="1267"/>
      </w:pPr>
      <w:r>
        <w:t xml:space="preserve">Según se indica en el informe (párr. 12.19), el Ministerio de Salud aplica </w:t>
      </w:r>
      <w:r w:rsidR="00D46669">
        <w:t>una política según la cual se requiere el consentimiento del marido o el compañero de una mujer para que se le practique una ligadura de trompas voluntaria. Sírvase proporciona</w:t>
      </w:r>
      <w:r>
        <w:t>r información sobre la aplicación de esta política y sobre las medidas adoptadas para examinarla y revisarla a fin de ajustarla a los artículos 12 y 16 de la Convención y la recomendación general No. 24 del Comité.</w:t>
      </w:r>
    </w:p>
    <w:p w:rsidR="00FD009B" w:rsidRPr="00FD009B" w:rsidRDefault="00FD009B" w:rsidP="00FD009B">
      <w:pPr>
        <w:pStyle w:val="SingleTxt"/>
        <w:spacing w:after="0" w:line="120" w:lineRule="exact"/>
        <w:rPr>
          <w:sz w:val="10"/>
        </w:rPr>
      </w:pPr>
    </w:p>
    <w:p w:rsidR="00FD009B" w:rsidRDefault="00FD009B" w:rsidP="00FD009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Violencia contra la mujer</w:t>
      </w:r>
    </w:p>
    <w:p w:rsidR="00FD009B" w:rsidRPr="00FD009B" w:rsidRDefault="00FD009B" w:rsidP="00FD009B">
      <w:pPr>
        <w:pStyle w:val="SingleTxt"/>
        <w:spacing w:after="0" w:line="120" w:lineRule="exact"/>
        <w:rPr>
          <w:sz w:val="10"/>
        </w:rPr>
      </w:pPr>
    </w:p>
    <w:p w:rsidR="00FD009B" w:rsidRDefault="00C9006B" w:rsidP="00FD009B">
      <w:pPr>
        <w:pStyle w:val="SingleTxt"/>
        <w:numPr>
          <w:ilvl w:val="0"/>
          <w:numId w:val="3"/>
        </w:numPr>
        <w:tabs>
          <w:tab w:val="clear" w:pos="475"/>
          <w:tab w:val="num" w:pos="1742"/>
        </w:tabs>
        <w:suppressAutoHyphens/>
        <w:ind w:left="1267"/>
      </w:pPr>
      <w:r>
        <w:t>Sírvase</w:t>
      </w:r>
      <w:r w:rsidR="00FD009B">
        <w:t xml:space="preserve"> facilitar información actualizada sobre el estado y las disposiciones del proyecto de ley sobre delitos sexuales (párr. 12.39) y el plazo previsto para su aprobación.</w:t>
      </w:r>
    </w:p>
    <w:p w:rsidR="00FD009B" w:rsidRDefault="00FD009B" w:rsidP="00FD009B">
      <w:pPr>
        <w:pStyle w:val="SingleTxt"/>
        <w:numPr>
          <w:ilvl w:val="0"/>
          <w:numId w:val="3"/>
        </w:numPr>
        <w:tabs>
          <w:tab w:val="clear" w:pos="475"/>
          <w:tab w:val="num" w:pos="1742"/>
        </w:tabs>
        <w:suppressAutoHyphens/>
        <w:ind w:left="1267"/>
      </w:pPr>
      <w:r>
        <w:t xml:space="preserve">Según se indica en el informe (párr. 16.21), los autores de delitos de violencia contra la mujer no suelen ser enjuiciados, </w:t>
      </w:r>
      <w:r w:rsidR="00D46669">
        <w:t xml:space="preserve">no hay formación suficiente a nivel judicial y hay problemas de falta de coherencia en la aplicación de la ley. Sírvase indicar qué medidas específicas se han adoptado para superar esas dificultades. A este respecto, sírvase facilitar información sobre </w:t>
      </w:r>
      <w:r w:rsidR="00462608">
        <w:t xml:space="preserve">el efecto de </w:t>
      </w:r>
      <w:r w:rsidR="00D46669">
        <w:t>la política de no abandono de casos como parte de los esfuerzos del Gobierno para impedir la violencia contra la mujer (párr. 12.47).</w:t>
      </w:r>
    </w:p>
    <w:p w:rsidR="00FD009B" w:rsidRDefault="00462608" w:rsidP="00FD009B">
      <w:pPr>
        <w:pStyle w:val="SingleTxt"/>
        <w:numPr>
          <w:ilvl w:val="0"/>
          <w:numId w:val="3"/>
        </w:numPr>
        <w:tabs>
          <w:tab w:val="clear" w:pos="475"/>
          <w:tab w:val="num" w:pos="1742"/>
        </w:tabs>
        <w:suppressAutoHyphens/>
        <w:ind w:left="1267"/>
      </w:pPr>
      <w:r>
        <w:t>Según l</w:t>
      </w:r>
      <w:r w:rsidR="00215AB4">
        <w:t>a Ley de delitos de las Islas Cook (párr. 12.38), la violación dentro del</w:t>
      </w:r>
      <w:r w:rsidR="007F0694">
        <w:t xml:space="preserve"> </w:t>
      </w:r>
      <w:r w:rsidR="00215AB4">
        <w:t xml:space="preserve">matrimonio </w:t>
      </w:r>
      <w:r>
        <w:t xml:space="preserve">no </w:t>
      </w:r>
      <w:r w:rsidR="00215AB4">
        <w:t xml:space="preserve">está incluida en la definición de violación, </w:t>
      </w:r>
      <w:r w:rsidR="007F0694">
        <w:t>y no hay protección civil para las mujeres casadas pero no separadas, ni para las mujeres solteras (párr. 12.40</w:t>
      </w:r>
      <w:r w:rsidR="00215AB4">
        <w:t>.</w:t>
      </w:r>
      <w:r w:rsidR="007F0694">
        <w:t>)</w:t>
      </w:r>
      <w:r w:rsidR="00FD009B">
        <w:t xml:space="preserve"> </w:t>
      </w:r>
      <w:r w:rsidR="00C9006B">
        <w:t>Sírvase</w:t>
      </w:r>
      <w:r w:rsidR="00FD009B">
        <w:t xml:space="preserve"> indicar si el Gobierno de las Islas Cook tiene previsto enmendar la Ley de delitos para tipificar como delito la violación dentro del matrimonio. </w:t>
      </w:r>
    </w:p>
    <w:p w:rsidR="00FD009B" w:rsidRDefault="00C9006B" w:rsidP="00FD009B">
      <w:pPr>
        <w:pStyle w:val="SingleTxt"/>
        <w:numPr>
          <w:ilvl w:val="0"/>
          <w:numId w:val="3"/>
        </w:numPr>
        <w:tabs>
          <w:tab w:val="clear" w:pos="475"/>
          <w:tab w:val="num" w:pos="1742"/>
        </w:tabs>
        <w:suppressAutoHyphens/>
        <w:ind w:left="1267"/>
      </w:pPr>
      <w:r>
        <w:t>Sírvase</w:t>
      </w:r>
      <w:r w:rsidR="00FD009B">
        <w:t xml:space="preserve"> indicar las medidas que ha adoptado o tiene previsto adoptar </w:t>
      </w:r>
      <w:r w:rsidR="00215AB4">
        <w:t xml:space="preserve">el Gobierno </w:t>
      </w:r>
      <w:r w:rsidR="00FD009B">
        <w:t xml:space="preserve">para crear un sistema de recopilación de datos sobre todas las formas de violencia contra la mujer, </w:t>
      </w:r>
      <w:r w:rsidR="00215AB4">
        <w:t>incluida</w:t>
      </w:r>
      <w:r w:rsidR="00FD009B">
        <w:t xml:space="preserve"> la violencia en el hogar. </w:t>
      </w:r>
    </w:p>
    <w:p w:rsidR="00FD009B" w:rsidRPr="00FD009B" w:rsidRDefault="00FD009B" w:rsidP="00FD009B">
      <w:pPr>
        <w:pStyle w:val="SingleTxt"/>
        <w:spacing w:after="0" w:line="120" w:lineRule="exact"/>
        <w:rPr>
          <w:sz w:val="10"/>
        </w:rPr>
      </w:pPr>
    </w:p>
    <w:p w:rsidR="00FD009B" w:rsidRDefault="00FD009B" w:rsidP="00FD009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Artículo 13</w:t>
      </w:r>
    </w:p>
    <w:p w:rsidR="00FD009B" w:rsidRPr="00FD009B" w:rsidRDefault="00FD009B" w:rsidP="00FD009B">
      <w:pPr>
        <w:pStyle w:val="SingleTxt"/>
        <w:spacing w:after="0" w:line="120" w:lineRule="exact"/>
        <w:rPr>
          <w:sz w:val="10"/>
        </w:rPr>
      </w:pPr>
    </w:p>
    <w:p w:rsidR="00FD009B" w:rsidRDefault="00C9006B" w:rsidP="00FD009B">
      <w:pPr>
        <w:pStyle w:val="SingleTxt"/>
        <w:numPr>
          <w:ilvl w:val="0"/>
          <w:numId w:val="3"/>
        </w:numPr>
        <w:tabs>
          <w:tab w:val="clear" w:pos="475"/>
          <w:tab w:val="num" w:pos="1742"/>
        </w:tabs>
        <w:suppressAutoHyphens/>
        <w:ind w:left="1267"/>
      </w:pPr>
      <w:r>
        <w:t>Sírvase</w:t>
      </w:r>
      <w:r w:rsidR="00FD009B">
        <w:t xml:space="preserve"> indicar </w:t>
      </w:r>
      <w:r w:rsidR="00215AB4">
        <w:t>las medidas adoptadas o previstas para eliminar la discriminación de facto que afecta a las mujeres en cuanto al acceso al crédito</w:t>
      </w:r>
      <w:r w:rsidR="00FD009B">
        <w:t>.</w:t>
      </w:r>
    </w:p>
    <w:p w:rsidR="00FD009B" w:rsidRPr="00FD009B" w:rsidRDefault="00FD009B" w:rsidP="00FD009B">
      <w:pPr>
        <w:pStyle w:val="SingleTxt"/>
        <w:spacing w:after="0" w:line="120" w:lineRule="exact"/>
        <w:rPr>
          <w:sz w:val="10"/>
        </w:rPr>
      </w:pPr>
    </w:p>
    <w:p w:rsidR="00FD009B" w:rsidRDefault="00FD009B" w:rsidP="00FD009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Artículos 15 y 16</w:t>
      </w:r>
    </w:p>
    <w:p w:rsidR="00FD009B" w:rsidRPr="00FD009B" w:rsidRDefault="00FD009B" w:rsidP="00FD009B">
      <w:pPr>
        <w:pStyle w:val="SingleTxt"/>
        <w:spacing w:after="0" w:line="120" w:lineRule="exact"/>
        <w:rPr>
          <w:sz w:val="10"/>
        </w:rPr>
      </w:pPr>
    </w:p>
    <w:p w:rsidR="00FD009B" w:rsidRDefault="00C9006B" w:rsidP="00FD009B">
      <w:pPr>
        <w:pStyle w:val="SingleTxt"/>
        <w:numPr>
          <w:ilvl w:val="0"/>
          <w:numId w:val="3"/>
        </w:numPr>
        <w:tabs>
          <w:tab w:val="clear" w:pos="475"/>
          <w:tab w:val="num" w:pos="1742"/>
        </w:tabs>
        <w:suppressAutoHyphens/>
        <w:ind w:left="1267"/>
      </w:pPr>
      <w:r>
        <w:t>Sírvase</w:t>
      </w:r>
      <w:r w:rsidR="00FD009B">
        <w:t xml:space="preserve"> suministrar información sobre las medidas adoptadas para eliminar las distinciones entre mujeres casadas y solteras </w:t>
      </w:r>
      <w:r w:rsidR="002401B6">
        <w:t xml:space="preserve">en cuanto a la manutención de los hijos y la exigencia de </w:t>
      </w:r>
      <w:r w:rsidR="00692C23">
        <w:t>que</w:t>
      </w:r>
      <w:r w:rsidR="002401B6">
        <w:t xml:space="preserve"> se corroboren las pruebas presentadas por una mujer en cuestiones de manutención de los hijos con arreglo a la Ley 1915 de las Islas Cook</w:t>
      </w:r>
      <w:r w:rsidR="00FD009B">
        <w:t xml:space="preserve"> (párr. 16.30).</w:t>
      </w:r>
    </w:p>
    <w:p w:rsidR="00FD009B" w:rsidRPr="00FD009B" w:rsidRDefault="00FD009B" w:rsidP="00FD009B">
      <w:pPr>
        <w:pStyle w:val="SingleTxt"/>
        <w:spacing w:after="0" w:line="120" w:lineRule="exact"/>
        <w:rPr>
          <w:sz w:val="10"/>
        </w:rPr>
      </w:pPr>
    </w:p>
    <w:p w:rsidR="00FD009B" w:rsidRDefault="00FD009B" w:rsidP="00FD009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Protocolo Facultativo y enmienda al párrafo 1 del artículo 20</w:t>
      </w:r>
    </w:p>
    <w:p w:rsidR="00FD009B" w:rsidRPr="00FD009B" w:rsidRDefault="00FD009B" w:rsidP="00FD009B">
      <w:pPr>
        <w:pStyle w:val="SingleTxt"/>
        <w:spacing w:after="0" w:line="120" w:lineRule="exact"/>
        <w:rPr>
          <w:sz w:val="10"/>
        </w:rPr>
      </w:pPr>
    </w:p>
    <w:p w:rsidR="00FD009B" w:rsidRDefault="00C9006B" w:rsidP="00FD009B">
      <w:pPr>
        <w:pStyle w:val="SingleTxt"/>
        <w:numPr>
          <w:ilvl w:val="0"/>
          <w:numId w:val="3"/>
        </w:numPr>
        <w:tabs>
          <w:tab w:val="clear" w:pos="475"/>
          <w:tab w:val="num" w:pos="1742"/>
        </w:tabs>
        <w:suppressAutoHyphens/>
        <w:ind w:left="1267"/>
      </w:pPr>
      <w:r>
        <w:t>Sírvase</w:t>
      </w:r>
      <w:r w:rsidR="00FD009B">
        <w:t xml:space="preserve"> indicar </w:t>
      </w:r>
      <w:r w:rsidR="002401B6">
        <w:t xml:space="preserve">las medidas adoptadas o previstas con miras a la </w:t>
      </w:r>
      <w:r w:rsidR="00FD009B">
        <w:t xml:space="preserve">ratificación del Protocolo Facultativo o la adhesión a éste. </w:t>
      </w:r>
      <w:r>
        <w:t>Sírvase</w:t>
      </w:r>
      <w:r w:rsidR="00FD009B">
        <w:t xml:space="preserve"> también describir los avances en cuanto a la aceptación de la enmienda al párrafo 1 del artículo 20 de la Convención.</w:t>
      </w:r>
    </w:p>
    <w:p w:rsidR="000A1971" w:rsidRPr="00CA5F9C" w:rsidRDefault="00FD009B" w:rsidP="00FD009B">
      <w:pPr>
        <w:pStyle w:val="SingleTxt"/>
      </w:pPr>
      <w:r>
        <w:rPr>
          <w:noProof/>
          <w:w w:val="100"/>
          <w:lang w:val="en-US"/>
        </w:rPr>
        <w:pict>
          <v:line id="_x0000_s1026" style="position:absolute;left:0;text-align:left;z-index:1" from="210.2pt,24pt" to="282.2pt,24pt" strokeweight=".25pt"/>
        </w:pict>
      </w:r>
    </w:p>
    <w:sectPr w:rsidR="000A1971" w:rsidRPr="00CA5F9C" w:rsidSect="00415056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7-03-15T22:15:00Z" w:initials="Start">
    <w:p w:rsidR="007F0694" w:rsidRPr="00FD009B" w:rsidRDefault="007F0694">
      <w:pPr>
        <w:pStyle w:val="CommentText"/>
        <w:rPr>
          <w:lang w:val="en-US"/>
        </w:rPr>
      </w:pPr>
      <w:r>
        <w:fldChar w:fldCharType="begin"/>
      </w:r>
      <w:r w:rsidRPr="00FD009B">
        <w:rPr>
          <w:rStyle w:val="CommentReference"/>
          <w:lang w:val="en-US"/>
        </w:rPr>
        <w:instrText xml:space="preserve"> </w:instrText>
      </w:r>
      <w:r w:rsidRPr="00FD009B">
        <w:rPr>
          <w:lang w:val="en-US"/>
        </w:rPr>
        <w:instrText>PAGE \# "'Page: '#'</w:instrText>
      </w:r>
      <w:r w:rsidRPr="00FD009B">
        <w:rPr>
          <w:lang w:val="en-US"/>
        </w:rPr>
        <w:br/>
        <w:instrText>'"</w:instrText>
      </w:r>
      <w:r w:rsidRPr="00FD009B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FD009B">
        <w:rPr>
          <w:lang w:val="en-US"/>
        </w:rPr>
        <w:t>&lt;&lt;ODS JOB NO&gt;&gt;N0724995S&lt;&lt;ODS JOB NO&gt;&gt;</w:t>
      </w:r>
    </w:p>
    <w:p w:rsidR="007F0694" w:rsidRPr="00FD009B" w:rsidRDefault="007F0694">
      <w:pPr>
        <w:pStyle w:val="CommentText"/>
        <w:rPr>
          <w:lang w:val="en-US"/>
        </w:rPr>
      </w:pPr>
      <w:r w:rsidRPr="00FD009B">
        <w:rPr>
          <w:lang w:val="en-US"/>
        </w:rPr>
        <w:t>&lt;&lt;ODS DOC SYMBOL1&gt;&gt;CEDAW/C/COK/Q/1&lt;&lt;ODS DOC SYMBOL1&gt;&gt;</w:t>
      </w:r>
    </w:p>
    <w:p w:rsidR="007F0694" w:rsidRPr="00FD009B" w:rsidRDefault="007F0694">
      <w:pPr>
        <w:pStyle w:val="CommentText"/>
        <w:rPr>
          <w:lang w:val="en-US"/>
        </w:rPr>
      </w:pPr>
      <w:r w:rsidRPr="00FD009B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6C57" w:rsidRDefault="00DE6C57" w:rsidP="00296806">
      <w:pPr>
        <w:pStyle w:val="H23"/>
      </w:pPr>
      <w:r>
        <w:separator/>
      </w:r>
    </w:p>
  </w:endnote>
  <w:endnote w:type="continuationSeparator" w:id="0">
    <w:p w:rsidR="00DE6C57" w:rsidRDefault="00DE6C57" w:rsidP="00296806">
      <w:pPr>
        <w:pStyle w:val="H23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7F0694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7F0694" w:rsidRPr="00296806" w:rsidRDefault="007F0694" w:rsidP="00296806">
          <w:pPr>
            <w:pStyle w:val="Footer"/>
            <w:jc w:val="right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fldChar w:fldCharType="begin"/>
          </w:r>
          <w:r>
            <w:rPr>
              <w:b w:val="0"/>
              <w:w w:val="103"/>
              <w:sz w:val="14"/>
            </w:rPr>
            <w:instrText xml:space="preserve"> DOCVARIABLE "FooterJN" \* MERGEFORMAT </w:instrText>
          </w:r>
          <w:r>
            <w:rPr>
              <w:b w:val="0"/>
              <w:w w:val="103"/>
              <w:sz w:val="14"/>
            </w:rPr>
            <w:fldChar w:fldCharType="separate"/>
          </w:r>
          <w:r w:rsidR="00604364">
            <w:rPr>
              <w:b w:val="0"/>
              <w:w w:val="103"/>
              <w:sz w:val="14"/>
            </w:rPr>
            <w:t>07-24995</w:t>
          </w:r>
          <w:r>
            <w:rPr>
              <w:b w:val="0"/>
              <w:w w:val="103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7F0694" w:rsidRPr="00296806" w:rsidRDefault="007F0694" w:rsidP="00296806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 w:rsidR="00604364">
            <w:rPr>
              <w:w w:val="103"/>
            </w:rPr>
            <w:t>4</w:t>
          </w:r>
          <w:r>
            <w:rPr>
              <w:w w:val="103"/>
            </w:rPr>
            <w:fldChar w:fldCharType="end"/>
          </w:r>
        </w:p>
      </w:tc>
    </w:tr>
  </w:tbl>
  <w:p w:rsidR="007F0694" w:rsidRPr="00296806" w:rsidRDefault="007F0694" w:rsidP="0029680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7F0694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7F0694" w:rsidRPr="00296806" w:rsidRDefault="007F0694" w:rsidP="00296806">
          <w:pPr>
            <w:pStyle w:val="Footer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 w:rsidR="00604364">
            <w:rPr>
              <w:w w:val="103"/>
            </w:rPr>
            <w:t>3</w:t>
          </w:r>
          <w:r>
            <w:rPr>
              <w:w w:val="103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7F0694" w:rsidRPr="00296806" w:rsidRDefault="007F0694" w:rsidP="00296806">
          <w:pPr>
            <w:pStyle w:val="Footer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fldChar w:fldCharType="begin"/>
          </w:r>
          <w:r>
            <w:rPr>
              <w:b w:val="0"/>
              <w:w w:val="103"/>
              <w:sz w:val="14"/>
            </w:rPr>
            <w:instrText xml:space="preserve"> DOCVARIABLE "FooterJN" \* MERGEFORMAT </w:instrText>
          </w:r>
          <w:r>
            <w:rPr>
              <w:b w:val="0"/>
              <w:w w:val="103"/>
              <w:sz w:val="14"/>
            </w:rPr>
            <w:fldChar w:fldCharType="separate"/>
          </w:r>
          <w:r w:rsidR="00604364">
            <w:rPr>
              <w:b w:val="0"/>
              <w:w w:val="103"/>
              <w:sz w:val="14"/>
            </w:rPr>
            <w:t>07-24995</w:t>
          </w:r>
          <w:r>
            <w:rPr>
              <w:b w:val="0"/>
              <w:w w:val="103"/>
              <w:sz w:val="14"/>
            </w:rPr>
            <w:fldChar w:fldCharType="end"/>
          </w:r>
        </w:p>
      </w:tc>
    </w:tr>
  </w:tbl>
  <w:p w:rsidR="007F0694" w:rsidRPr="00296806" w:rsidRDefault="007F0694" w:rsidP="00296806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0694" w:rsidRDefault="007F0694" w:rsidP="00296806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 w:rsidR="00604364">
      <w:rPr>
        <w:b w:val="0"/>
        <w:sz w:val="20"/>
      </w:rPr>
      <w:t>07-24995 (S)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150307    150307</w:t>
    </w:r>
  </w:p>
  <w:p w:rsidR="007F0694" w:rsidRPr="00296806" w:rsidRDefault="007F0694" w:rsidP="00296806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 w:rsidR="00604364">
      <w:rPr>
        <w:rFonts w:ascii="Barcode 3 of 9 by request" w:hAnsi="Barcode 3 of 9 by request"/>
        <w:b w:val="0"/>
        <w:sz w:val="24"/>
      </w:rPr>
      <w:t>*0724995*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6C57" w:rsidRDefault="00DE6C57" w:rsidP="00296806">
      <w:pPr>
        <w:pStyle w:val="H23"/>
      </w:pPr>
      <w:r>
        <w:separator/>
      </w:r>
    </w:p>
  </w:footnote>
  <w:footnote w:type="continuationSeparator" w:id="0">
    <w:p w:rsidR="00DE6C57" w:rsidRDefault="00DE6C57" w:rsidP="00296806">
      <w:pPr>
        <w:pStyle w:val="H23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7F0694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7F0694" w:rsidRPr="00296806" w:rsidRDefault="007F0694" w:rsidP="00296806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604364">
            <w:rPr>
              <w:b/>
            </w:rPr>
            <w:t>CEDAW/C/COK/Q/1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7F0694" w:rsidRDefault="007F0694" w:rsidP="00296806">
          <w:pPr>
            <w:pStyle w:val="Header"/>
          </w:pPr>
        </w:p>
      </w:tc>
    </w:tr>
  </w:tbl>
  <w:p w:rsidR="007F0694" w:rsidRPr="00296806" w:rsidRDefault="007F0694" w:rsidP="0029680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7F0694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7F0694" w:rsidRDefault="007F0694" w:rsidP="00296806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7F0694" w:rsidRPr="00296806" w:rsidRDefault="007F0694" w:rsidP="00296806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604364">
            <w:rPr>
              <w:b/>
            </w:rPr>
            <w:t>CEDAW/C/COK/Q/1</w:t>
          </w:r>
          <w:r>
            <w:rPr>
              <w:b/>
            </w:rPr>
            <w:fldChar w:fldCharType="end"/>
          </w:r>
        </w:p>
      </w:tc>
    </w:tr>
  </w:tbl>
  <w:p w:rsidR="007F0694" w:rsidRPr="00296806" w:rsidRDefault="007F0694" w:rsidP="00296806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1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2059"/>
      <w:gridCol w:w="58"/>
      <w:gridCol w:w="3110"/>
      <w:gridCol w:w="245"/>
      <w:gridCol w:w="3168"/>
      <w:gridCol w:w="12"/>
    </w:tblGrid>
    <w:tr w:rsidR="007F0694">
      <w:tblPrEx>
        <w:tblCellMar>
          <w:top w:w="0" w:type="dxa"/>
          <w:bottom w:w="0" w:type="dxa"/>
        </w:tblCellMar>
      </w:tblPrEx>
      <w:trPr>
        <w:gridAfter w:val="1"/>
        <w:wAfter w:w="12" w:type="dxa"/>
        <w:trHeight w:hRule="exact" w:val="864"/>
      </w:trPr>
      <w:tc>
        <w:tcPr>
          <w:tcW w:w="1267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7F0694" w:rsidRDefault="007F0694" w:rsidP="00296806">
          <w:pPr>
            <w:pStyle w:val="Header"/>
            <w:spacing w:after="120"/>
          </w:pPr>
        </w:p>
      </w:tc>
      <w:tc>
        <w:tcPr>
          <w:tcW w:w="2059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7F0694" w:rsidRPr="00296806" w:rsidRDefault="007F0694" w:rsidP="00296806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Naciones Unidas</w:t>
          </w:r>
        </w:p>
      </w:tc>
      <w:tc>
        <w:tcPr>
          <w:tcW w:w="58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7F0694" w:rsidRDefault="007F0694" w:rsidP="00296806">
          <w:pPr>
            <w:pStyle w:val="Header"/>
            <w:spacing w:after="120"/>
          </w:pPr>
        </w:p>
      </w:tc>
      <w:tc>
        <w:tcPr>
          <w:tcW w:w="652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7F0694" w:rsidRPr="00296806" w:rsidRDefault="007F0694" w:rsidP="00296806">
          <w:pPr>
            <w:spacing w:after="80" w:line="240" w:lineRule="auto"/>
            <w:jc w:val="right"/>
            <w:rPr>
              <w:position w:val="-4"/>
            </w:rPr>
          </w:pPr>
          <w:r>
            <w:rPr>
              <w:position w:val="-4"/>
              <w:sz w:val="40"/>
            </w:rPr>
            <w:t>CEDAW</w:t>
          </w:r>
          <w:r>
            <w:rPr>
              <w:position w:val="-4"/>
            </w:rPr>
            <w:t>/C/COK/Q/1</w:t>
          </w:r>
        </w:p>
      </w:tc>
    </w:tr>
    <w:tr w:rsidR="007F0694" w:rsidRPr="00296806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F0694" w:rsidRDefault="007F0694" w:rsidP="00296806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7F0694" w:rsidRPr="00296806" w:rsidRDefault="007F0694" w:rsidP="00296806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F0694" w:rsidRPr="00296806" w:rsidRDefault="007F0694" w:rsidP="00296806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Convención sobre la eliminación</w:t>
          </w:r>
          <w:r>
            <w:rPr>
              <w:sz w:val="34"/>
            </w:rPr>
            <w:br/>
            <w:t>de todas las formas de discriminación</w:t>
          </w:r>
          <w:r>
            <w:rPr>
              <w:sz w:val="34"/>
            </w:rPr>
            <w:br/>
            <w:t>contra la mujer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F0694" w:rsidRPr="00FD009B" w:rsidRDefault="007F0694" w:rsidP="00296806">
          <w:pPr>
            <w:pStyle w:val="Header"/>
            <w:spacing w:before="109"/>
            <w:rPr>
              <w:lang w:val="es-ES"/>
            </w:rPr>
          </w:pPr>
        </w:p>
      </w:tc>
      <w:tc>
        <w:tcPr>
          <w:tcW w:w="318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F0694" w:rsidRDefault="007F0694" w:rsidP="00296806">
          <w:pPr>
            <w:spacing w:before="240"/>
          </w:pPr>
          <w:r>
            <w:t>Distr. general</w:t>
          </w:r>
        </w:p>
        <w:p w:rsidR="007F0694" w:rsidRDefault="007F0694" w:rsidP="00296806">
          <w:r>
            <w:t>26 de febrero de 2007</w:t>
          </w:r>
        </w:p>
        <w:p w:rsidR="007F0694" w:rsidRDefault="007F0694" w:rsidP="00296806">
          <w:r>
            <w:t>Español</w:t>
          </w:r>
        </w:p>
        <w:p w:rsidR="007F0694" w:rsidRPr="00296806" w:rsidRDefault="007F0694" w:rsidP="00296806">
          <w:r>
            <w:t>Original: inglés</w:t>
          </w:r>
        </w:p>
      </w:tc>
    </w:tr>
  </w:tbl>
  <w:p w:rsidR="007F0694" w:rsidRPr="00296806" w:rsidRDefault="007F0694" w:rsidP="00296806">
    <w:pPr>
      <w:pStyle w:val="Header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D91F8A"/>
    <w:multiLevelType w:val="hybridMultilevel"/>
    <w:tmpl w:val="82EAF128"/>
    <w:lvl w:ilvl="0" w:tplc="A23E98C6">
      <w:start w:val="1"/>
      <w:numFmt w:val="decimal"/>
      <w:lvlText w:val="%1."/>
      <w:lvlJc w:val="left"/>
      <w:pPr>
        <w:tabs>
          <w:tab w:val="num" w:pos="1747"/>
        </w:tabs>
        <w:ind w:left="1747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347"/>
        </w:tabs>
        <w:ind w:left="234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67"/>
        </w:tabs>
        <w:ind w:left="306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787"/>
        </w:tabs>
        <w:ind w:left="378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507"/>
        </w:tabs>
        <w:ind w:left="450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227"/>
        </w:tabs>
        <w:ind w:left="522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947"/>
        </w:tabs>
        <w:ind w:left="594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667"/>
        </w:tabs>
        <w:ind w:left="666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387"/>
        </w:tabs>
        <w:ind w:left="7387" w:hanging="180"/>
      </w:pPr>
    </w:lvl>
  </w:abstractNum>
  <w:abstractNum w:abstractNumId="1">
    <w:nsid w:val="232E4FC7"/>
    <w:multiLevelType w:val="singleLevel"/>
    <w:tmpl w:val="91D2A332"/>
    <w:lvl w:ilvl="0">
      <w:start w:val="1"/>
      <w:numFmt w:val="decimal"/>
      <w:lvlRestart w:val="0"/>
      <w:lvlText w:val="%1."/>
      <w:lvlJc w:val="left"/>
      <w:pPr>
        <w:tabs>
          <w:tab w:val="num" w:pos="475"/>
        </w:tabs>
        <w:ind w:left="0" w:firstLine="0"/>
      </w:pPr>
      <w:rPr>
        <w:spacing w:val="0"/>
        <w:w w:val="100"/>
      </w:rPr>
    </w:lvl>
  </w:abstractNum>
  <w:abstractNum w:abstractNumId="2">
    <w:nsid w:val="450A4D49"/>
    <w:multiLevelType w:val="singleLevel"/>
    <w:tmpl w:val="91D2A332"/>
    <w:lvl w:ilvl="0">
      <w:start w:val="1"/>
      <w:numFmt w:val="decimal"/>
      <w:lvlRestart w:val="0"/>
      <w:lvlText w:val="%1."/>
      <w:lvlJc w:val="left"/>
      <w:pPr>
        <w:tabs>
          <w:tab w:val="num" w:pos="475"/>
        </w:tabs>
        <w:ind w:left="0" w:firstLine="0"/>
      </w:pPr>
      <w:rPr>
        <w:spacing w:val="0"/>
        <w:w w:val="10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hyphenationZone w:val="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noColumnBalance/>
    <w:printColBlack/>
    <w:showBreaksInFrames/>
    <w:suppressBottomSpacing/>
    <w:suppressTopSpacing/>
    <w:shapeLayoutLikeWW8/>
    <w:layoutRawTableWidth/>
    <w:doNotBreakWrappedTables/>
    <w:doNotSnapToGridInCell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724995*"/>
    <w:docVar w:name="CreationDt" w:val="15/03/2007 22:15:47"/>
    <w:docVar w:name="DocCategory" w:val="Doc"/>
    <w:docVar w:name="DocType" w:val="Final"/>
    <w:docVar w:name="FooterJN" w:val="07-24995"/>
    <w:docVar w:name="jobn" w:val="07-24995 (S)"/>
    <w:docVar w:name="jobnDT" w:val="07-24995 (S)   150307"/>
    <w:docVar w:name="jobnDTDT" w:val="07-24995 (S)   150307   150307"/>
    <w:docVar w:name="JobNo" w:val="0724995S"/>
    <w:docVar w:name="OandT" w:val="bbravo"/>
    <w:docVar w:name="sss1" w:val="CEDAW/C/COK/Q/1"/>
    <w:docVar w:name="sss2" w:val="-"/>
    <w:docVar w:name="Symbol1" w:val="CEDAW/C/COK/Q/1"/>
    <w:docVar w:name="Symbol2" w:val="-"/>
  </w:docVars>
  <w:rsids>
    <w:rsidRoot w:val="00727B77"/>
    <w:rsid w:val="00011B3B"/>
    <w:rsid w:val="00072B74"/>
    <w:rsid w:val="000A1971"/>
    <w:rsid w:val="00143B7C"/>
    <w:rsid w:val="001A72EA"/>
    <w:rsid w:val="00215AB4"/>
    <w:rsid w:val="002401B6"/>
    <w:rsid w:val="00266F6B"/>
    <w:rsid w:val="00291E3B"/>
    <w:rsid w:val="00296806"/>
    <w:rsid w:val="002E7588"/>
    <w:rsid w:val="003041C2"/>
    <w:rsid w:val="003473F3"/>
    <w:rsid w:val="003C12C7"/>
    <w:rsid w:val="00400307"/>
    <w:rsid w:val="00415056"/>
    <w:rsid w:val="00462608"/>
    <w:rsid w:val="00524C14"/>
    <w:rsid w:val="00604364"/>
    <w:rsid w:val="00612DA1"/>
    <w:rsid w:val="00630CE1"/>
    <w:rsid w:val="00692C23"/>
    <w:rsid w:val="00696921"/>
    <w:rsid w:val="00727B77"/>
    <w:rsid w:val="007C566A"/>
    <w:rsid w:val="007F0694"/>
    <w:rsid w:val="0091591F"/>
    <w:rsid w:val="009540A8"/>
    <w:rsid w:val="009B6140"/>
    <w:rsid w:val="00AC0665"/>
    <w:rsid w:val="00AF1480"/>
    <w:rsid w:val="00B151F5"/>
    <w:rsid w:val="00C9006B"/>
    <w:rsid w:val="00CA5F9C"/>
    <w:rsid w:val="00CB61AC"/>
    <w:rsid w:val="00CD4760"/>
    <w:rsid w:val="00CD4B32"/>
    <w:rsid w:val="00CE1381"/>
    <w:rsid w:val="00D46669"/>
    <w:rsid w:val="00DE6C57"/>
    <w:rsid w:val="00E054C0"/>
    <w:rsid w:val="00E31D49"/>
    <w:rsid w:val="00F336AE"/>
    <w:rsid w:val="00FD009B"/>
    <w:rsid w:val="00FE1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A1971"/>
    <w:pPr>
      <w:suppressAutoHyphens/>
      <w:spacing w:line="240" w:lineRule="exact"/>
    </w:pPr>
    <w:rPr>
      <w:spacing w:val="4"/>
      <w:w w:val="103"/>
      <w:kern w:val="14"/>
      <w:lang w:val="es-ES" w:eastAsia="en-US"/>
    </w:rPr>
  </w:style>
  <w:style w:type="character" w:default="1" w:styleId="DefaultParagraphFont">
    <w:name w:val="Default Paragraph Font"/>
    <w:semiHidden/>
    <w:rsid w:val="000A1971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0A1971"/>
  </w:style>
  <w:style w:type="paragraph" w:customStyle="1" w:styleId="H4">
    <w:name w:val="_ H_4"/>
    <w:basedOn w:val="Normal"/>
    <w:next w:val="Normal"/>
    <w:rsid w:val="000A1971"/>
    <w:pPr>
      <w:keepNext/>
      <w:keepLines/>
      <w:tabs>
        <w:tab w:val="right" w:pos="360"/>
      </w:tabs>
      <w:outlineLvl w:val="3"/>
    </w:pPr>
    <w:rPr>
      <w:i/>
      <w:spacing w:val="3"/>
    </w:rPr>
  </w:style>
  <w:style w:type="paragraph" w:customStyle="1" w:styleId="7P">
    <w:name w:val="_ 7_ P"/>
    <w:basedOn w:val="H4"/>
    <w:next w:val="Normal"/>
    <w:rsid w:val="000A1971"/>
    <w:pPr>
      <w:tabs>
        <w:tab w:val="clear" w:pos="360"/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00" w:lineRule="exact"/>
      <w:ind w:left="1267" w:right="1267" w:hanging="1267"/>
    </w:pPr>
    <w:rPr>
      <w:i w:val="0"/>
      <w:sz w:val="14"/>
    </w:rPr>
  </w:style>
  <w:style w:type="paragraph" w:customStyle="1" w:styleId="H1">
    <w:name w:val="_ H_1"/>
    <w:basedOn w:val="Normal"/>
    <w:next w:val="SingleTxt"/>
    <w:rsid w:val="000A1971"/>
    <w:pPr>
      <w:keepNext/>
      <w:keepLine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rsid w:val="000A1971"/>
    <w:pPr>
      <w:spacing w:line="300" w:lineRule="exact"/>
    </w:pPr>
    <w:rPr>
      <w:spacing w:val="-2"/>
      <w:sz w:val="28"/>
    </w:rPr>
  </w:style>
  <w:style w:type="paragraph" w:customStyle="1" w:styleId="HM">
    <w:name w:val="_ H __M"/>
    <w:basedOn w:val="HCh"/>
    <w:next w:val="Normal"/>
    <w:rsid w:val="000A1971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SingleTxt"/>
    <w:rsid w:val="000A1971"/>
    <w:pPr>
      <w:spacing w:line="240" w:lineRule="exact"/>
      <w:outlineLvl w:val="1"/>
    </w:pPr>
    <w:rPr>
      <w:spacing w:val="2"/>
      <w:sz w:val="20"/>
    </w:rPr>
  </w:style>
  <w:style w:type="paragraph" w:customStyle="1" w:styleId="H56">
    <w:name w:val="_ H_5/6"/>
    <w:basedOn w:val="Normal"/>
    <w:next w:val="Normal"/>
    <w:rsid w:val="000A1971"/>
    <w:pPr>
      <w:keepNext/>
      <w:keepLines/>
      <w:tabs>
        <w:tab w:val="right" w:pos="360"/>
      </w:tabs>
      <w:outlineLvl w:val="4"/>
    </w:pPr>
  </w:style>
  <w:style w:type="paragraph" w:customStyle="1" w:styleId="DualTxt">
    <w:name w:val="__Dual Txt"/>
    <w:basedOn w:val="Normal"/>
    <w:rsid w:val="000A1971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uppressAutoHyphens w:val="0"/>
      <w:spacing w:after="120"/>
      <w:jc w:val="both"/>
    </w:pPr>
  </w:style>
  <w:style w:type="paragraph" w:customStyle="1" w:styleId="SM">
    <w:name w:val="__S_M"/>
    <w:basedOn w:val="Normal"/>
    <w:next w:val="Normal"/>
    <w:rsid w:val="000A1971"/>
    <w:pPr>
      <w:keepNext/>
      <w:keepLines/>
      <w:tabs>
        <w:tab w:val="right" w:leader="dot" w:pos="360"/>
      </w:tabs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0A1971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0A1971"/>
    <w:pPr>
      <w:ind w:left="1267" w:right="1267"/>
    </w:pPr>
  </w:style>
  <w:style w:type="paragraph" w:customStyle="1" w:styleId="SingleTxt">
    <w:name w:val="__Single Txt"/>
    <w:basedOn w:val="Normal"/>
    <w:rsid w:val="000A1971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 w:val="0"/>
      <w:spacing w:after="120"/>
      <w:ind w:left="1267" w:right="1267"/>
      <w:jc w:val="both"/>
    </w:pPr>
  </w:style>
  <w:style w:type="paragraph" w:styleId="BalloonText">
    <w:name w:val="Balloon Text"/>
    <w:basedOn w:val="Normal"/>
    <w:semiHidden/>
    <w:rsid w:val="000A1971"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sid w:val="000A1971"/>
    <w:rPr>
      <w:sz w:val="6"/>
    </w:rPr>
  </w:style>
  <w:style w:type="character" w:styleId="FootnoteReference">
    <w:name w:val="footnote reference"/>
    <w:semiHidden/>
    <w:rsid w:val="000A1971"/>
    <w:rPr>
      <w:color w:val="FF0000"/>
      <w:spacing w:val="-5"/>
      <w:w w:val="130"/>
      <w:position w:val="-4"/>
      <w:vertAlign w:val="superscript"/>
    </w:rPr>
  </w:style>
  <w:style w:type="character" w:styleId="EndnoteReference">
    <w:name w:val="endnote reference"/>
    <w:semiHidden/>
    <w:rsid w:val="000A1971"/>
    <w:rPr>
      <w:color w:val="FF00FF"/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0A1971"/>
    <w:pPr>
      <w:tabs>
        <w:tab w:val="right" w:pos="418"/>
      </w:tabs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0A1971"/>
    <w:pPr>
      <w:spacing w:after="80"/>
    </w:pPr>
  </w:style>
  <w:style w:type="paragraph" w:styleId="Footer">
    <w:name w:val="footer"/>
    <w:rsid w:val="000A1971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0A1971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0A1971"/>
    <w:rPr>
      <w:sz w:val="14"/>
    </w:rPr>
  </w:style>
  <w:style w:type="paragraph" w:customStyle="1" w:styleId="Small">
    <w:name w:val="Small"/>
    <w:basedOn w:val="Normal"/>
    <w:next w:val="Normal"/>
    <w:rsid w:val="000A1971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0A1971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0A1971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296806"/>
  </w:style>
  <w:style w:type="paragraph" w:styleId="CommentSubject">
    <w:name w:val="annotation subject"/>
    <w:basedOn w:val="CommentText"/>
    <w:next w:val="CommentText"/>
    <w:semiHidden/>
    <w:rsid w:val="0029680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87</TotalTime>
  <Pages>1</Pages>
  <Words>1680</Words>
  <Characters>8772</Characters>
  <Application>Microsoft Office Word</Application>
  <DocSecurity>4</DocSecurity>
  <Lines>190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Stpu</vt:lpstr>
    </vt:vector>
  </TitlesOfParts>
  <Company>United Nations</Company>
  <LinksUpToDate>false</LinksUpToDate>
  <CharactersWithSpaces>10397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Stpu</dc:title>
  <dc:subject/>
  <dc:creator>BRAVO, Bertha</dc:creator>
  <cp:keywords/>
  <dc:description/>
  <cp:lastModifiedBy>Cruz, Marina</cp:lastModifiedBy>
  <cp:revision>34</cp:revision>
  <cp:lastPrinted>2007-03-16T10:28:00Z</cp:lastPrinted>
  <dcterms:created xsi:type="dcterms:W3CDTF">2007-03-15T21:15:00Z</dcterms:created>
  <dcterms:modified xsi:type="dcterms:W3CDTF">2007-03-16T10:29:00Z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0724995</vt:lpwstr>
  </property>
  <property fmtid="{D5CDD505-2E9C-101B-9397-08002B2CF9AE}" pid="3" name="Symbol1">
    <vt:lpwstr>CEDAW/C/COK/Q/1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4</vt:lpwstr>
  </property>
  <property fmtid="{D5CDD505-2E9C-101B-9397-08002B2CF9AE}" pid="8" name="Operator">
    <vt:lpwstr>bbravo/mc</vt:lpwstr>
  </property>
</Properties>
</file>