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3C7" w:rsidRDefault="001C63C7" w:rsidP="001C63C7">
      <w:pPr>
        <w:spacing w:line="60" w:lineRule="exact"/>
        <w:sectPr w:rsidR="001C63C7" w:rsidSect="001C63C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0"/>
      <w:r>
        <w:rPr>
          <w:rStyle w:val="CommentReference"/>
        </w:rPr>
        <w:commentReference w:id="0"/>
      </w:r>
    </w:p>
    <w:p w:rsidR="001C63C7" w:rsidRDefault="001C63C7" w:rsidP="001C63C7">
      <w:pPr>
        <w:spacing w:line="60" w:lineRule="exact"/>
        <w:rPr>
          <w:rFonts w:hint="eastAsia"/>
        </w:rPr>
      </w:pPr>
    </w:p>
    <w:p w:rsidR="00D411D7" w:rsidRPr="00D62154" w:rsidRDefault="00D411D7" w:rsidP="00D621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62154">
        <w:rPr>
          <w:rFonts w:hint="eastAsia"/>
        </w:rPr>
        <w:t>消除对妇女歧视委员会</w:t>
      </w:r>
    </w:p>
    <w:p w:rsidR="00D62154" w:rsidRPr="00D62154" w:rsidRDefault="00D62154" w:rsidP="00D621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62154" w:rsidRPr="00D62154" w:rsidRDefault="00D62154" w:rsidP="00D621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411D7" w:rsidRPr="00D62154" w:rsidRDefault="00D62154" w:rsidP="00D621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D411D7" w:rsidRPr="00D62154">
        <w:rPr>
          <w:rFonts w:hint="eastAsia"/>
        </w:rPr>
        <w:t>与委内瑞拉玻利瓦尔共和国第七和第八次合并定期报告有关的议题和问题清单</w:t>
      </w:r>
      <w:r w:rsidR="00D411D7" w:rsidRPr="00D62154">
        <w:rPr>
          <w:rFonts w:hint="eastAsia"/>
          <w:vertAlign w:val="superscript"/>
        </w:rPr>
        <w:t>*</w:t>
      </w:r>
    </w:p>
    <w:p w:rsidR="00D62154" w:rsidRPr="00D62154" w:rsidRDefault="00D62154" w:rsidP="00D621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立法和体制框架</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w:t>
      </w:r>
      <w:r>
        <w:rPr>
          <w:rFonts w:hint="eastAsia"/>
        </w:rPr>
        <w:tab/>
        <w:t>请提供信息说明《妇女享有性别平等和公平权利法案》</w:t>
      </w:r>
      <w:r w:rsidR="00E6214F">
        <w:rPr>
          <w:rFonts w:hint="eastAsia"/>
        </w:rPr>
        <w:t>(</w:t>
      </w:r>
      <w:hyperlink r:id="rId14" w:history="1">
        <w:r w:rsidRPr="00A47B97">
          <w:rPr>
            <w:rStyle w:val="Hyperlink"/>
            <w:rFonts w:hint="eastAsia"/>
          </w:rPr>
          <w:t>CEDAW/C/VEN/7-8</w:t>
        </w:r>
      </w:hyperlink>
      <w:r>
        <w:rPr>
          <w:rFonts w:hint="eastAsia"/>
        </w:rPr>
        <w:t>，第15段</w:t>
      </w:r>
      <w:r w:rsidR="00E6214F">
        <w:rPr>
          <w:rFonts w:hint="eastAsia"/>
        </w:rPr>
        <w:t>)</w:t>
      </w:r>
      <w:r>
        <w:rPr>
          <w:rStyle w:val="FootnoteReference"/>
        </w:rPr>
        <w:footnoteReference w:id="1"/>
      </w:r>
      <w:r>
        <w:rPr>
          <w:rFonts w:hint="eastAsia"/>
        </w:rPr>
        <w:t xml:space="preserve"> 的状况，并说明该法案是否包含与《公约》第1条一致的关于歧视妇女的定义。请提供最新详细资料，说明全面审查《刑法典》，特别是关于保证男女平等的条文的修正案的情况</w:t>
      </w:r>
      <w:r w:rsidR="00E6214F">
        <w:rPr>
          <w:rFonts w:hint="eastAsia"/>
        </w:rPr>
        <w:t>(</w:t>
      </w:r>
      <w:r>
        <w:rPr>
          <w:rFonts w:hint="eastAsia"/>
        </w:rPr>
        <w:t>第17段</w:t>
      </w:r>
      <w:r w:rsidR="00E6214F">
        <w:rPr>
          <w:rFonts w:hint="eastAsia"/>
        </w:rPr>
        <w:t>)</w:t>
      </w:r>
      <w:r>
        <w:rPr>
          <w:rFonts w:hint="eastAsia"/>
        </w:rPr>
        <w:t>。</w:t>
      </w:r>
    </w:p>
    <w:p w:rsidR="00D411D7" w:rsidRDefault="00D411D7" w:rsidP="00D411D7">
      <w:pPr>
        <w:pStyle w:val="SingleTxt"/>
        <w:rPr>
          <w:rFonts w:hint="eastAsia"/>
        </w:rPr>
      </w:pPr>
      <w:r>
        <w:rPr>
          <w:rFonts w:hint="eastAsia"/>
        </w:rPr>
        <w:t>2.</w:t>
      </w:r>
      <w:r>
        <w:rPr>
          <w:rFonts w:hint="eastAsia"/>
        </w:rPr>
        <w:tab/>
        <w:t>报告说，缔约国已推出在2009-2013年期间保障和加强妇女权利的妇女平等计划</w:t>
      </w:r>
      <w:r w:rsidR="00E6214F">
        <w:rPr>
          <w:rFonts w:hint="eastAsia"/>
        </w:rPr>
        <w:t>(</w:t>
      </w:r>
      <w:r>
        <w:rPr>
          <w:rFonts w:hint="eastAsia"/>
        </w:rPr>
        <w:t>第26段</w:t>
      </w:r>
      <w:r w:rsidR="00E6214F">
        <w:rPr>
          <w:rFonts w:hint="eastAsia"/>
        </w:rPr>
        <w:t>)</w:t>
      </w:r>
      <w:r>
        <w:rPr>
          <w:rFonts w:hint="eastAsia"/>
        </w:rPr>
        <w:t>。请说明是否已监测和评估该计划，如果有，请说明所取得的成果。请说明缔约国有否设想制定新的妇女平等计划，如果有，请说明其主要内容。请提供有关性别统计小组委员会工作的最新信息，特别是关于其制定的并于2011年提出的性别指标的执行情况</w:t>
      </w:r>
      <w:r w:rsidR="00E6214F">
        <w:rPr>
          <w:rFonts w:hint="eastAsia"/>
        </w:rPr>
        <w:t>(</w:t>
      </w:r>
      <w:r>
        <w:rPr>
          <w:rFonts w:hint="eastAsia"/>
        </w:rPr>
        <w:t>第31和32段</w:t>
      </w:r>
      <w:r w:rsidR="00E6214F">
        <w:rPr>
          <w:rFonts w:hint="eastAsia"/>
        </w:rPr>
        <w:t>)</w:t>
      </w:r>
      <w:r>
        <w:rPr>
          <w:rFonts w:hint="eastAsia"/>
        </w:rPr>
        <w:t>。</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诉诸法律</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3.</w:t>
      </w:r>
      <w:r w:rsidR="00E10CA8">
        <w:tab/>
      </w:r>
      <w:r>
        <w:rPr>
          <w:rFonts w:hint="eastAsia"/>
        </w:rPr>
        <w:t>报告中提到最高法院在2010年设立了全国性别问题司法委员会</w:t>
      </w:r>
      <w:r w:rsidR="00E6214F">
        <w:rPr>
          <w:rFonts w:hint="eastAsia"/>
        </w:rPr>
        <w:t>，</w:t>
      </w:r>
      <w:r>
        <w:rPr>
          <w:rFonts w:hint="eastAsia"/>
        </w:rPr>
        <w:t>该委员会制定政策，保障妇女诉诸司法的权利和加强“性别问题司法系统”</w:t>
      </w:r>
      <w:r w:rsidR="00E6214F">
        <w:rPr>
          <w:rFonts w:hint="eastAsia"/>
        </w:rPr>
        <w:t>(</w:t>
      </w:r>
      <w:r>
        <w:rPr>
          <w:rFonts w:hint="eastAsia"/>
        </w:rPr>
        <w:t>第73段</w:t>
      </w:r>
      <w:r w:rsidR="00E6214F">
        <w:rPr>
          <w:rFonts w:hint="eastAsia"/>
        </w:rPr>
        <w:t>)</w:t>
      </w:r>
      <w:r>
        <w:rPr>
          <w:rFonts w:hint="eastAsia"/>
        </w:rPr>
        <w:t>。请提供信息说明委员会为制订战略和政策，消除妇女在诉诸司法方面面临的体制、社会、经济和其他障碍而采取的具体措施。也请提供信息说明所取得的成果。请说明委员会在性别司法系统各组成部分所起的作用</w:t>
      </w:r>
      <w:r w:rsidR="00E6214F">
        <w:rPr>
          <w:rFonts w:hint="eastAsia"/>
        </w:rPr>
        <w:t>(</w:t>
      </w:r>
      <w:r>
        <w:rPr>
          <w:rFonts w:hint="eastAsia"/>
        </w:rPr>
        <w:t>第72段</w:t>
      </w:r>
      <w:r w:rsidR="00E6214F">
        <w:rPr>
          <w:rFonts w:hint="eastAsia"/>
        </w:rPr>
        <w:t>)</w:t>
      </w:r>
      <w:r>
        <w:rPr>
          <w:rFonts w:hint="eastAsia"/>
        </w:rPr>
        <w:t>。</w:t>
      </w:r>
    </w:p>
    <w:p w:rsidR="00D411D7" w:rsidRDefault="00D411D7" w:rsidP="00D411D7">
      <w:pPr>
        <w:pStyle w:val="SingleTxt"/>
        <w:rPr>
          <w:rFonts w:hint="eastAsia"/>
        </w:rPr>
      </w:pPr>
      <w:r>
        <w:rPr>
          <w:rFonts w:hint="eastAsia"/>
        </w:rPr>
        <w:t>4.</w:t>
      </w:r>
      <w:r w:rsidR="00E10CA8">
        <w:tab/>
      </w:r>
      <w:r>
        <w:rPr>
          <w:rFonts w:hint="eastAsia"/>
        </w:rPr>
        <w:t>请进一步详细说明公诉处收到的侵犯妇女权利的投诉，如收到的投诉数目、侵犯权利的类型、受害人与行为人的关系、受害人年龄以及调查、起诉和定罪的数目</w:t>
      </w:r>
      <w:r w:rsidR="00E6214F">
        <w:rPr>
          <w:rFonts w:hint="eastAsia"/>
        </w:rPr>
        <w:t>(</w:t>
      </w:r>
      <w:r>
        <w:rPr>
          <w:rFonts w:hint="eastAsia"/>
        </w:rPr>
        <w:t>第83段</w:t>
      </w:r>
      <w:r w:rsidR="00E6214F">
        <w:rPr>
          <w:rFonts w:hint="eastAsia"/>
        </w:rPr>
        <w:t>)</w:t>
      </w:r>
      <w:r>
        <w:rPr>
          <w:rFonts w:hint="eastAsia"/>
        </w:rPr>
        <w:t>。还清更新2011年至2013年的数据。</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提高妇女地位的国家机构</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5.</w:t>
      </w:r>
      <w:r>
        <w:rPr>
          <w:rFonts w:hint="eastAsia"/>
        </w:rPr>
        <w:tab/>
        <w:t>报告中指出，于2009年设立的人民力量促进妇女和性别平等部是一个以提高妇女地位为目的的国家机构</w:t>
      </w:r>
      <w:r w:rsidR="00E6214F">
        <w:rPr>
          <w:rFonts w:hint="eastAsia"/>
        </w:rPr>
        <w:t>(</w:t>
      </w:r>
      <w:r>
        <w:rPr>
          <w:rFonts w:hint="eastAsia"/>
        </w:rPr>
        <w:t>第20段</w:t>
      </w:r>
      <w:r w:rsidR="00E6214F">
        <w:rPr>
          <w:rFonts w:hint="eastAsia"/>
        </w:rPr>
        <w:t>)</w:t>
      </w:r>
      <w:r>
        <w:rPr>
          <w:rFonts w:hint="eastAsia"/>
        </w:rPr>
        <w:t>。该部在全国23个州设立了办事处</w:t>
      </w:r>
      <w:r w:rsidR="00E6214F">
        <w:rPr>
          <w:rFonts w:hint="eastAsia"/>
        </w:rPr>
        <w:t>(</w:t>
      </w:r>
      <w:r>
        <w:rPr>
          <w:rFonts w:hint="eastAsia"/>
        </w:rPr>
        <w:t>第21段</w:t>
      </w:r>
      <w:r w:rsidR="00E6214F">
        <w:rPr>
          <w:rFonts w:hint="eastAsia"/>
        </w:rPr>
        <w:t>)</w:t>
      </w:r>
      <w:r>
        <w:rPr>
          <w:rFonts w:hint="eastAsia"/>
        </w:rPr>
        <w:t>。请详细说明该部的任务和人力财力资源。</w:t>
      </w:r>
    </w:p>
    <w:p w:rsidR="00D411D7" w:rsidRDefault="00D411D7" w:rsidP="00D411D7">
      <w:pPr>
        <w:pStyle w:val="SingleTxt"/>
        <w:rPr>
          <w:rFonts w:hint="eastAsia"/>
        </w:rPr>
      </w:pPr>
      <w:r>
        <w:rPr>
          <w:rFonts w:hint="eastAsia"/>
        </w:rPr>
        <w:t>6.</w:t>
      </w:r>
      <w:r>
        <w:rPr>
          <w:rFonts w:hint="eastAsia"/>
        </w:rPr>
        <w:tab/>
        <w:t>报告中提到在人民力量促进妇女和性别平等部内设立了国家妇女权利办公室，其任务是保证妇女能够以有效和透明方式诉诸司法</w:t>
      </w:r>
      <w:r w:rsidR="00E6214F">
        <w:rPr>
          <w:rFonts w:hint="eastAsia"/>
        </w:rPr>
        <w:t>(</w:t>
      </w:r>
      <w:r>
        <w:rPr>
          <w:rFonts w:hint="eastAsia"/>
        </w:rPr>
        <w:t>第78段</w:t>
      </w:r>
      <w:r w:rsidR="00E6214F">
        <w:rPr>
          <w:rFonts w:hint="eastAsia"/>
        </w:rPr>
        <w:t>)</w:t>
      </w:r>
      <w:r>
        <w:rPr>
          <w:rFonts w:hint="eastAsia"/>
        </w:rPr>
        <w:t>。请进一步说明办公室的任务，包括其是否在《公约》涵盖的所有领域处理关于歧视妇女的投诉。</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定型观念</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7.</w:t>
      </w:r>
      <w:r>
        <w:rPr>
          <w:rFonts w:hint="eastAsia"/>
        </w:rPr>
        <w:tab/>
        <w:t>请提供信息说明已采取何种既以一般公众为对象又以为妇女提供服务的专业人士为对象的措施，以消除重男轻女观念和关于男女在社会所起作用的定型观念。请提供信息说明已采取何种措施以消除促使对妇女持有定型观念的做法，尤其是媒体的做法，如将妇女和女童描述为性玩物和以符合社会期待的方式呈现女性的身体。请提供信息说明在执行《广播电视社会责任法》</w:t>
      </w:r>
      <w:r w:rsidR="00E6214F">
        <w:rPr>
          <w:rFonts w:hint="eastAsia"/>
        </w:rPr>
        <w:t>(</w:t>
      </w:r>
      <w:r>
        <w:rPr>
          <w:rFonts w:hint="eastAsia"/>
        </w:rPr>
        <w:t>2011</w:t>
      </w:r>
      <w:r w:rsidR="00E6214F">
        <w:rPr>
          <w:rFonts w:hint="eastAsia"/>
        </w:rPr>
        <w:t>)</w:t>
      </w:r>
      <w:r>
        <w:rPr>
          <w:rFonts w:hint="eastAsia"/>
        </w:rPr>
        <w:t>方面面临的问题，该法的目的是消除对妇女的定型观念</w:t>
      </w:r>
      <w:r w:rsidR="00E6214F">
        <w:rPr>
          <w:rFonts w:hint="eastAsia"/>
        </w:rPr>
        <w:t>(</w:t>
      </w:r>
      <w:r>
        <w:rPr>
          <w:rFonts w:hint="eastAsia"/>
        </w:rPr>
        <w:t>第62至64段</w:t>
      </w:r>
      <w:r w:rsidR="00E6214F">
        <w:rPr>
          <w:rFonts w:hint="eastAsia"/>
        </w:rPr>
        <w:t>)</w:t>
      </w:r>
      <w:r>
        <w:rPr>
          <w:rFonts w:hint="eastAsia"/>
        </w:rPr>
        <w:t>。</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侵害妇女的暴力行为</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8.</w:t>
      </w:r>
      <w:r>
        <w:rPr>
          <w:rFonts w:hint="eastAsia"/>
        </w:rPr>
        <w:tab/>
        <w:t>请提供信息说明在确保有效实施《妇女享有无暴力生活权利法案》</w:t>
      </w:r>
      <w:r w:rsidR="00E6214F">
        <w:rPr>
          <w:rFonts w:hint="eastAsia"/>
        </w:rPr>
        <w:t>(</w:t>
      </w:r>
      <w:r>
        <w:rPr>
          <w:rFonts w:hint="eastAsia"/>
        </w:rPr>
        <w:t>2007年</w:t>
      </w:r>
      <w:r w:rsidR="00E6214F">
        <w:rPr>
          <w:rFonts w:hint="eastAsia"/>
        </w:rPr>
        <w:t>)</w:t>
      </w:r>
      <w:r>
        <w:rPr>
          <w:rFonts w:hint="eastAsia"/>
        </w:rPr>
        <w:t>方面面临的问题，以及为克服这些问题采取的措施。请提供关于为了在该法案中将杀害妇女行为定为刑事犯罪和规定处罚而提出的法案修正案的信息。</w:t>
      </w:r>
    </w:p>
    <w:p w:rsidR="00D411D7" w:rsidRDefault="00D411D7" w:rsidP="00D411D7">
      <w:pPr>
        <w:pStyle w:val="SingleTxt"/>
        <w:rPr>
          <w:rFonts w:hint="eastAsia"/>
        </w:rPr>
      </w:pPr>
      <w:r>
        <w:rPr>
          <w:rFonts w:hint="eastAsia"/>
        </w:rPr>
        <w:t>9.</w:t>
      </w:r>
      <w:r>
        <w:rPr>
          <w:rFonts w:hint="eastAsia"/>
        </w:rPr>
        <w:tab/>
        <w:t>报告中提到，在2011年至2012年6月采取了与侵害妇女的暴力行为有关的25</w:t>
      </w:r>
      <w:r w:rsidR="00E10CA8">
        <w:t xml:space="preserve"> </w:t>
      </w:r>
      <w:r>
        <w:rPr>
          <w:rFonts w:hint="eastAsia"/>
        </w:rPr>
        <w:t>215项保护措施和13</w:t>
      </w:r>
      <w:r w:rsidR="00E10CA8">
        <w:t xml:space="preserve"> </w:t>
      </w:r>
      <w:r>
        <w:rPr>
          <w:rFonts w:hint="eastAsia"/>
        </w:rPr>
        <w:t>315项预防措施</w:t>
      </w:r>
      <w:r w:rsidR="00E6214F">
        <w:rPr>
          <w:rFonts w:hint="eastAsia"/>
        </w:rPr>
        <w:t>(</w:t>
      </w:r>
      <w:r>
        <w:rPr>
          <w:rFonts w:hint="eastAsia"/>
        </w:rPr>
        <w:t>第85至86段</w:t>
      </w:r>
      <w:r w:rsidR="00E6214F">
        <w:rPr>
          <w:rFonts w:hint="eastAsia"/>
        </w:rPr>
        <w:t>)</w:t>
      </w:r>
      <w:r>
        <w:rPr>
          <w:rFonts w:hint="eastAsia"/>
        </w:rPr>
        <w:t>。请提供信息说明缔约国内暴力侵害妇女行为盛行的根源。请提供按暴力侵害妇女案件受害人和行为人之间关系，调查、起诉和定罪数目以及给予受害人赔偿的数目和类型分列的数据。</w:t>
      </w:r>
    </w:p>
    <w:p w:rsidR="00D411D7" w:rsidRDefault="00D411D7" w:rsidP="00D411D7">
      <w:pPr>
        <w:pStyle w:val="SingleTxt"/>
        <w:rPr>
          <w:rFonts w:hint="eastAsia"/>
        </w:rPr>
      </w:pPr>
      <w:r>
        <w:rPr>
          <w:rFonts w:hint="eastAsia"/>
        </w:rPr>
        <w:t>10.</w:t>
      </w:r>
      <w:r>
        <w:rPr>
          <w:rFonts w:hint="eastAsia"/>
        </w:rPr>
        <w:tab/>
        <w:t>请进一步提供信息，说明为受暴力侵害妇女提供庇护所的情况，特别是设立了多少这样的庇护所，设在何处，有哪些管制其运作的条例，哪个机构负责庇护所的运行，是否有监督机构定期监督为受暴力侵害妇女提供的服务</w:t>
      </w:r>
      <w:r w:rsidR="00E6214F">
        <w:rPr>
          <w:rFonts w:hint="eastAsia"/>
        </w:rPr>
        <w:t>(</w:t>
      </w:r>
      <w:r>
        <w:rPr>
          <w:rFonts w:hint="eastAsia"/>
        </w:rPr>
        <w:t>第78段</w:t>
      </w:r>
      <w:r w:rsidR="00E6214F">
        <w:rPr>
          <w:rFonts w:hint="eastAsia"/>
        </w:rPr>
        <w:t>)</w:t>
      </w:r>
      <w:r>
        <w:rPr>
          <w:rFonts w:hint="eastAsia"/>
        </w:rPr>
        <w:t>。</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贩运妇女和利用妇女卖淫营利</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11.</w:t>
      </w:r>
      <w:r>
        <w:rPr>
          <w:rFonts w:hint="eastAsia"/>
        </w:rPr>
        <w:tab/>
        <w:t>请提供信息说明在缔约国，尤其是在边界地区，贩运妇女和女童盛行的问题。请提供关于贩运人口法案将在何时通过的最新信息</w:t>
      </w:r>
      <w:r w:rsidR="00E6214F">
        <w:rPr>
          <w:rFonts w:hint="eastAsia"/>
        </w:rPr>
        <w:t>(</w:t>
      </w:r>
      <w:r>
        <w:rPr>
          <w:rFonts w:hint="eastAsia"/>
        </w:rPr>
        <w:t>第92段</w:t>
      </w:r>
      <w:r w:rsidR="00E6214F">
        <w:rPr>
          <w:rFonts w:hint="eastAsia"/>
        </w:rPr>
        <w:t>)</w:t>
      </w:r>
      <w:r>
        <w:rPr>
          <w:rFonts w:hint="eastAsia"/>
        </w:rPr>
        <w:t>。请进一步提供信息，说明预防、禁止和惩治贩运人口行为国家行动计划的执行情况和取得的进展</w:t>
      </w:r>
      <w:r w:rsidR="00E6214F">
        <w:rPr>
          <w:rFonts w:hint="eastAsia"/>
        </w:rPr>
        <w:t>(</w:t>
      </w:r>
      <w:r>
        <w:rPr>
          <w:rFonts w:hint="eastAsia"/>
        </w:rPr>
        <w:t>第98段</w:t>
      </w:r>
      <w:r w:rsidR="00E6214F">
        <w:rPr>
          <w:rFonts w:hint="eastAsia"/>
        </w:rPr>
        <w:t>)</w:t>
      </w:r>
      <w:r>
        <w:rPr>
          <w:rFonts w:hint="eastAsia"/>
        </w:rPr>
        <w:t>，特别是在为性剥削目的贩运妇女和女童方面。请提供信息说明有关卖淫的现行法律框架，卖淫在该国的广泛程度，以及想脱离卖淫活动的妇女可获得的援助。也请提供信息说明按照委员会先前建议，为减少对娼妓的需求而采取的措施</w:t>
      </w:r>
      <w:r w:rsidR="00E6214F">
        <w:rPr>
          <w:rFonts w:hint="eastAsia"/>
        </w:rPr>
        <w:t>(</w:t>
      </w:r>
      <w:hyperlink r:id="rId15" w:history="1">
        <w:r w:rsidRPr="00A47B97">
          <w:rPr>
            <w:rStyle w:val="Hyperlink"/>
            <w:rFonts w:hint="eastAsia"/>
          </w:rPr>
          <w:t>CEDAW/C/VEN/CO/6</w:t>
        </w:r>
      </w:hyperlink>
      <w:r>
        <w:rPr>
          <w:rFonts w:hint="eastAsia"/>
        </w:rPr>
        <w:t>，第28段</w:t>
      </w:r>
      <w:r w:rsidR="00E6214F">
        <w:rPr>
          <w:rFonts w:hint="eastAsia"/>
        </w:rPr>
        <w:t>)</w:t>
      </w:r>
      <w:r>
        <w:rPr>
          <w:rFonts w:hint="eastAsia"/>
        </w:rPr>
        <w:t>。</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参与政治和公共生活</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12.</w:t>
      </w:r>
      <w:r>
        <w:rPr>
          <w:rFonts w:hint="eastAsia"/>
        </w:rPr>
        <w:tab/>
        <w:t>报告指出，全国选举委员会第080721-658/2008号决定定出的原则是，候选人名单中男女人数平等和轮流掌权</w:t>
      </w:r>
      <w:r w:rsidR="00E6214F">
        <w:rPr>
          <w:rFonts w:hint="eastAsia"/>
        </w:rPr>
        <w:t>(</w:t>
      </w:r>
      <w:r>
        <w:rPr>
          <w:rFonts w:hint="eastAsia"/>
        </w:rPr>
        <w:t>第102段</w:t>
      </w:r>
      <w:r w:rsidR="00E6214F">
        <w:rPr>
          <w:rFonts w:hint="eastAsia"/>
        </w:rPr>
        <w:t>)</w:t>
      </w:r>
      <w:r>
        <w:rPr>
          <w:rFonts w:hint="eastAsia"/>
        </w:rPr>
        <w:t>。请进一步提供信息，说明该决定的有效和全面执行情况，及其对妇女在国民议会和其他民选职位任职人数的影响。还请提供信息说明为确保在政府行政和司法部门男女有同等任职人数，已按照《公约》第4条第1款和委员会一般性建议第25号采取或拟采取的任何临时特别措施。</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教育</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13.</w:t>
      </w:r>
      <w:r>
        <w:rPr>
          <w:rFonts w:hint="eastAsia"/>
        </w:rPr>
        <w:tab/>
        <w:t>请提供信息说明为提高教育质量，特别是小学和中学教育质量而采取的措施，如修改学校课程和加强教师能力。也请提供信息说明已采取何种措施使关于性与生殖健康和权利的全面、有效和适合有关年龄段的方案成为青春期男女孩学校课程的常规部分，并说明各项旨在消除男女在社会所起作用的负面定型观念的方案。</w:t>
      </w:r>
    </w:p>
    <w:p w:rsidR="00D411D7" w:rsidRDefault="00D411D7" w:rsidP="00D411D7">
      <w:pPr>
        <w:pStyle w:val="SingleTxt"/>
        <w:rPr>
          <w:rFonts w:hint="eastAsia"/>
        </w:rPr>
      </w:pPr>
      <w:r>
        <w:rPr>
          <w:rFonts w:hint="eastAsia"/>
        </w:rPr>
        <w:t>14.</w:t>
      </w:r>
      <w:r>
        <w:rPr>
          <w:rFonts w:hint="eastAsia"/>
        </w:rPr>
        <w:tab/>
        <w:t>请提供特别是农村地区中学和大专学生辍学率按性别分列的数据，并提供信息说明为降低女孩辍学率，尤其是怀孕导致的辍学率而采取的具体措施。请提供关于女孩获得技术职业教育机会的进一步信息，包括这些教育所涉领域和女孩入学人数。</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就业</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15.</w:t>
      </w:r>
      <w:r>
        <w:rPr>
          <w:rFonts w:hint="eastAsia"/>
        </w:rPr>
        <w:tab/>
        <w:t>请提供信息说明已采取何种具体措施以缩小男女工资差距、确保实施同工同酬原则和消除特别是在私营部门妇女集中在低技术工作的状况</w:t>
      </w:r>
      <w:r w:rsidR="00E6214F">
        <w:rPr>
          <w:rFonts w:hint="eastAsia"/>
        </w:rPr>
        <w:t>(</w:t>
      </w:r>
      <w:r>
        <w:rPr>
          <w:rFonts w:hint="eastAsia"/>
        </w:rPr>
        <w:t>第147段</w:t>
      </w:r>
      <w:r w:rsidR="00E6214F">
        <w:rPr>
          <w:rFonts w:hint="eastAsia"/>
        </w:rPr>
        <w:t>)</w:t>
      </w:r>
      <w:r>
        <w:rPr>
          <w:rFonts w:hint="eastAsia"/>
        </w:rPr>
        <w:t>。请提供信息说明于2012年4月通过的第8921号总统令的执行情况，根据该令，在非正规部门工作的妇女和家庭主妇都加入社会保障制度。请提供信息说明已采取何种措施确保保护孕产妇的法律框架，包括制裁雇主的规定得到执行</w:t>
      </w:r>
      <w:r w:rsidR="00E6214F">
        <w:rPr>
          <w:rFonts w:hint="eastAsia"/>
        </w:rPr>
        <w:t>(</w:t>
      </w:r>
      <w:r>
        <w:rPr>
          <w:rFonts w:hint="eastAsia"/>
        </w:rPr>
        <w:t>第151段</w:t>
      </w:r>
      <w:r w:rsidR="00E6214F">
        <w:rPr>
          <w:rFonts w:hint="eastAsia"/>
        </w:rPr>
        <w:t>)</w:t>
      </w:r>
      <w:r>
        <w:rPr>
          <w:rFonts w:hint="eastAsia"/>
        </w:rPr>
        <w:t>。请提供信息说明为对付性骚扰而采取的措施，并说明劳工法和其他相关法律有无纳入工作场所禁止性骚扰的规定。</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健康</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16.</w:t>
      </w:r>
      <w:r>
        <w:rPr>
          <w:rFonts w:hint="eastAsia"/>
        </w:rPr>
        <w:tab/>
        <w:t>请提供信息说明有无对迄今为降低孕产妇死亡率而采取的措施进行评估，以查明死亡率停滞不动的原因</w:t>
      </w:r>
      <w:r w:rsidR="00E6214F">
        <w:rPr>
          <w:rFonts w:hint="eastAsia"/>
        </w:rPr>
        <w:t>(</w:t>
      </w:r>
      <w:r>
        <w:rPr>
          <w:rFonts w:hint="eastAsia"/>
        </w:rPr>
        <w:t>第179段</w:t>
      </w:r>
      <w:r w:rsidR="00E6214F">
        <w:rPr>
          <w:rFonts w:hint="eastAsia"/>
        </w:rPr>
        <w:t>)</w:t>
      </w:r>
      <w:r>
        <w:rPr>
          <w:rFonts w:hint="eastAsia"/>
        </w:rPr>
        <w:t>，如果有，请说明有否设想采取降低孕产妇死亡率的新措施。请进一步提供信息说明《性与生殖健康全面护理正式规定》的执行情况，特别是说明为减少少女怀孕人数而采取的措施和所取得的成果</w:t>
      </w:r>
      <w:r w:rsidR="00E6214F">
        <w:rPr>
          <w:rFonts w:hint="eastAsia"/>
        </w:rPr>
        <w:t>(</w:t>
      </w:r>
      <w:r>
        <w:rPr>
          <w:rFonts w:hint="eastAsia"/>
        </w:rPr>
        <w:t>第199段</w:t>
      </w:r>
      <w:r w:rsidR="00E6214F">
        <w:rPr>
          <w:rFonts w:hint="eastAsia"/>
        </w:rPr>
        <w:t>)</w:t>
      </w:r>
      <w:r>
        <w:rPr>
          <w:rFonts w:hint="eastAsia"/>
        </w:rPr>
        <w:t>。请提供信息说明不安全人工流产的普遍程度，并说明为确保妇女能够获得人工流产后服务而采取的措施。还请提供信息说明关于堕胎合法化，至少在某些情况下合法化的讨论情况，并说明为使接受堕胎的妇女不受惩罚而采取的措施。请提供信息说明妇女尤其是孕妇感染艾滋病毒/艾滋病的普遍程度，并说明为使受艾滋病毒/艾滋病感染的妇女不遭受歧视而采取的措施。</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农村妇女</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17.</w:t>
      </w:r>
      <w:r>
        <w:rPr>
          <w:rFonts w:hint="eastAsia"/>
        </w:rPr>
        <w:tab/>
        <w:t>报告中指出，缔约国对农村地区的性别关系进行了评估</w:t>
      </w:r>
      <w:r w:rsidR="00E6214F">
        <w:rPr>
          <w:rFonts w:hint="eastAsia"/>
        </w:rPr>
        <w:t>(</w:t>
      </w:r>
      <w:r>
        <w:rPr>
          <w:rFonts w:hint="eastAsia"/>
        </w:rPr>
        <w:t>第229段</w:t>
      </w:r>
      <w:r w:rsidR="00E6214F">
        <w:rPr>
          <w:rFonts w:hint="eastAsia"/>
        </w:rPr>
        <w:t>)</w:t>
      </w:r>
      <w:r>
        <w:rPr>
          <w:rFonts w:hint="eastAsia"/>
        </w:rPr>
        <w:t>。请提供评估结果的信息。请进一步提供信息，说明为制定促进农村妇女获得经济和社会效益的具体战略而采取的措施。请提供这些妇女获得基本服务的信息。</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土著妇女和非裔妇女</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18.</w:t>
      </w:r>
      <w:r>
        <w:rPr>
          <w:rFonts w:hint="eastAsia"/>
        </w:rPr>
        <w:tab/>
        <w:t>请提供信息说明为增加土著妇女和非裔妇女获得司法正义、教育、就业、医疗保健服务、土地和自然资源，信贷服务、社区服务、决策参与以及参与政治和公共生活的机会而采取或拟采取的措施和政策，包括依照《公约》第4条第1款和委员会第25号一般性建议采取的临时特别措施。</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A75FC">
        <w:rPr>
          <w:rFonts w:ascii="Times New Roman"/>
        </w:rPr>
        <w:tab/>
      </w:r>
      <w:r w:rsidRPr="007A75FC">
        <w:rPr>
          <w:rFonts w:ascii="Times New Roman"/>
        </w:rPr>
        <w:tab/>
      </w:r>
      <w:r w:rsidR="00D411D7" w:rsidRPr="007A75FC">
        <w:rPr>
          <w:rFonts w:hint="eastAsia"/>
        </w:rPr>
        <w:t>被拘留妇女</w:t>
      </w:r>
    </w:p>
    <w:p w:rsidR="00D62154" w:rsidRPr="00D62154" w:rsidRDefault="00D62154" w:rsidP="00D62154">
      <w:pPr>
        <w:pStyle w:val="SingleTxt"/>
        <w:spacing w:after="0" w:line="120" w:lineRule="exact"/>
        <w:rPr>
          <w:rFonts w:hint="eastAsia"/>
          <w:sz w:val="10"/>
        </w:rPr>
      </w:pPr>
    </w:p>
    <w:p w:rsidR="00D411D7" w:rsidRDefault="00D411D7" w:rsidP="00D411D7">
      <w:pPr>
        <w:pStyle w:val="SingleTxt"/>
        <w:rPr>
          <w:rFonts w:hint="eastAsia"/>
        </w:rPr>
      </w:pPr>
      <w:r>
        <w:rPr>
          <w:rFonts w:hint="eastAsia"/>
        </w:rPr>
        <w:t>19.</w:t>
      </w:r>
      <w:r>
        <w:rPr>
          <w:rFonts w:hint="eastAsia"/>
        </w:rPr>
        <w:tab/>
        <w:t>请提供被拘留妇女状况的详细资料</w:t>
      </w:r>
      <w:r w:rsidR="00E6214F">
        <w:rPr>
          <w:rFonts w:hint="eastAsia"/>
        </w:rPr>
        <w:t>(</w:t>
      </w:r>
      <w:r>
        <w:rPr>
          <w:rFonts w:hint="eastAsia"/>
        </w:rPr>
        <w:t>第46和60段</w:t>
      </w:r>
      <w:r w:rsidR="00E6214F">
        <w:rPr>
          <w:rFonts w:hint="eastAsia"/>
        </w:rPr>
        <w:t>)</w:t>
      </w:r>
      <w:r>
        <w:rPr>
          <w:rFonts w:hint="eastAsia"/>
        </w:rPr>
        <w:t>。请提供按年龄、所在地和种族开列的被拘留妇女信息。</w:t>
      </w:r>
    </w:p>
    <w:p w:rsidR="00D411D7" w:rsidRPr="007A75FC" w:rsidRDefault="00D62154" w:rsidP="007A75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A75FC">
        <w:rPr>
          <w:rFonts w:ascii="Times New Roman"/>
        </w:rPr>
        <w:tab/>
      </w:r>
      <w:r w:rsidRPr="007A75FC">
        <w:rPr>
          <w:rFonts w:ascii="Times New Roman"/>
        </w:rPr>
        <w:tab/>
      </w:r>
      <w:r w:rsidR="00D411D7" w:rsidRPr="007A75FC">
        <w:rPr>
          <w:rFonts w:hint="eastAsia"/>
        </w:rPr>
        <w:t>婚姻与家庭关系</w:t>
      </w:r>
    </w:p>
    <w:p w:rsidR="00D62154" w:rsidRPr="00D62154" w:rsidRDefault="00D62154" w:rsidP="00D62154">
      <w:pPr>
        <w:pStyle w:val="SingleTxt"/>
        <w:spacing w:after="0" w:line="120" w:lineRule="exact"/>
        <w:rPr>
          <w:rFonts w:hint="eastAsia"/>
          <w:sz w:val="10"/>
        </w:rPr>
      </w:pPr>
    </w:p>
    <w:p w:rsidR="00EA31C3" w:rsidRDefault="00D411D7" w:rsidP="00D411D7">
      <w:pPr>
        <w:pStyle w:val="SingleTxt"/>
        <w:rPr>
          <w:rFonts w:hint="eastAsia"/>
        </w:rPr>
      </w:pPr>
      <w:r>
        <w:rPr>
          <w:rFonts w:hint="eastAsia"/>
        </w:rPr>
        <w:t>20.</w:t>
      </w:r>
      <w:r w:rsidR="00E10CA8">
        <w:tab/>
      </w:r>
      <w:r>
        <w:rPr>
          <w:rFonts w:hint="eastAsia"/>
        </w:rPr>
        <w:t>请提供信息说明为依照《公约》第16条第2款和《儿童权利公约》第1条关于儿童的定义将男女最低结婚年龄提至18岁而采取或拟采取的措施。《民法典》规定女孩最低结婚年龄为14岁、男孩为16岁</w:t>
      </w:r>
      <w:r w:rsidR="00E6214F">
        <w:rPr>
          <w:rFonts w:hint="eastAsia"/>
        </w:rPr>
        <w:t>(</w:t>
      </w:r>
      <w:r>
        <w:rPr>
          <w:rFonts w:hint="eastAsia"/>
        </w:rPr>
        <w:t>第46条</w:t>
      </w:r>
      <w:r w:rsidR="00E6214F">
        <w:rPr>
          <w:rFonts w:hint="eastAsia"/>
        </w:rPr>
        <w:t>)</w:t>
      </w:r>
      <w:r>
        <w:rPr>
          <w:rFonts w:hint="eastAsia"/>
        </w:rPr>
        <w:t>，并对离婚妇女再婚作出限制</w:t>
      </w:r>
      <w:r w:rsidR="00E6214F">
        <w:rPr>
          <w:rFonts w:hint="eastAsia"/>
        </w:rPr>
        <w:t>(</w:t>
      </w:r>
      <w:r>
        <w:rPr>
          <w:rFonts w:hint="eastAsia"/>
        </w:rPr>
        <w:t>第57条</w:t>
      </w:r>
      <w:r w:rsidR="00E6214F">
        <w:rPr>
          <w:rFonts w:hint="eastAsia"/>
        </w:rPr>
        <w:t>)(</w:t>
      </w:r>
      <w:r>
        <w:rPr>
          <w:rFonts w:hint="eastAsia"/>
        </w:rPr>
        <w:t>第17和234至236段</w:t>
      </w:r>
      <w:r w:rsidR="00E6214F">
        <w:rPr>
          <w:rFonts w:hint="eastAsia"/>
        </w:rPr>
        <w:t>)</w:t>
      </w:r>
      <w:r>
        <w:rPr>
          <w:rFonts w:hint="eastAsia"/>
        </w:rPr>
        <w:t>，请提供关于监察员办公室就这些歧视性规定向最高法院提出申诉的最新情况。</w:t>
      </w:r>
    </w:p>
    <w:p w:rsidR="008E30BA" w:rsidRPr="00E10CA8" w:rsidRDefault="00E10CA8" w:rsidP="00E10CA8">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p w:rsidR="008E30BA" w:rsidRPr="008E30BA" w:rsidRDefault="008E30BA" w:rsidP="001C63C7">
      <w:pPr>
        <w:pStyle w:val="SingleTxt"/>
        <w:rPr>
          <w:rFonts w:hint="eastAsia"/>
        </w:rPr>
      </w:pPr>
    </w:p>
    <w:sectPr w:rsidR="008E30BA" w:rsidRPr="008E30BA" w:rsidSect="001C63C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09:13:00Z" w:initials="Start">
    <w:p w:rsidR="005B121D" w:rsidRDefault="005B121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NO&gt;&gt;N1425898C&lt;&lt;ODS JOB NO&gt;&gt;</w:t>
      </w:r>
    </w:p>
    <w:p w:rsidR="005B121D" w:rsidRDefault="005B121D">
      <w:pPr>
        <w:pStyle w:val="CommentText"/>
      </w:pPr>
      <w:r>
        <w:t>&lt;&lt;ODS DOC SYMBOL1&gt;&gt;CEDAW/C/VEN/Q/7-8&lt;&lt;ODS DOC SYMBOL1&gt;&gt;</w:t>
      </w:r>
    </w:p>
    <w:p w:rsidR="005B121D" w:rsidRDefault="005B121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F3C" w:rsidRDefault="00E61F3C">
      <w:r>
        <w:separator/>
      </w:r>
    </w:p>
  </w:endnote>
  <w:endnote w:type="continuationSeparator" w:id="0">
    <w:p w:rsidR="00E61F3C" w:rsidRDefault="00E61F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121D" w:rsidTr="001C63C7">
      <w:tblPrEx>
        <w:tblCellMar>
          <w:top w:w="0" w:type="dxa"/>
          <w:bottom w:w="0" w:type="dxa"/>
        </w:tblCellMar>
      </w:tblPrEx>
      <w:tc>
        <w:tcPr>
          <w:tcW w:w="5033" w:type="dxa"/>
          <w:shd w:val="clear" w:color="auto" w:fill="auto"/>
        </w:tcPr>
        <w:p w:rsidR="005B121D" w:rsidRPr="001C63C7" w:rsidRDefault="005B121D" w:rsidP="001C63C7">
          <w:pPr>
            <w:pStyle w:val="Footer"/>
            <w:jc w:val="right"/>
            <w:rPr>
              <w:b w:val="0"/>
              <w:w w:val="103"/>
              <w:sz w:val="14"/>
            </w:rPr>
          </w:pPr>
          <w:fldSimple w:instr=" DOCVARIABLE &quot;FooterJN&quot; \* MERGEFORMAT ">
            <w:r>
              <w:rPr>
                <w:b w:val="0"/>
                <w:w w:val="103"/>
                <w:sz w:val="14"/>
              </w:rPr>
              <w:t>14-25898 (C)</w:t>
            </w:r>
          </w:fldSimple>
        </w:p>
      </w:tc>
      <w:tc>
        <w:tcPr>
          <w:tcW w:w="5033" w:type="dxa"/>
          <w:shd w:val="clear" w:color="auto" w:fill="auto"/>
        </w:tcPr>
        <w:p w:rsidR="005B121D" w:rsidRPr="001C63C7" w:rsidRDefault="005B121D" w:rsidP="001C63C7">
          <w:pPr>
            <w:pStyle w:val="Footer"/>
            <w:jc w:val="left"/>
            <w:rPr>
              <w:w w:val="103"/>
            </w:rPr>
          </w:pPr>
          <w:r>
            <w:rPr>
              <w:w w:val="103"/>
            </w:rPr>
            <w:fldChar w:fldCharType="begin"/>
          </w:r>
          <w:r>
            <w:rPr>
              <w:w w:val="103"/>
            </w:rPr>
            <w:instrText xml:space="preserve"> PAGE  \* Arabic  \* MERGEFORMAT </w:instrText>
          </w:r>
          <w:r>
            <w:rPr>
              <w:w w:val="103"/>
            </w:rPr>
            <w:fldChar w:fldCharType="separate"/>
          </w:r>
          <w:r w:rsidR="006A4353">
            <w:rPr>
              <w:w w:val="103"/>
            </w:rPr>
            <w:t>4</w:t>
          </w:r>
          <w:r>
            <w:rPr>
              <w:w w:val="103"/>
            </w:rPr>
            <w:fldChar w:fldCharType="end"/>
          </w:r>
          <w:r>
            <w:rPr>
              <w:w w:val="103"/>
            </w:rPr>
            <w:t>/</w:t>
          </w:r>
          <w:fldSimple w:instr=" NUMPAGES  \* Arabic  \* MERGEFORMAT ">
            <w:r>
              <w:rPr>
                <w:w w:val="103"/>
              </w:rPr>
              <w:t>4</w:t>
            </w:r>
          </w:fldSimple>
        </w:p>
      </w:tc>
    </w:tr>
  </w:tbl>
  <w:p w:rsidR="005B121D" w:rsidRPr="001C63C7" w:rsidRDefault="005B121D" w:rsidP="001C63C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B121D" w:rsidTr="001C63C7">
      <w:tblPrEx>
        <w:tblCellMar>
          <w:top w:w="0" w:type="dxa"/>
          <w:bottom w:w="0" w:type="dxa"/>
        </w:tblCellMar>
      </w:tblPrEx>
      <w:tc>
        <w:tcPr>
          <w:tcW w:w="5033" w:type="dxa"/>
          <w:shd w:val="clear" w:color="auto" w:fill="auto"/>
        </w:tcPr>
        <w:p w:rsidR="005B121D" w:rsidRPr="001C63C7" w:rsidRDefault="005B121D" w:rsidP="001C63C7">
          <w:pPr>
            <w:pStyle w:val="Footer"/>
            <w:jc w:val="right"/>
          </w:pPr>
          <w:fldSimple w:instr=" PAGE  \* Arabic  \* MERGEFORMAT ">
            <w:r w:rsidR="006A4353">
              <w:t>3</w:t>
            </w:r>
          </w:fldSimple>
          <w:r>
            <w:t>/</w:t>
          </w:r>
          <w:fldSimple w:instr=" NUMPAGES  \* Arabic  \* MERGEFORMAT ">
            <w:r w:rsidR="006A4353">
              <w:t>4</w:t>
            </w:r>
          </w:fldSimple>
        </w:p>
      </w:tc>
      <w:tc>
        <w:tcPr>
          <w:tcW w:w="5033" w:type="dxa"/>
          <w:shd w:val="clear" w:color="auto" w:fill="auto"/>
        </w:tcPr>
        <w:p w:rsidR="005B121D" w:rsidRPr="001C63C7" w:rsidRDefault="005B121D" w:rsidP="001C63C7">
          <w:pPr>
            <w:pStyle w:val="Footer"/>
            <w:jc w:val="left"/>
            <w:rPr>
              <w:b w:val="0"/>
              <w:w w:val="103"/>
              <w:sz w:val="14"/>
            </w:rPr>
          </w:pPr>
          <w:fldSimple w:instr=" DOCVARIABLE &quot;FooterJN&quot; \* MERGEFORMAT ">
            <w:r>
              <w:rPr>
                <w:b w:val="0"/>
                <w:w w:val="103"/>
                <w:sz w:val="14"/>
              </w:rPr>
              <w:t>14-25898 (C)</w:t>
            </w:r>
          </w:fldSimple>
        </w:p>
      </w:tc>
    </w:tr>
  </w:tbl>
  <w:p w:rsidR="005B121D" w:rsidRPr="001C63C7" w:rsidRDefault="005B121D" w:rsidP="001C63C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B121D" w:rsidTr="001C63C7">
      <w:tblPrEx>
        <w:tblCellMar>
          <w:top w:w="0" w:type="dxa"/>
          <w:bottom w:w="0" w:type="dxa"/>
        </w:tblCellMar>
      </w:tblPrEx>
      <w:tc>
        <w:tcPr>
          <w:tcW w:w="5033" w:type="dxa"/>
        </w:tcPr>
        <w:p w:rsidR="005B121D" w:rsidRDefault="005B121D" w:rsidP="001C63C7">
          <w:pPr>
            <w:pStyle w:val="Footer"/>
            <w:rPr>
              <w:b w:val="0"/>
              <w:sz w:val="21"/>
            </w:rPr>
          </w:pPr>
          <w:r w:rsidRPr="008E30BA">
            <w:rPr>
              <w:b w:val="0"/>
              <w:sz w:val="21"/>
            </w:rPr>
            <w:t>14-25898 X (C)</w:t>
          </w:r>
          <w:r>
            <w:rPr>
              <w:b w:val="0"/>
              <w:sz w:val="21"/>
            </w:rPr>
            <w:t xml:space="preserve">    270314    030414</w:t>
          </w:r>
        </w:p>
        <w:p w:rsidR="005B121D" w:rsidRPr="001C63C7" w:rsidRDefault="005B121D" w:rsidP="001C63C7">
          <w:pPr>
            <w:spacing w:before="80" w:line="210" w:lineRule="exact"/>
            <w:rPr>
              <w:rFonts w:ascii="Barcode 3 of 9 by request" w:hAnsi="Barcode 3 of 9 by request"/>
              <w:sz w:val="24"/>
            </w:rPr>
          </w:pPr>
          <w:r>
            <w:rPr>
              <w:rFonts w:ascii="Barcode 3 of 9 by request" w:hAnsi="Barcode 3 of 9 by request"/>
              <w:sz w:val="24"/>
            </w:rPr>
            <w:t>*1425898*</w:t>
          </w:r>
        </w:p>
      </w:tc>
      <w:tc>
        <w:tcPr>
          <w:tcW w:w="3686" w:type="dxa"/>
        </w:tcPr>
        <w:p w:rsidR="005B121D" w:rsidRDefault="005B121D" w:rsidP="001C63C7">
          <w:pPr>
            <w:pStyle w:val="Footer"/>
            <w:jc w:val="right"/>
            <w:rPr>
              <w:b w:val="0"/>
              <w:sz w:val="21"/>
            </w:rPr>
          </w:pPr>
          <w:r w:rsidRPr="001C63C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B121D" w:rsidRPr="001C63C7" w:rsidRDefault="005B121D" w:rsidP="001C63C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F3C" w:rsidRPr="00D411D7" w:rsidRDefault="00E61F3C" w:rsidP="00D411D7">
      <w:pPr>
        <w:pStyle w:val="Footer"/>
        <w:spacing w:after="80"/>
        <w:ind w:left="792"/>
        <w:rPr>
          <w:sz w:val="16"/>
        </w:rPr>
      </w:pPr>
      <w:r w:rsidRPr="00D411D7">
        <w:rPr>
          <w:sz w:val="16"/>
        </w:rPr>
        <w:t>__________________</w:t>
      </w:r>
    </w:p>
  </w:footnote>
  <w:footnote w:type="continuationSeparator" w:id="0">
    <w:p w:rsidR="00E61F3C" w:rsidRPr="00D411D7" w:rsidRDefault="00E61F3C" w:rsidP="00D411D7">
      <w:pPr>
        <w:pStyle w:val="Footer"/>
        <w:spacing w:after="80"/>
        <w:ind w:left="792"/>
        <w:rPr>
          <w:sz w:val="16"/>
        </w:rPr>
      </w:pPr>
      <w:r w:rsidRPr="00D411D7">
        <w:rPr>
          <w:sz w:val="16"/>
        </w:rPr>
        <w:t>__________________</w:t>
      </w:r>
    </w:p>
  </w:footnote>
  <w:footnote w:id="1">
    <w:p w:rsidR="005B121D" w:rsidRPr="00D411D7" w:rsidRDefault="005B121D" w:rsidP="00D411D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B06D30">
        <w:rPr>
          <w:rFonts w:ascii="MingLiU" w:eastAsia="MingLiU" w:hAnsi="MingLiU" w:hint="eastAsia"/>
          <w:vertAlign w:val="superscript"/>
        </w:rPr>
        <w:t>*</w:t>
      </w:r>
      <w:r>
        <w:tab/>
      </w:r>
      <w:r w:rsidRPr="00D411D7">
        <w:rPr>
          <w:rFonts w:hint="eastAsia"/>
        </w:rPr>
        <w:t>已获2014年3月3日至7日召开的第五十九届会议会前工作组通过。</w:t>
      </w:r>
    </w:p>
    <w:p w:rsidR="005B121D" w:rsidRPr="00D411D7" w:rsidRDefault="005B121D" w:rsidP="00D411D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411D7">
        <w:rPr>
          <w:rFonts w:hint="eastAsia"/>
        </w:rPr>
        <w:t>除非另有说明，段数是指缔约国第七和第八次定期报告中的段数。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B121D" w:rsidTr="001C63C7">
      <w:tblPrEx>
        <w:tblCellMar>
          <w:top w:w="0" w:type="dxa"/>
          <w:bottom w:w="0" w:type="dxa"/>
        </w:tblCellMar>
      </w:tblPrEx>
      <w:trPr>
        <w:trHeight w:hRule="exact" w:val="864"/>
      </w:trPr>
      <w:tc>
        <w:tcPr>
          <w:tcW w:w="4838" w:type="dxa"/>
          <w:shd w:val="clear" w:color="auto" w:fill="auto"/>
          <w:vAlign w:val="bottom"/>
        </w:tcPr>
        <w:p w:rsidR="005B121D" w:rsidRPr="001C63C7" w:rsidRDefault="005B121D" w:rsidP="001C63C7">
          <w:pPr>
            <w:pStyle w:val="Header"/>
            <w:spacing w:after="80"/>
            <w:jc w:val="left"/>
            <w:rPr>
              <w:b/>
              <w:sz w:val="17"/>
            </w:rPr>
          </w:pPr>
          <w:fldSimple w:instr=" DOCVARIABLE &quot;sss1&quot; \* MERGEFORMAT ">
            <w:r>
              <w:rPr>
                <w:b/>
                <w:sz w:val="17"/>
              </w:rPr>
              <w:t>CEDAW/C/VEN/Q/7-8</w:t>
            </w:r>
          </w:fldSimple>
        </w:p>
      </w:tc>
      <w:tc>
        <w:tcPr>
          <w:tcW w:w="5033" w:type="dxa"/>
          <w:shd w:val="clear" w:color="auto" w:fill="auto"/>
          <w:vAlign w:val="bottom"/>
        </w:tcPr>
        <w:p w:rsidR="005B121D" w:rsidRDefault="005B121D" w:rsidP="001C63C7">
          <w:pPr>
            <w:pStyle w:val="Header"/>
          </w:pPr>
        </w:p>
      </w:tc>
    </w:tr>
  </w:tbl>
  <w:p w:rsidR="005B121D" w:rsidRPr="001C63C7" w:rsidRDefault="005B121D" w:rsidP="001C63C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B121D" w:rsidTr="001C63C7">
      <w:tblPrEx>
        <w:tblCellMar>
          <w:top w:w="0" w:type="dxa"/>
          <w:bottom w:w="0" w:type="dxa"/>
        </w:tblCellMar>
      </w:tblPrEx>
      <w:trPr>
        <w:trHeight w:hRule="exact" w:val="864"/>
      </w:trPr>
      <w:tc>
        <w:tcPr>
          <w:tcW w:w="4838" w:type="dxa"/>
          <w:shd w:val="clear" w:color="auto" w:fill="auto"/>
          <w:vAlign w:val="bottom"/>
        </w:tcPr>
        <w:p w:rsidR="005B121D" w:rsidRDefault="005B121D" w:rsidP="001C63C7">
          <w:pPr>
            <w:pStyle w:val="Header"/>
          </w:pPr>
        </w:p>
      </w:tc>
      <w:tc>
        <w:tcPr>
          <w:tcW w:w="5033" w:type="dxa"/>
          <w:shd w:val="clear" w:color="auto" w:fill="auto"/>
          <w:vAlign w:val="bottom"/>
        </w:tcPr>
        <w:p w:rsidR="005B121D" w:rsidRPr="001C63C7" w:rsidRDefault="005B121D" w:rsidP="001C63C7">
          <w:pPr>
            <w:pStyle w:val="Header"/>
            <w:spacing w:after="80"/>
            <w:jc w:val="right"/>
            <w:rPr>
              <w:b/>
              <w:sz w:val="17"/>
            </w:rPr>
          </w:pPr>
          <w:fldSimple w:instr=" DOCVARIABLE &quot;sss1&quot; \* MERGEFORMAT ">
            <w:r>
              <w:rPr>
                <w:b/>
                <w:sz w:val="17"/>
              </w:rPr>
              <w:t>CEDAW/C/VEN/Q/7-8</w:t>
            </w:r>
          </w:fldSimple>
        </w:p>
      </w:tc>
    </w:tr>
  </w:tbl>
  <w:p w:rsidR="005B121D" w:rsidRPr="001C63C7" w:rsidRDefault="005B121D" w:rsidP="001C63C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B121D" w:rsidTr="001C63C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B121D" w:rsidRDefault="005B121D" w:rsidP="001C63C7">
          <w:pPr>
            <w:pStyle w:val="Header"/>
            <w:spacing w:after="120"/>
          </w:pPr>
        </w:p>
      </w:tc>
      <w:tc>
        <w:tcPr>
          <w:tcW w:w="1872" w:type="dxa"/>
          <w:tcBorders>
            <w:bottom w:val="single" w:sz="4" w:space="0" w:color="auto"/>
          </w:tcBorders>
          <w:shd w:val="clear" w:color="auto" w:fill="auto"/>
          <w:vAlign w:val="bottom"/>
        </w:tcPr>
        <w:p w:rsidR="005B121D" w:rsidRPr="001C63C7" w:rsidRDefault="005B121D" w:rsidP="001C63C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B121D" w:rsidRDefault="005B121D" w:rsidP="001C63C7">
          <w:pPr>
            <w:pStyle w:val="Header"/>
            <w:spacing w:after="120"/>
          </w:pPr>
        </w:p>
      </w:tc>
      <w:tc>
        <w:tcPr>
          <w:tcW w:w="6523" w:type="dxa"/>
          <w:gridSpan w:val="3"/>
          <w:tcBorders>
            <w:bottom w:val="single" w:sz="4" w:space="0" w:color="auto"/>
          </w:tcBorders>
          <w:shd w:val="clear" w:color="auto" w:fill="auto"/>
          <w:vAlign w:val="bottom"/>
        </w:tcPr>
        <w:p w:rsidR="005B121D" w:rsidRPr="001C63C7" w:rsidRDefault="005B121D" w:rsidP="001C63C7">
          <w:pPr>
            <w:spacing w:after="80" w:line="240" w:lineRule="auto"/>
            <w:jc w:val="right"/>
            <w:rPr>
              <w:rFonts w:ascii="Times New Roman"/>
              <w:position w:val="-4"/>
            </w:rPr>
          </w:pPr>
          <w:r>
            <w:rPr>
              <w:rFonts w:ascii="Times New Roman"/>
              <w:position w:val="-4"/>
              <w:sz w:val="40"/>
            </w:rPr>
            <w:t>CEDAW</w:t>
          </w:r>
          <w:r>
            <w:rPr>
              <w:rFonts w:ascii="Times New Roman"/>
              <w:position w:val="-4"/>
            </w:rPr>
            <w:t>/C/VEN/Q/7-8</w:t>
          </w:r>
        </w:p>
      </w:tc>
    </w:tr>
    <w:tr w:rsidR="005B121D" w:rsidRPr="001C63C7" w:rsidTr="001C63C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B121D" w:rsidRDefault="005B121D" w:rsidP="001C63C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B121D" w:rsidRPr="001C63C7" w:rsidRDefault="005B121D" w:rsidP="001C63C7">
          <w:pPr>
            <w:pStyle w:val="Header"/>
            <w:spacing w:before="109"/>
            <w:ind w:left="-72"/>
          </w:pPr>
        </w:p>
      </w:tc>
      <w:tc>
        <w:tcPr>
          <w:tcW w:w="5227" w:type="dxa"/>
          <w:gridSpan w:val="3"/>
          <w:tcBorders>
            <w:top w:val="single" w:sz="4" w:space="0" w:color="auto"/>
            <w:bottom w:val="single" w:sz="12" w:space="0" w:color="auto"/>
          </w:tcBorders>
          <w:shd w:val="clear" w:color="auto" w:fill="auto"/>
        </w:tcPr>
        <w:p w:rsidR="005B121D" w:rsidRPr="001C63C7" w:rsidRDefault="005B121D" w:rsidP="001C63C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B121D" w:rsidRPr="001C63C7" w:rsidRDefault="005B121D" w:rsidP="001C63C7">
          <w:pPr>
            <w:pStyle w:val="Header"/>
            <w:spacing w:before="109"/>
          </w:pPr>
        </w:p>
      </w:tc>
      <w:tc>
        <w:tcPr>
          <w:tcW w:w="3180" w:type="dxa"/>
          <w:gridSpan w:val="2"/>
          <w:tcBorders>
            <w:top w:val="single" w:sz="4" w:space="0" w:color="auto"/>
            <w:bottom w:val="single" w:sz="12" w:space="0" w:color="auto"/>
          </w:tcBorders>
          <w:shd w:val="clear" w:color="auto" w:fill="auto"/>
        </w:tcPr>
        <w:p w:rsidR="005B121D" w:rsidRDefault="005B121D" w:rsidP="001C63C7">
          <w:pPr>
            <w:spacing w:before="240" w:line="240" w:lineRule="exact"/>
            <w:rPr>
              <w:rFonts w:ascii="Times New Roman"/>
            </w:rPr>
          </w:pPr>
          <w:r>
            <w:rPr>
              <w:rFonts w:ascii="Times New Roman"/>
            </w:rPr>
            <w:t>Distr.: General</w:t>
          </w:r>
        </w:p>
        <w:p w:rsidR="005B121D" w:rsidRDefault="005B121D" w:rsidP="001C63C7">
          <w:pPr>
            <w:spacing w:line="240" w:lineRule="exact"/>
            <w:rPr>
              <w:rFonts w:ascii="Times New Roman"/>
            </w:rPr>
          </w:pPr>
          <w:r>
            <w:rPr>
              <w:rFonts w:ascii="Times New Roman"/>
            </w:rPr>
            <w:t>10 March 2014</w:t>
          </w:r>
        </w:p>
        <w:p w:rsidR="005B121D" w:rsidRDefault="005B121D" w:rsidP="001C63C7">
          <w:pPr>
            <w:spacing w:line="240" w:lineRule="exact"/>
            <w:rPr>
              <w:rFonts w:ascii="Times New Roman"/>
            </w:rPr>
          </w:pPr>
          <w:r>
            <w:rPr>
              <w:rFonts w:ascii="Times New Roman"/>
            </w:rPr>
            <w:t>Chinese</w:t>
          </w:r>
        </w:p>
        <w:p w:rsidR="005B121D" w:rsidRPr="001C63C7" w:rsidRDefault="005B121D" w:rsidP="001C63C7">
          <w:pPr>
            <w:spacing w:line="240" w:lineRule="exact"/>
            <w:rPr>
              <w:rFonts w:ascii="Times New Roman"/>
            </w:rPr>
          </w:pPr>
          <w:r>
            <w:rPr>
              <w:rFonts w:ascii="Times New Roman"/>
            </w:rPr>
            <w:t>Original: English</w:t>
          </w:r>
        </w:p>
      </w:tc>
    </w:tr>
  </w:tbl>
  <w:p w:rsidR="005B121D" w:rsidRPr="001C63C7" w:rsidRDefault="005B121D" w:rsidP="001C63C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98*"/>
    <w:docVar w:name="CreationDt" w:val="03/04/2014 09:01:56"/>
    <w:docVar w:name="DocCategory" w:val="Doc"/>
    <w:docVar w:name="DocType" w:val="Final"/>
    <w:docVar w:name="FooterJN" w:val="14-25898 (C)"/>
    <w:docVar w:name="jobn" w:val="14-25898 (C)"/>
    <w:docVar w:name="jobnDT" w:val="14-25898 (C)   030414"/>
    <w:docVar w:name="jobnDTDT" w:val="14-25898 (C)   030414   030414"/>
    <w:docVar w:name="JobNo" w:val="1425898C"/>
    <w:docVar w:name="OandT" w:val="ZHOUAIYUN"/>
    <w:docVar w:name="sss1" w:val="CEDAW/C/VEN/Q/7-8"/>
    <w:docVar w:name="sss2" w:val="-"/>
    <w:docVar w:name="Symbol1" w:val="CEDAW/C/VEN/Q/7-8"/>
    <w:docVar w:name="Symbol2" w:val="-"/>
  </w:docVars>
  <w:rsids>
    <w:rsidRoot w:val="00C56B00"/>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1020"/>
    <w:rsid w:val="000D32BA"/>
    <w:rsid w:val="000E240F"/>
    <w:rsid w:val="000E49A4"/>
    <w:rsid w:val="000F1058"/>
    <w:rsid w:val="000F55DC"/>
    <w:rsid w:val="00101C4E"/>
    <w:rsid w:val="001113F8"/>
    <w:rsid w:val="00114F57"/>
    <w:rsid w:val="00115F13"/>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C63C7"/>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0F71"/>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97B8D"/>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121D"/>
    <w:rsid w:val="005B7338"/>
    <w:rsid w:val="005C02AB"/>
    <w:rsid w:val="005C5FC3"/>
    <w:rsid w:val="005D0F04"/>
    <w:rsid w:val="005D2204"/>
    <w:rsid w:val="005E5410"/>
    <w:rsid w:val="005F12F0"/>
    <w:rsid w:val="005F1AAD"/>
    <w:rsid w:val="005F3273"/>
    <w:rsid w:val="005F34A3"/>
    <w:rsid w:val="00610CF2"/>
    <w:rsid w:val="00617802"/>
    <w:rsid w:val="006328DE"/>
    <w:rsid w:val="006353DE"/>
    <w:rsid w:val="00636441"/>
    <w:rsid w:val="006432CB"/>
    <w:rsid w:val="006479F1"/>
    <w:rsid w:val="00650BEE"/>
    <w:rsid w:val="006520FA"/>
    <w:rsid w:val="0065377D"/>
    <w:rsid w:val="00666F57"/>
    <w:rsid w:val="006740A7"/>
    <w:rsid w:val="006767D5"/>
    <w:rsid w:val="00691524"/>
    <w:rsid w:val="006926DF"/>
    <w:rsid w:val="006A4353"/>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571FC"/>
    <w:rsid w:val="00761190"/>
    <w:rsid w:val="00770C7C"/>
    <w:rsid w:val="00776537"/>
    <w:rsid w:val="00783A25"/>
    <w:rsid w:val="007843DB"/>
    <w:rsid w:val="007877F4"/>
    <w:rsid w:val="007A75FC"/>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30BA"/>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06E0"/>
    <w:rsid w:val="00A33D6D"/>
    <w:rsid w:val="00A37345"/>
    <w:rsid w:val="00A40AAE"/>
    <w:rsid w:val="00A40EA9"/>
    <w:rsid w:val="00A4532A"/>
    <w:rsid w:val="00A47B97"/>
    <w:rsid w:val="00A5206D"/>
    <w:rsid w:val="00A55E9E"/>
    <w:rsid w:val="00A652D9"/>
    <w:rsid w:val="00A71403"/>
    <w:rsid w:val="00A72E47"/>
    <w:rsid w:val="00A750A5"/>
    <w:rsid w:val="00A778F1"/>
    <w:rsid w:val="00A90956"/>
    <w:rsid w:val="00A95404"/>
    <w:rsid w:val="00A968C5"/>
    <w:rsid w:val="00AA3C28"/>
    <w:rsid w:val="00AA759D"/>
    <w:rsid w:val="00AB2786"/>
    <w:rsid w:val="00AC550F"/>
    <w:rsid w:val="00AD4308"/>
    <w:rsid w:val="00AE5410"/>
    <w:rsid w:val="00AF2A33"/>
    <w:rsid w:val="00AF4C2D"/>
    <w:rsid w:val="00B014C7"/>
    <w:rsid w:val="00B03EFA"/>
    <w:rsid w:val="00B06D30"/>
    <w:rsid w:val="00B13071"/>
    <w:rsid w:val="00B171E7"/>
    <w:rsid w:val="00B309DD"/>
    <w:rsid w:val="00B31B94"/>
    <w:rsid w:val="00B3574C"/>
    <w:rsid w:val="00B36621"/>
    <w:rsid w:val="00B36D64"/>
    <w:rsid w:val="00B41B48"/>
    <w:rsid w:val="00B55E1D"/>
    <w:rsid w:val="00B56194"/>
    <w:rsid w:val="00B60F41"/>
    <w:rsid w:val="00B61A34"/>
    <w:rsid w:val="00B62A0E"/>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56B00"/>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11D7"/>
    <w:rsid w:val="00D42ACC"/>
    <w:rsid w:val="00D51DC5"/>
    <w:rsid w:val="00D5525A"/>
    <w:rsid w:val="00D62154"/>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10CA8"/>
    <w:rsid w:val="00E25442"/>
    <w:rsid w:val="00E25A1F"/>
    <w:rsid w:val="00E34E6A"/>
    <w:rsid w:val="00E35B72"/>
    <w:rsid w:val="00E37EEB"/>
    <w:rsid w:val="00E5153D"/>
    <w:rsid w:val="00E61F3C"/>
    <w:rsid w:val="00E6214F"/>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1971"/>
    <w:rsid w:val="00F55E5B"/>
    <w:rsid w:val="00F569BC"/>
    <w:rsid w:val="00F62E3F"/>
    <w:rsid w:val="00F67F90"/>
    <w:rsid w:val="00F77B3E"/>
    <w:rsid w:val="00F833CB"/>
    <w:rsid w:val="00F87754"/>
    <w:rsid w:val="00F90A4B"/>
    <w:rsid w:val="00F90C56"/>
    <w:rsid w:val="00FC1CE4"/>
    <w:rsid w:val="00FD09D6"/>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VEN/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VEN/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Pages>
  <Words>504</Words>
  <Characters>2873</Characters>
  <Application>Microsoft Office Outlook</Application>
  <DocSecurity>4</DocSecurity>
  <Lines>23</Lines>
  <Paragraphs>6</Paragraphs>
  <ScaleCrop>false</ScaleCrop>
  <Company>United Nations</Company>
  <LinksUpToDate>false</LinksUpToDate>
  <CharactersWithSpaces>3371</CharactersWithSpaces>
  <SharedDoc>false</SharedDoc>
  <HLinks>
    <vt:vector size="12" baseType="variant">
      <vt:variant>
        <vt:i4>327710</vt:i4>
      </vt:variant>
      <vt:variant>
        <vt:i4>3</vt:i4>
      </vt:variant>
      <vt:variant>
        <vt:i4>0</vt:i4>
      </vt:variant>
      <vt:variant>
        <vt:i4>5</vt:i4>
      </vt:variant>
      <vt:variant>
        <vt:lpwstr>http://undocs.org/ch/CEDAW/C/VEN/CO/6</vt:lpwstr>
      </vt:variant>
      <vt:variant>
        <vt:lpwstr/>
      </vt:variant>
      <vt:variant>
        <vt:i4>8257649</vt:i4>
      </vt:variant>
      <vt:variant>
        <vt:i4>0</vt:i4>
      </vt:variant>
      <vt:variant>
        <vt:i4>0</vt:i4>
      </vt:variant>
      <vt:variant>
        <vt:i4>5</vt:i4>
      </vt:variant>
      <vt:variant>
        <vt:lpwstr>http://undocs.org/ch/CEDAW/C/VEN/7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ZAY</dc:creator>
  <cp:keywords/>
  <dc:description/>
  <cp:lastModifiedBy>CTPU ZXS</cp:lastModifiedBy>
  <cp:revision>38</cp:revision>
  <cp:lastPrinted>2014-04-03T07:13:00Z</cp:lastPrinted>
  <dcterms:created xsi:type="dcterms:W3CDTF">2014-04-03T07:01:00Z</dcterms:created>
  <dcterms:modified xsi:type="dcterms:W3CDTF">2014-04-03T08:23:00Z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1425898</vt:lpwstr>
  </property>
  <property fmtid="{D5CDD505-2E9C-101B-9397-08002B2CF9AE}" pid="3" name="Symbol1">
    <vt:lpwstr>CEDAW/C/VEN/Q/7-8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ZHOUAIYUN</vt:lpwstr>
  </property>
</Properties>
</file>