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A36CE0" w:rsidP="00B96B22">
            <w:pPr>
              <w:jc w:val="right"/>
            </w:pPr>
            <w:r w:rsidRPr="00A36CE0">
              <w:rPr>
                <w:sz w:val="40"/>
              </w:rPr>
              <w:t>A</w:t>
            </w:r>
            <w:r>
              <w:t>/HRC/</w:t>
            </w:r>
            <w:r w:rsidR="00B96B22">
              <w:t>RES/</w:t>
            </w:r>
            <w:r>
              <w:t>2</w:t>
            </w:r>
            <w:r w:rsidR="00FF1B1D">
              <w:t>2</w:t>
            </w:r>
            <w:r>
              <w:t>/</w:t>
            </w:r>
            <w:r w:rsidR="00B96B22">
              <w:t>18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36CE0" w:rsidRDefault="00A36CE0" w:rsidP="00C717E0">
            <w:pPr>
              <w:spacing w:before="240"/>
            </w:pPr>
            <w:r>
              <w:t xml:space="preserve">Distr. </w:t>
            </w:r>
            <w:r w:rsidR="0050066E">
              <w:t>g</w:t>
            </w:r>
            <w:r w:rsidR="00D03948">
              <w:t>énérale</w:t>
            </w:r>
          </w:p>
          <w:p w:rsidR="00A36CE0" w:rsidRDefault="0050066E" w:rsidP="00A36CE0">
            <w:pPr>
              <w:spacing w:line="240" w:lineRule="exact"/>
            </w:pPr>
            <w:r>
              <w:t>10</w:t>
            </w:r>
            <w:r w:rsidR="00D03948">
              <w:t xml:space="preserve"> avril</w:t>
            </w:r>
            <w:r w:rsidR="00FF1B1D">
              <w:t xml:space="preserve"> 2013</w:t>
            </w:r>
          </w:p>
          <w:p w:rsidR="00A36CE0" w:rsidRDefault="00A36CE0" w:rsidP="00A36CE0">
            <w:pPr>
              <w:spacing w:line="240" w:lineRule="exact"/>
            </w:pPr>
          </w:p>
          <w:p w:rsidR="00B757C8" w:rsidRPr="007F087A" w:rsidRDefault="00FF1B1D" w:rsidP="0050066E">
            <w:pPr>
              <w:spacing w:line="240" w:lineRule="exact"/>
              <w:rPr>
                <w:sz w:val="36"/>
                <w:szCs w:val="36"/>
              </w:rPr>
            </w:pPr>
            <w:r>
              <w:t>Original: français</w:t>
            </w:r>
          </w:p>
        </w:tc>
      </w:tr>
    </w:tbl>
    <w:p w:rsidR="00BA184E" w:rsidRPr="00BA184E" w:rsidRDefault="00BA184E" w:rsidP="001B6907">
      <w:pPr>
        <w:spacing w:before="120"/>
        <w:rPr>
          <w:b/>
          <w:sz w:val="24"/>
          <w:szCs w:val="24"/>
        </w:rPr>
      </w:pPr>
      <w:r w:rsidRPr="00BA184E">
        <w:rPr>
          <w:b/>
          <w:sz w:val="24"/>
          <w:szCs w:val="24"/>
        </w:rPr>
        <w:t>Conseil des droits de l</w:t>
      </w:r>
      <w:r w:rsidR="00CB177A">
        <w:rPr>
          <w:b/>
          <w:sz w:val="24"/>
          <w:szCs w:val="24"/>
        </w:rPr>
        <w:t>’</w:t>
      </w:r>
      <w:r w:rsidRPr="00BA184E">
        <w:rPr>
          <w:b/>
          <w:sz w:val="24"/>
          <w:szCs w:val="24"/>
        </w:rPr>
        <w:t>homme</w:t>
      </w:r>
    </w:p>
    <w:p w:rsidR="00594033" w:rsidRPr="00CB177A" w:rsidRDefault="00A36CE0" w:rsidP="00981C83">
      <w:pPr>
        <w:rPr>
          <w:b/>
        </w:rPr>
      </w:pPr>
      <w:r w:rsidRPr="00CB177A">
        <w:rPr>
          <w:b/>
        </w:rPr>
        <w:t>Vingt</w:t>
      </w:r>
      <w:r w:rsidR="00FF1B1D">
        <w:rPr>
          <w:b/>
        </w:rPr>
        <w:t>-deuxième</w:t>
      </w:r>
      <w:r w:rsidRPr="00CB177A">
        <w:rPr>
          <w:b/>
        </w:rPr>
        <w:t xml:space="preserve"> session</w:t>
      </w:r>
    </w:p>
    <w:p w:rsidR="00A36CE0" w:rsidRDefault="00A36CE0" w:rsidP="00981C83">
      <w:r>
        <w:t>Point 10 de l</w:t>
      </w:r>
      <w:r w:rsidR="00CB177A">
        <w:t>’</w:t>
      </w:r>
      <w:r>
        <w:t>ordre du jour</w:t>
      </w:r>
    </w:p>
    <w:p w:rsidR="00A36CE0" w:rsidRPr="00CB177A" w:rsidRDefault="00A36CE0" w:rsidP="00981C83">
      <w:pPr>
        <w:rPr>
          <w:b/>
        </w:rPr>
      </w:pPr>
      <w:r w:rsidRPr="00CB177A">
        <w:rPr>
          <w:b/>
        </w:rPr>
        <w:t>Assistance technique et renforcement des capacités</w:t>
      </w:r>
    </w:p>
    <w:p w:rsidR="00D03948" w:rsidRPr="007C54CF" w:rsidRDefault="00A36CE0" w:rsidP="007C54CF">
      <w:pPr>
        <w:pStyle w:val="H23G"/>
      </w:pPr>
      <w:r>
        <w:tab/>
      </w:r>
      <w:r>
        <w:tab/>
      </w:r>
      <w:r w:rsidR="00D03948">
        <w:rPr>
          <w:b w:val="0"/>
        </w:rPr>
        <w:t>Résolution adoptée par le Conseil des droits de l’homme</w:t>
      </w:r>
      <w:r w:rsidR="007C54CF" w:rsidRPr="007C54CF">
        <w:rPr>
          <w:rStyle w:val="FootnoteReference"/>
          <w:b w:val="0"/>
          <w:sz w:val="20"/>
          <w:vertAlign w:val="baseline"/>
        </w:rPr>
        <w:footnoteReference w:customMarkFollows="1" w:id="2"/>
        <w:t>*</w:t>
      </w:r>
    </w:p>
    <w:p w:rsidR="00A36CE0" w:rsidRDefault="00A36CE0" w:rsidP="00325CC8">
      <w:pPr>
        <w:pStyle w:val="H1G"/>
        <w:tabs>
          <w:tab w:val="left" w:pos="1843"/>
        </w:tabs>
      </w:pPr>
      <w:r>
        <w:tab/>
      </w:r>
      <w:r>
        <w:tab/>
      </w:r>
      <w:r w:rsidR="0051293B">
        <w:t>2</w:t>
      </w:r>
      <w:r w:rsidR="00D311B8">
        <w:t>2</w:t>
      </w:r>
      <w:r w:rsidR="0051293B">
        <w:t>/</w:t>
      </w:r>
      <w:r w:rsidR="00B96B22">
        <w:t>18.</w:t>
      </w:r>
      <w:r w:rsidR="007C54CF">
        <w:br/>
      </w:r>
      <w:r w:rsidR="0051293B" w:rsidRPr="0051293B">
        <w:t>Assistance à la République du Mali dans le domaine des droits</w:t>
      </w:r>
      <w:r w:rsidR="007C54CF">
        <w:t xml:space="preserve"> </w:t>
      </w:r>
      <w:r w:rsidR="0051293B" w:rsidRPr="0051293B">
        <w:t>de l’homme</w:t>
      </w:r>
    </w:p>
    <w:p w:rsidR="00A36CE0" w:rsidRDefault="00CB177A" w:rsidP="00CB177A">
      <w:pPr>
        <w:pStyle w:val="SingleTxtG"/>
        <w:ind w:firstLine="567"/>
      </w:pPr>
      <w:r>
        <w:rPr>
          <w:i/>
        </w:rPr>
        <w:t>Le Conseil des droits de l’homme</w:t>
      </w:r>
      <w:r>
        <w:t>,</w:t>
      </w:r>
    </w:p>
    <w:p w:rsidR="0051293B" w:rsidRDefault="0051293B" w:rsidP="0051293B">
      <w:pPr>
        <w:pStyle w:val="SingleTxtG"/>
        <w:ind w:firstLine="567"/>
      </w:pPr>
      <w:r w:rsidRPr="0051293B">
        <w:rPr>
          <w:i/>
        </w:rPr>
        <w:t>Guidé par</w:t>
      </w:r>
      <w:r>
        <w:t xml:space="preserve"> la Charte des Nations Unies, la Déclaration universelle des droits de l’homme et les autres instruments internationaux pertinents relatifs aux droits de l’homme,</w:t>
      </w:r>
    </w:p>
    <w:p w:rsidR="0051293B" w:rsidRDefault="0051293B" w:rsidP="0051293B">
      <w:pPr>
        <w:pStyle w:val="SingleTxtG"/>
        <w:ind w:firstLine="567"/>
      </w:pPr>
      <w:r w:rsidRPr="0051293B">
        <w:rPr>
          <w:i/>
        </w:rPr>
        <w:t>Rappelant</w:t>
      </w:r>
      <w:r>
        <w:t xml:space="preserve"> la résolution 60/251 de l’Assemblée générale en date du 15 mars 2006, les résolutions du Conseil des </w:t>
      </w:r>
      <w:r w:rsidR="001E3194">
        <w:t xml:space="preserve">droits de l'homme </w:t>
      </w:r>
      <w:r>
        <w:t xml:space="preserve">5/1 et 5/2 en date du 18 juin 2007, 20/17 en date du 6 juillet 2012, 21/25 en date du </w:t>
      </w:r>
      <w:r w:rsidR="00BF6A63">
        <w:t>28</w:t>
      </w:r>
      <w:r>
        <w:t xml:space="preserve"> </w:t>
      </w:r>
      <w:r w:rsidR="00BF6A63">
        <w:t xml:space="preserve">septembre </w:t>
      </w:r>
      <w:r>
        <w:t>2012,</w:t>
      </w:r>
    </w:p>
    <w:p w:rsidR="0051293B" w:rsidRDefault="0051293B" w:rsidP="0051293B">
      <w:pPr>
        <w:pStyle w:val="SingleTxtG"/>
        <w:ind w:firstLine="567"/>
      </w:pPr>
      <w:r w:rsidRPr="0051293B">
        <w:rPr>
          <w:i/>
        </w:rPr>
        <w:t>Rappelant</w:t>
      </w:r>
      <w:r>
        <w:t xml:space="preserve"> la résolution 2085 </w:t>
      </w:r>
      <w:r w:rsidR="001E3194">
        <w:t xml:space="preserve">(2012) </w:t>
      </w:r>
      <w:r>
        <w:t>du Conseil de Sécurité des Nations Unies, en date du 20 décembre 2012,</w:t>
      </w:r>
    </w:p>
    <w:p w:rsidR="0051293B" w:rsidRDefault="0051293B" w:rsidP="0051293B">
      <w:pPr>
        <w:pStyle w:val="SingleTxtG"/>
        <w:ind w:firstLine="567"/>
      </w:pPr>
      <w:r w:rsidRPr="0051293B">
        <w:rPr>
          <w:i/>
        </w:rPr>
        <w:t>Réaffirmant</w:t>
      </w:r>
      <w:r>
        <w:t xml:space="preserve"> que tous les </w:t>
      </w:r>
      <w:r w:rsidR="001E3194">
        <w:t xml:space="preserve">États </w:t>
      </w:r>
      <w:r>
        <w:t>ont la responsabilité de promouvoir et de protéger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p>
    <w:p w:rsidR="0051293B" w:rsidRDefault="0051293B" w:rsidP="0051293B">
      <w:pPr>
        <w:pStyle w:val="SingleTxtG"/>
        <w:ind w:firstLine="567"/>
      </w:pPr>
      <w:r w:rsidRPr="0051293B">
        <w:rPr>
          <w:i/>
        </w:rPr>
        <w:t>Réaffirmant</w:t>
      </w:r>
      <w:r>
        <w:t xml:space="preserve"> son attachement à la souveraineté, à l’indépendance, à l’unité et à l’intégrité territoriale de la République du Mali,</w:t>
      </w:r>
    </w:p>
    <w:p w:rsidR="0051293B" w:rsidRPr="00873331" w:rsidRDefault="0051293B" w:rsidP="00873331">
      <w:pPr>
        <w:pStyle w:val="SingleTxtG"/>
        <w:ind w:firstLine="567"/>
        <w:rPr>
          <w:lang w:val="fr-FR"/>
        </w:rPr>
      </w:pPr>
      <w:r w:rsidRPr="00873331">
        <w:rPr>
          <w:i/>
          <w:lang w:val="fr-FR"/>
        </w:rPr>
        <w:t>Accueillant</w:t>
      </w:r>
      <w:r w:rsidRPr="00873331">
        <w:rPr>
          <w:lang w:val="fr-FR"/>
        </w:rPr>
        <w:t xml:space="preserve"> favor</w:t>
      </w:r>
      <w:r w:rsidRPr="00873331">
        <w:rPr>
          <w:i/>
        </w:rPr>
        <w:t>a</w:t>
      </w:r>
      <w:r w:rsidRPr="00873331">
        <w:rPr>
          <w:lang w:val="fr-FR"/>
        </w:rPr>
        <w:t xml:space="preserve">blement les Déclarations solennelles </w:t>
      </w:r>
      <w:r w:rsidR="00873331" w:rsidRPr="00873331">
        <w:rPr>
          <w:lang w:val="fr-FR"/>
        </w:rPr>
        <w:t xml:space="preserve">sur la situation au Mali </w:t>
      </w:r>
      <w:r w:rsidRPr="00873331">
        <w:rPr>
          <w:lang w:val="fr-FR"/>
        </w:rPr>
        <w:t xml:space="preserve">de l’Assemblée des Chefs </w:t>
      </w:r>
      <w:r w:rsidR="001E3194" w:rsidRPr="00873331">
        <w:rPr>
          <w:lang w:val="fr-FR"/>
        </w:rPr>
        <w:t xml:space="preserve">d’États </w:t>
      </w:r>
      <w:r w:rsidRPr="00873331">
        <w:rPr>
          <w:lang w:val="fr-FR"/>
        </w:rPr>
        <w:t>et de Gouvernements de l’Union africaine</w:t>
      </w:r>
      <w:r w:rsidR="00873331">
        <w:rPr>
          <w:lang w:val="fr-FR"/>
        </w:rPr>
        <w:t>,</w:t>
      </w:r>
      <w:r w:rsidR="00873331" w:rsidRPr="00873331">
        <w:rPr>
          <w:lang w:val="fr-FR"/>
        </w:rPr>
        <w:t xml:space="preserve"> </w:t>
      </w:r>
      <w:r w:rsidR="00873331">
        <w:rPr>
          <w:lang w:val="fr-FR"/>
        </w:rPr>
        <w:t xml:space="preserve">en date du </w:t>
      </w:r>
      <w:r w:rsidR="00873331" w:rsidRPr="00873331">
        <w:rPr>
          <w:lang w:val="fr-FR"/>
        </w:rPr>
        <w:t xml:space="preserve">16 juillet 2012 </w:t>
      </w:r>
      <w:r w:rsidR="00873331">
        <w:rPr>
          <w:lang w:val="fr-FR"/>
        </w:rPr>
        <w:t>(</w:t>
      </w:r>
      <w:r w:rsidR="00873331" w:rsidRPr="00873331">
        <w:rPr>
          <w:lang w:val="fr-FR"/>
        </w:rPr>
        <w:t>Assembly/AU/Decl.1(XIX)</w:t>
      </w:r>
      <w:r w:rsidR="00873331">
        <w:rPr>
          <w:lang w:val="fr-FR"/>
        </w:rPr>
        <w:t>)</w:t>
      </w:r>
      <w:r w:rsidRPr="00873331">
        <w:rPr>
          <w:lang w:val="fr-FR"/>
        </w:rPr>
        <w:t xml:space="preserve"> et du 28 janvier 2013</w:t>
      </w:r>
      <w:r w:rsidR="00873331">
        <w:rPr>
          <w:lang w:val="fr-FR"/>
        </w:rPr>
        <w:t xml:space="preserve"> (Assembly/</w:t>
      </w:r>
      <w:r w:rsidR="00873331" w:rsidRPr="00873331">
        <w:rPr>
          <w:lang w:val="fr-FR"/>
        </w:rPr>
        <w:t>AU/Decl.3 (XX)</w:t>
      </w:r>
      <w:r w:rsidR="00873331">
        <w:rPr>
          <w:lang w:val="fr-FR"/>
        </w:rPr>
        <w:t>)</w:t>
      </w:r>
      <w:r w:rsidRPr="00873331">
        <w:rPr>
          <w:lang w:val="fr-FR"/>
        </w:rPr>
        <w:t>,</w:t>
      </w:r>
    </w:p>
    <w:p w:rsidR="0051293B" w:rsidRDefault="0051293B" w:rsidP="0051293B">
      <w:pPr>
        <w:pStyle w:val="SingleTxtG"/>
        <w:ind w:firstLine="567"/>
      </w:pPr>
      <w:r w:rsidRPr="0051293B">
        <w:rPr>
          <w:i/>
        </w:rPr>
        <w:t>Prenant note</w:t>
      </w:r>
      <w:r>
        <w:t xml:space="preserve"> du rapport de la Haut-Commissaire des Nations Unies aux droits de l'homme sur la situation des droits de l'homme au Mali,</w:t>
      </w:r>
      <w:r w:rsidR="00673CAA">
        <w:rPr>
          <w:rStyle w:val="FootnoteReference"/>
        </w:rPr>
        <w:footnoteReference w:id="3"/>
      </w:r>
      <w:r>
        <w:t xml:space="preserve"> </w:t>
      </w:r>
    </w:p>
    <w:p w:rsidR="0051293B" w:rsidRDefault="0051293B" w:rsidP="0051293B">
      <w:pPr>
        <w:pStyle w:val="SingleTxtG"/>
        <w:ind w:firstLine="567"/>
      </w:pPr>
      <w:r w:rsidRPr="0051293B">
        <w:rPr>
          <w:i/>
        </w:rPr>
        <w:t xml:space="preserve">Accueillant </w:t>
      </w:r>
      <w:r>
        <w:t>favorablement le déploiement au Mali d’une mission d'observateurs du Haut-Commissariat des Nations Unies aux droits de l'homme,</w:t>
      </w:r>
    </w:p>
    <w:p w:rsidR="0051293B" w:rsidRDefault="0051293B" w:rsidP="0051293B">
      <w:pPr>
        <w:pStyle w:val="SingleTxtG"/>
        <w:ind w:firstLine="567"/>
      </w:pPr>
      <w:r w:rsidRPr="0051293B">
        <w:rPr>
          <w:i/>
        </w:rPr>
        <w:t>Notant avec préoccupation</w:t>
      </w:r>
      <w:r>
        <w:t xml:space="preserve"> la situation des droits de l’homme en République du Mali, en particuli</w:t>
      </w:r>
      <w:r w:rsidR="00DA4683">
        <w:t xml:space="preserve">er dans sa partie nord, </w:t>
      </w:r>
      <w:r>
        <w:t xml:space="preserve">et la grave crise humanitaire </w:t>
      </w:r>
      <w:r w:rsidR="00C12EF8">
        <w:t xml:space="preserve">et </w:t>
      </w:r>
      <w:r>
        <w:t xml:space="preserve">ses conséquences pour les pays du </w:t>
      </w:r>
      <w:r w:rsidR="00C12EF8">
        <w:t>Sahel</w:t>
      </w:r>
      <w:r>
        <w:t>,</w:t>
      </w:r>
    </w:p>
    <w:p w:rsidR="0051293B" w:rsidRDefault="0051293B" w:rsidP="0051293B">
      <w:pPr>
        <w:pStyle w:val="SingleTxtG"/>
        <w:ind w:firstLine="567"/>
      </w:pPr>
      <w:r>
        <w:t>1.</w:t>
      </w:r>
      <w:r>
        <w:tab/>
      </w:r>
      <w:r w:rsidRPr="0051293B">
        <w:rPr>
          <w:i/>
        </w:rPr>
        <w:t>Condamne</w:t>
      </w:r>
      <w:r>
        <w:t xml:space="preserve"> les exactions et les abus commis en République du Mali, en particulier dans sa partie nord, notamment </w:t>
      </w:r>
      <w:r w:rsidR="00932DD4">
        <w:t>par l</w:t>
      </w:r>
      <w:r>
        <w:t xml:space="preserve">es rebelles, les groupes terroristes et les autres réseaux de criminalité transnationale </w:t>
      </w:r>
      <w:r w:rsidR="001E3194">
        <w:t>organisée</w:t>
      </w:r>
      <w:r>
        <w:t>, y compris les violences faites aux femmes et aux enfants, les exécutions sommaires et extrajudiciaires, les prises d’otages, les pillages, la destruction des sites culturels et religieux et le recrutement d'enfants soldats</w:t>
      </w:r>
      <w:r w:rsidR="00932DD4">
        <w:t>,</w:t>
      </w:r>
      <w:r>
        <w:t xml:space="preserve"> ainsi que toutes les violations des droits de l'homme</w:t>
      </w:r>
      <w:r w:rsidR="00B757C8">
        <w:t xml:space="preserve"> au Mali</w:t>
      </w:r>
      <w:r>
        <w:t>;</w:t>
      </w:r>
    </w:p>
    <w:p w:rsidR="0051293B" w:rsidRDefault="0051293B" w:rsidP="0051293B">
      <w:pPr>
        <w:pStyle w:val="SingleTxtG"/>
        <w:ind w:firstLine="567"/>
      </w:pPr>
      <w:r>
        <w:t>2.</w:t>
      </w:r>
      <w:r>
        <w:tab/>
      </w:r>
      <w:r w:rsidRPr="0051293B">
        <w:rPr>
          <w:i/>
        </w:rPr>
        <w:t>Réitère l'appel</w:t>
      </w:r>
      <w:r>
        <w:t xml:space="preserve"> à </w:t>
      </w:r>
      <w:r w:rsidR="00C12EF8">
        <w:t>l’</w:t>
      </w:r>
      <w:r>
        <w:t>arrêt immédiat de toutes violations des droits de l’homme et des actes de violence ainsi qu’à un strict respect de tous les droits de l’homme et libertés fondamentales;</w:t>
      </w:r>
    </w:p>
    <w:p w:rsidR="0051293B" w:rsidRDefault="0051293B" w:rsidP="0051293B">
      <w:pPr>
        <w:pStyle w:val="SingleTxtG"/>
        <w:ind w:firstLine="567"/>
      </w:pPr>
      <w:r>
        <w:t>3.</w:t>
      </w:r>
      <w:r>
        <w:tab/>
      </w:r>
      <w:r w:rsidRPr="0051293B">
        <w:rPr>
          <w:i/>
        </w:rPr>
        <w:t xml:space="preserve">Salue </w:t>
      </w:r>
      <w:r>
        <w:t xml:space="preserve">les démarches entreprises par le Gouvernement du Mali en vue de traduire devant une justice impartiale tous les auteurs de tels actes et prend note de la signature, le 13 février 2013, entre la République du Mali et la Cour pénale internationale d'un Accord de coopération judiciaire, et salue également la mise en place </w:t>
      </w:r>
      <w:r w:rsidR="00B757C8">
        <w:t xml:space="preserve">par le gouvernement du Mali </w:t>
      </w:r>
      <w:r>
        <w:t>d’une Commission de dialogue et de réconciliation au Mali;</w:t>
      </w:r>
    </w:p>
    <w:p w:rsidR="0051293B" w:rsidRDefault="0051293B" w:rsidP="0051293B">
      <w:pPr>
        <w:pStyle w:val="SingleTxtG"/>
        <w:ind w:firstLine="567"/>
      </w:pPr>
      <w:r>
        <w:t>4.</w:t>
      </w:r>
      <w:r>
        <w:tab/>
      </w:r>
      <w:r w:rsidRPr="0051293B">
        <w:rPr>
          <w:i/>
        </w:rPr>
        <w:t>Se félicite</w:t>
      </w:r>
      <w:r>
        <w:t xml:space="preserve"> du déploiement en cours de la </w:t>
      </w:r>
      <w:r w:rsidR="00C12EF8">
        <w:rPr>
          <w:color w:val="000000"/>
        </w:rPr>
        <w:t xml:space="preserve">Mission internationale de soutien au Mali </w:t>
      </w:r>
      <w:r>
        <w:t xml:space="preserve">et de l'appui déterminant apporté au Mali par les pays de la </w:t>
      </w:r>
      <w:r w:rsidR="001E3194">
        <w:t>Communauté économique des États de l’Afrique de l’Ouest</w:t>
      </w:r>
      <w:r>
        <w:t xml:space="preserve"> et autres pays membres de l’Union </w:t>
      </w:r>
      <w:r w:rsidR="001E3194">
        <w:t xml:space="preserve">africaine </w:t>
      </w:r>
      <w:r>
        <w:t>appartenant à la région, y compris le Tchad, ainsi que tous les partenaires, en vue de la restauration de la paix et de la sécurité sur l'ensemble du territoire;</w:t>
      </w:r>
    </w:p>
    <w:p w:rsidR="0051293B" w:rsidRDefault="0051293B" w:rsidP="0051293B">
      <w:pPr>
        <w:pStyle w:val="SingleTxtG"/>
        <w:ind w:firstLine="567"/>
      </w:pPr>
      <w:r>
        <w:t>5.</w:t>
      </w:r>
      <w:r>
        <w:tab/>
      </w:r>
      <w:r w:rsidRPr="0051293B">
        <w:rPr>
          <w:i/>
        </w:rPr>
        <w:t>Demande</w:t>
      </w:r>
      <w:r w:rsidR="00DA4683">
        <w:t xml:space="preserve"> à</w:t>
      </w:r>
      <w:r>
        <w:t xml:space="preserve"> toutes les forces et tous les groupes armés présents sur le terrain de veiller au strict respect du droit international des droits de </w:t>
      </w:r>
      <w:r w:rsidR="001E3194">
        <w:t xml:space="preserve">l'homme </w:t>
      </w:r>
      <w:r>
        <w:t xml:space="preserve">et du </w:t>
      </w:r>
      <w:r w:rsidR="001E3194">
        <w:t xml:space="preserve">droit </w:t>
      </w:r>
      <w:r>
        <w:t>international humanitaire;</w:t>
      </w:r>
    </w:p>
    <w:p w:rsidR="0051293B" w:rsidRDefault="0051293B" w:rsidP="0051293B">
      <w:pPr>
        <w:pStyle w:val="SingleTxtG"/>
        <w:ind w:firstLine="567"/>
      </w:pPr>
      <w:r>
        <w:t>6.</w:t>
      </w:r>
      <w:r>
        <w:tab/>
      </w:r>
      <w:r w:rsidRPr="0051293B">
        <w:rPr>
          <w:i/>
        </w:rPr>
        <w:t>Continue d'appuyer</w:t>
      </w:r>
      <w:r>
        <w:t xml:space="preserve"> les efforts en cours de l’Union </w:t>
      </w:r>
      <w:r w:rsidR="001E3194">
        <w:t>africaine</w:t>
      </w:r>
      <w:r>
        <w:t xml:space="preserve">, de la Communauté </w:t>
      </w:r>
      <w:r w:rsidR="001E3194">
        <w:t xml:space="preserve">économique </w:t>
      </w:r>
      <w:r>
        <w:t xml:space="preserve">des </w:t>
      </w:r>
      <w:r w:rsidR="001E3194">
        <w:t xml:space="preserve">États </w:t>
      </w:r>
      <w:r>
        <w:t xml:space="preserve">de l'Afrique de l'Ouest et de tous les partenaires en vue de la résolution de la crise en République du Mali, </w:t>
      </w:r>
      <w:r w:rsidR="00EE2EFB">
        <w:t>en vue d’</w:t>
      </w:r>
      <w:r>
        <w:t>un retour à l'ordre constitutionnel;</w:t>
      </w:r>
    </w:p>
    <w:p w:rsidR="0051293B" w:rsidRDefault="0051293B" w:rsidP="0051293B">
      <w:pPr>
        <w:pStyle w:val="SingleTxtG"/>
        <w:ind w:firstLine="567"/>
      </w:pPr>
      <w:r>
        <w:t>7.</w:t>
      </w:r>
      <w:r>
        <w:tab/>
      </w:r>
      <w:r w:rsidRPr="0051293B">
        <w:rPr>
          <w:i/>
        </w:rPr>
        <w:t>Appelle</w:t>
      </w:r>
      <w:r>
        <w:t xml:space="preserve"> le </w:t>
      </w:r>
      <w:r w:rsidR="00DA4683">
        <w:t>Gouvernement du Mali à</w:t>
      </w:r>
      <w:r>
        <w:t xml:space="preserve"> garantir la liberté d’expression et l’invite à organiser au plus tôt des élections libres et transparentes en vue de cr</w:t>
      </w:r>
      <w:r w:rsidR="00DA4683">
        <w:t>éer les conditions d’un retour à</w:t>
      </w:r>
      <w:r>
        <w:t xml:space="preserve"> l’ordre constitutionnel, d’une réconciliation durable et inclusive entre les différentes composantes de la population malienne</w:t>
      </w:r>
      <w:r w:rsidR="00EE2EFB">
        <w:t>,</w:t>
      </w:r>
      <w:r>
        <w:t xml:space="preserve"> </w:t>
      </w:r>
      <w:r w:rsidR="00932DD4">
        <w:t>et</w:t>
      </w:r>
      <w:r>
        <w:t xml:space="preserve"> de la consolidation de la paix, en s’assurant de la pleine participation des femmes aux processus des élections et de réconciliation;</w:t>
      </w:r>
    </w:p>
    <w:p w:rsidR="0051293B" w:rsidRDefault="0051293B" w:rsidP="0051293B">
      <w:pPr>
        <w:pStyle w:val="SingleTxtG"/>
        <w:ind w:firstLine="567"/>
      </w:pPr>
      <w:r>
        <w:t xml:space="preserve">8. </w:t>
      </w:r>
      <w:r w:rsidRPr="0051293B">
        <w:rPr>
          <w:i/>
        </w:rPr>
        <w:t>Réitère son appréciation</w:t>
      </w:r>
      <w:r>
        <w:t xml:space="preserve"> pour l’assistance humanitaire déjà fournie aux populations affectées par la crise et demande instamment à la communauté internationale de continuer </w:t>
      </w:r>
      <w:r w:rsidR="001E3194">
        <w:t>d’</w:t>
      </w:r>
      <w:r>
        <w:t xml:space="preserve">apporter, en concertation avec le Gouvernement du Mali et les pays frontaliers concernés, une assistance humanitaire adéquate et sécurisée aux </w:t>
      </w:r>
      <w:r w:rsidR="00DA4683">
        <w:t>réfugiés et personnes déplacées</w:t>
      </w:r>
      <w:r>
        <w:t>;</w:t>
      </w:r>
    </w:p>
    <w:p w:rsidR="0051293B" w:rsidRDefault="0051293B" w:rsidP="0051293B">
      <w:pPr>
        <w:pStyle w:val="SingleTxtG"/>
        <w:ind w:firstLine="567"/>
      </w:pPr>
      <w:r>
        <w:t>9.</w:t>
      </w:r>
      <w:r>
        <w:tab/>
      </w:r>
      <w:r w:rsidRPr="0051293B">
        <w:rPr>
          <w:i/>
        </w:rPr>
        <w:t>Décide</w:t>
      </w:r>
      <w:r>
        <w:t xml:space="preserve"> d’établir pour une période d’un an le mandat d’expert indépendant sur la situation des droits de l’homme au Mali, en vue d’aider le Gouvernement malien dans ses actions de promotion et de protection des droits de l'homme;</w:t>
      </w:r>
    </w:p>
    <w:p w:rsidR="0051293B" w:rsidRDefault="0051293B" w:rsidP="0051293B">
      <w:pPr>
        <w:pStyle w:val="SingleTxtG"/>
        <w:ind w:firstLine="567"/>
      </w:pPr>
      <w:r>
        <w:t>10.</w:t>
      </w:r>
      <w:r>
        <w:tab/>
      </w:r>
      <w:r w:rsidRPr="0051293B">
        <w:rPr>
          <w:i/>
        </w:rPr>
        <w:t>Demande</w:t>
      </w:r>
      <w:r>
        <w:t xml:space="preserve"> à l'expert indépendant, dans la limite de son mandat, de travailler en étroite collaboration avec toutes les instances des Nations Unies, de l'Union </w:t>
      </w:r>
      <w:r w:rsidR="001E3194">
        <w:t>africaine</w:t>
      </w:r>
      <w:r>
        <w:t xml:space="preserve">, de la </w:t>
      </w:r>
      <w:r w:rsidR="001E3194">
        <w:t>Communauté économique des États d’Afrique de l’Ouest</w:t>
      </w:r>
      <w:r>
        <w:t xml:space="preserve">, et toute autre organisation internationale concernée, la société civile malienne et de faire rapport au Conseil des droits de </w:t>
      </w:r>
      <w:r w:rsidR="001E3194">
        <w:t xml:space="preserve">l'homme </w:t>
      </w:r>
      <w:r>
        <w:t xml:space="preserve">à sa </w:t>
      </w:r>
      <w:r w:rsidR="001E3194">
        <w:t xml:space="preserve">vingt-cinquième </w:t>
      </w:r>
      <w:r>
        <w:t>session;</w:t>
      </w:r>
    </w:p>
    <w:p w:rsidR="0051293B" w:rsidRDefault="0051293B" w:rsidP="0051293B">
      <w:pPr>
        <w:pStyle w:val="SingleTxtG"/>
        <w:ind w:firstLine="567"/>
      </w:pPr>
      <w:r>
        <w:t>11.</w:t>
      </w:r>
      <w:r>
        <w:tab/>
      </w:r>
      <w:r w:rsidRPr="0051293B">
        <w:rPr>
          <w:i/>
        </w:rPr>
        <w:t>Prie</w:t>
      </w:r>
      <w:r>
        <w:t xml:space="preserve"> le Secrétaire Général des Nations Unies et la Haut-commissaire des Nations Unies aux droits de </w:t>
      </w:r>
      <w:r w:rsidR="001E3194">
        <w:t xml:space="preserve">l'homme </w:t>
      </w:r>
      <w:r>
        <w:t>de fournir à l’expert indépendant toute l’assistance dont il aura besoin pour s’acquitter pleinement de son mandat ;</w:t>
      </w:r>
    </w:p>
    <w:p w:rsidR="0051293B" w:rsidRDefault="0051293B" w:rsidP="0051293B">
      <w:pPr>
        <w:pStyle w:val="SingleTxtG"/>
        <w:ind w:firstLine="567"/>
      </w:pPr>
      <w:r>
        <w:t>12.</w:t>
      </w:r>
      <w:r>
        <w:tab/>
      </w:r>
      <w:r w:rsidR="007F087A">
        <w:rPr>
          <w:i/>
        </w:rPr>
        <w:t>Encourage</w:t>
      </w:r>
      <w:r w:rsidR="007F087A">
        <w:t xml:space="preserve"> </w:t>
      </w:r>
      <w:r>
        <w:t xml:space="preserve">les </w:t>
      </w:r>
      <w:r w:rsidR="007E5FB6">
        <w:t xml:space="preserve">États Membres </w:t>
      </w:r>
      <w:r>
        <w:t xml:space="preserve">de l’Organisation des Nations Unies, dans le cadre de la coopération internationale, les organismes compétents des Nations Unies, les institutions financières internationales et toute autre organisation internationale concernée à fournir au Mali, une assistance technique et une aide au renforcement des capacités, en vue de promouvoir le respect des droits de l’homme et </w:t>
      </w:r>
      <w:r w:rsidR="007E5FB6">
        <w:t xml:space="preserve">de </w:t>
      </w:r>
      <w:r>
        <w:t>réformer le domaine de la justice par l'instauration de mécanismes éventuels de justice transitionnelle;</w:t>
      </w:r>
    </w:p>
    <w:p w:rsidR="0051293B" w:rsidRDefault="0051293B" w:rsidP="0051293B">
      <w:pPr>
        <w:pStyle w:val="SingleTxtG"/>
        <w:ind w:firstLine="567"/>
      </w:pPr>
      <w:r>
        <w:t>13.</w:t>
      </w:r>
      <w:r>
        <w:tab/>
      </w:r>
      <w:r w:rsidR="00B757C8">
        <w:rPr>
          <w:i/>
        </w:rPr>
        <w:t xml:space="preserve">Demande </w:t>
      </w:r>
      <w:r w:rsidR="00B757C8" w:rsidRPr="00CD071B">
        <w:t xml:space="preserve">à </w:t>
      </w:r>
      <w:r w:rsidRPr="00573E3D">
        <w:t>la</w:t>
      </w:r>
      <w:r>
        <w:t xml:space="preserve"> Haut-commissaire des Nations Unies aux </w:t>
      </w:r>
      <w:r w:rsidR="007E5FB6">
        <w:t xml:space="preserve">droits </w:t>
      </w:r>
      <w:r>
        <w:t>de l’homme de lui présenter un rapport mis à jour sur la situation des droits de l’homme au Mali pour examen à sa vingt-troisième session ;</w:t>
      </w:r>
    </w:p>
    <w:p w:rsidR="00FF1B1D" w:rsidRDefault="0051293B" w:rsidP="0051293B">
      <w:pPr>
        <w:pStyle w:val="SingleTxtG"/>
        <w:ind w:firstLine="567"/>
      </w:pPr>
      <w:r>
        <w:t>14.</w:t>
      </w:r>
      <w:r>
        <w:tab/>
      </w:r>
      <w:r w:rsidRPr="0051293B">
        <w:rPr>
          <w:i/>
        </w:rPr>
        <w:t>Décide</w:t>
      </w:r>
      <w:r>
        <w:t xml:space="preserve"> de demeurer saisi de cette question.</w:t>
      </w:r>
    </w:p>
    <w:p w:rsidR="00D03948" w:rsidRDefault="00D03948" w:rsidP="007C54CF">
      <w:pPr>
        <w:pStyle w:val="SingleTxtG"/>
        <w:spacing w:after="0"/>
        <w:jc w:val="right"/>
        <w:rPr>
          <w:i/>
        </w:rPr>
      </w:pPr>
      <w:r>
        <w:rPr>
          <w:i/>
        </w:rPr>
        <w:t>48</w:t>
      </w:r>
      <w:r w:rsidRPr="00D03948">
        <w:rPr>
          <w:i/>
          <w:vertAlign w:val="superscript"/>
        </w:rPr>
        <w:t>ème</w:t>
      </w:r>
      <w:r>
        <w:rPr>
          <w:i/>
        </w:rPr>
        <w:t xml:space="preserve"> réunion</w:t>
      </w:r>
    </w:p>
    <w:p w:rsidR="00D03948" w:rsidRDefault="00D03948" w:rsidP="007C54CF">
      <w:pPr>
        <w:pStyle w:val="SingleTxtG"/>
        <w:jc w:val="right"/>
        <w:rPr>
          <w:i/>
        </w:rPr>
      </w:pPr>
      <w:r>
        <w:rPr>
          <w:i/>
        </w:rPr>
        <w:t>21 mars 2013</w:t>
      </w:r>
    </w:p>
    <w:p w:rsidR="00D03948" w:rsidRPr="00D03948" w:rsidRDefault="00D03948" w:rsidP="007C54CF">
      <w:pPr>
        <w:pStyle w:val="SingleTxtG"/>
      </w:pPr>
      <w:r>
        <w:t>[Adoptée sans vote]</w:t>
      </w:r>
    </w:p>
    <w:p w:rsidR="0051293B" w:rsidRPr="0051293B" w:rsidRDefault="0051293B" w:rsidP="0051293B">
      <w:pPr>
        <w:pStyle w:val="SingleTxtG"/>
        <w:spacing w:before="240" w:after="0"/>
        <w:jc w:val="center"/>
        <w:rPr>
          <w:u w:val="single"/>
        </w:rPr>
      </w:pPr>
      <w:r>
        <w:rPr>
          <w:u w:val="single"/>
        </w:rPr>
        <w:tab/>
      </w:r>
      <w:r>
        <w:rPr>
          <w:u w:val="single"/>
        </w:rPr>
        <w:tab/>
      </w:r>
      <w:r>
        <w:rPr>
          <w:u w:val="single"/>
        </w:rPr>
        <w:tab/>
      </w:r>
    </w:p>
    <w:sectPr w:rsidR="0051293B" w:rsidRPr="0051293B" w:rsidSect="00A36C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1BF" w:rsidRDefault="003631BF"/>
  </w:endnote>
  <w:endnote w:type="continuationSeparator" w:id="0">
    <w:p w:rsidR="003631BF" w:rsidRDefault="003631BF"/>
  </w:endnote>
  <w:endnote w:type="continuationNotice" w:id="1">
    <w:p w:rsidR="003631BF" w:rsidRPr="00770C75" w:rsidRDefault="003631BF"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0F4" w:rsidRPr="00A36CE0" w:rsidRDefault="005240F4" w:rsidP="00A36CE0">
    <w:pPr>
      <w:pStyle w:val="Footer"/>
      <w:tabs>
        <w:tab w:val="right" w:pos="9638"/>
      </w:tabs>
    </w:pPr>
    <w:r w:rsidRPr="00A36CE0">
      <w:rPr>
        <w:b/>
        <w:sz w:val="18"/>
      </w:rPr>
      <w:fldChar w:fldCharType="begin"/>
    </w:r>
    <w:r w:rsidRPr="00A36CE0">
      <w:rPr>
        <w:b/>
        <w:sz w:val="18"/>
      </w:rPr>
      <w:instrText xml:space="preserve"> PAGE  \* MERGEFORMAT </w:instrText>
    </w:r>
    <w:r w:rsidRPr="00A36CE0">
      <w:rPr>
        <w:b/>
        <w:sz w:val="18"/>
      </w:rPr>
      <w:fldChar w:fldCharType="separate"/>
    </w:r>
    <w:r w:rsidR="0002514F">
      <w:rPr>
        <w:b/>
        <w:noProof/>
        <w:sz w:val="18"/>
      </w:rPr>
      <w:t>2</w:t>
    </w:r>
    <w:r w:rsidRPr="00A36CE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0F4" w:rsidRPr="00A36CE0" w:rsidRDefault="005240F4" w:rsidP="00A36CE0">
    <w:pPr>
      <w:pStyle w:val="Footer"/>
      <w:tabs>
        <w:tab w:val="right" w:pos="9638"/>
      </w:tabs>
      <w:rPr>
        <w:b/>
        <w:sz w:val="18"/>
      </w:rPr>
    </w:pPr>
    <w:r>
      <w:tab/>
    </w:r>
    <w:r w:rsidRPr="00A36CE0">
      <w:rPr>
        <w:b/>
        <w:sz w:val="18"/>
      </w:rPr>
      <w:fldChar w:fldCharType="begin"/>
    </w:r>
    <w:r w:rsidRPr="00A36CE0">
      <w:rPr>
        <w:b/>
        <w:sz w:val="18"/>
      </w:rPr>
      <w:instrText xml:space="preserve"> PAGE  \* MERGEFORMAT </w:instrText>
    </w:r>
    <w:r w:rsidRPr="00A36CE0">
      <w:rPr>
        <w:b/>
        <w:sz w:val="18"/>
      </w:rPr>
      <w:fldChar w:fldCharType="separate"/>
    </w:r>
    <w:r w:rsidR="0002514F">
      <w:rPr>
        <w:b/>
        <w:noProof/>
        <w:sz w:val="18"/>
      </w:rPr>
      <w:t>3</w:t>
    </w:r>
    <w:r w:rsidRPr="00A36C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0F4" w:rsidRPr="00325CC8" w:rsidRDefault="006C4595" w:rsidP="00325CC8">
    <w:pPr>
      <w:pStyle w:val="Footer"/>
    </w:pPr>
    <w:r>
      <w:rPr>
        <w:sz w:val="20"/>
      </w:rPr>
      <w:t>GE.</w:t>
    </w:r>
    <w:r w:rsidR="005240F4">
      <w:rPr>
        <w:sz w:val="20"/>
      </w:rPr>
      <w:t>13-</w:t>
    </w:r>
    <w:r w:rsidR="005240F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02514F">
      <w:rPr>
        <w:sz w:val="20"/>
      </w:rPr>
      <w:t>12922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1BF" w:rsidRPr="00D27D5E" w:rsidRDefault="003631BF" w:rsidP="00D27D5E">
      <w:pPr>
        <w:tabs>
          <w:tab w:val="right" w:pos="2155"/>
        </w:tabs>
        <w:spacing w:after="80"/>
        <w:ind w:left="680"/>
        <w:rPr>
          <w:u w:val="single"/>
        </w:rPr>
      </w:pPr>
      <w:r>
        <w:rPr>
          <w:u w:val="single"/>
        </w:rPr>
        <w:tab/>
      </w:r>
    </w:p>
  </w:footnote>
  <w:footnote w:type="continuationSeparator" w:id="0">
    <w:p w:rsidR="003631BF" w:rsidRPr="001D7014" w:rsidRDefault="003631BF" w:rsidP="001D7014">
      <w:pPr>
        <w:tabs>
          <w:tab w:val="right" w:pos="2155"/>
        </w:tabs>
        <w:spacing w:after="80"/>
        <w:ind w:left="680"/>
        <w:rPr>
          <w:u w:val="single"/>
        </w:rPr>
      </w:pPr>
      <w:r w:rsidRPr="001D7014">
        <w:rPr>
          <w:u w:val="single"/>
        </w:rPr>
        <w:tab/>
      </w:r>
    </w:p>
  </w:footnote>
  <w:footnote w:type="continuationNotice" w:id="1">
    <w:p w:rsidR="003631BF" w:rsidRPr="00770C75" w:rsidRDefault="003631BF" w:rsidP="00770C75">
      <w:pPr>
        <w:spacing w:line="240" w:lineRule="auto"/>
        <w:rPr>
          <w:sz w:val="2"/>
          <w:szCs w:val="2"/>
        </w:rPr>
      </w:pPr>
    </w:p>
  </w:footnote>
  <w:footnote w:id="2">
    <w:p w:rsidR="007C54CF" w:rsidRPr="007C54CF" w:rsidRDefault="007C54CF">
      <w:pPr>
        <w:pStyle w:val="FootnoteText"/>
      </w:pPr>
      <w:r>
        <w:rPr>
          <w:rStyle w:val="FootnoteReference"/>
        </w:rPr>
        <w:tab/>
      </w:r>
      <w:r w:rsidRPr="007C54CF">
        <w:rPr>
          <w:rStyle w:val="FootnoteReference"/>
          <w:sz w:val="20"/>
          <w:vertAlign w:val="baseline"/>
        </w:rPr>
        <w:t>*</w:t>
      </w:r>
      <w:r>
        <w:rPr>
          <w:rStyle w:val="FootnoteReference"/>
          <w:sz w:val="20"/>
          <w:vertAlign w:val="baseline"/>
        </w:rPr>
        <w:tab/>
      </w:r>
      <w:r w:rsidRPr="007C54CF">
        <w:rPr>
          <w:sz w:val="20"/>
        </w:rPr>
        <w:t>Les résolutions et décisions adoptées par le Conseil des droits de l’homme sont reproduites dans le rapport du Conseil relatif à sa vingt-deuxième session (A/HRC/22/2, chap.I)</w:t>
      </w:r>
      <w:r>
        <w:rPr>
          <w:sz w:val="20"/>
        </w:rPr>
        <w:t>.</w:t>
      </w:r>
    </w:p>
  </w:footnote>
  <w:footnote w:id="3">
    <w:p w:rsidR="00673CAA" w:rsidRPr="00673CAA" w:rsidRDefault="007C54CF">
      <w:pPr>
        <w:pStyle w:val="FootnoteText"/>
        <w:rPr>
          <w:lang w:val="en-US"/>
        </w:rPr>
      </w:pPr>
      <w:r>
        <w:tab/>
      </w:r>
      <w:r w:rsidR="00673CAA">
        <w:rPr>
          <w:rStyle w:val="FootnoteReference"/>
        </w:rPr>
        <w:footnoteRef/>
      </w:r>
      <w:r>
        <w:tab/>
      </w:r>
      <w:r w:rsidR="00673CAA">
        <w:t>A/HRC/22/33 et Corr.1.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0F4" w:rsidRPr="00A36CE0" w:rsidRDefault="005240F4">
    <w:pPr>
      <w:pStyle w:val="Header"/>
    </w:pPr>
    <w:r>
      <w:t>A/HRC/</w:t>
    </w:r>
    <w:r w:rsidR="00B96B22">
      <w:t>RES/</w:t>
    </w:r>
    <w:r>
      <w:t>22/</w:t>
    </w:r>
    <w:r w:rsidR="00B96B22">
      <w:t>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0F4" w:rsidRPr="00A36CE0" w:rsidRDefault="005240F4" w:rsidP="00A36CE0">
    <w:pPr>
      <w:pStyle w:val="Header"/>
      <w:jc w:val="right"/>
    </w:pPr>
    <w:r>
      <w:t>A/HRC/</w:t>
    </w:r>
    <w:r w:rsidR="00D03948">
      <w:t>RES/</w:t>
    </w:r>
    <w:r>
      <w:t>22/</w:t>
    </w:r>
    <w:r w:rsidR="00D03948">
      <w:t>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4C8BD2A"/>
    <w:lvl w:ilvl="0">
      <w:start w:val="1"/>
      <w:numFmt w:val="decimal"/>
      <w:lvlText w:val="%1."/>
      <w:lvlJc w:val="left"/>
      <w:pPr>
        <w:tabs>
          <w:tab w:val="num" w:pos="1492"/>
        </w:tabs>
        <w:ind w:left="1492" w:hanging="360"/>
      </w:pPr>
    </w:lvl>
  </w:abstractNum>
  <w:abstractNum w:abstractNumId="1">
    <w:nsid w:val="FFFFFF7D"/>
    <w:multiLevelType w:val="singleLevel"/>
    <w:tmpl w:val="AA809B1E"/>
    <w:lvl w:ilvl="0">
      <w:start w:val="1"/>
      <w:numFmt w:val="decimal"/>
      <w:lvlText w:val="%1."/>
      <w:lvlJc w:val="left"/>
      <w:pPr>
        <w:tabs>
          <w:tab w:val="num" w:pos="1209"/>
        </w:tabs>
        <w:ind w:left="1209" w:hanging="360"/>
      </w:pPr>
    </w:lvl>
  </w:abstractNum>
  <w:abstractNum w:abstractNumId="2">
    <w:nsid w:val="FFFFFF7E"/>
    <w:multiLevelType w:val="singleLevel"/>
    <w:tmpl w:val="A2C4AC62"/>
    <w:lvl w:ilvl="0">
      <w:start w:val="1"/>
      <w:numFmt w:val="decimal"/>
      <w:lvlText w:val="%1."/>
      <w:lvlJc w:val="left"/>
      <w:pPr>
        <w:tabs>
          <w:tab w:val="num" w:pos="926"/>
        </w:tabs>
        <w:ind w:left="926" w:hanging="360"/>
      </w:pPr>
    </w:lvl>
  </w:abstractNum>
  <w:abstractNum w:abstractNumId="3">
    <w:nsid w:val="FFFFFF7F"/>
    <w:multiLevelType w:val="singleLevel"/>
    <w:tmpl w:val="F5766A36"/>
    <w:lvl w:ilvl="0">
      <w:start w:val="1"/>
      <w:numFmt w:val="decimal"/>
      <w:lvlText w:val="%1."/>
      <w:lvlJc w:val="left"/>
      <w:pPr>
        <w:tabs>
          <w:tab w:val="num" w:pos="643"/>
        </w:tabs>
        <w:ind w:left="643" w:hanging="360"/>
      </w:pPr>
    </w:lvl>
  </w:abstractNum>
  <w:abstractNum w:abstractNumId="4">
    <w:nsid w:val="FFFFFF80"/>
    <w:multiLevelType w:val="singleLevel"/>
    <w:tmpl w:val="54964F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942E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C681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A24AB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732030A"/>
    <w:lvl w:ilvl="0">
      <w:start w:val="1"/>
      <w:numFmt w:val="decimal"/>
      <w:lvlText w:val="%1."/>
      <w:lvlJc w:val="left"/>
      <w:pPr>
        <w:tabs>
          <w:tab w:val="num" w:pos="360"/>
        </w:tabs>
        <w:ind w:left="360" w:hanging="360"/>
      </w:pPr>
    </w:lvl>
  </w:abstractNum>
  <w:abstractNum w:abstractNumId="9">
    <w:nsid w:val="FFFFFF89"/>
    <w:multiLevelType w:val="singleLevel"/>
    <w:tmpl w:val="E50CA87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0752"/>
    <w:rsid w:val="000024CC"/>
    <w:rsid w:val="00016AC5"/>
    <w:rsid w:val="0002514F"/>
    <w:rsid w:val="00053654"/>
    <w:rsid w:val="00057BC0"/>
    <w:rsid w:val="000675FE"/>
    <w:rsid w:val="00075252"/>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194"/>
    <w:rsid w:val="001E3FEB"/>
    <w:rsid w:val="001E4A02"/>
    <w:rsid w:val="00201C88"/>
    <w:rsid w:val="00217DB9"/>
    <w:rsid w:val="00245F2B"/>
    <w:rsid w:val="002659F1"/>
    <w:rsid w:val="00270752"/>
    <w:rsid w:val="00286D0C"/>
    <w:rsid w:val="00286F7E"/>
    <w:rsid w:val="00287E79"/>
    <w:rsid w:val="002928F9"/>
    <w:rsid w:val="002A5D07"/>
    <w:rsid w:val="002D6D59"/>
    <w:rsid w:val="003016B7"/>
    <w:rsid w:val="00325CC8"/>
    <w:rsid w:val="00326039"/>
    <w:rsid w:val="003515AA"/>
    <w:rsid w:val="003631BF"/>
    <w:rsid w:val="0037365E"/>
    <w:rsid w:val="00374106"/>
    <w:rsid w:val="00375577"/>
    <w:rsid w:val="0037787B"/>
    <w:rsid w:val="003976D5"/>
    <w:rsid w:val="003D3AE8"/>
    <w:rsid w:val="003D6C68"/>
    <w:rsid w:val="004159D0"/>
    <w:rsid w:val="00451E27"/>
    <w:rsid w:val="0045511F"/>
    <w:rsid w:val="00481744"/>
    <w:rsid w:val="00491140"/>
    <w:rsid w:val="004B1F7F"/>
    <w:rsid w:val="004B2F4D"/>
    <w:rsid w:val="0050066E"/>
    <w:rsid w:val="00503619"/>
    <w:rsid w:val="0051293B"/>
    <w:rsid w:val="005240F4"/>
    <w:rsid w:val="00542A1F"/>
    <w:rsid w:val="00567410"/>
    <w:rsid w:val="00571F41"/>
    <w:rsid w:val="00573E3D"/>
    <w:rsid w:val="005806EC"/>
    <w:rsid w:val="00580A56"/>
    <w:rsid w:val="00594033"/>
    <w:rsid w:val="005B3153"/>
    <w:rsid w:val="005B6899"/>
    <w:rsid w:val="005D2FF2"/>
    <w:rsid w:val="005D40D4"/>
    <w:rsid w:val="005E5D1F"/>
    <w:rsid w:val="006121C6"/>
    <w:rsid w:val="00612D48"/>
    <w:rsid w:val="00616B45"/>
    <w:rsid w:val="00635F40"/>
    <w:rsid w:val="006439EC"/>
    <w:rsid w:val="0066166E"/>
    <w:rsid w:val="006739B9"/>
    <w:rsid w:val="00673CAA"/>
    <w:rsid w:val="006A521F"/>
    <w:rsid w:val="006B4590"/>
    <w:rsid w:val="006C340C"/>
    <w:rsid w:val="006C4595"/>
    <w:rsid w:val="006D46CC"/>
    <w:rsid w:val="006E0516"/>
    <w:rsid w:val="0070347C"/>
    <w:rsid w:val="007170F0"/>
    <w:rsid w:val="00721FF1"/>
    <w:rsid w:val="007222A6"/>
    <w:rsid w:val="00743F9E"/>
    <w:rsid w:val="00757B26"/>
    <w:rsid w:val="007602DF"/>
    <w:rsid w:val="00770C75"/>
    <w:rsid w:val="00774E57"/>
    <w:rsid w:val="00781FD5"/>
    <w:rsid w:val="00785BA2"/>
    <w:rsid w:val="00786ACC"/>
    <w:rsid w:val="007A7BA1"/>
    <w:rsid w:val="007C21A8"/>
    <w:rsid w:val="007C2C4F"/>
    <w:rsid w:val="007C54CF"/>
    <w:rsid w:val="007D30F7"/>
    <w:rsid w:val="007D4692"/>
    <w:rsid w:val="007E5FB6"/>
    <w:rsid w:val="007E7740"/>
    <w:rsid w:val="007F087A"/>
    <w:rsid w:val="00805BEF"/>
    <w:rsid w:val="0081197C"/>
    <w:rsid w:val="00814298"/>
    <w:rsid w:val="008353D6"/>
    <w:rsid w:val="008436E3"/>
    <w:rsid w:val="00844750"/>
    <w:rsid w:val="0087266B"/>
    <w:rsid w:val="00873331"/>
    <w:rsid w:val="008921DD"/>
    <w:rsid w:val="0089595B"/>
    <w:rsid w:val="008A09C6"/>
    <w:rsid w:val="008C3C30"/>
    <w:rsid w:val="008D7C08"/>
    <w:rsid w:val="008E7FAE"/>
    <w:rsid w:val="00911BF7"/>
    <w:rsid w:val="00932DD4"/>
    <w:rsid w:val="009509BF"/>
    <w:rsid w:val="00977EC8"/>
    <w:rsid w:val="00981C83"/>
    <w:rsid w:val="00993E4B"/>
    <w:rsid w:val="009A4609"/>
    <w:rsid w:val="009B5609"/>
    <w:rsid w:val="009C54EB"/>
    <w:rsid w:val="009D3A8C"/>
    <w:rsid w:val="009E3D8E"/>
    <w:rsid w:val="009E7956"/>
    <w:rsid w:val="009F450E"/>
    <w:rsid w:val="00A2492E"/>
    <w:rsid w:val="00A36CE0"/>
    <w:rsid w:val="00A6127E"/>
    <w:rsid w:val="00A63BBD"/>
    <w:rsid w:val="00A7057F"/>
    <w:rsid w:val="00AC47AD"/>
    <w:rsid w:val="00AC7977"/>
    <w:rsid w:val="00AD2C69"/>
    <w:rsid w:val="00AE0E05"/>
    <w:rsid w:val="00AE352C"/>
    <w:rsid w:val="00B26E01"/>
    <w:rsid w:val="00B305CF"/>
    <w:rsid w:val="00B32E2D"/>
    <w:rsid w:val="00B3623F"/>
    <w:rsid w:val="00B41432"/>
    <w:rsid w:val="00B61990"/>
    <w:rsid w:val="00B757C8"/>
    <w:rsid w:val="00B80E45"/>
    <w:rsid w:val="00B83D30"/>
    <w:rsid w:val="00B8776F"/>
    <w:rsid w:val="00B96B22"/>
    <w:rsid w:val="00BA0900"/>
    <w:rsid w:val="00BA184E"/>
    <w:rsid w:val="00BE28D3"/>
    <w:rsid w:val="00BE3EE6"/>
    <w:rsid w:val="00BE6DA0"/>
    <w:rsid w:val="00BF0556"/>
    <w:rsid w:val="00BF6A63"/>
    <w:rsid w:val="00C12EF8"/>
    <w:rsid w:val="00C261F8"/>
    <w:rsid w:val="00C717E0"/>
    <w:rsid w:val="00C919A2"/>
    <w:rsid w:val="00CA04BE"/>
    <w:rsid w:val="00CA7EF7"/>
    <w:rsid w:val="00CB177A"/>
    <w:rsid w:val="00CD071B"/>
    <w:rsid w:val="00CD1A71"/>
    <w:rsid w:val="00CD1FBB"/>
    <w:rsid w:val="00CE5AFE"/>
    <w:rsid w:val="00CE7127"/>
    <w:rsid w:val="00CF6637"/>
    <w:rsid w:val="00D016B5"/>
    <w:rsid w:val="00D034F1"/>
    <w:rsid w:val="00D037E5"/>
    <w:rsid w:val="00D03948"/>
    <w:rsid w:val="00D27D5E"/>
    <w:rsid w:val="00D311B8"/>
    <w:rsid w:val="00D34CC9"/>
    <w:rsid w:val="00D42E42"/>
    <w:rsid w:val="00D54C4E"/>
    <w:rsid w:val="00DA4683"/>
    <w:rsid w:val="00DE6D90"/>
    <w:rsid w:val="00DE708E"/>
    <w:rsid w:val="00DF002F"/>
    <w:rsid w:val="00E0244D"/>
    <w:rsid w:val="00E241BD"/>
    <w:rsid w:val="00E81E94"/>
    <w:rsid w:val="00E82607"/>
    <w:rsid w:val="00E942F8"/>
    <w:rsid w:val="00EE2EFB"/>
    <w:rsid w:val="00EF327E"/>
    <w:rsid w:val="00F22103"/>
    <w:rsid w:val="00F71F90"/>
    <w:rsid w:val="00FA5A79"/>
    <w:rsid w:val="00FB0BFE"/>
    <w:rsid w:val="00FB0DAA"/>
    <w:rsid w:val="00FB4C51"/>
    <w:rsid w:val="00FC3E67"/>
    <w:rsid w:val="00FC652B"/>
    <w:rsid w:val="00FF1B1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 w:type="paragraph" w:customStyle="1" w:styleId="Default">
    <w:name w:val="Default"/>
    <w:rsid w:val="00873331"/>
    <w:pPr>
      <w:autoSpaceDE w:val="0"/>
      <w:autoSpaceDN w:val="0"/>
      <w:adjustRightInd w:val="0"/>
    </w:pPr>
    <w:rPr>
      <w:rFonts w:ascii="Arial" w:hAnsi="Arial" w:cs="Arial"/>
      <w:color w:val="000000"/>
      <w:sz w:val="24"/>
      <w:szCs w:val="24"/>
      <w:lang w:val="en-GB" w:eastAsia="en-GB"/>
    </w:rPr>
  </w:style>
  <w:style w:type="paragraph" w:styleId="BalloonText">
    <w:name w:val="Balloon Text"/>
    <w:basedOn w:val="Normal"/>
    <w:link w:val="BalloonTextChar"/>
    <w:rsid w:val="00075252"/>
    <w:pPr>
      <w:spacing w:line="240" w:lineRule="auto"/>
    </w:pPr>
    <w:rPr>
      <w:rFonts w:ascii="Tahoma" w:hAnsi="Tahoma"/>
      <w:sz w:val="16"/>
      <w:szCs w:val="16"/>
    </w:rPr>
  </w:style>
  <w:style w:type="character" w:customStyle="1" w:styleId="BalloonTextChar">
    <w:name w:val="Balloon Text Char"/>
    <w:link w:val="BalloonText"/>
    <w:rsid w:val="00075252"/>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1</Pages>
  <Words>987</Words>
  <Characters>5630</Characters>
  <Application>Microsoft Office Outlook</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A/HRC/21/L.4</vt:lpstr>
    </vt:vector>
  </TitlesOfParts>
  <Company>CSD</Company>
  <LinksUpToDate>false</LinksUpToDate>
  <CharactersWithSpaces>6604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A/HRC/21/L.4</dc:title>
  <dc:subject/>
  <dc:creator>D. Toutain</dc:creator>
  <cp:keywords/>
  <cp:lastModifiedBy>Sue merge</cp:lastModifiedBy>
  <cp:revision>2</cp:revision>
  <cp:lastPrinted>2013-03-15T11:31:00Z</cp:lastPrinted>
  <dcterms:created xsi:type="dcterms:W3CDTF">2013-04-15T11:30:00Z</dcterms:created>
  <dcterms:modified xsi:type="dcterms:W3CDTF">2013-04-15T11:30:00Z</dcterms:modified>
</cp:coreProperties>
</file>