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spacing w:line="60" w:lineRule="exact"/>
        <w:rPr>
          <w:sz w:val="6"/>
        </w:rPr>
        <w:sectPr w:rsidR="0000000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  <w:titlePg/>
        </w:sectPr>
      </w:pPr>
      <w:r>
        <w:rPr>
          <w:rStyle w:val="CommentReference"/>
          <w:vanish/>
        </w:rPr>
        <w:commentReference w:id="0"/>
      </w:r>
    </w:p>
    <w:p w:rsidR="00000000" w:rsidRDefault="00000000">
      <w:pPr>
        <w:pStyle w:val="H1"/>
      </w:pPr>
      <w:r>
        <w:t xml:space="preserve">Комитет по ликвидации дискриминации </w:t>
      </w:r>
      <w:r>
        <w:br/>
        <w:t>в отношении женщин</w:t>
      </w:r>
    </w:p>
    <w:p w:rsidR="00000000" w:rsidRDefault="00000000">
      <w:pPr>
        <w:pStyle w:val="H23"/>
      </w:pPr>
      <w:r>
        <w:t>Двадцать седьмая сессия</w:t>
      </w:r>
    </w:p>
    <w:p w:rsidR="00000000" w:rsidRDefault="00000000">
      <w:pPr>
        <w:spacing w:line="240" w:lineRule="auto"/>
        <w:rPr>
          <w:sz w:val="12"/>
        </w:rPr>
      </w:pPr>
    </w:p>
    <w:p w:rsidR="00000000" w:rsidRDefault="00000000">
      <w:pPr>
        <w:pStyle w:val="H23"/>
      </w:pPr>
      <w:r>
        <w:t>Краткий отчет о 562-м заседании,</w:t>
      </w:r>
    </w:p>
    <w:p w:rsidR="00000000" w:rsidRDefault="00000000">
      <w:r>
        <w:t>состоявшемся в Центральных учреждениях, Нью-Йорк, в среду, 12 июня 2002 года, в 15 ч. 00 м.</w:t>
      </w: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tabs>
          <w:tab w:val="left" w:pos="1440"/>
          <w:tab w:val="right" w:leader="dot" w:pos="8568"/>
        </w:tabs>
        <w:ind w:right="1267"/>
      </w:pPr>
      <w:r>
        <w:rPr>
          <w:i/>
        </w:rPr>
        <w:t>Председатель:</w:t>
      </w:r>
      <w:r>
        <w:tab/>
        <w:t>г</w:t>
      </w:r>
      <w:r>
        <w:noBreakHyphen/>
        <w:t>жа Абака</w:t>
      </w: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pStyle w:val="HCh"/>
        <w:rPr>
          <w:b w:val="0"/>
        </w:rPr>
      </w:pPr>
      <w:r>
        <w:rPr>
          <w:b w:val="0"/>
        </w:rPr>
        <w:t>Содержание</w:t>
      </w:r>
    </w:p>
    <w:p w:rsidR="00000000" w:rsidRDefault="00000000">
      <w:pPr>
        <w:pStyle w:val="HCh"/>
        <w:spacing w:line="240" w:lineRule="auto"/>
        <w:rPr>
          <w:b w:val="0"/>
          <w:sz w:val="12"/>
        </w:rPr>
      </w:pPr>
    </w:p>
    <w:p w:rsidR="00000000" w:rsidRDefault="00000000">
      <w:pPr>
        <w:pStyle w:val="SingleTxt"/>
        <w:suppressAutoHyphens/>
        <w:jc w:val="left"/>
      </w:pPr>
      <w:r>
        <w:t xml:space="preserve">Рассмотрение докладов, представляемых государствами-участниками </w:t>
      </w:r>
      <w:r>
        <w:br/>
        <w:t>в соответствии со статьей 18 Конвенции о ликвидации всех форм дискриминации в отношении женщин (</w:t>
      </w:r>
      <w:r>
        <w:rPr>
          <w:i/>
        </w:rPr>
        <w:t>продолжение</w:t>
      </w:r>
      <w:r>
        <w:t>)</w:t>
      </w:r>
    </w:p>
    <w:p w:rsidR="00000000" w:rsidRDefault="00000000">
      <w:pPr>
        <w:pStyle w:val="SingleTxt"/>
        <w:suppressAutoHyphens/>
        <w:jc w:val="left"/>
      </w:pPr>
      <w:r>
        <w:tab/>
      </w:r>
      <w:r>
        <w:rPr>
          <w:i/>
        </w:rPr>
        <w:t xml:space="preserve">Четвертый и пятый периодические доклады Дании </w:t>
      </w:r>
      <w:r>
        <w:t>(</w:t>
      </w:r>
      <w:r>
        <w:rPr>
          <w:i/>
        </w:rPr>
        <w:t>продолжение</w:t>
      </w:r>
      <w:r>
        <w:t>)</w:t>
      </w:r>
    </w:p>
    <w:p w:rsidR="00000000" w:rsidRDefault="00000000">
      <w:pPr>
        <w:pStyle w:val="SingleTxt"/>
        <w:jc w:val="left"/>
      </w:pPr>
    </w:p>
    <w:p w:rsidR="00000000" w:rsidRDefault="00000000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240" w:lineRule="auto"/>
        <w:ind w:left="1267" w:right="1260" w:hanging="1267"/>
        <w:rPr>
          <w:sz w:val="2"/>
        </w:rPr>
        <w:sectPr w:rsidR="00000000"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</w:sectPr>
      </w:pPr>
      <w:r>
        <w:br w:type="page"/>
      </w: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Заседание открывается в 15 ч. 05 м.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rPr>
          <w:b w:val="0"/>
        </w:rPr>
      </w:pPr>
      <w:r>
        <w:tab/>
        <w:t xml:space="preserve">Рассмотрение докладов, представляемых государствами-участниками в соответствии со статьей 18 Конвенции о ликвидации всех форм дискриминации в отношении женщин </w:t>
      </w:r>
      <w:r>
        <w:rPr>
          <w:b w:val="0"/>
        </w:rPr>
        <w:t>(</w:t>
      </w:r>
      <w:r>
        <w:rPr>
          <w:b w:val="0"/>
          <w:i/>
        </w:rPr>
        <w:t>продолжение</w:t>
      </w:r>
      <w:r>
        <w:rPr>
          <w:b w:val="0"/>
        </w:rPr>
        <w:t>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  <w:rPr>
          <w:i w:val="0"/>
        </w:rPr>
      </w:pPr>
      <w:r>
        <w:tab/>
      </w:r>
      <w:r>
        <w:tab/>
        <w:t>Четвертый и пятый периодические доклады Дании</w:t>
      </w:r>
      <w:r>
        <w:rPr>
          <w:i w:val="0"/>
        </w:rPr>
        <w:t xml:space="preserve"> (</w:t>
      </w:r>
      <w:r>
        <w:t>продолжение</w:t>
      </w:r>
      <w:r>
        <w:rPr>
          <w:i w:val="0"/>
        </w:rPr>
        <w:t>) (CEDAW/C/DEN/4, 5 и Add.1 и Corr.1; CEDAW/PSWG/2002/II/CRP.2/</w:t>
      </w:r>
      <w:r>
        <w:rPr>
          <w:i w:val="0"/>
        </w:rPr>
        <w:br/>
        <w:t>Add.1 и 2)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1.</w:t>
      </w:r>
      <w:r>
        <w:tab/>
      </w:r>
      <w:r>
        <w:rPr>
          <w:i/>
        </w:rPr>
        <w:t>Председатель приглашает членов делегации Дании занять место за столом Комит</w:t>
      </w:r>
      <w:r>
        <w:rPr>
          <w:i/>
        </w:rPr>
        <w:t>е</w:t>
      </w:r>
      <w:r>
        <w:rPr>
          <w:i/>
        </w:rPr>
        <w:t>та.</w:t>
      </w:r>
    </w:p>
    <w:p w:rsidR="00000000" w:rsidRDefault="00000000">
      <w:pPr>
        <w:pStyle w:val="DualTxt"/>
      </w:pPr>
      <w:r>
        <w:t>2.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Абель </w:t>
      </w:r>
      <w:r>
        <w:t>(Дания) говорит, что в течение д</w:t>
      </w:r>
      <w:r>
        <w:t>е</w:t>
      </w:r>
      <w:r>
        <w:t>сятилетнего периода, охватываемого четвертым и пятым докладами, доля женщин на рынке труда в</w:t>
      </w:r>
      <w:r>
        <w:t>ы</w:t>
      </w:r>
      <w:r>
        <w:t>росла до 75 процентов, а их образовательный ур</w:t>
      </w:r>
      <w:r>
        <w:t>о</w:t>
      </w:r>
      <w:r>
        <w:t>вень является более высоким, чем у мужчин. Дев</w:t>
      </w:r>
      <w:r>
        <w:t>я</w:t>
      </w:r>
      <w:r>
        <w:t>носто пять процентов всех детей в возрасте 3–6 лет посещают государственные детские учреждения, что дает замужним женщинам возможность раб</w:t>
      </w:r>
      <w:r>
        <w:t>о</w:t>
      </w:r>
      <w:r>
        <w:t>тать. С назначением министра по вопросам генде</w:t>
      </w:r>
      <w:r>
        <w:t>р</w:t>
      </w:r>
      <w:r>
        <w:t>ного равенства в настоящее время политика осущ</w:t>
      </w:r>
      <w:r>
        <w:t>е</w:t>
      </w:r>
      <w:r>
        <w:t>ствляется, скорее, от имени правительства, чем н</w:t>
      </w:r>
      <w:r>
        <w:t>е</w:t>
      </w:r>
      <w:r>
        <w:t>правительственного органа. Совет по вопросам гендерного равенства бесплатно рассматривает ж</w:t>
      </w:r>
      <w:r>
        <w:t>а</w:t>
      </w:r>
      <w:r>
        <w:t>лобы о дискриминации по признаку пола.</w:t>
      </w:r>
    </w:p>
    <w:p w:rsidR="00000000" w:rsidRDefault="00000000">
      <w:pPr>
        <w:pStyle w:val="DualTxt"/>
      </w:pPr>
      <w:r>
        <w:t>3.</w:t>
      </w:r>
      <w:r>
        <w:tab/>
        <w:t>Бюджет программ в области гендерного раве</w:t>
      </w:r>
      <w:r>
        <w:t>н</w:t>
      </w:r>
      <w:r>
        <w:t>ства достиг самого большого за свою историю ра</w:t>
      </w:r>
      <w:r>
        <w:t>з</w:t>
      </w:r>
      <w:r>
        <w:t>мера: на эти цели были ассигнованы 18,4 млн. да</w:t>
      </w:r>
      <w:r>
        <w:t>т</w:t>
      </w:r>
      <w:r>
        <w:t>ских крон. Закрытие Центра знаний не должно в</w:t>
      </w:r>
      <w:r>
        <w:t>ы</w:t>
      </w:r>
      <w:r>
        <w:t>зывать обеспокоенность, поскольку созданные в рамках новой структуры учреждения обеспечат продолжение его программ. Хотя многое еще пре</w:t>
      </w:r>
      <w:r>
        <w:t>д</w:t>
      </w:r>
      <w:r>
        <w:t>стоит сделать, в настоящее время в государстве</w:t>
      </w:r>
      <w:r>
        <w:t>н</w:t>
      </w:r>
      <w:r>
        <w:t>ном и частном секторах осуществляется как ник</w:t>
      </w:r>
      <w:r>
        <w:t>о</w:t>
      </w:r>
      <w:r>
        <w:t>гда много меропри</w:t>
      </w:r>
      <w:r>
        <w:t>я</w:t>
      </w:r>
      <w:r>
        <w:t>тий.</w:t>
      </w:r>
    </w:p>
    <w:p w:rsidR="00000000" w:rsidRDefault="00000000">
      <w:pPr>
        <w:pStyle w:val="DualTxt"/>
      </w:pPr>
      <w:r>
        <w:t>4.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Аксельссон </w:t>
      </w:r>
      <w:r>
        <w:t>(Дания) говорит, что ком</w:t>
      </w:r>
      <w:r>
        <w:t>и</w:t>
      </w:r>
      <w:r>
        <w:t>тет по инкорпорации состоит из 11 членов, 4 из к</w:t>
      </w:r>
      <w:r>
        <w:t>о</w:t>
      </w:r>
      <w:r>
        <w:t>торых являются женщинами. Его рекомендации рассматриваются соответствующими властями, в том числе министром по вопросам гендерного р</w:t>
      </w:r>
      <w:r>
        <w:t>а</w:t>
      </w:r>
      <w:r>
        <w:t>венства и неправительственными организациями. Пока что слишком рано предсказывать, какую поз</w:t>
      </w:r>
      <w:r>
        <w:t>и</w:t>
      </w:r>
      <w:r>
        <w:t>цию займет правительство в отношении инкорпор</w:t>
      </w:r>
      <w:r>
        <w:t>а</w:t>
      </w:r>
      <w:r>
        <w:t>ции конвенций о правах человека, в том числе сколько конвенций будет инкорпорировано. Ко</w:t>
      </w:r>
      <w:r>
        <w:t>н</w:t>
      </w:r>
      <w:r>
        <w:t>венция же о ликвидации всех форм дискриминации в отношении женщин применялась и ранее и и</w:t>
      </w:r>
      <w:r>
        <w:t>с</w:t>
      </w:r>
      <w:r>
        <w:t>пользуется судами, даже будучи неинкорпорир</w:t>
      </w:r>
      <w:r>
        <w:t>о</w:t>
      </w:r>
      <w:r>
        <w:t>ванной.</w:t>
      </w:r>
    </w:p>
    <w:p w:rsidR="00000000" w:rsidRDefault="00000000">
      <w:pPr>
        <w:pStyle w:val="DualTxt"/>
      </w:pPr>
      <w:r>
        <w:t>5.</w:t>
      </w:r>
      <w:r>
        <w:tab/>
        <w:t>Отвечая на вопрос о проституции, она поясн</w:t>
      </w:r>
      <w:r>
        <w:t>я</w:t>
      </w:r>
      <w:r>
        <w:t>ет, что в начале 1999 года парламент декриминал</w:t>
      </w:r>
      <w:r>
        <w:t>и</w:t>
      </w:r>
      <w:r>
        <w:t>зировал проституцию, а также пассивное сутене</w:t>
      </w:r>
      <w:r>
        <w:t>р</w:t>
      </w:r>
      <w:r>
        <w:t>ство. В результате этого проститутка может легал</w:t>
      </w:r>
      <w:r>
        <w:t>ь</w:t>
      </w:r>
      <w:r>
        <w:t>но жить с мужчиной при условии того, что он не живет на ее доходы от проституции в той степени, в какой это может составлять эксплуатацию. Даже самая небольшая степень эксплуатации уголовно наказуема в качестве преступления по разделу 229 Уголовного кодекса. Любая торговля людьми, вв</w:t>
      </w:r>
      <w:r>
        <w:t>о</w:t>
      </w:r>
      <w:r>
        <w:t>зимыми в Данию или вывозимыми из нее, а также внутри страны является уголовно наказуемым пр</w:t>
      </w:r>
      <w:r>
        <w:t>е</w:t>
      </w:r>
      <w:r>
        <w:t>ступлением по разделу 262(a). Многие министерс</w:t>
      </w:r>
      <w:r>
        <w:t>т</w:t>
      </w:r>
      <w:r>
        <w:t>ва, в том числе министерство юстиции, участвуют в борьбе с такой торговлей. В 2000 году полиция н</w:t>
      </w:r>
      <w:r>
        <w:t>а</w:t>
      </w:r>
      <w:r>
        <w:t>чала систематически отслеживать масштабы то</w:t>
      </w:r>
      <w:r>
        <w:t>р</w:t>
      </w:r>
      <w:r>
        <w:t>говли людьми, и скоро будет выпущен первый еж</w:t>
      </w:r>
      <w:r>
        <w:t>е</w:t>
      </w:r>
      <w:r>
        <w:t>годный доклад по этому вопросу. Датская полиция активно сотрудничает с Международной организ</w:t>
      </w:r>
      <w:r>
        <w:t>а</w:t>
      </w:r>
      <w:r>
        <w:t>цией уголовной полиции (Интерпол), Европейским полицейским ведомством (Европол) и целевой группой по борьбе с организованной преступн</w:t>
      </w:r>
      <w:r>
        <w:t>о</w:t>
      </w:r>
      <w:r>
        <w:t>стью в регионе Балтийского моря. В 2001 году н</w:t>
      </w:r>
      <w:r>
        <w:t>е</w:t>
      </w:r>
      <w:r>
        <w:t>сколько дел о торговле были переданы на рассмо</w:t>
      </w:r>
      <w:r>
        <w:t>т</w:t>
      </w:r>
      <w:r>
        <w:t>рение судов, и лица, совершившие эти преступл</w:t>
      </w:r>
      <w:r>
        <w:t>е</w:t>
      </w:r>
      <w:r>
        <w:t>ния, были осуждены и приговорены к тюремному заключ</w:t>
      </w:r>
      <w:r>
        <w:t>е</w:t>
      </w:r>
      <w:r>
        <w:t>нию.</w:t>
      </w:r>
    </w:p>
    <w:p w:rsidR="00000000" w:rsidRDefault="00000000">
      <w:pPr>
        <w:pStyle w:val="DualTxt"/>
      </w:pPr>
      <w:r>
        <w:t>6.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Аппель </w:t>
      </w:r>
      <w:r>
        <w:t>(Дания), касаясь обеспокоенн</w:t>
      </w:r>
      <w:r>
        <w:t>о</w:t>
      </w:r>
      <w:r>
        <w:t>сти в отношении этнических меньшинств, говорит, что положения о равных правах применимы без и</w:t>
      </w:r>
      <w:r>
        <w:t>с</w:t>
      </w:r>
      <w:r>
        <w:t>ключения ко всем членам датского общества. Среди этнических меньшинств отмечаются определенные различия в отношениях между женщинами и му</w:t>
      </w:r>
      <w:r>
        <w:t>ж</w:t>
      </w:r>
      <w:r>
        <w:t>чинами, которые обусловлены гендерными факт</w:t>
      </w:r>
      <w:r>
        <w:t>о</w:t>
      </w:r>
      <w:r>
        <w:t>рами, присущими их конкретным культурам. Пр</w:t>
      </w:r>
      <w:r>
        <w:t>а</w:t>
      </w:r>
      <w:r>
        <w:t>вительство представило широкий спектр программ и инициатив, направленных на интеграцию женщин и мужчин этих культур; одним из результатов таких программ является очень высокий показатель уч</w:t>
      </w:r>
      <w:r>
        <w:t>а</w:t>
      </w:r>
      <w:r>
        <w:t>стия второго поколения женщин-выходцев из этн</w:t>
      </w:r>
      <w:r>
        <w:t>и</w:t>
      </w:r>
      <w:r>
        <w:t>ческих меньшинств. Важно понимать, что второе поколение молодых мужчин также сталкивается со многими трудностями в процессе интеграции. Н</w:t>
      </w:r>
      <w:r>
        <w:t>а</w:t>
      </w:r>
      <w:r>
        <w:t>силие является одной из серьезных проблем для женщин-выходцев из этнических меньшинств, на долю которых приходится 35 процентов женщин, обращающихся за помощью в центры доверия, хотя этнические меньшинства составляют лишь 7 пр</w:t>
      </w:r>
      <w:r>
        <w:t>о</w:t>
      </w:r>
      <w:r>
        <w:t>центов от общего населения. Вот почему прав</w:t>
      </w:r>
      <w:r>
        <w:t>и</w:t>
      </w:r>
      <w:r>
        <w:t>тельство недавно приступило к реализации плана действий по борьбе с насилием в отношении же</w:t>
      </w:r>
      <w:r>
        <w:t>н</w:t>
      </w:r>
      <w:r>
        <w:t>щин, в котором основное внимание уделяется этн</w:t>
      </w:r>
      <w:r>
        <w:t>и</w:t>
      </w:r>
      <w:r>
        <w:t>ческим меньшинствам. Предпринимаются спец</w:t>
      </w:r>
      <w:r>
        <w:t>и</w:t>
      </w:r>
      <w:r>
        <w:t>альные усилия по распространению информации об этой программе, в том числе с помощью публик</w:t>
      </w:r>
      <w:r>
        <w:t>а</w:t>
      </w:r>
      <w:r>
        <w:t>ции брошюр и веб-сайта на языках этих групп. Добровольцы из центров доверия пройдут дополн</w:t>
      </w:r>
      <w:r>
        <w:t>и</w:t>
      </w:r>
      <w:r>
        <w:t>тельную подготовку по проблемам этих женщин, устанавливается «линия доверия», и проводится о</w:t>
      </w:r>
      <w:r>
        <w:t>б</w:t>
      </w:r>
      <w:r>
        <w:t>следование возможностей и методов работы пр</w:t>
      </w:r>
      <w:r>
        <w:t>и</w:t>
      </w:r>
      <w:r>
        <w:t>ютов.</w:t>
      </w:r>
    </w:p>
    <w:p w:rsidR="00000000" w:rsidRDefault="00000000">
      <w:pPr>
        <w:pStyle w:val="DualTxt"/>
      </w:pPr>
      <w:r>
        <w:t>7.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Колд </w:t>
      </w:r>
      <w:r>
        <w:t>(Дания), касаясь вопросов об обр</w:t>
      </w:r>
      <w:r>
        <w:t>а</w:t>
      </w:r>
      <w:r>
        <w:t>зовании, говорит, что в настоящее время проводится ряд научных исследований по гендерной проблем</w:t>
      </w:r>
      <w:r>
        <w:t>а</w:t>
      </w:r>
      <w:r>
        <w:t>тике в сотрудничестве с профсоюзами и предпр</w:t>
      </w:r>
      <w:r>
        <w:t>и</w:t>
      </w:r>
      <w:r>
        <w:t>ятиями, выводы которого будут использованы для борьбы с дискриминацией. Университеты прин</w:t>
      </w:r>
      <w:r>
        <w:t>и</w:t>
      </w:r>
      <w:r>
        <w:t>мают меры по увеличению процентной доли же</w:t>
      </w:r>
      <w:r>
        <w:t>н</w:t>
      </w:r>
      <w:r>
        <w:t>щин-научных работников. Были выделены нескол</w:t>
      </w:r>
      <w:r>
        <w:t>ь</w:t>
      </w:r>
      <w:r>
        <w:t>ко миллионов крон на проекты, рассчитанные на устранение дискриминации в системе высшего о</w:t>
      </w:r>
      <w:r>
        <w:t>б</w:t>
      </w:r>
      <w:r>
        <w:t>разования. Те проекты, которые скоро будут заве</w:t>
      </w:r>
      <w:r>
        <w:t>р</w:t>
      </w:r>
      <w:r>
        <w:t>шены, показали, что культура доминирования му</w:t>
      </w:r>
      <w:r>
        <w:t>ж</w:t>
      </w:r>
      <w:r>
        <w:t>чин и соответствующие нормы являются серьезн</w:t>
      </w:r>
      <w:r>
        <w:t>ы</w:t>
      </w:r>
      <w:r>
        <w:t>ми препятствиями на пути женщин, стремящихся к научной деятельности. Гендерная перспектива уч</w:t>
      </w:r>
      <w:r>
        <w:t>и</w:t>
      </w:r>
      <w:r>
        <w:t>тывается во многих научно-исследовательских с</w:t>
      </w:r>
      <w:r>
        <w:t>о</w:t>
      </w:r>
      <w:r>
        <w:t>ветах, которые являются важными проводниками усилий по достижению равенства в университетах. При выдаче стипендий применяются программы по борьбе с дискриминацией. Доля женщин во всех к</w:t>
      </w:r>
      <w:r>
        <w:t>а</w:t>
      </w:r>
      <w:r>
        <w:t>тегориях в высших учебных заведениях в 90</w:t>
      </w:r>
      <w:r>
        <w:noBreakHyphen/>
        <w:t>е годы увеличилась, а в следующие несколько лет будут достигнуты еще более весомые результ</w:t>
      </w:r>
      <w:r>
        <w:t>а</w:t>
      </w:r>
      <w:r>
        <w:t>ты.</w:t>
      </w:r>
    </w:p>
    <w:p w:rsidR="00000000" w:rsidRDefault="00000000">
      <w:pPr>
        <w:pStyle w:val="DualTxt"/>
      </w:pPr>
      <w:r>
        <w:t>8.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Андерсен </w:t>
      </w:r>
      <w:r>
        <w:t>(Дания), отвечая на вопрос о статье 5 Конвенции и ее взаимосвязи с другими статьями, особенно статьей 11, говорит, что как н</w:t>
      </w:r>
      <w:r>
        <w:t>ы</w:t>
      </w:r>
      <w:r>
        <w:t>нешний, так и предыдущие министры финансов п</w:t>
      </w:r>
      <w:r>
        <w:t>о</w:t>
      </w:r>
      <w:r>
        <w:t>нимают важность гендерного равенства для датск</w:t>
      </w:r>
      <w:r>
        <w:t>о</w:t>
      </w:r>
      <w:r>
        <w:t>го общества. Подход ее правительства заключается в предоставлении женщинам возможности более активно участвовать в жизни общества, а не их оп</w:t>
      </w:r>
      <w:r>
        <w:t>е</w:t>
      </w:r>
      <w:r>
        <w:t>ке, более того, чем это требуется. Это особенно важно, когда речь идет о защите материнства и си</w:t>
      </w:r>
      <w:r>
        <w:t>с</w:t>
      </w:r>
      <w:r>
        <w:t>темах отпусков. В последние два-три года парл</w:t>
      </w:r>
      <w:r>
        <w:t>а</w:t>
      </w:r>
      <w:r>
        <w:t>мент обсуждал вопросы равенства несколько раз и внес в законодательство по этой теме много соо</w:t>
      </w:r>
      <w:r>
        <w:t>т</w:t>
      </w:r>
      <w:r>
        <w:t>ветствующих поправок. Рынок труда является очень благоприятным с точки зрения равенства, и доля мужчин и женщин на этом рынке является очень большой. Были увеличены заработная плата и окл</w:t>
      </w:r>
      <w:r>
        <w:t>а</w:t>
      </w:r>
      <w:r>
        <w:t>ды женщин, поэтому все большее их число сами себя содержат. Министерство труда активно решает некоторые из оставшихся проблем, особенно в св</w:t>
      </w:r>
      <w:r>
        <w:t>я</w:t>
      </w:r>
      <w:r>
        <w:t>зи с рынком труда, сегрегированным по признаку пола, разницей в оплате и трудностью совмещения женщинами работы и обязанностей по дому. Ко</w:t>
      </w:r>
      <w:r>
        <w:t>м</w:t>
      </w:r>
      <w:r>
        <w:t>пании поощряются к переводу женщин на более высокооплачиваемые должности и к оказанию им помощи в развитии их профессиональных навыко</w:t>
      </w:r>
      <w:r>
        <w:t>в</w:t>
      </w:r>
      <w:r>
        <w:t>.</w:t>
      </w:r>
    </w:p>
    <w:p w:rsidR="00000000" w:rsidRDefault="00000000">
      <w:pPr>
        <w:pStyle w:val="DualTxt"/>
      </w:pPr>
      <w:r>
        <w:t>9.</w:t>
      </w:r>
      <w:r>
        <w:tab/>
        <w:t>Отвечая на вопрос об антидискриминацио</w:t>
      </w:r>
      <w:r>
        <w:t>н</w:t>
      </w:r>
      <w:r>
        <w:t>ных мерах, она говорит, что многие гендерные ин</w:t>
      </w:r>
      <w:r>
        <w:t>и</w:t>
      </w:r>
      <w:r>
        <w:t>циативы, реализуемые в Дании, представляют с</w:t>
      </w:r>
      <w:r>
        <w:t>о</w:t>
      </w:r>
      <w:r>
        <w:t>бой антидискриминационные действия, даже если они так не называются. Министр по вопросам ге</w:t>
      </w:r>
      <w:r>
        <w:t>н</w:t>
      </w:r>
      <w:r>
        <w:t>дерного равенства будет использовать возможности, обеспечиваемые действующим законодательством, в целях поощрения антидискриминационных де</w:t>
      </w:r>
      <w:r>
        <w:t>й</w:t>
      </w:r>
      <w:r>
        <w:t>ствий как таковых; в случаях недостаточной пре</w:t>
      </w:r>
      <w:r>
        <w:t>д</w:t>
      </w:r>
      <w:r>
        <w:t>ставленности женщин на руководящих должностях эти меры будут применяться автоматически. Рук</w:t>
      </w:r>
      <w:r>
        <w:t>о</w:t>
      </w:r>
      <w:r>
        <w:t>водящий комитет в составе представителей всего публичного сектора несет ответственность за учет гендерной проблематики во всех сферах деятельн</w:t>
      </w:r>
      <w:r>
        <w:t>о</w:t>
      </w:r>
      <w:r>
        <w:t>сти правительства. Ее правительство уверено, что применяющийся им подход принесет положител</w:t>
      </w:r>
      <w:r>
        <w:t>ь</w:t>
      </w:r>
      <w:r>
        <w:t>ные резул</w:t>
      </w:r>
      <w:r>
        <w:t>ь</w:t>
      </w:r>
      <w:r>
        <w:t>таты.</w:t>
      </w:r>
    </w:p>
    <w:p w:rsidR="00000000" w:rsidRDefault="00000000">
      <w:pPr>
        <w:pStyle w:val="DualTxt"/>
      </w:pPr>
      <w:r>
        <w:t>10.</w:t>
      </w:r>
      <w:r>
        <w:tab/>
      </w:r>
      <w:r>
        <w:rPr>
          <w:b/>
        </w:rPr>
        <w:t>Г</w:t>
      </w:r>
      <w:r>
        <w:rPr>
          <w:b/>
        </w:rPr>
        <w:noBreakHyphen/>
        <w:t>жа Лиманн-Нильсен</w:t>
      </w:r>
      <w:r>
        <w:t xml:space="preserve"> (Дания), отмечая, что некоторые члены Комитета поставили под сомнение приверженность Дании КЛДЖ, говорит, что, по мнению Дании, Конвенция имеет исключительно важное значение в деле поощрения прав человека женщин, а также равенства в целом. Ее правител</w:t>
      </w:r>
      <w:r>
        <w:t>ь</w:t>
      </w:r>
      <w:r>
        <w:t>ство на регулярной основе рассматривает оговорки, сделанные другими государствами-участниками при ратификации или присоединении. Если эти оговорки сочтены несовместимыми с объектом и целью Конвенции, то Дания направляет Секрет</w:t>
      </w:r>
      <w:r>
        <w:t>а</w:t>
      </w:r>
      <w:r>
        <w:t>риату Организации Объединенных Наций свои во</w:t>
      </w:r>
      <w:r>
        <w:t>з</w:t>
      </w:r>
      <w:r>
        <w:t>ражения. Она стала одним из первых гос</w:t>
      </w:r>
      <w:r>
        <w:t>у</w:t>
      </w:r>
      <w:r>
        <w:t>дарств-участников, ратифицировавших Факультативный протокол, и была среди первых, кто принял и пр</w:t>
      </w:r>
      <w:r>
        <w:t>и</w:t>
      </w:r>
      <w:r>
        <w:t>ветствовал поправку к статье 20(1) Конвенции, к</w:t>
      </w:r>
      <w:r>
        <w:t>о</w:t>
      </w:r>
      <w:r>
        <w:t>торая предоставляет больше времени для провед</w:t>
      </w:r>
      <w:r>
        <w:t>е</w:t>
      </w:r>
      <w:r>
        <w:t>ния заседаний Комитета. Правительство недавно профинансировало публикацию Конвенции, подг</w:t>
      </w:r>
      <w:r>
        <w:t>о</w:t>
      </w:r>
      <w:r>
        <w:t>товленную Женским советом Дании. На ежегодных консультациях со странами-партнерами и разв</w:t>
      </w:r>
      <w:r>
        <w:t>и</w:t>
      </w:r>
      <w:r>
        <w:t>вающимися странами ее правительство всегда ст</w:t>
      </w:r>
      <w:r>
        <w:t>а</w:t>
      </w:r>
      <w:r>
        <w:t>вит вопрос о соблюдении Конвенции и интересуе</w:t>
      </w:r>
      <w:r>
        <w:t>т</w:t>
      </w:r>
      <w:r>
        <w:t>ся, может ли в этой связи Дания оказать соответс</w:t>
      </w:r>
      <w:r>
        <w:t>т</w:t>
      </w:r>
      <w:r>
        <w:t>вующую помощь. Ее страна активно выступает за осуществление Конвенции, однако также рассма</w:t>
      </w:r>
      <w:r>
        <w:t>т</w:t>
      </w:r>
      <w:r>
        <w:t>ривает Платформу действий в качестве одного из очень важных средств практической реализации Конве</w:t>
      </w:r>
      <w:r>
        <w:t>н</w:t>
      </w:r>
      <w:r>
        <w:t>ции.</w:t>
      </w:r>
    </w:p>
    <w:p w:rsidR="00000000" w:rsidRDefault="00000000">
      <w:pPr>
        <w:pStyle w:val="DualTxt"/>
      </w:pPr>
      <w:r>
        <w:t>11.</w:t>
      </w:r>
      <w:r>
        <w:tab/>
      </w:r>
      <w:r>
        <w:rPr>
          <w:b/>
        </w:rPr>
        <w:t>Г</w:t>
      </w:r>
      <w:r>
        <w:rPr>
          <w:b/>
        </w:rPr>
        <w:noBreakHyphen/>
        <w:t>жа Клаусен</w:t>
      </w:r>
      <w:r>
        <w:t xml:space="preserve"> (Дания), отвечая на вопрос об увеличении возраста супругов для целей воссоед</w:t>
      </w:r>
      <w:r>
        <w:t>и</w:t>
      </w:r>
      <w:r>
        <w:t>нения семей, поясняет, что юридический возраст вступления в брак в Дании составляет 18 лет, одн</w:t>
      </w:r>
      <w:r>
        <w:t>а</w:t>
      </w:r>
      <w:r>
        <w:t>ко новое правило будет применимо к гражданам и негражданам Дании в одинаковой степени. След</w:t>
      </w:r>
      <w:r>
        <w:t>о</w:t>
      </w:r>
      <w:r>
        <w:t>вательно, по мнению правительства, оно не являе</w:t>
      </w:r>
      <w:r>
        <w:t>т</w:t>
      </w:r>
      <w:r>
        <w:t>ся дискрим</w:t>
      </w:r>
      <w:r>
        <w:t>и</w:t>
      </w:r>
      <w:r>
        <w:t>национным.</w:t>
      </w:r>
    </w:p>
    <w:p w:rsidR="00000000" w:rsidRDefault="00000000">
      <w:pPr>
        <w:pStyle w:val="DualTxt"/>
      </w:pPr>
      <w:r>
        <w:t>12.</w:t>
      </w:r>
      <w:r>
        <w:tab/>
        <w:t>Был задан вопрос о том, в скольких случаях иммиграционные власти воздерживались от анн</w:t>
      </w:r>
      <w:r>
        <w:t>у</w:t>
      </w:r>
      <w:r>
        <w:t>лирования вида на жительство в случае расторж</w:t>
      </w:r>
      <w:r>
        <w:t>е</w:t>
      </w:r>
      <w:r>
        <w:t>ния брака в результате насилия. За последние три года, с 1999 по 2001 год, эти данные составляли с</w:t>
      </w:r>
      <w:r>
        <w:t>о</w:t>
      </w:r>
      <w:r>
        <w:t>ответственно 13, 20 и 26 случаев. С начала года до 1 июня 2002 года были аннулированы 57 видов на жительство на основе заявлений о совершении а</w:t>
      </w:r>
      <w:r>
        <w:t>к</w:t>
      </w:r>
      <w:r>
        <w:t>тов насилия в семье. Постоянный вид на жительс</w:t>
      </w:r>
      <w:r>
        <w:t>т</w:t>
      </w:r>
      <w:r>
        <w:t>во не может быть аннулирован по этой причине. Предлагаемая поправка к Закону об иностранцах продлит период проживания, необходимый для п</w:t>
      </w:r>
      <w:r>
        <w:t>о</w:t>
      </w:r>
      <w:r>
        <w:t>лучения постоянного вида на жительство, с трех до семи лет. Однако раздел 19(6) Закона, содержащий конкретные исключения для супругов, применя</w:t>
      </w:r>
      <w:r>
        <w:t>ю</w:t>
      </w:r>
      <w:r>
        <w:t>щих насилие, не изменен, поэтому они не должны будут оставаться больше в таком браке во избеж</w:t>
      </w:r>
      <w:r>
        <w:t>а</w:t>
      </w:r>
      <w:r>
        <w:t>ние аннулирования их действующих видов на ж</w:t>
      </w:r>
      <w:r>
        <w:t>и</w:t>
      </w:r>
      <w:r>
        <w:t>тельство.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Статьи 7, 8 и 9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13.</w:t>
      </w:r>
      <w:r>
        <w:tab/>
      </w:r>
      <w:r>
        <w:rPr>
          <w:b/>
        </w:rPr>
        <w:t>Г</w:t>
      </w:r>
      <w:r>
        <w:rPr>
          <w:b/>
        </w:rPr>
        <w:noBreakHyphen/>
        <w:t>жа Гаспар</w:t>
      </w:r>
      <w:r>
        <w:t xml:space="preserve"> спрашивает о последствиях ув</w:t>
      </w:r>
      <w:r>
        <w:t>е</w:t>
      </w:r>
      <w:r>
        <w:t>личения возраста для целей воссоединения семей. Каким бы ни было мнение правительства, какими бы эффективными ни были бы попытки предотвр</w:t>
      </w:r>
      <w:r>
        <w:t>а</w:t>
      </w:r>
      <w:r>
        <w:t>тить принудительные браки, эта мера представляе</w:t>
      </w:r>
      <w:r>
        <w:t>т</w:t>
      </w:r>
      <w:r>
        <w:t>ся дискриминационной, поскольку она применима в основном к женщинам; мужчине в Дании не мешает ничего жениться на женщине в возрасте до 24 лет за пределами страны, однако она не будет польз</w:t>
      </w:r>
      <w:r>
        <w:t>о</w:t>
      </w:r>
      <w:r>
        <w:t>ваться правом совместно проживать с ним в Дании. Новое правило будет также противоречить Евр</w:t>
      </w:r>
      <w:r>
        <w:t>о</w:t>
      </w:r>
      <w:r>
        <w:t>пейской конвенции о правах человека с точки зр</w:t>
      </w:r>
      <w:r>
        <w:t>е</w:t>
      </w:r>
      <w:r>
        <w:t>ния права на семе</w:t>
      </w:r>
      <w:r>
        <w:t>й</w:t>
      </w:r>
      <w:r>
        <w:t>ную жизнь.</w:t>
      </w:r>
    </w:p>
    <w:p w:rsidR="00000000" w:rsidRDefault="00000000">
      <w:pPr>
        <w:pStyle w:val="DualTxt"/>
      </w:pPr>
      <w:r>
        <w:t>14.</w:t>
      </w:r>
      <w:r>
        <w:tab/>
        <w:t>Она с удовлетворением отмечает представле</w:t>
      </w:r>
      <w:r>
        <w:t>н</w:t>
      </w:r>
      <w:r>
        <w:t>ную информацию о положении на Фарерских ос</w:t>
      </w:r>
      <w:r>
        <w:t>т</w:t>
      </w:r>
      <w:r>
        <w:t>ровах и в Гренландии и надеется получить более подробные сведения об этих территориях в сл</w:t>
      </w:r>
      <w:r>
        <w:t>е</w:t>
      </w:r>
      <w:r>
        <w:t>дующем докладе.</w:t>
      </w:r>
    </w:p>
    <w:p w:rsidR="00000000" w:rsidRDefault="00000000">
      <w:pPr>
        <w:pStyle w:val="DualTxt"/>
      </w:pPr>
      <w:r>
        <w:t>15.</w:t>
      </w:r>
      <w:r>
        <w:tab/>
        <w:t>Доля женщин, избранных в национальный парламент в Дании, является относительно выс</w:t>
      </w:r>
      <w:r>
        <w:t>о</w:t>
      </w:r>
      <w:r>
        <w:t>кой — свыше 30 процентов. С учетом этого удив</w:t>
      </w:r>
      <w:r>
        <w:t>и</w:t>
      </w:r>
      <w:r>
        <w:t>тельно, что лишь 10 процентов членов городских и общинных властей составляют матери. Проанал</w:t>
      </w:r>
      <w:r>
        <w:t>и</w:t>
      </w:r>
      <w:r>
        <w:t>зировало ли правительство причины этого различия и принимало ли какие-либо меры для исправления положения? Делается ли что-либо для увеличения числа женщин — членов парламентов Фарерских островов и Гренландии, количество которых намн</w:t>
      </w:r>
      <w:r>
        <w:t>о</w:t>
      </w:r>
      <w:r>
        <w:t>го ниже, чем в национальном парл</w:t>
      </w:r>
      <w:r>
        <w:t>а</w:t>
      </w:r>
      <w:r>
        <w:t>менте?</w:t>
      </w:r>
    </w:p>
    <w:p w:rsidR="00000000" w:rsidRDefault="00000000">
      <w:pPr>
        <w:pStyle w:val="DualTxt"/>
      </w:pPr>
      <w:r>
        <w:t>16.</w:t>
      </w:r>
      <w:r>
        <w:tab/>
        <w:t>Представляется, что План действий 1993 года по увеличению числа женщин на дипломатических должностях старшего ранга был не выполнен, п</w:t>
      </w:r>
      <w:r>
        <w:t>о</w:t>
      </w:r>
      <w:r>
        <w:t>скольку лишь 11 процентов этих должностей в н</w:t>
      </w:r>
      <w:r>
        <w:t>а</w:t>
      </w:r>
      <w:r>
        <w:t>стоящее время заняты женщинами; выявило ли пр</w:t>
      </w:r>
      <w:r>
        <w:t>а</w:t>
      </w:r>
      <w:r>
        <w:t>вительство какие-либо причины этого и принимало ли какие-либо меры для исправления положения?</w:t>
      </w:r>
    </w:p>
    <w:p w:rsidR="00000000" w:rsidRDefault="00000000">
      <w:pPr>
        <w:pStyle w:val="DualTxt"/>
      </w:pPr>
      <w:r>
        <w:t>17.</w:t>
      </w:r>
      <w:r>
        <w:tab/>
      </w:r>
      <w:r>
        <w:rPr>
          <w:b/>
        </w:rPr>
        <w:t>Г</w:t>
      </w:r>
      <w:r>
        <w:rPr>
          <w:b/>
        </w:rPr>
        <w:noBreakHyphen/>
        <w:t>н Меландер</w:t>
      </w:r>
      <w:r>
        <w:t xml:space="preserve"> спрашивает, почему доля же</w:t>
      </w:r>
      <w:r>
        <w:t>н</w:t>
      </w:r>
      <w:r>
        <w:t>щин-профессоров в вузах Дании, составляющая лишь 6 процентов, является столь низкой. Что кас</w:t>
      </w:r>
      <w:r>
        <w:t>а</w:t>
      </w:r>
      <w:r>
        <w:t>ется иммиграции и гражданства, то он считает, что, хотя законодательство Дании носит гендерно не</w:t>
      </w:r>
      <w:r>
        <w:t>й</w:t>
      </w:r>
      <w:r>
        <w:t>тральный характер, оно, тем не менее, может пр</w:t>
      </w:r>
      <w:r>
        <w:t>и</w:t>
      </w:r>
      <w:r>
        <w:t>вести к косвенной дискриминации. Предлагаемая поправка к Закону о гражданстве, предусматр</w:t>
      </w:r>
      <w:r>
        <w:t>и</w:t>
      </w:r>
      <w:r>
        <w:t>вающая сдачу экзамена на датском языке в качестве требования для получения гражданства, может н</w:t>
      </w:r>
      <w:r>
        <w:t>о</w:t>
      </w:r>
      <w:r>
        <w:t>сить дискриминационный характер по отношению к женам-иммигрантам дома, у которых будет меньше возможностей для изучения этого языка, чем у м</w:t>
      </w:r>
      <w:r>
        <w:t>у</w:t>
      </w:r>
      <w:r>
        <w:t>жей. Поэтому ожидается, что больше мужчин будут иметь возможность подавать на гражданство, чем женщ</w:t>
      </w:r>
      <w:r>
        <w:t>и</w:t>
      </w:r>
      <w:r>
        <w:t>н.</w:t>
      </w:r>
    </w:p>
    <w:p w:rsidR="00000000" w:rsidRDefault="00000000">
      <w:pPr>
        <w:pStyle w:val="DualTxt"/>
      </w:pPr>
      <w:r>
        <w:t>18.</w:t>
      </w:r>
      <w:r>
        <w:tab/>
      </w:r>
      <w:r>
        <w:rPr>
          <w:b/>
        </w:rPr>
        <w:t>Г</w:t>
      </w:r>
      <w:r>
        <w:rPr>
          <w:b/>
        </w:rPr>
        <w:noBreakHyphen/>
        <w:t>жа Абель</w:t>
      </w:r>
      <w:r>
        <w:t xml:space="preserve"> (Дания), отвечая на вопрос о пр</w:t>
      </w:r>
      <w:r>
        <w:t>и</w:t>
      </w:r>
      <w:r>
        <w:t>нудительных браках, говорит, что молодые мужч</w:t>
      </w:r>
      <w:r>
        <w:t>и</w:t>
      </w:r>
      <w:r>
        <w:t>ны, оказавшиеся между двух культур, страдают от такого же количества проблем вследствие таких браков, что и женщины, хотя и другого характера.</w:t>
      </w:r>
    </w:p>
    <w:p w:rsidR="00000000" w:rsidRDefault="00000000">
      <w:pPr>
        <w:pStyle w:val="DualTxt"/>
      </w:pPr>
      <w:r>
        <w:t>19.</w:t>
      </w:r>
      <w:r>
        <w:tab/>
      </w:r>
      <w:r>
        <w:rPr>
          <w:b/>
        </w:rPr>
        <w:t>Г</w:t>
      </w:r>
      <w:r>
        <w:rPr>
          <w:b/>
        </w:rPr>
        <w:noBreakHyphen/>
        <w:t>жа Лиманн-Нильсен</w:t>
      </w:r>
      <w:r>
        <w:t xml:space="preserve"> (Дания) поясняет, что увеличение возраста для целей воссоединения с</w:t>
      </w:r>
      <w:r>
        <w:t>е</w:t>
      </w:r>
      <w:r>
        <w:t>мей применимо как к мужчинам, так и к женщинам. Оба супруга должны быть 24 лет или старше. Что касается Европейской конвенции о правах человека, то права, предоставляемые статьей 8, не включают право на выбор страны проживания. Однако в сл</w:t>
      </w:r>
      <w:r>
        <w:t>у</w:t>
      </w:r>
      <w:r>
        <w:t>чаях, когда будет доказано, что новое правило н</w:t>
      </w:r>
      <w:r>
        <w:t>а</w:t>
      </w:r>
      <w:r>
        <w:t>рушает статью 8, датские власти будут давать с</w:t>
      </w:r>
      <w:r>
        <w:t>о</w:t>
      </w:r>
      <w:r>
        <w:t>гласие на воссоединение. Что касается языкового экзамена в целях приобретения гражданства, то он является частью правительственной политики инт</w:t>
      </w:r>
      <w:r>
        <w:t>е</w:t>
      </w:r>
      <w:r>
        <w:t>грации для обеспечения того, чтобы все вновь пр</w:t>
      </w:r>
      <w:r>
        <w:t>и</w:t>
      </w:r>
      <w:r>
        <w:t>бывающие в страну лица, как мужчины, так и же</w:t>
      </w:r>
      <w:r>
        <w:t>н</w:t>
      </w:r>
      <w:r>
        <w:t>щины, посещали курсы датского языка; если они не делают этого, им может быть сокращено пособие по с</w:t>
      </w:r>
      <w:r>
        <w:t>о</w:t>
      </w:r>
      <w:r>
        <w:t>циальному обеспечению.</w:t>
      </w:r>
    </w:p>
    <w:p w:rsidR="00000000" w:rsidRDefault="00000000">
      <w:pPr>
        <w:pStyle w:val="DualTxt"/>
      </w:pPr>
      <w:r>
        <w:t>20.</w:t>
      </w:r>
      <w:r>
        <w:tab/>
      </w:r>
      <w:r>
        <w:rPr>
          <w:b/>
        </w:rPr>
        <w:t>Г</w:t>
      </w:r>
      <w:r>
        <w:rPr>
          <w:b/>
        </w:rPr>
        <w:noBreakHyphen/>
        <w:t>жа Абель</w:t>
      </w:r>
      <w:r>
        <w:t xml:space="preserve"> (Дания) говорит, что правительс</w:t>
      </w:r>
      <w:r>
        <w:t>т</w:t>
      </w:r>
      <w:r>
        <w:t>во Дании глубоко обеспокоено тем, что так мало женщин хотели бы служить в местных правительс</w:t>
      </w:r>
      <w:r>
        <w:t>т</w:t>
      </w:r>
      <w:r>
        <w:t>венных органах. Одно из объяснений, по</w:t>
      </w:r>
      <w:r>
        <w:noBreakHyphen/>
        <w:t>видимому, сводится к тому, что местные избираемые должн</w:t>
      </w:r>
      <w:r>
        <w:t>о</w:t>
      </w:r>
      <w:r>
        <w:t>сти, в отличие от национальных, в основном не о</w:t>
      </w:r>
      <w:r>
        <w:t>п</w:t>
      </w:r>
      <w:r>
        <w:t>лачиваются и поэтому не являются привлекател</w:t>
      </w:r>
      <w:r>
        <w:t>ь</w:t>
      </w:r>
      <w:r>
        <w:t>ными для женщин, которые также вынуждены по</w:t>
      </w:r>
      <w:r>
        <w:noBreakHyphen/>
        <w:t>прежнему выполнять свою обычную работу и домашние обязанности. Однако в целях обеспеч</w:t>
      </w:r>
      <w:r>
        <w:t>е</w:t>
      </w:r>
      <w:r>
        <w:t>ния гендерного равенства правительство проводит исследование для выявления причин, влияющих на их выбор.</w:t>
      </w:r>
    </w:p>
    <w:p w:rsidR="00000000" w:rsidRDefault="00000000">
      <w:pPr>
        <w:pStyle w:val="DualTxt"/>
      </w:pPr>
      <w:r>
        <w:t>21.</w:t>
      </w:r>
      <w:r>
        <w:tab/>
      </w:r>
      <w:r>
        <w:rPr>
          <w:b/>
        </w:rPr>
        <w:t>Г</w:t>
      </w:r>
      <w:r>
        <w:rPr>
          <w:b/>
        </w:rPr>
        <w:noBreakHyphen/>
        <w:t>жа Андерсен</w:t>
      </w:r>
      <w:r>
        <w:t xml:space="preserve"> (Дания), говоря о количестве женщин на старших дипломатических должностях, указывает, что в настоящее время на таких должн</w:t>
      </w:r>
      <w:r>
        <w:t>о</w:t>
      </w:r>
      <w:r>
        <w:t>стях — из 202 должностей — работают 27 женщин. Процентный показатель составляет сегодня 13,4 процента по сравнению с 11 процентами в 2000 году. Однако Дания назначила шесть же</w:t>
      </w:r>
      <w:r>
        <w:t>н</w:t>
      </w:r>
      <w:r>
        <w:t>щин-послов, в том числе Постоянного представителя при Организации Объединенных Наций. Справе</w:t>
      </w:r>
      <w:r>
        <w:t>д</w:t>
      </w:r>
      <w:r>
        <w:t>ливо, что целевые показатели Плана действий пока не достигнуты, однако в ближайшие несколько лет ожидается улучшение, поскольку в настоящее вр</w:t>
      </w:r>
      <w:r>
        <w:t>е</w:t>
      </w:r>
      <w:r>
        <w:t>мя 25 процентов заместителей руководителей отд</w:t>
      </w:r>
      <w:r>
        <w:t>е</w:t>
      </w:r>
      <w:r>
        <w:t>лов и 37 процентов руководителей секций соста</w:t>
      </w:r>
      <w:r>
        <w:t>в</w:t>
      </w:r>
      <w:r>
        <w:t>ляют женщины. В настоящее время действуют ге</w:t>
      </w:r>
      <w:r>
        <w:t>н</w:t>
      </w:r>
      <w:r>
        <w:t>дерные квоты на должности старшего уровня, кот</w:t>
      </w:r>
      <w:r>
        <w:t>о</w:t>
      </w:r>
      <w:r>
        <w:t>рые требуют, чтобы на каждых два мужчины назн</w:t>
      </w:r>
      <w:r>
        <w:t>а</w:t>
      </w:r>
      <w:r>
        <w:t>чалась одна же</w:t>
      </w:r>
      <w:r>
        <w:t>н</w:t>
      </w:r>
      <w:r>
        <w:t>щина.</w:t>
      </w:r>
    </w:p>
    <w:p w:rsidR="00000000" w:rsidRDefault="00000000">
      <w:pPr>
        <w:pStyle w:val="DualTxt"/>
      </w:pPr>
      <w:r>
        <w:t>22.</w:t>
      </w:r>
      <w:r>
        <w:tab/>
        <w:t>Что касается языковых курсов для этнических меньшинств, то гендерное равенство является о</w:t>
      </w:r>
      <w:r>
        <w:t>д</w:t>
      </w:r>
      <w:r>
        <w:t>ним из их комп</w:t>
      </w:r>
      <w:r>
        <w:t>о</w:t>
      </w:r>
      <w:r>
        <w:t>нентов.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Статьи 10–14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23.</w:t>
      </w:r>
      <w:r>
        <w:tab/>
      </w:r>
      <w:r>
        <w:rPr>
          <w:b/>
        </w:rPr>
        <w:t>Г</w:t>
      </w:r>
      <w:r>
        <w:rPr>
          <w:b/>
        </w:rPr>
        <w:noBreakHyphen/>
        <w:t>жа Гаспар</w:t>
      </w:r>
      <w:r>
        <w:t xml:space="preserve"> спрашивает, увеличилось ли число мужчин, берущих отпуска по уходу за дет</w:t>
      </w:r>
      <w:r>
        <w:t>ь</w:t>
      </w:r>
      <w:r>
        <w:t>ми, с 19 процентов, зарегистрированных в 1999 г</w:t>
      </w:r>
      <w:r>
        <w:t>о</w:t>
      </w:r>
      <w:r>
        <w:t>ду. Что касается калечения женских половых орг</w:t>
      </w:r>
      <w:r>
        <w:t>а</w:t>
      </w:r>
      <w:r>
        <w:t>нов, то она интересуется о каких-либо судебных д</w:t>
      </w:r>
      <w:r>
        <w:t>е</w:t>
      </w:r>
      <w:r>
        <w:t>лах по этому поводу в Дании и против кого они возбуждаются — родителей или лиц, делающих т</w:t>
      </w:r>
      <w:r>
        <w:t>а</w:t>
      </w:r>
      <w:r>
        <w:t>кие операции? Могут ли родители наказываться за вывоз ребенка за границу с целью совершения т</w:t>
      </w:r>
      <w:r>
        <w:t>а</w:t>
      </w:r>
      <w:r>
        <w:t>кой операции? Могут ли родители получить статус беженцев в Дании, если их ребенок находится в опасности подвергнуться калечению половых орг</w:t>
      </w:r>
      <w:r>
        <w:t>а</w:t>
      </w:r>
      <w:r>
        <w:t>нов по возвращении в страну своего происхожд</w:t>
      </w:r>
      <w:r>
        <w:t>е</w:t>
      </w:r>
      <w:r>
        <w:t>ния?</w:t>
      </w:r>
    </w:p>
    <w:p w:rsidR="00000000" w:rsidRDefault="00000000">
      <w:pPr>
        <w:pStyle w:val="DualTxt"/>
      </w:pPr>
      <w:r>
        <w:t>24.</w:t>
      </w:r>
      <w:r>
        <w:tab/>
      </w:r>
      <w:r>
        <w:rPr>
          <w:b/>
        </w:rPr>
        <w:t>Г</w:t>
      </w:r>
      <w:r>
        <w:rPr>
          <w:b/>
        </w:rPr>
        <w:noBreakHyphen/>
        <w:t>жа Акар</w:t>
      </w:r>
      <w:r>
        <w:t xml:space="preserve"> говорит, что обеспокоенность К</w:t>
      </w:r>
      <w:r>
        <w:t>о</w:t>
      </w:r>
      <w:r>
        <w:t>митета по поводу повышения возраста вступления в брак для целей воссоединения семей является н</w:t>
      </w:r>
      <w:r>
        <w:t>е</w:t>
      </w:r>
      <w:r>
        <w:t>обходимым отражением его мандата, который з</w:t>
      </w:r>
      <w:r>
        <w:t>а</w:t>
      </w:r>
      <w:r>
        <w:t>ключается в ликвидации дискриминации в отнош</w:t>
      </w:r>
      <w:r>
        <w:t>е</w:t>
      </w:r>
      <w:r>
        <w:t>нии женщин. Она озадачена низким числом женщин на старших академических должностях с учетом уделения пристального внимания гендерному р</w:t>
      </w:r>
      <w:r>
        <w:t>а</w:t>
      </w:r>
      <w:r>
        <w:t>венству в системе образования. Какова доля же</w:t>
      </w:r>
      <w:r>
        <w:t>н</w:t>
      </w:r>
      <w:r>
        <w:t>щин-представителей этнических меньшинств п</w:t>
      </w:r>
      <w:r>
        <w:t>о</w:t>
      </w:r>
      <w:r>
        <w:t>ступает в высшие учебные заведения и какие пре</w:t>
      </w:r>
      <w:r>
        <w:t>д</w:t>
      </w:r>
      <w:r>
        <w:t>меты они изучают? Она вновь повторяет свой пр</w:t>
      </w:r>
      <w:r>
        <w:t>е</w:t>
      </w:r>
      <w:r>
        <w:t>дыдущий вопрос об отношении в Дании к убийс</w:t>
      </w:r>
      <w:r>
        <w:t>т</w:t>
      </w:r>
      <w:r>
        <w:t>вам в защ</w:t>
      </w:r>
      <w:r>
        <w:t>и</w:t>
      </w:r>
      <w:r>
        <w:t>ту чести.</w:t>
      </w:r>
    </w:p>
    <w:p w:rsidR="00000000" w:rsidRDefault="00000000">
      <w:pPr>
        <w:pStyle w:val="DualTxt"/>
      </w:pPr>
      <w:r>
        <w:t>25.</w:t>
      </w:r>
      <w:r>
        <w:tab/>
      </w:r>
      <w:r>
        <w:rPr>
          <w:b/>
        </w:rPr>
        <w:t>Г</w:t>
      </w:r>
      <w:r>
        <w:rPr>
          <w:b/>
        </w:rPr>
        <w:noBreakHyphen/>
        <w:t>жа Шёпп-Шиллинг</w:t>
      </w:r>
      <w:r>
        <w:t xml:space="preserve"> спрашивает, приним</w:t>
      </w:r>
      <w:r>
        <w:t>а</w:t>
      </w:r>
      <w:r>
        <w:t>ются ли какие</w:t>
      </w:r>
      <w:r>
        <w:noBreakHyphen/>
        <w:t>либо специальные меры, например, уход за детьми и организация отдельных классов, в целях поощрения женщин-иммигрантов к посещ</w:t>
      </w:r>
      <w:r>
        <w:t>е</w:t>
      </w:r>
      <w:r>
        <w:t>нию курсов датского языка. Она интересуется, н</w:t>
      </w:r>
      <w:r>
        <w:t>а</w:t>
      </w:r>
      <w:r>
        <w:t>несут ли новые процедуры использования отпуска по семейным причинам ущерб женщинам в долг</w:t>
      </w:r>
      <w:r>
        <w:t>о</w:t>
      </w:r>
      <w:r>
        <w:t>срочной перспективе, маргинализовав их на рынке труда; будет ли правительство контролировать во</w:t>
      </w:r>
      <w:r>
        <w:t>з</w:t>
      </w:r>
      <w:r>
        <w:t>действие новой системы отпусков? Говоря о разл</w:t>
      </w:r>
      <w:r>
        <w:t>и</w:t>
      </w:r>
      <w:r>
        <w:t>чии в оплате труда мужчин и женщин, она отмечает, что некоторые профессии, которыми традиционно в основном занимаются женщины, оплачиваются н</w:t>
      </w:r>
      <w:r>
        <w:t>е</w:t>
      </w:r>
      <w:r>
        <w:t>достаточно. В докладе подчеркивается необход</w:t>
      </w:r>
      <w:r>
        <w:t>и</w:t>
      </w:r>
      <w:r>
        <w:t>мость совершенствования индивидуальных навыков ведения переговоров, однако существуют также коллективные переговоры через посредство про</w:t>
      </w:r>
      <w:r>
        <w:t>ф</w:t>
      </w:r>
      <w:r>
        <w:t>союзов. Более того, действует уже апробированная и проверенная методология оценки работы, которая исключает гендерные стереотипы; разработаны ли какие</w:t>
      </w:r>
      <w:r>
        <w:noBreakHyphen/>
        <w:t>либо планы использования этой методологии, а также осуществления простых попыток привлечь большее число женщин в те секторы, в которых обычно преобладают мужчины? Она приветствует введение временных специальных мер для обесп</w:t>
      </w:r>
      <w:r>
        <w:t>е</w:t>
      </w:r>
      <w:r>
        <w:t>чения занятости женщин в государственном сект</w:t>
      </w:r>
      <w:r>
        <w:t>о</w:t>
      </w:r>
      <w:r>
        <w:t>ре, однако интересуется, осуществляются ли анал</w:t>
      </w:r>
      <w:r>
        <w:t>о</w:t>
      </w:r>
      <w:r>
        <w:t>гичные меры в частном секторе на добровольной или обязател</w:t>
      </w:r>
      <w:r>
        <w:t>ь</w:t>
      </w:r>
      <w:r>
        <w:t>ной основе.</w:t>
      </w:r>
    </w:p>
    <w:p w:rsidR="00000000" w:rsidRDefault="00000000">
      <w:pPr>
        <w:pStyle w:val="DualTxt"/>
      </w:pPr>
      <w:r>
        <w:t>26.</w:t>
      </w:r>
      <w:r>
        <w:tab/>
      </w:r>
      <w:r>
        <w:rPr>
          <w:b/>
        </w:rPr>
        <w:t>Г</w:t>
      </w:r>
      <w:r>
        <w:rPr>
          <w:b/>
        </w:rPr>
        <w:noBreakHyphen/>
        <w:t>жа Ахмад</w:t>
      </w:r>
      <w:r>
        <w:t xml:space="preserve"> говорит, что нежелание женщин подавать заявления на руководящие должности, что очевидно из доклада, обусловлено, по</w:t>
      </w:r>
      <w:r>
        <w:noBreakHyphen/>
        <w:t>видимому, культурой засилья мужчин, определяющей роли с учетом гендерного фактора. Вероятно, предприн</w:t>
      </w:r>
      <w:r>
        <w:t>и</w:t>
      </w:r>
      <w:r>
        <w:t>маются незначительные усилия по изменению этого положения, помимо установления квот. Для обесп</w:t>
      </w:r>
      <w:r>
        <w:t>е</w:t>
      </w:r>
      <w:r>
        <w:t>чения равных возможностей мужчины и женщины должны находиться в одинаковом положении, п</w:t>
      </w:r>
      <w:r>
        <w:t>о</w:t>
      </w:r>
      <w:r>
        <w:t>этому важно уделять внимание неколичественным, а также количественным факторам, например кв</w:t>
      </w:r>
      <w:r>
        <w:t>о</w:t>
      </w:r>
      <w:r>
        <w:t>там. В этом отношении она с удовлетворением о</w:t>
      </w:r>
      <w:r>
        <w:t>т</w:t>
      </w:r>
      <w:r>
        <w:t>мечает уделение особого внимания равенству в учебных материалах и введение обязательного учебного курса по правам человека. Однако в деле усиления мотивации самым важным элементом я</w:t>
      </w:r>
      <w:r>
        <w:t>в</w:t>
      </w:r>
      <w:r>
        <w:t>ляется преподаватель; что делается для изменения их отношения? Гендерные стереотипы очевидны с точки зрения непропорционально низкого числа женщин, изучающих технические и научные пре</w:t>
      </w:r>
      <w:r>
        <w:t>д</w:t>
      </w:r>
      <w:r>
        <w:t>меты.</w:t>
      </w:r>
    </w:p>
    <w:p w:rsidR="00000000" w:rsidRDefault="00000000">
      <w:pPr>
        <w:pStyle w:val="DualTxt"/>
      </w:pPr>
      <w:r>
        <w:t>27.</w:t>
      </w:r>
      <w:r>
        <w:tab/>
      </w:r>
      <w:r>
        <w:rPr>
          <w:b/>
        </w:rPr>
        <w:t>Г</w:t>
      </w:r>
      <w:r>
        <w:rPr>
          <w:b/>
        </w:rPr>
        <w:noBreakHyphen/>
        <w:t>жа Абель</w:t>
      </w:r>
      <w:r>
        <w:t xml:space="preserve"> говорит, что низкий показатель использования отцами отпусков по уходу за детьми в рамках предыдущей системы мог быть обусло</w:t>
      </w:r>
      <w:r>
        <w:t>в</w:t>
      </w:r>
      <w:r>
        <w:t>лен неадекватностью для них процедур.</w:t>
      </w:r>
    </w:p>
    <w:p w:rsidR="00000000" w:rsidRDefault="00000000">
      <w:pPr>
        <w:pStyle w:val="DualTxt"/>
      </w:pPr>
      <w:r>
        <w:t>28.</w:t>
      </w:r>
      <w:r>
        <w:tab/>
      </w:r>
      <w:r>
        <w:rPr>
          <w:b/>
        </w:rPr>
        <w:t>Г</w:t>
      </w:r>
      <w:r>
        <w:rPr>
          <w:b/>
        </w:rPr>
        <w:noBreakHyphen/>
        <w:t>жа Андерсен</w:t>
      </w:r>
      <w:r>
        <w:t xml:space="preserve"> (Дания) говорит, что, хотя 75 процентов отцов берут отпуска по семейным причинам в ходе первых двух недель после рожд</w:t>
      </w:r>
      <w:r>
        <w:t>е</w:t>
      </w:r>
      <w:r>
        <w:t>ния ребенка, лишь 25 процентов из них брали такие отпуска по предыдущему, более жесткому 25–</w:t>
      </w:r>
      <w:r>
        <w:br/>
        <w:t>26</w:t>
      </w:r>
      <w:r>
        <w:noBreakHyphen/>
        <w:t>недельному плану, который было трудно совм</w:t>
      </w:r>
      <w:r>
        <w:t>е</w:t>
      </w:r>
      <w:r>
        <w:t>щать с праздниками и другими отпусками. В рамках новой общей системы отпусков по уходу за детьми отцы могут взять 32 недели, в ходе которых им в</w:t>
      </w:r>
      <w:r>
        <w:t>ы</w:t>
      </w:r>
      <w:r>
        <w:t>плачивается существенная компенсация за потерю доходов, при этом они могут продлить свой отпуск еще на 14 недель. Поскольку многие работодатели стали проявлять очень большую гибкость, матери и отцы получили возможность поочередно оставаться дома со своими новорожденными детьми. В н</w:t>
      </w:r>
      <w:r>
        <w:t>а</w:t>
      </w:r>
      <w:r>
        <w:t>стоящее время профсоюзы уже обсуждают вопрос об устранении разрыва между нынешней системой компенсации за потерю доходов и тем, что соста</w:t>
      </w:r>
      <w:r>
        <w:t>в</w:t>
      </w:r>
      <w:r>
        <w:t>ляло бы полную зарплату. Она поясняет, что 10 недель, отводимых на отпуск по уходу за детьми в 1984 году, были использованы в основном же</w:t>
      </w:r>
      <w:r>
        <w:t>н</w:t>
      </w:r>
      <w:r>
        <w:t>щинами, поскольку они совпадали с шестимеся</w:t>
      </w:r>
      <w:r>
        <w:t>ч</w:t>
      </w:r>
      <w:r>
        <w:t>ным отпуском для грудного вскармлив</w:t>
      </w:r>
      <w:r>
        <w:t>а</w:t>
      </w:r>
      <w:r>
        <w:t>ния.</w:t>
      </w:r>
    </w:p>
    <w:p w:rsidR="00000000" w:rsidRDefault="00000000">
      <w:pPr>
        <w:pStyle w:val="DualTxt"/>
      </w:pPr>
      <w:r>
        <w:t>29.</w:t>
      </w:r>
      <w:r>
        <w:tab/>
        <w:t>В рамках исследований, проведенных Датским национальным институтом национальных исслед</w:t>
      </w:r>
      <w:r>
        <w:t>о</w:t>
      </w:r>
      <w:r>
        <w:t>ваний в 1999 и 2002 годах, была предпринята п</w:t>
      </w:r>
      <w:r>
        <w:t>о</w:t>
      </w:r>
      <w:r>
        <w:t>пытка определить степень, в которой различные факторы, в том числе дискриминация и рынок тр</w:t>
      </w:r>
      <w:r>
        <w:t>у</w:t>
      </w:r>
      <w:r>
        <w:t>да, сегрегированный по гендерному признаку, несут ответственность за разницу в оплате труда между мужчинами и женщинами. В настоящее время ко</w:t>
      </w:r>
      <w:r>
        <w:t>м</w:t>
      </w:r>
      <w:r>
        <w:t>пании прилагают масштабные усилия в целях с</w:t>
      </w:r>
      <w:r>
        <w:t>о</w:t>
      </w:r>
      <w:r>
        <w:t>действия продвижению женщин на более высок</w:t>
      </w:r>
      <w:r>
        <w:t>о</w:t>
      </w:r>
      <w:r>
        <w:t>оплачиваемые должности и даже индивидуализ</w:t>
      </w:r>
      <w:r>
        <w:t>и</w:t>
      </w:r>
      <w:r>
        <w:t>руют процедуры переговоров по вопросам окладов и заработной платы. Это постепенный процесс, п</w:t>
      </w:r>
      <w:r>
        <w:t>о</w:t>
      </w:r>
      <w:r>
        <w:t>скольку было бы слишком дорого поднять оклады всем женщинам одновременно. На первоначальном этапе основное внимание уделяется повышению окладов в тех сферах публичного сектора, в кот</w:t>
      </w:r>
      <w:r>
        <w:t>о</w:t>
      </w:r>
      <w:r>
        <w:t>рых традиционно работают женщины. Кроме того, совместно с компаниями и ассоциациями работод</w:t>
      </w:r>
      <w:r>
        <w:t>а</w:t>
      </w:r>
      <w:r>
        <w:t>телей изучаются новые стратегии. В рамках новой системы выплаты «всего вознаграждения» учит</w:t>
      </w:r>
      <w:r>
        <w:t>ы</w:t>
      </w:r>
      <w:r>
        <w:t>ваются различные методы определения показателей работы мужчин и женщин, включая потерю оплаты во время отпуска по беременности, которая, оч</w:t>
      </w:r>
      <w:r>
        <w:t>е</w:t>
      </w:r>
      <w:r>
        <w:t>видно, усиливает это различие. Комитету сообщат о прогрессе и событиях в рамках этого очень сложн</w:t>
      </w:r>
      <w:r>
        <w:t>о</w:t>
      </w:r>
      <w:r>
        <w:t>го мероприятия.</w:t>
      </w:r>
    </w:p>
    <w:p w:rsidR="00000000" w:rsidRDefault="00000000">
      <w:pPr>
        <w:pStyle w:val="DualTxt"/>
      </w:pPr>
      <w:r>
        <w:t>30.</w:t>
      </w:r>
      <w:r>
        <w:tab/>
      </w:r>
      <w:r>
        <w:rPr>
          <w:b/>
        </w:rPr>
        <w:t>Г-жа Абель</w:t>
      </w:r>
      <w:r>
        <w:t xml:space="preserve"> (Дания) говорит, что она также встречалась с министром по делам занятости, кот</w:t>
      </w:r>
      <w:r>
        <w:t>о</w:t>
      </w:r>
      <w:r>
        <w:t>рый обязался взаимодействовать с частными ко</w:t>
      </w:r>
      <w:r>
        <w:t>м</w:t>
      </w:r>
      <w:r>
        <w:t>паниями, а также министром по вопросам генде</w:t>
      </w:r>
      <w:r>
        <w:t>р</w:t>
      </w:r>
      <w:r>
        <w:t>ного равенства в целях уменьшения разрыва в опл</w:t>
      </w:r>
      <w:r>
        <w:t>а</w:t>
      </w:r>
      <w:r>
        <w:t>те труда.</w:t>
      </w:r>
    </w:p>
    <w:p w:rsidR="00000000" w:rsidRDefault="00000000">
      <w:pPr>
        <w:pStyle w:val="DualTxt"/>
      </w:pPr>
      <w:r>
        <w:t>31.</w:t>
      </w:r>
      <w:r>
        <w:tab/>
      </w:r>
      <w:r>
        <w:rPr>
          <w:b/>
        </w:rPr>
        <w:t>Г-жа Аксельссон</w:t>
      </w:r>
      <w:r>
        <w:t xml:space="preserve"> (Дания), отвечая на вопр</w:t>
      </w:r>
      <w:r>
        <w:t>о</w:t>
      </w:r>
      <w:r>
        <w:t>сы, касающиеся женской циркумзиции, говорит, что увечье женских гениталий уголовно наказуемо в Дании по разделу 245 Уголовного кодекса, который квалифицирует все насильственные акты в качестве преступлений и устанавливает наказания как л</w:t>
      </w:r>
      <w:r>
        <w:t>и</w:t>
      </w:r>
      <w:r>
        <w:t>цам, совершающим такие действия, так и соучас</w:t>
      </w:r>
      <w:r>
        <w:t>т</w:t>
      </w:r>
      <w:r>
        <w:t>никам. По Уголовному кодексу Дании, датские гр</w:t>
      </w:r>
      <w:r>
        <w:t>а</w:t>
      </w:r>
      <w:r>
        <w:t>ждане или резиденты, совершающие акты насилия за пределами территории Дании, также подлежат датской юрисдикции, при условии, что соверше</w:t>
      </w:r>
      <w:r>
        <w:t>н</w:t>
      </w:r>
      <w:r>
        <w:t>ный акт также наказуем по закону другого госуда</w:t>
      </w:r>
      <w:r>
        <w:t>р</w:t>
      </w:r>
      <w:r>
        <w:t>ства. В самой Дании случаи женской циркумзиции являются очень редкими. Недавно правительство организовало информационную кампанию в с</w:t>
      </w:r>
      <w:r>
        <w:t>о</w:t>
      </w:r>
      <w:r>
        <w:t>трудничестве с различными этническими группами, которая направлена на разубеждение молодых б</w:t>
      </w:r>
      <w:r>
        <w:t>е</w:t>
      </w:r>
      <w:r>
        <w:t>женок или иммигранток от выезда из страны с ц</w:t>
      </w:r>
      <w:r>
        <w:t>е</w:t>
      </w:r>
      <w:r>
        <w:t>лью сове</w:t>
      </w:r>
      <w:r>
        <w:t>р</w:t>
      </w:r>
      <w:r>
        <w:t>шения циркумзиции.</w:t>
      </w:r>
    </w:p>
    <w:p w:rsidR="00000000" w:rsidRDefault="00000000">
      <w:pPr>
        <w:pStyle w:val="DualTxt"/>
      </w:pPr>
      <w:r>
        <w:t>32.</w:t>
      </w:r>
      <w:r>
        <w:tab/>
      </w:r>
      <w:r>
        <w:rPr>
          <w:b/>
        </w:rPr>
        <w:t>Г</w:t>
      </w:r>
      <w:r>
        <w:rPr>
          <w:b/>
        </w:rPr>
        <w:noBreakHyphen/>
        <w:t>жа Абель</w:t>
      </w:r>
      <w:r>
        <w:t xml:space="preserve"> (Дания) говорит, что идея учета гендерных факторов не устранила необходимость принятия специальных мер в интересах женщин и что гендерные последствия как для мужчин, так и для женщин любого нового предложения и иници</w:t>
      </w:r>
      <w:r>
        <w:t>а</w:t>
      </w:r>
      <w:r>
        <w:t>тивы систематически анализируются. Замечания ее делегации в отношении принудительных браков, приносящих ущерб как женщинам, так и мужчинам, были сделаны в том же духе. Данная идея прим</w:t>
      </w:r>
      <w:r>
        <w:t>е</w:t>
      </w:r>
      <w:r>
        <w:t>нима также к мероприятиям всех государственных министерств в рамках крупномасштабного проекта по учету гендерной проблематики внутри публи</w:t>
      </w:r>
      <w:r>
        <w:t>ч</w:t>
      </w:r>
      <w:r>
        <w:t>ного сектора, который координируется Департаме</w:t>
      </w:r>
      <w:r>
        <w:t>н</w:t>
      </w:r>
      <w:r>
        <w:t>том по вопросам гендерного р</w:t>
      </w:r>
      <w:r>
        <w:t>а</w:t>
      </w:r>
      <w:r>
        <w:t>венства.</w:t>
      </w:r>
    </w:p>
    <w:p w:rsidR="00000000" w:rsidRDefault="00000000">
      <w:pPr>
        <w:pStyle w:val="DualTxt"/>
      </w:pPr>
      <w:r>
        <w:t>33.</w:t>
      </w:r>
      <w:r>
        <w:tab/>
      </w:r>
      <w:r>
        <w:rPr>
          <w:b/>
        </w:rPr>
        <w:t>Г</w:t>
      </w:r>
      <w:r>
        <w:rPr>
          <w:b/>
        </w:rPr>
        <w:noBreakHyphen/>
        <w:t>жа Андерсен</w:t>
      </w:r>
      <w:r>
        <w:t xml:space="preserve"> (Дания), касаясь вопроса об антидискриминационных мерах, говорит, что по н</w:t>
      </w:r>
      <w:r>
        <w:t>о</w:t>
      </w:r>
      <w:r>
        <w:t>вому законодательству, принятому в 2000 году, ряд стратегий, например специальные учебные и вво</w:t>
      </w:r>
      <w:r>
        <w:t>д</w:t>
      </w:r>
      <w:r>
        <w:t>ные курсы, осуществляются с целью подготовки женщин для работы на высокопоставленных дол</w:t>
      </w:r>
      <w:r>
        <w:t>ж</w:t>
      </w:r>
      <w:r>
        <w:t>ностях. Молодые женщины, которые зачастую больше подходят на такие должности, составляют более высокую долю среди же</w:t>
      </w:r>
      <w:r>
        <w:t>н</w:t>
      </w:r>
      <w:r>
        <w:t>щин-руководителей.</w:t>
      </w:r>
    </w:p>
    <w:p w:rsidR="00000000" w:rsidRDefault="00000000">
      <w:pPr>
        <w:pStyle w:val="DualTxt"/>
      </w:pPr>
      <w:r>
        <w:t>34.</w:t>
      </w:r>
      <w:r>
        <w:tab/>
      </w:r>
      <w:r>
        <w:rPr>
          <w:b/>
        </w:rPr>
        <w:t>Г-жа Кольд</w:t>
      </w:r>
      <w:r>
        <w:t xml:space="preserve"> (Дания), отвечая на вопрос г</w:t>
      </w:r>
      <w:r>
        <w:noBreakHyphen/>
        <w:t>жи Акар, говорит, что при обследовании этнич</w:t>
      </w:r>
      <w:r>
        <w:t>е</w:t>
      </w:r>
      <w:r>
        <w:t>ской молодежи Департамент по вопросам гендерн</w:t>
      </w:r>
      <w:r>
        <w:t>о</w:t>
      </w:r>
      <w:r>
        <w:t>го равенства определил, что 68 процентов этнич</w:t>
      </w:r>
      <w:r>
        <w:t>е</w:t>
      </w:r>
      <w:r>
        <w:t>ских мужчин и 62 процента этнических женщин не продолжали своего образования после начальной школы; таким образом, большее число молодых женщин, чем молодых мужчин, посещали среднюю школу. В ответ на вопрос г</w:t>
      </w:r>
      <w:r>
        <w:noBreakHyphen/>
        <w:t>жи Ахмад она говорит, что в последнее десятилетие сократились усилия по направлению этнических детей в менее традицио</w:t>
      </w:r>
      <w:r>
        <w:t>н</w:t>
      </w:r>
      <w:r>
        <w:t>ную сферу образования и выбора профессии; одн</w:t>
      </w:r>
      <w:r>
        <w:t>а</w:t>
      </w:r>
      <w:r>
        <w:t>ко Европейский социальный фонд недавно начал осуществлять проект в рамках программы «Ра</w:t>
      </w:r>
      <w:r>
        <w:t>в</w:t>
      </w:r>
      <w:r>
        <w:t>ный» в целях расширения в этой связи возможн</w:t>
      </w:r>
      <w:r>
        <w:t>о</w:t>
      </w:r>
      <w:r>
        <w:t>стей этнических детей. Проект предусматривает мониторинг и анализ того, что говорят и делают преподаватели в целях расширения представлений этнических детей и обеспечения новых материалов для использования при консультировании по вопр</w:t>
      </w:r>
      <w:r>
        <w:t>о</w:t>
      </w:r>
      <w:r>
        <w:t>сам развития карьеры. Результаты этого проекта, окончание которого запланировано в 2004 году, м</w:t>
      </w:r>
      <w:r>
        <w:t>о</w:t>
      </w:r>
      <w:r>
        <w:t>гут также дать некоторые ответы на вопрос г</w:t>
      </w:r>
      <w:r>
        <w:noBreakHyphen/>
        <w:t>на Меландера относительно малой доли женщин-профессоров в вузах Дании.</w:t>
      </w:r>
    </w:p>
    <w:p w:rsidR="00000000" w:rsidRDefault="00000000">
      <w:pPr>
        <w:pStyle w:val="DualTxt"/>
      </w:pPr>
      <w:r>
        <w:t>35.</w:t>
      </w:r>
      <w:r>
        <w:tab/>
      </w:r>
      <w:r>
        <w:rPr>
          <w:b/>
        </w:rPr>
        <w:t>Г-жа Абель</w:t>
      </w:r>
      <w:r>
        <w:t xml:space="preserve"> (Дания) говорит, что многие да</w:t>
      </w:r>
      <w:r>
        <w:t>т</w:t>
      </w:r>
      <w:r>
        <w:t>ские преподаватели обеспокоены гендерными ст</w:t>
      </w:r>
      <w:r>
        <w:t>е</w:t>
      </w:r>
      <w:r>
        <w:t>реотипами и реализуют ряд проектов в целях обе</w:t>
      </w:r>
      <w:r>
        <w:t>с</w:t>
      </w:r>
      <w:r>
        <w:t>печения гендерного равенства, даже в дошкольных учреждениях. Их усилия не всегда получают бол</w:t>
      </w:r>
      <w:r>
        <w:t>ь</w:t>
      </w:r>
      <w:r>
        <w:t>шую огласку, поскольку требуется получить разр</w:t>
      </w:r>
      <w:r>
        <w:t>е</w:t>
      </w:r>
      <w:r>
        <w:t>шение на организацию курсов только для женщин. Министерство по вопросам гендерного равенства предпринимает попытки по упорядочению процесса выдачи разрешений на основе уменьшения связа</w:t>
      </w:r>
      <w:r>
        <w:t>н</w:t>
      </w:r>
      <w:r>
        <w:t>ной с ним бюрокр</w:t>
      </w:r>
      <w:r>
        <w:t>а</w:t>
      </w:r>
      <w:r>
        <w:t>тии.</w:t>
      </w:r>
    </w:p>
    <w:p w:rsidR="00000000" w:rsidRDefault="00000000">
      <w:pPr>
        <w:pStyle w:val="DualTxt"/>
      </w:pPr>
      <w:r>
        <w:t>36.</w:t>
      </w:r>
      <w:r>
        <w:tab/>
      </w:r>
      <w:r>
        <w:rPr>
          <w:b/>
        </w:rPr>
        <w:t>Г-жа Клаусен</w:t>
      </w:r>
      <w:r>
        <w:t xml:space="preserve"> (Дания), отвечая г</w:t>
      </w:r>
      <w:r>
        <w:noBreakHyphen/>
        <w:t>же Акар, г</w:t>
      </w:r>
      <w:r>
        <w:t>о</w:t>
      </w:r>
      <w:r>
        <w:t>ворит, что, хотя статистические данные отсутств</w:t>
      </w:r>
      <w:r>
        <w:t>у</w:t>
      </w:r>
      <w:r>
        <w:t>ют, число убийств в защиту чести в Дании является очень малым — лишь несколько случаев в после</w:t>
      </w:r>
      <w:r>
        <w:t>д</w:t>
      </w:r>
      <w:r>
        <w:t>нее десятилетие. Что касается курсов датского яз</w:t>
      </w:r>
      <w:r>
        <w:t>ы</w:t>
      </w:r>
      <w:r>
        <w:t>ка, то осенью парламент рассмотрит вопрос о п</w:t>
      </w:r>
      <w:r>
        <w:t>о</w:t>
      </w:r>
      <w:r>
        <w:t>рядке их проведения и организации в целях удовл</w:t>
      </w:r>
      <w:r>
        <w:t>е</w:t>
      </w:r>
      <w:r>
        <w:t>творения особых потребностей женщин, связанных с уходом за детьми, профессиональной подготовкой и друг</w:t>
      </w:r>
      <w:r>
        <w:t>и</w:t>
      </w:r>
      <w:r>
        <w:t>ми нуждами.</w:t>
      </w:r>
    </w:p>
    <w:p w:rsidR="00000000" w:rsidRDefault="00000000">
      <w:pPr>
        <w:pStyle w:val="DualTxt"/>
      </w:pPr>
      <w:r>
        <w:t>37.</w:t>
      </w:r>
      <w:r>
        <w:tab/>
      </w:r>
      <w:r>
        <w:rPr>
          <w:b/>
        </w:rPr>
        <w:t>Г-жа Сайга</w:t>
      </w:r>
      <w:r>
        <w:t xml:space="preserve"> высоко оценивает Данию в кач</w:t>
      </w:r>
      <w:r>
        <w:t>е</w:t>
      </w:r>
      <w:r>
        <w:t>стве модели гендерного равенства и спрашивает д</w:t>
      </w:r>
      <w:r>
        <w:t>е</w:t>
      </w:r>
      <w:r>
        <w:t>легацию о том, может ли она дать рекомендации другим странам, стремящимся повысить степень осведомленности о гендерной дискриминации в их обществах и устранить ее на основе образования и других мер.</w:t>
      </w:r>
    </w:p>
    <w:p w:rsidR="00000000" w:rsidRDefault="00000000">
      <w:pPr>
        <w:pStyle w:val="DualTxt"/>
      </w:pPr>
      <w:r>
        <w:t>38.</w:t>
      </w:r>
      <w:r>
        <w:tab/>
      </w:r>
      <w:r>
        <w:rPr>
          <w:b/>
        </w:rPr>
        <w:t>Г-жа Ливингстон Редей</w:t>
      </w:r>
      <w:r>
        <w:t xml:space="preserve"> говорит, что низкая представленность женщин на руководящих должн</w:t>
      </w:r>
      <w:r>
        <w:t>о</w:t>
      </w:r>
      <w:r>
        <w:t>стях (лишь 5 процентов на уровне высшего звена управления и 14 процентов на уровне среднего зв</w:t>
      </w:r>
      <w:r>
        <w:t>е</w:t>
      </w:r>
      <w:r>
        <w:t>на управления в частном секторе) представляет с</w:t>
      </w:r>
      <w:r>
        <w:t>о</w:t>
      </w:r>
      <w:r>
        <w:t>бой разительный контраст с высоким уровнем пр</w:t>
      </w:r>
      <w:r>
        <w:t>и</w:t>
      </w:r>
      <w:r>
        <w:t>сутствия на рынке труда. Она интересуется, связана ли реально эта проблема с квалификацией женщин. Хотя позитивные меры Дании, по</w:t>
      </w:r>
      <w:r>
        <w:noBreakHyphen/>
        <w:t>видимому, н</w:t>
      </w:r>
      <w:r>
        <w:t>а</w:t>
      </w:r>
      <w:r>
        <w:t>правлены на выравнивание числа женщин-кандидатов на высокопоставленные должности, факты говорят о том, что 50 процентов кандидатов на должности профессоров составляли женщины, но лишь 6 процентов должностей профессоров в</w:t>
      </w:r>
      <w:r>
        <w:t>у</w:t>
      </w:r>
      <w:r>
        <w:t>зов были заполнены ими. Действительно, програ</w:t>
      </w:r>
      <w:r>
        <w:t>м</w:t>
      </w:r>
      <w:r>
        <w:t>ма антидискриминационных мер, по</w:t>
      </w:r>
      <w:r>
        <w:noBreakHyphen/>
        <w:t>видимому, я</w:t>
      </w:r>
      <w:r>
        <w:t>в</w:t>
      </w:r>
      <w:r>
        <w:t>ляется несколько слабой; она не требует даже поя</w:t>
      </w:r>
      <w:r>
        <w:t>с</w:t>
      </w:r>
      <w:r>
        <w:t>нения, когда в одинаковой степени квалифицир</w:t>
      </w:r>
      <w:r>
        <w:t>о</w:t>
      </w:r>
      <w:r>
        <w:t>ванные женщины не рекомендуются на продвиж</w:t>
      </w:r>
      <w:r>
        <w:t>е</w:t>
      </w:r>
      <w:r>
        <w:t>ние по службе вм</w:t>
      </w:r>
      <w:r>
        <w:t>е</w:t>
      </w:r>
      <w:r>
        <w:t>сто мужчин.</w:t>
      </w:r>
    </w:p>
    <w:p w:rsidR="00000000" w:rsidRDefault="00000000">
      <w:pPr>
        <w:pStyle w:val="DualTxt"/>
      </w:pPr>
      <w:r>
        <w:t>39.</w:t>
      </w:r>
      <w:r>
        <w:tab/>
        <w:t>Она хотела бы получить информацию о пр</w:t>
      </w:r>
      <w:r>
        <w:t>о</w:t>
      </w:r>
      <w:r>
        <w:t>блемах, которые возникли в рамках предыдущего варианта Закона о равной оплате труда, и о попра</w:t>
      </w:r>
      <w:r>
        <w:t>в</w:t>
      </w:r>
      <w:r>
        <w:t>ках, принятых в июне 2001 года с целью их устр</w:t>
      </w:r>
      <w:r>
        <w:t>а</w:t>
      </w:r>
      <w:r>
        <w:t>нения. Государство-участник должно представить подробные сведения о новых индивидуализирова</w:t>
      </w:r>
      <w:r>
        <w:t>н</w:t>
      </w:r>
      <w:r>
        <w:t>ных методах переговоров об окладах, о чем упом</w:t>
      </w:r>
      <w:r>
        <w:t>я</w:t>
      </w:r>
      <w:r>
        <w:t>нула г</w:t>
      </w:r>
      <w:r>
        <w:noBreakHyphen/>
        <w:t>жа Андерсен. Хотя последняя провела ра</w:t>
      </w:r>
      <w:r>
        <w:t>з</w:t>
      </w:r>
      <w:r>
        <w:t>личие между явной дискриминацией и рынком тр</w:t>
      </w:r>
      <w:r>
        <w:t>у</w:t>
      </w:r>
      <w:r>
        <w:t>да, сегрегированным по гендерному признаку, в к</w:t>
      </w:r>
      <w:r>
        <w:t>а</w:t>
      </w:r>
      <w:r>
        <w:t>честве возможных причин различия в оплате, оба явления фактически составляют формы дискрим</w:t>
      </w:r>
      <w:r>
        <w:t>и</w:t>
      </w:r>
      <w:r>
        <w:t>нации, соответственно, на макро- и микроуровне. Она с удовлетворением отмечает установление о</w:t>
      </w:r>
      <w:r>
        <w:t>б</w:t>
      </w:r>
      <w:r>
        <w:t>щей гендерной актуарной основы для исчисления пенсионных пособий, однако интересуется, будут ли приняты какие</w:t>
      </w:r>
      <w:r>
        <w:noBreakHyphen/>
        <w:t>либо положения в отношении пожилых женщин до вступления в силу в 2040 году новой системы. Она обеспокоена тем, что продо</w:t>
      </w:r>
      <w:r>
        <w:t>л</w:t>
      </w:r>
      <w:r>
        <w:t>жительность жизни женщин является одним из факторов, который уменьшает их пенсии, причем эта практика признается судами многих стран в к</w:t>
      </w:r>
      <w:r>
        <w:t>а</w:t>
      </w:r>
      <w:r>
        <w:t>честве дискриминационной, и интересуется, почему это является столь важным критерием. Вероятно, государство-участник может описать меры, осущ</w:t>
      </w:r>
      <w:r>
        <w:t>е</w:t>
      </w:r>
      <w:r>
        <w:t>ствляемые им в целях оказания помощи большой доле (29 процентов) девушек в возрасте от 14 до 24 лет, которые страдают нарушениями питания, граничащими с анорексией. Наконец, она спраш</w:t>
      </w:r>
      <w:r>
        <w:t>и</w:t>
      </w:r>
      <w:r>
        <w:t>вает, могут ли неженатые отцы получить опекунс</w:t>
      </w:r>
      <w:r>
        <w:t>т</w:t>
      </w:r>
      <w:r>
        <w:t>во над своими детьми, особенно когда установлено, что совместное опекунство отвечает наилучшим интересам ребенка с учетом высокой доли детей, рождающихся вне брака в Дании. Это, по-види</w:t>
      </w:r>
      <w:r>
        <w:softHyphen/>
        <w:t>мому, самая больная проблема для Мужского фор</w:t>
      </w:r>
      <w:r>
        <w:t>у</w:t>
      </w:r>
      <w:r>
        <w:t>ма Д</w:t>
      </w:r>
      <w:r>
        <w:t>а</w:t>
      </w:r>
      <w:r>
        <w:t>нии.</w:t>
      </w:r>
    </w:p>
    <w:p w:rsidR="00000000" w:rsidRDefault="00000000">
      <w:pPr>
        <w:pStyle w:val="DualTxt"/>
      </w:pPr>
      <w:r>
        <w:t>40.</w:t>
      </w:r>
      <w:r>
        <w:tab/>
      </w:r>
      <w:r>
        <w:rPr>
          <w:b/>
        </w:rPr>
        <w:t>Г-жа Таварес да Силва</w:t>
      </w:r>
      <w:r>
        <w:t xml:space="preserve"> высоко оценивает п</w:t>
      </w:r>
      <w:r>
        <w:t>а</w:t>
      </w:r>
      <w:r>
        <w:t>кет предусмотренных государством-участником мер по предоставлению отпуска по уходу за детьми, о</w:t>
      </w:r>
      <w:r>
        <w:t>д</w:t>
      </w:r>
      <w:r>
        <w:t>нако говорит, что при очень малой доле женщин-профессоров в вузах Дания отстает от многих стран, которые не обеспокоены так сильно пробл</w:t>
      </w:r>
      <w:r>
        <w:t>е</w:t>
      </w:r>
      <w:r>
        <w:t>мой равенства. Отмечая, что в докладе не соде</w:t>
      </w:r>
      <w:r>
        <w:t>р</w:t>
      </w:r>
      <w:r>
        <w:t>жится данных о доле мужчин и женщин, занятых дистанционной работой (CEDAW/C/DEN/5, стр. 46), она просит дать заверения в том, что же</w:t>
      </w:r>
      <w:r>
        <w:t>н</w:t>
      </w:r>
      <w:r>
        <w:t>щины не используют дистанционную работу в кач</w:t>
      </w:r>
      <w:r>
        <w:t>е</w:t>
      </w:r>
      <w:r>
        <w:t>стве средства совмещения их работы и домашних обязанностей или что их перспективы развития карьеры и продвижения по службе ввиду физич</w:t>
      </w:r>
      <w:r>
        <w:t>е</w:t>
      </w:r>
      <w:r>
        <w:t>ского отсутствия на рабочем месте отсутствуют или уменьшаются.</w:t>
      </w:r>
    </w:p>
    <w:p w:rsidR="00000000" w:rsidRDefault="00000000">
      <w:pPr>
        <w:pStyle w:val="DualTxt"/>
      </w:pPr>
      <w:r>
        <w:t>41.</w:t>
      </w:r>
      <w:r>
        <w:tab/>
      </w:r>
      <w:r>
        <w:rPr>
          <w:b/>
        </w:rPr>
        <w:t>Г</w:t>
      </w:r>
      <w:r>
        <w:rPr>
          <w:b/>
        </w:rPr>
        <w:noBreakHyphen/>
        <w:t>жа Абель</w:t>
      </w:r>
      <w:r>
        <w:t xml:space="preserve"> (Дания) говорит, что, действ</w:t>
      </w:r>
      <w:r>
        <w:t>и</w:t>
      </w:r>
      <w:r>
        <w:t>тельно, вызывает удивление столь небольшое кол</w:t>
      </w:r>
      <w:r>
        <w:t>и</w:t>
      </w:r>
      <w:r>
        <w:t>чество женщин-руководителей, особенно с учетом того, что по этому вопросу было подготовлено мн</w:t>
      </w:r>
      <w:r>
        <w:t>о</w:t>
      </w:r>
      <w:r>
        <w:t>го докладов. Планировалось осуществление двух инициатив во второй половине 2002 года с целью улучшения положения в этой области в сотруднич</w:t>
      </w:r>
      <w:r>
        <w:t>е</w:t>
      </w:r>
      <w:r>
        <w:t>стве с социальными партнерами. Ясно, что пришло время для действий, а не для подготовки еще бол</w:t>
      </w:r>
      <w:r>
        <w:t>ь</w:t>
      </w:r>
      <w:r>
        <w:t>шего числа до</w:t>
      </w:r>
      <w:r>
        <w:t>к</w:t>
      </w:r>
      <w:r>
        <w:t>ладов.</w:t>
      </w:r>
    </w:p>
    <w:p w:rsidR="00000000" w:rsidRDefault="00000000">
      <w:pPr>
        <w:pStyle w:val="DualTxt"/>
      </w:pPr>
      <w:r>
        <w:t>42.</w:t>
      </w:r>
      <w:r>
        <w:tab/>
        <w:t>В Дании проводится широкая дискуссия по вопросу о пенсиях, которые выплачиваются в ра</w:t>
      </w:r>
      <w:r>
        <w:t>м</w:t>
      </w:r>
      <w:r>
        <w:t>ках пенсионной системы на основе вкладов, когда из заработной платы в пенсионный фонд отчисл</w:t>
      </w:r>
      <w:r>
        <w:t>я</w:t>
      </w:r>
      <w:r>
        <w:t>ется определенный взнос. Таким образом, если з</w:t>
      </w:r>
      <w:r>
        <w:t>а</w:t>
      </w:r>
      <w:r>
        <w:t>работная плата женщин не является равной и они проводят больше времени вне рынка труда, их пе</w:t>
      </w:r>
      <w:r>
        <w:t>н</w:t>
      </w:r>
      <w:r>
        <w:t>сии являются еще менее равными. Раньше действ</w:t>
      </w:r>
      <w:r>
        <w:t>о</w:t>
      </w:r>
      <w:r>
        <w:t>вало правило, предусматривавшее получение же</w:t>
      </w:r>
      <w:r>
        <w:t>н</w:t>
      </w:r>
      <w:r>
        <w:t>щинами пропорционально меньших выплат из пе</w:t>
      </w:r>
      <w:r>
        <w:t>н</w:t>
      </w:r>
      <w:r>
        <w:t>сионных фондов с учетом их более долгой продо</w:t>
      </w:r>
      <w:r>
        <w:t>л</w:t>
      </w:r>
      <w:r>
        <w:t>жительности жизни, однако оно было отменено. Осуществление изменений может занять много времени, поскольку во многих случаях они могут быть применимы лишь к новым лицам, производ</w:t>
      </w:r>
      <w:r>
        <w:t>я</w:t>
      </w:r>
      <w:r>
        <w:t>щим отчисления в фонды.</w:t>
      </w:r>
    </w:p>
    <w:p w:rsidR="00000000" w:rsidRDefault="00000000">
      <w:pPr>
        <w:pStyle w:val="DualTxt"/>
      </w:pPr>
      <w:r>
        <w:t>43.</w:t>
      </w:r>
      <w:r>
        <w:tab/>
      </w:r>
      <w:r>
        <w:rPr>
          <w:b/>
        </w:rPr>
        <w:t>Г</w:t>
      </w:r>
      <w:r>
        <w:rPr>
          <w:b/>
        </w:rPr>
        <w:noBreakHyphen/>
        <w:t>жа Аппель</w:t>
      </w:r>
      <w:r>
        <w:t xml:space="preserve"> (Дания), касаясь ранее выск</w:t>
      </w:r>
      <w:r>
        <w:t>а</w:t>
      </w:r>
      <w:r>
        <w:t>занного г</w:t>
      </w:r>
      <w:r>
        <w:noBreakHyphen/>
        <w:t>жой Ливингстон Рэдэй замечания, согл</w:t>
      </w:r>
      <w:r>
        <w:t>а</w:t>
      </w:r>
      <w:r>
        <w:t>шается с тем, что данные о нарушениях питания молодых людей вызывают тревогу. Пациентам, к</w:t>
      </w:r>
      <w:r>
        <w:t>о</w:t>
      </w:r>
      <w:r>
        <w:t>нечно же, оказывается вся возможная помощь. Был проведен ряд дискуссий по гендерным стереотипам и роли средств массовой информации; больше и</w:t>
      </w:r>
      <w:r>
        <w:t>н</w:t>
      </w:r>
      <w:r>
        <w:t>формации будет представлено в следующем докл</w:t>
      </w:r>
      <w:r>
        <w:t>а</w:t>
      </w:r>
      <w:r>
        <w:t>де.</w:t>
      </w:r>
    </w:p>
    <w:p w:rsidR="00000000" w:rsidRDefault="00000000">
      <w:pPr>
        <w:pStyle w:val="DualTxt"/>
      </w:pPr>
      <w:r>
        <w:t>44.</w:t>
      </w:r>
      <w:r>
        <w:tab/>
      </w:r>
      <w:r>
        <w:rPr>
          <w:b/>
        </w:rPr>
        <w:t>Г</w:t>
      </w:r>
      <w:r>
        <w:rPr>
          <w:b/>
        </w:rPr>
        <w:noBreakHyphen/>
        <w:t>жа Аксельссон</w:t>
      </w:r>
      <w:r>
        <w:t xml:space="preserve"> (Дания) говорит, что нез</w:t>
      </w:r>
      <w:r>
        <w:t>а</w:t>
      </w:r>
      <w:r>
        <w:t>мужняя мать имеет полное попечение над своим ребенком, если только родители не соглашаются на совместное попечение; последнее не может быть установлено судами. Отец может стремиться пол</w:t>
      </w:r>
      <w:r>
        <w:t>у</w:t>
      </w:r>
      <w:r>
        <w:t>чить попечение, обратившись к судье, который б</w:t>
      </w:r>
      <w:r>
        <w:t>у</w:t>
      </w:r>
      <w:r>
        <w:t>дет руководствоваться в этом случае наилучшими интересами р</w:t>
      </w:r>
      <w:r>
        <w:t>е</w:t>
      </w:r>
      <w:r>
        <w:t>бенка.</w:t>
      </w:r>
    </w:p>
    <w:p w:rsidR="00000000" w:rsidRDefault="00000000">
      <w:pPr>
        <w:pStyle w:val="DualTxt"/>
      </w:pPr>
      <w:r>
        <w:t>45.</w:t>
      </w:r>
      <w:r>
        <w:tab/>
      </w:r>
      <w:r>
        <w:rPr>
          <w:b/>
        </w:rPr>
        <w:t>Г</w:t>
      </w:r>
      <w:r>
        <w:rPr>
          <w:b/>
        </w:rPr>
        <w:noBreakHyphen/>
        <w:t>н Меландер</w:t>
      </w:r>
      <w:r>
        <w:t>, отмечая, что 35 процентов женщин, пользующихся приютами для жертв быт</w:t>
      </w:r>
      <w:r>
        <w:t>о</w:t>
      </w:r>
      <w:r>
        <w:t>вого насилия, составляют женщины-мигранты, спрашивает, какая доля из этого числа находилась в стране менее трех лет и, следовательно, имеет вр</w:t>
      </w:r>
      <w:r>
        <w:t>е</w:t>
      </w:r>
      <w:r>
        <w:t>менный вид на жительство и какая доля находилась в ней от трех до семи лет и имеет постоянный вид на жительство. Он также хотел бы знать, что пр</w:t>
      </w:r>
      <w:r>
        <w:t>о</w:t>
      </w:r>
      <w:r>
        <w:t>изойдет с этими группами, когда вступит в силу н</w:t>
      </w:r>
      <w:r>
        <w:t>о</w:t>
      </w:r>
      <w:r>
        <w:t>вый иммиграционный закон. Очень важно, чтобы женщины были хорошо информированы о закон</w:t>
      </w:r>
      <w:r>
        <w:t>о</w:t>
      </w:r>
      <w:r>
        <w:t>дательстве, затрагивающем их интересы; государс</w:t>
      </w:r>
      <w:r>
        <w:t>т</w:t>
      </w:r>
      <w:r>
        <w:t>во, представившее доклад, должно уточнить, пр</w:t>
      </w:r>
      <w:r>
        <w:t>е</w:t>
      </w:r>
      <w:r>
        <w:t>доставляется ли этим женщинам такая информация на их ро</w:t>
      </w:r>
      <w:r>
        <w:t>д</w:t>
      </w:r>
      <w:r>
        <w:t>ных языках.</w:t>
      </w:r>
    </w:p>
    <w:p w:rsidR="00000000" w:rsidRDefault="00000000">
      <w:pPr>
        <w:pStyle w:val="DualTxt"/>
      </w:pPr>
      <w:r>
        <w:t>46.</w:t>
      </w:r>
      <w:r>
        <w:tab/>
      </w:r>
      <w:r>
        <w:rPr>
          <w:b/>
        </w:rPr>
        <w:t>Г</w:t>
      </w:r>
      <w:r>
        <w:rPr>
          <w:b/>
        </w:rPr>
        <w:noBreakHyphen/>
        <w:t>жа Шинь</w:t>
      </w:r>
      <w:r>
        <w:t xml:space="preserve"> говорит, что сохраняющиеся формы дискриминации в отношении женщин в Д</w:t>
      </w:r>
      <w:r>
        <w:t>а</w:t>
      </w:r>
      <w:r>
        <w:t>нии, несомненно, включают коренную проблему несбалансированного распределения обязанностей, связанных с воспитанием детей и домашней раб</w:t>
      </w:r>
      <w:r>
        <w:t>о</w:t>
      </w:r>
      <w:r>
        <w:t>той; она спрашивает, какие принимаются меры для поощрения мужчин к выполнению этих обязанн</w:t>
      </w:r>
      <w:r>
        <w:t>о</w:t>
      </w:r>
      <w:r>
        <w:t>стей в большем объеме.</w:t>
      </w:r>
    </w:p>
    <w:p w:rsidR="00000000" w:rsidRDefault="00000000">
      <w:pPr>
        <w:pStyle w:val="DualTxt"/>
      </w:pPr>
      <w:r>
        <w:t>47.</w:t>
      </w:r>
      <w:r>
        <w:tab/>
        <w:t>Она отмечает, что в заявлении, приложенном к докладу, Мужской форум Дании выразил негати</w:t>
      </w:r>
      <w:r>
        <w:t>в</w:t>
      </w:r>
      <w:r>
        <w:t>ное отношение, что свидетельствует о том, что он абсолютно не понимает важность Конвенции и х</w:t>
      </w:r>
      <w:r>
        <w:t>а</w:t>
      </w:r>
      <w:r>
        <w:t>рактер дискриминации в отношении женщин. Она интересуется, предпринимает ли правительство к</w:t>
      </w:r>
      <w:r>
        <w:t>а</w:t>
      </w:r>
      <w:r>
        <w:t>кие-либо попытки заставить членов этой организ</w:t>
      </w:r>
      <w:r>
        <w:t>а</w:t>
      </w:r>
      <w:r>
        <w:t>ции преодолеть этот недостаток.</w:t>
      </w:r>
    </w:p>
    <w:p w:rsidR="00000000" w:rsidRDefault="00000000">
      <w:pPr>
        <w:pStyle w:val="DualTxt"/>
      </w:pPr>
      <w:r>
        <w:t>48.</w:t>
      </w:r>
      <w:r>
        <w:tab/>
      </w:r>
      <w:r>
        <w:rPr>
          <w:b/>
        </w:rPr>
        <w:t>Г</w:t>
      </w:r>
      <w:r>
        <w:rPr>
          <w:b/>
        </w:rPr>
        <w:noBreakHyphen/>
        <w:t>жа Абель</w:t>
      </w:r>
      <w:r>
        <w:t xml:space="preserve"> (Дания) соглашается с г</w:t>
      </w:r>
      <w:r>
        <w:noBreakHyphen/>
        <w:t>ном Меландером в том, что исключительно важно, чтобы женщины-мигранты обладали соответс</w:t>
      </w:r>
      <w:r>
        <w:t>т</w:t>
      </w:r>
      <w:r>
        <w:t>вующей информацией, особенно на их родных яз</w:t>
      </w:r>
      <w:r>
        <w:t>ы</w:t>
      </w:r>
      <w:r>
        <w:t>ках. Соответствующие меры были включены в план действий правительства по борьбе с насилием в о</w:t>
      </w:r>
      <w:r>
        <w:t>т</w:t>
      </w:r>
      <w:r>
        <w:t>ношении женщин. Что касается запрошенных им данных о количестве женщин, посетивших центры доверия, то она не может представить информацию, поскольку те лица, которые посещают их, делают это анонимно.</w:t>
      </w:r>
    </w:p>
    <w:p w:rsidR="00000000" w:rsidRDefault="00000000">
      <w:pPr>
        <w:pStyle w:val="DualTxt"/>
      </w:pPr>
      <w:r>
        <w:t>49.</w:t>
      </w:r>
      <w:r>
        <w:tab/>
        <w:t>Что касается Мужского форума Дании, то он представляет небольшое число мужчин, однако она согласна с тем, что необходимо предпринять п</w:t>
      </w:r>
      <w:r>
        <w:t>о</w:t>
      </w:r>
      <w:r>
        <w:t>пытки по просвещению его членов; она рассмотрит возможность приглашения представителей Форума на заседание с целью обсуждения Конвенции. П</w:t>
      </w:r>
      <w:r>
        <w:t>о</w:t>
      </w:r>
      <w:r>
        <w:t>ложение улучшается в отношении участия мужчин в воспитании детей, однако заставить их выполнять домашнюю работу представляется более сложным. Был подготовлен пакет информационных матери</w:t>
      </w:r>
      <w:r>
        <w:t>а</w:t>
      </w:r>
      <w:r>
        <w:t>лов, который должен распространяться среди род</w:t>
      </w:r>
      <w:r>
        <w:t>и</w:t>
      </w:r>
      <w:r>
        <w:t>телей в родильных домах начиная со второй пол</w:t>
      </w:r>
      <w:r>
        <w:t>о</w:t>
      </w:r>
      <w:r>
        <w:t>вины 2002 года; в нем будут даны рекомендации по многим вопросам и решениям, с которыми будут сталкиваться родители в ближайшие годы в таких сферах, как воспитание детей, пенсионное обсл</w:t>
      </w:r>
      <w:r>
        <w:t>у</w:t>
      </w:r>
      <w:r>
        <w:t>живание и другие финансовые вопросы, при этом отцов проинформируют о важности их участия в воспитании детей.</w:t>
      </w:r>
    </w:p>
    <w:p w:rsidR="00000000" w:rsidRDefault="00000000">
      <w:pPr>
        <w:pStyle w:val="DualTxt"/>
        <w:spacing w:after="0" w:line="120" w:lineRule="exact"/>
        <w:rPr>
          <w:sz w:val="10"/>
          <w:lang w:val="en-US"/>
        </w:rPr>
      </w:pPr>
    </w:p>
    <w:p w:rsidR="00000000" w:rsidRDefault="00000000">
      <w:pPr>
        <w:pStyle w:val="DualTxt"/>
        <w:spacing w:after="0" w:line="120" w:lineRule="exact"/>
        <w:rPr>
          <w:sz w:val="10"/>
          <w:lang w:val="en-US"/>
        </w:rPr>
      </w:pPr>
    </w:p>
    <w:p w:rsidR="00000000" w:rsidRDefault="00000000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  <w:t>Заседание закрывается в 17 ч. 30 м.</w:t>
      </w:r>
    </w:p>
    <w:p w:rsidR="00000000" w:rsidRDefault="00000000">
      <w:pPr>
        <w:pStyle w:val="DualTxt"/>
      </w:pPr>
    </w:p>
    <w:sectPr w:rsidR="00000000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num="2" w:space="240"/>
      <w:noEndnote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initials="Start">
    <w:p w:rsidR="00000000" w:rsidRDefault="00000000">
      <w:pPr>
        <w:pStyle w:val="CommentText"/>
      </w:pPr>
      <w:r>
        <w:fldChar w:fldCharType="begin"/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NO&gt;&gt;N0242310R&lt;&lt;ODS JOB NO&gt;&gt;</w:t>
      </w:r>
    </w:p>
    <w:p w:rsidR="00000000" w:rsidRDefault="00000000">
      <w:pPr>
        <w:pStyle w:val="CommentText"/>
      </w:pPr>
      <w:r>
        <w:t>&lt;&lt;ODS DOC SYMBOL1&gt;&gt;CEDAW/C/SR.562&lt;&lt;ODS DOC SYMBOL1&gt;&gt;</w:t>
      </w:r>
    </w:p>
    <w:p w:rsidR="00000000" w:rsidRDefault="00000000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2</w:t>
          </w:r>
          <w:r>
            <w:fldChar w:fldCharType="end"/>
          </w: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</w:p>
      </w:tc>
    </w:tr>
  </w:tbl>
  <w:p w:rsidR="00000000" w:rsidRDefault="000000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9</w:t>
          </w:r>
          <w:r>
            <w:fldChar w:fldCharType="end"/>
          </w:r>
        </w:p>
      </w:tc>
    </w:tr>
  </w:tbl>
  <w:p w:rsidR="00000000" w:rsidRDefault="0000000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pBdr>
        <w:top w:val="single" w:sz="2" w:space="1" w:color="auto"/>
      </w:pBdr>
      <w:rPr>
        <w:sz w:val="2"/>
      </w:rPr>
    </w:pPr>
  </w:p>
  <w:p w:rsidR="00000000" w:rsidRDefault="00000000">
    <w:pPr>
      <w:pStyle w:val="FootnoteText"/>
      <w:spacing w:after="120"/>
      <w:ind w:left="1267" w:right="1267" w:firstLine="0"/>
    </w:pPr>
    <w:r>
      <w:t>В настоящий отчет могут вноситься поправки.</w:t>
    </w:r>
  </w:p>
  <w:p w:rsidR="00000000" w:rsidRDefault="00000000">
    <w:pPr>
      <w:pStyle w:val="FootnoteText"/>
      <w:spacing w:after="120"/>
      <w:ind w:left="1267" w:right="1267" w:firstLine="0"/>
    </w:pPr>
    <w:r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должны направляться </w:t>
    </w:r>
    <w:r>
      <w:rPr>
        <w:i/>
      </w:rPr>
      <w:t>в течение одной недели с момента выпуска этого документа</w:t>
    </w:r>
    <w:r>
      <w:t xml:space="preserve"> на имя начальника Секции редактирования официальных отчетов, комната DC2-750 (Chief, Official Records Editing Section, room DC2-750, 2 United Nations Plaza).</w:t>
    </w:r>
  </w:p>
  <w:p w:rsidR="00000000" w:rsidRDefault="00000000">
    <w:pPr>
      <w:pStyle w:val="FootnoteText"/>
      <w:spacing w:after="120"/>
      <w:ind w:left="1267" w:right="1267" w:firstLine="0"/>
    </w:pPr>
    <w:r>
      <w:t>Любые поправки к отчетам о заседаниях этой сессии будут сведены в один документ, содержащий только исправления, который будет издан вскоре после окончания сессии.</w:t>
    </w:r>
  </w:p>
  <w:p w:rsidR="00000000" w:rsidRDefault="00000000">
    <w:pPr>
      <w:pStyle w:val="FootnoteText"/>
      <w:spacing w:line="120" w:lineRule="exact"/>
      <w:ind w:left="1267" w:right="1267" w:firstLine="0"/>
      <w:rPr>
        <w:sz w:val="10"/>
      </w:rPr>
    </w:pPr>
  </w:p>
  <w:p w:rsidR="00000000" w:rsidRDefault="00000000">
    <w:pPr>
      <w:pStyle w:val="Footer"/>
      <w:rPr>
        <w:b w:val="0"/>
        <w:sz w:val="20"/>
      </w:rPr>
    </w:pPr>
    <w:r>
      <w:rPr>
        <w:b w:val="0"/>
        <w:sz w:val="20"/>
      </w:rPr>
      <w:t>02-42310 (R)</w:t>
    </w:r>
  </w:p>
  <w:p w:rsidR="00000000" w:rsidRDefault="00000000">
    <w:pPr>
      <w:pStyle w:val="Footer"/>
      <w:spacing w:before="120" w:line="240" w:lineRule="exact"/>
      <w:rPr>
        <w:rFonts w:ascii="Barcode 3 of 9 by request" w:hAnsi="Barcode 3 of 9 by request"/>
        <w:b w:val="0"/>
        <w:spacing w:val="4"/>
        <w:w w:val="103"/>
        <w:sz w:val="24"/>
      </w:rPr>
    </w:pPr>
    <w:r>
      <w:rPr>
        <w:rFonts w:ascii="Barcode 3 of 9 by request" w:hAnsi="Barcode 3 of 9 by request"/>
        <w:b w:val="0"/>
        <w:spacing w:val="4"/>
        <w:w w:val="103"/>
        <w:sz w:val="24"/>
      </w:rPr>
      <w:t>*0242310*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-5.75pt;margin-top:0;width:7in;height:50.4pt;z-index:2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CEDAW/C/SR.562</w:t>
                      </w: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5.75pt;margin-top:0;width:7in;height:50.4pt;z-index:1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CEDAW/C/SR.562</w:t>
                      </w: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trHeight w:hRule="exact" w:val="864"/>
      </w:trPr>
      <w:tc>
        <w:tcPr>
          <w:tcW w:w="4421" w:type="dxa"/>
          <w:gridSpan w:val="2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/C/SR.562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2880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 fillcolor="window">
                <v:imagedata r:id="rId1" o:title="_unlogo"/>
              </v:shape>
            </w:pict>
          </w:r>
        </w:p>
        <w:p w:rsidR="00000000" w:rsidRDefault="0000000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</w:t>
          </w:r>
          <w:r>
            <w:rPr>
              <w:sz w:val="34"/>
              <w:lang w:val="en-US"/>
            </w:rPr>
            <w:t> </w:t>
          </w:r>
          <w:r>
            <w:rPr>
              <w:sz w:val="34"/>
            </w:rPr>
            <w:t>отношении женщин</w:t>
          </w:r>
        </w:p>
      </w:tc>
      <w:tc>
        <w:tcPr>
          <w:tcW w:w="245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3140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spacing w:before="240"/>
          </w:pPr>
          <w:r>
            <w:t>Distr.: General</w:t>
          </w:r>
        </w:p>
        <w:p w:rsidR="00000000" w:rsidRDefault="00000000">
          <w:r>
            <w:t xml:space="preserve">4 </w:t>
          </w:r>
          <w:r>
            <w:rPr>
              <w:lang w:val="en-US"/>
            </w:rPr>
            <w:t>April</w:t>
          </w:r>
          <w:r>
            <w:t xml:space="preserve"> 2006</w:t>
          </w:r>
        </w:p>
        <w:p w:rsidR="00000000" w:rsidRDefault="00000000">
          <w:r>
            <w:t>Russian</w:t>
          </w:r>
        </w:p>
        <w:p w:rsidR="00000000" w:rsidRDefault="00000000">
          <w:r>
            <w:t>Original: English</w:t>
          </w:r>
        </w:p>
      </w:tc>
    </w:tr>
  </w:tbl>
  <w:p w:rsidR="00000000" w:rsidRDefault="00000000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2BB16AA8"/>
    <w:multiLevelType w:val="multilevel"/>
    <w:tmpl w:val="19820D8E"/>
    <w:name w:val="TOC2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1728"/>
        </w:tabs>
        <w:ind w:left="1728" w:hanging="432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lvlText w:val=""/>
      <w:lvlJc w:val="left"/>
      <w:pPr>
        <w:tabs>
          <w:tab w:val="num" w:pos="4248"/>
        </w:tabs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3888" w:firstLine="0"/>
      </w:pPr>
    </w:lvl>
  </w:abstractNum>
  <w:abstractNum w:abstractNumId="6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abstractNum w:abstractNumId="7">
    <w:nsid w:val="5FF27F2B"/>
    <w:multiLevelType w:val="multilevel"/>
    <w:tmpl w:val="68AAAA24"/>
    <w:name w:val="TOC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-32406"/>
        </w:tabs>
        <w:ind w:left="-32766" w:firstLine="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lvlText w:val=""/>
      <w:lvlJc w:val="left"/>
      <w:pPr>
        <w:tabs>
          <w:tab w:val="num" w:pos="4248"/>
        </w:tabs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3888" w:firstLine="0"/>
      </w:pPr>
    </w:lvl>
  </w:abstractNum>
  <w:num w:numId="1">
    <w:abstractNumId w:val="6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  <w:num w:numId="12">
    <w:abstractNumId w:val="7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hideGrammaticalErrors/>
  <w:activeWritingStyle w:appName="MSWord" w:lang="ru-RU" w:vendorID="1" w:dllVersion="512" w:checkStyle="1"/>
  <w:doNotTrackMoves/>
  <w:defaultTabStop w:val="720"/>
  <w:autoHyphenation/>
  <w:hyphenationZone w:val="216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TopSpacingWP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reationDt" w:val="22/03/2006 22:00:32"/>
    <w:docVar w:name="DocCategory" w:val="SROthers"/>
    <w:docVar w:name="DocType" w:val="Final"/>
    <w:docVar w:name="JobNo" w:val="0242310R"/>
    <w:docVar w:name="OandT" w:val=" "/>
    <w:docVar w:name="Symbol1" w:val="CEDAW/C/SR.562"/>
    <w:docVar w:name="Symbol2" w:val="-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240" w:lineRule="exact"/>
    </w:pPr>
    <w:rPr>
      <w:spacing w:val="4"/>
      <w:w w:val="103"/>
      <w:kern w:val="14"/>
      <w:lang w:val="ru-RU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DualTxt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semiHidden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semiHidden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semiHidden/>
    <w:rPr>
      <w:sz w:val="14"/>
    </w:rPr>
  </w:style>
  <w:style w:type="paragraph" w:styleId="ListContinue2">
    <w:name w:val="List Continue 2"/>
    <w:basedOn w:val="Normal"/>
    <w:next w:val="Normal"/>
    <w:semiHidden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semiHidden/>
    <w:pPr>
      <w:numPr>
        <w:numId w:val="3"/>
      </w:numPr>
      <w:tabs>
        <w:tab w:val="clear" w:pos="360"/>
        <w:tab w:val="num" w:pos="792"/>
      </w:tabs>
      <w:ind w:left="792" w:hanging="317"/>
    </w:pPr>
  </w:style>
  <w:style w:type="paragraph" w:styleId="ListNumber2">
    <w:name w:val="List Number 2"/>
    <w:basedOn w:val="H23"/>
    <w:next w:val="Normal"/>
    <w:semiHidden/>
    <w:pPr>
      <w:numPr>
        <w:numId w:val="5"/>
      </w:numPr>
      <w:tabs>
        <w:tab w:val="clear" w:pos="643"/>
        <w:tab w:val="num" w:pos="792"/>
      </w:tabs>
      <w:ind w:left="792" w:hanging="317"/>
    </w:pPr>
  </w:style>
  <w:style w:type="paragraph" w:styleId="ListNumber3">
    <w:name w:val="List Number 3"/>
    <w:basedOn w:val="H23"/>
    <w:next w:val="Normal"/>
    <w:semiHidden/>
    <w:pPr>
      <w:numPr>
        <w:numId w:val="7"/>
      </w:numPr>
      <w:tabs>
        <w:tab w:val="clear" w:pos="926"/>
        <w:tab w:val="num" w:pos="792"/>
      </w:tabs>
      <w:ind w:left="792" w:hanging="317"/>
    </w:pPr>
  </w:style>
  <w:style w:type="paragraph" w:styleId="ListNumber4">
    <w:name w:val="List Number 4"/>
    <w:basedOn w:val="H4"/>
    <w:next w:val="Normal"/>
    <w:semiHidden/>
    <w:pPr>
      <w:numPr>
        <w:numId w:val="9"/>
      </w:numPr>
      <w:tabs>
        <w:tab w:val="clear" w:pos="1209"/>
        <w:tab w:val="num" w:pos="792"/>
      </w:tabs>
      <w:ind w:left="792" w:hanging="317"/>
    </w:pPr>
  </w:style>
  <w:style w:type="paragraph" w:styleId="ListNumber5">
    <w:name w:val="List Number 5"/>
    <w:basedOn w:val="Normal"/>
    <w:next w:val="Normal"/>
    <w:semiHidden/>
    <w:pPr>
      <w:numPr>
        <w:numId w:val="11"/>
      </w:numPr>
      <w:tabs>
        <w:tab w:val="clear" w:pos="1492"/>
        <w:tab w:val="num" w:pos="792"/>
      </w:tabs>
      <w:ind w:left="792" w:hanging="317"/>
    </w:p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AnnexHdg">
    <w:name w:val="Annex Hdg"/>
    <w:basedOn w:val="Normal"/>
    <w:pPr>
      <w:keepNext/>
      <w:keepLines/>
      <w:suppressAutoHyphens/>
      <w:spacing w:after="120" w:line="240" w:lineRule="auto"/>
      <w:jc w:val="center"/>
    </w:pPr>
    <w:rPr>
      <w:b/>
      <w:noProof/>
      <w:spacing w:val="0"/>
      <w:w w:val="100"/>
      <w:sz w:val="18"/>
    </w:rPr>
  </w:style>
  <w:style w:type="paragraph" w:customStyle="1" w:styleId="AnnexeHdg">
    <w:name w:val="Annexe Hdg"/>
    <w:basedOn w:val="Normal"/>
    <w:pPr>
      <w:keepNext/>
      <w:keepLines/>
      <w:spacing w:after="120" w:line="240" w:lineRule="auto"/>
      <w:jc w:val="center"/>
    </w:pPr>
    <w:rPr>
      <w:b/>
      <w:i/>
      <w:spacing w:val="0"/>
      <w:w w:val="100"/>
      <w:lang w:val="fr-FR"/>
    </w:rPr>
  </w:style>
  <w:style w:type="paragraph" w:customStyle="1" w:styleId="Annexital">
    <w:name w:val="Annex ital"/>
    <w:basedOn w:val="Normal"/>
    <w:autoRedefine/>
    <w:pPr>
      <w:keepNext/>
      <w:spacing w:after="100" w:line="220" w:lineRule="exact"/>
    </w:pPr>
    <w:rPr>
      <w:i/>
      <w:sz w:val="18"/>
      <w:lang w:val="en-GB"/>
    </w:rPr>
  </w:style>
  <w:style w:type="paragraph" w:styleId="CommentText">
    <w:name w:val="annotation text"/>
    <w:basedOn w:val="Normal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13</TotalTime>
  <Pages>3</Pages>
  <Words>4920</Words>
  <Characters>28047</Characters>
  <Application>Microsoft Office Word</Application>
  <DocSecurity>4</DocSecurity>
  <Lines>233</Lines>
  <Paragraphs>56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34443</CharactersWithSpaces>
  <SharedDoc>false</SharedDoc>
  <HLinks>
    <vt:vector size="6" baseType="variant">
      <vt:variant>
        <vt:i4>4522087</vt:i4>
      </vt:variant>
      <vt:variant>
        <vt:i4>69288</vt:i4>
      </vt:variant>
      <vt:variant>
        <vt:i4>1025</vt:i4>
      </vt:variant>
      <vt:variant>
        <vt:i4>1</vt:i4>
      </vt:variant>
      <vt:variant>
        <vt:lpwstr>C:\Program Files\Microsoft Office\WordMacros\_unlogo.wpg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Tatiana.Panichkina</dc:creator>
  <cp:keywords/>
  <dc:description/>
  <cp:lastModifiedBy>Ekaterina.Alexeenko</cp:lastModifiedBy>
  <cp:revision>10</cp:revision>
  <cp:lastPrinted>2006-04-03T20:25:00Z</cp:lastPrinted>
  <dcterms:created xsi:type="dcterms:W3CDTF">2006-04-03T20:11:00Z</dcterms:created>
  <dcterms:modified xsi:type="dcterms:W3CDTF">2006-04-03T20:36:00Z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0242310</vt:lpwstr>
  </property>
  <property fmtid="{D5CDD505-2E9C-101B-9397-08002B2CF9AE}" pid="3" name="Symbol1">
    <vt:lpwstr>CEDAW/C/SR.562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9</vt:lpwstr>
  </property>
  <property fmtid="{D5CDD505-2E9C-101B-9397-08002B2CF9AE}" pid="8" name="Operator">
    <vt:lpwstr>Alexeenko</vt:lpwstr>
  </property>
</Properties>
</file>