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1CF22C3" w14:textId="77777777" w:rsidTr="006E27AD">
        <w:trPr>
          <w:trHeight w:hRule="exact" w:val="851"/>
        </w:trPr>
        <w:tc>
          <w:tcPr>
            <w:tcW w:w="1276" w:type="dxa"/>
            <w:tcBorders>
              <w:bottom w:val="single" w:sz="4" w:space="0" w:color="auto"/>
            </w:tcBorders>
          </w:tcPr>
          <w:p w14:paraId="64D9CFA4" w14:textId="77777777" w:rsidR="002D5AAC" w:rsidRDefault="002D5AAC" w:rsidP="00E20A3D">
            <w:pPr>
              <w:kinsoku w:val="0"/>
              <w:overflowPunct w:val="0"/>
              <w:autoSpaceDE w:val="0"/>
              <w:autoSpaceDN w:val="0"/>
              <w:adjustRightInd w:val="0"/>
              <w:snapToGrid w:val="0"/>
            </w:pPr>
          </w:p>
        </w:tc>
        <w:tc>
          <w:tcPr>
            <w:tcW w:w="2268" w:type="dxa"/>
            <w:tcBorders>
              <w:bottom w:val="single" w:sz="4" w:space="0" w:color="auto"/>
            </w:tcBorders>
            <w:vAlign w:val="bottom"/>
          </w:tcPr>
          <w:p w14:paraId="12FFA969"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512EB05" w14:textId="4DE263F3" w:rsidR="002D5AAC" w:rsidRDefault="00E20A3D" w:rsidP="00E20A3D">
            <w:pPr>
              <w:jc w:val="right"/>
            </w:pPr>
            <w:r w:rsidRPr="00E20A3D">
              <w:rPr>
                <w:sz w:val="40"/>
              </w:rPr>
              <w:t>E</w:t>
            </w:r>
            <w:r>
              <w:t>/C.12/AUS/6</w:t>
            </w:r>
          </w:p>
        </w:tc>
      </w:tr>
      <w:tr w:rsidR="002D5AAC" w14:paraId="78046F52" w14:textId="77777777" w:rsidTr="006E27AD">
        <w:trPr>
          <w:trHeight w:hRule="exact" w:val="2835"/>
        </w:trPr>
        <w:tc>
          <w:tcPr>
            <w:tcW w:w="1276" w:type="dxa"/>
            <w:tcBorders>
              <w:top w:val="single" w:sz="4" w:space="0" w:color="auto"/>
              <w:bottom w:val="single" w:sz="12" w:space="0" w:color="auto"/>
            </w:tcBorders>
          </w:tcPr>
          <w:p w14:paraId="32758E19" w14:textId="77777777" w:rsidR="002D5AAC" w:rsidRDefault="00DC6544" w:rsidP="006E27AD">
            <w:pPr>
              <w:spacing w:before="120"/>
              <w:jc w:val="center"/>
            </w:pPr>
            <w:r>
              <w:rPr>
                <w:noProof/>
              </w:rPr>
              <w:drawing>
                <wp:inline distT="0" distB="0" distL="0" distR="0" wp14:anchorId="04EEC1E3" wp14:editId="5690CCC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D9274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5B0FCC29" w14:textId="77777777" w:rsidR="002D5AAC" w:rsidRDefault="00E20A3D" w:rsidP="006E27AD">
            <w:pPr>
              <w:spacing w:before="240"/>
            </w:pPr>
            <w:r>
              <w:t>Distr. general</w:t>
            </w:r>
          </w:p>
          <w:p w14:paraId="7E6E4617" w14:textId="77777777" w:rsidR="00E20A3D" w:rsidRDefault="00E20A3D" w:rsidP="00E20A3D">
            <w:pPr>
              <w:spacing w:line="240" w:lineRule="exact"/>
            </w:pPr>
            <w:r>
              <w:t>20 de noviembre de 2023</w:t>
            </w:r>
          </w:p>
          <w:p w14:paraId="494AA0CF" w14:textId="77777777" w:rsidR="00E20A3D" w:rsidRDefault="00E20A3D" w:rsidP="00E20A3D">
            <w:pPr>
              <w:spacing w:line="240" w:lineRule="exact"/>
            </w:pPr>
            <w:r>
              <w:t>Español</w:t>
            </w:r>
          </w:p>
          <w:p w14:paraId="74B72034" w14:textId="77777777" w:rsidR="00E20A3D" w:rsidRDefault="00E20A3D" w:rsidP="00E20A3D">
            <w:pPr>
              <w:spacing w:line="240" w:lineRule="exact"/>
            </w:pPr>
            <w:r>
              <w:t>Original: inglés</w:t>
            </w:r>
          </w:p>
          <w:p w14:paraId="3FC4B299" w14:textId="59D7BD95" w:rsidR="00E20A3D" w:rsidRDefault="00E20A3D" w:rsidP="00E20A3D">
            <w:pPr>
              <w:spacing w:line="240" w:lineRule="exact"/>
            </w:pPr>
            <w:r>
              <w:t>Español, francés e inglés únicamente</w:t>
            </w:r>
          </w:p>
        </w:tc>
      </w:tr>
    </w:tbl>
    <w:p w14:paraId="4FEAF10C" w14:textId="77777777" w:rsidR="00E16C43" w:rsidRPr="00E16C43" w:rsidRDefault="00E16C43" w:rsidP="00E16C43">
      <w:pPr>
        <w:spacing w:before="120"/>
        <w:rPr>
          <w:b/>
          <w:bCs/>
          <w:sz w:val="24"/>
          <w:szCs w:val="24"/>
          <w:lang w:val="es-ES_tradnl"/>
        </w:rPr>
      </w:pPr>
      <w:r w:rsidRPr="00E16C43">
        <w:rPr>
          <w:b/>
          <w:bCs/>
          <w:sz w:val="24"/>
          <w:szCs w:val="24"/>
          <w:lang w:val="es-ES_tradnl"/>
        </w:rPr>
        <w:t>Comité de Derechos Económicos, Sociales y Culturales</w:t>
      </w:r>
    </w:p>
    <w:p w14:paraId="032E3E4B" w14:textId="0D956D06" w:rsidR="00E16C43" w:rsidRPr="00B039DD" w:rsidRDefault="00E16C43" w:rsidP="00E16C43">
      <w:pPr>
        <w:pStyle w:val="HMG"/>
        <w:rPr>
          <w:lang w:val="es-ES_tradnl"/>
        </w:rPr>
      </w:pPr>
      <w:r>
        <w:rPr>
          <w:lang w:val="es-ES_tradnl"/>
        </w:rPr>
        <w:tab/>
      </w:r>
      <w:r>
        <w:rPr>
          <w:lang w:val="es-ES_tradnl"/>
        </w:rPr>
        <w:tab/>
      </w:r>
      <w:r w:rsidRPr="00B039DD">
        <w:rPr>
          <w:lang w:val="es-ES_tradnl"/>
        </w:rPr>
        <w:t>Sexto informe periódico que Australia debía</w:t>
      </w:r>
      <w:r>
        <w:rPr>
          <w:lang w:val="es-ES_tradnl"/>
        </w:rPr>
        <w:t> </w:t>
      </w:r>
      <w:r w:rsidRPr="00B039DD">
        <w:rPr>
          <w:lang w:val="es-ES_tradnl"/>
        </w:rPr>
        <w:t>presentar en 2022 en virtud de</w:t>
      </w:r>
      <w:r>
        <w:rPr>
          <w:lang w:val="es-ES_tradnl"/>
        </w:rPr>
        <w:br/>
      </w:r>
      <w:r w:rsidRPr="00B039DD">
        <w:rPr>
          <w:lang w:val="es-ES_tradnl"/>
        </w:rPr>
        <w:t>los</w:t>
      </w:r>
      <w:r>
        <w:rPr>
          <w:lang w:val="es-ES_tradnl"/>
        </w:rPr>
        <w:t xml:space="preserve"> </w:t>
      </w:r>
      <w:r w:rsidRPr="00B039DD">
        <w:rPr>
          <w:lang w:val="es-ES_tradnl"/>
        </w:rPr>
        <w:t>artículos 16 y 17 del Pacto</w:t>
      </w:r>
      <w:r w:rsidRPr="00E16C43">
        <w:rPr>
          <w:rStyle w:val="Refdenotaalpie"/>
          <w:b w:val="0"/>
          <w:bCs/>
          <w:sz w:val="20"/>
          <w:vertAlign w:val="baseline"/>
          <w:lang w:val="es-ES_tradnl"/>
        </w:rPr>
        <w:footnoteReference w:customMarkFollows="1" w:id="1"/>
        <w:t xml:space="preserve">* </w:t>
      </w:r>
      <w:r w:rsidRPr="00E16C43">
        <w:rPr>
          <w:rStyle w:val="Refdenotaalpie"/>
          <w:b w:val="0"/>
          <w:bCs/>
          <w:sz w:val="20"/>
          <w:vertAlign w:val="baseline"/>
          <w:lang w:val="es-ES_tradnl"/>
        </w:rPr>
        <w:footnoteReference w:customMarkFollows="1" w:id="2"/>
        <w:t>**</w:t>
      </w:r>
      <w:r w:rsidRPr="00E16C43">
        <w:rPr>
          <w:b w:val="0"/>
          <w:bCs/>
          <w:sz w:val="20"/>
          <w:lang w:val="es-ES_tradnl"/>
        </w:rPr>
        <w:t xml:space="preserve"> </w:t>
      </w:r>
      <w:r w:rsidRPr="00E16C43">
        <w:rPr>
          <w:rStyle w:val="Refdenotaalpie"/>
          <w:b w:val="0"/>
          <w:bCs/>
          <w:sz w:val="20"/>
          <w:vertAlign w:val="baseline"/>
          <w:lang w:val="es-ES_tradnl"/>
        </w:rPr>
        <w:footnoteReference w:customMarkFollows="1" w:id="3"/>
        <w:t>***</w:t>
      </w:r>
      <w:r w:rsidRPr="00B039DD">
        <w:rPr>
          <w:lang w:val="es-ES_tradnl"/>
        </w:rPr>
        <w:t xml:space="preserve"> </w:t>
      </w:r>
    </w:p>
    <w:p w14:paraId="20186A10" w14:textId="77777777" w:rsidR="00E16C43" w:rsidRPr="00B039DD" w:rsidRDefault="00E16C43" w:rsidP="00E16C43">
      <w:pPr>
        <w:pStyle w:val="SingleTxtG"/>
        <w:jc w:val="right"/>
        <w:rPr>
          <w:lang w:val="es-ES_tradnl"/>
        </w:rPr>
      </w:pPr>
      <w:r w:rsidRPr="00B039DD">
        <w:rPr>
          <w:lang w:val="es-ES_tradnl"/>
        </w:rPr>
        <w:t>[Fecha de recepción: 17 de octubre de 2023]</w:t>
      </w:r>
    </w:p>
    <w:p w14:paraId="63A99EBC" w14:textId="77777777" w:rsidR="00E16C43" w:rsidRPr="00B039DD" w:rsidRDefault="00E16C43" w:rsidP="00E16C43">
      <w:pPr>
        <w:pStyle w:val="SingleTxtG"/>
        <w:rPr>
          <w:rFonts w:eastAsiaTheme="minorHAnsi"/>
          <w:lang w:val="es-ES_tradnl"/>
        </w:rPr>
      </w:pPr>
      <w:r w:rsidRPr="00B039DD">
        <w:rPr>
          <w:lang w:val="es-ES_tradnl"/>
        </w:rPr>
        <w:br w:type="page"/>
      </w:r>
    </w:p>
    <w:p w14:paraId="7D3B889B" w14:textId="3250B502" w:rsidR="00E16C43" w:rsidRPr="00B039DD" w:rsidRDefault="00D7688B" w:rsidP="00D7688B">
      <w:pPr>
        <w:pStyle w:val="HChG"/>
        <w:rPr>
          <w:lang w:val="es-ES_tradnl"/>
        </w:rPr>
      </w:pPr>
      <w:r>
        <w:rPr>
          <w:lang w:val="es-ES_tradnl"/>
        </w:rPr>
        <w:lastRenderedPageBreak/>
        <w:tab/>
      </w:r>
      <w:r w:rsidR="00E16C43">
        <w:rPr>
          <w:lang w:val="es-ES_tradnl"/>
        </w:rPr>
        <w:tab/>
      </w:r>
      <w:r w:rsidR="00E16C43" w:rsidRPr="00B039DD">
        <w:rPr>
          <w:lang w:val="es-ES_tradnl"/>
        </w:rPr>
        <w:t>El compromiso de Australia con los derechos humanos</w:t>
      </w:r>
    </w:p>
    <w:p w14:paraId="6FF49B3E" w14:textId="77777777" w:rsidR="00E16C43" w:rsidRPr="00B039DD" w:rsidRDefault="00E16C43" w:rsidP="00E16C43">
      <w:pPr>
        <w:pStyle w:val="SingleTxtG"/>
        <w:rPr>
          <w:lang w:val="es-ES_tradnl"/>
        </w:rPr>
      </w:pPr>
      <w:bookmarkStart w:id="0" w:name="_Hlk126939096"/>
      <w:r w:rsidRPr="00B039DD">
        <w:rPr>
          <w:lang w:val="es-ES_tradnl"/>
        </w:rPr>
        <w:t>1.</w:t>
      </w:r>
      <w:r w:rsidRPr="00B039DD">
        <w:rPr>
          <w:lang w:val="es-ES_tradnl"/>
        </w:rPr>
        <w:tab/>
        <w:t xml:space="preserve">El Gobierno australiano considera que todas las personas tienen derecho al respeto, a la igualdad, a la dignidad y a participar en la vida social, cultural y económica de nuestra nación. Australia se ha comprometido a garantizar que su marco de derechos humanos proteja estos derechos humanos, y considera que los mecanismos de que dispone actualmente son suficientes y apropiados a tal fin. Australia tiene un sólido marco para proteger y promover los derechos humanos, formado por su Constitución, legislación, medidas administrativas, políticas y prácticas, además de sus instituciones, como sus tribunales independientes y el </w:t>
      </w:r>
      <w:r w:rsidRPr="00B039DD">
        <w:rPr>
          <w:i/>
          <w:iCs/>
          <w:lang w:val="es-ES_tradnl"/>
        </w:rPr>
        <w:t>common law</w:t>
      </w:r>
      <w:r w:rsidRPr="00B039DD">
        <w:rPr>
          <w:lang w:val="es-ES_tradnl"/>
        </w:rPr>
        <w:t xml:space="preserve">. </w:t>
      </w:r>
      <w:bookmarkEnd w:id="0"/>
    </w:p>
    <w:p w14:paraId="15F479F6" w14:textId="77777777" w:rsidR="00E16C43" w:rsidRPr="00B039DD" w:rsidRDefault="00E16C43" w:rsidP="00E16C43">
      <w:pPr>
        <w:pStyle w:val="SingleTxtG"/>
        <w:rPr>
          <w:lang w:val="es-ES_tradnl"/>
        </w:rPr>
      </w:pPr>
      <w:r w:rsidRPr="00B039DD">
        <w:rPr>
          <w:lang w:val="es-ES_tradnl"/>
        </w:rPr>
        <w:t>2.</w:t>
      </w:r>
      <w:r w:rsidRPr="00B039DD">
        <w:rPr>
          <w:lang w:val="es-ES_tradnl"/>
        </w:rPr>
        <w:tab/>
        <w:t>Cuando los marcos nacionales existentes no se ajustan a las obligaciones internacionales de Australia o resultan inadecuados para ponerlas en práctica, se incorporan dichas obligaciones, incluidas las dimanantes del Pacto Internacional de Derechos Económicos, Sociales y Culturales, a la legislación nacional.</w:t>
      </w:r>
    </w:p>
    <w:p w14:paraId="5EF77D26" w14:textId="77777777" w:rsidR="00E16C43" w:rsidRPr="00B039DD" w:rsidRDefault="00E16C43" w:rsidP="00E16C43">
      <w:pPr>
        <w:pStyle w:val="SingleTxtG"/>
        <w:rPr>
          <w:lang w:val="es-ES_tradnl"/>
        </w:rPr>
      </w:pPr>
      <w:r w:rsidRPr="00B039DD">
        <w:rPr>
          <w:lang w:val="es-ES_tradnl"/>
        </w:rPr>
        <w:t>3.</w:t>
      </w:r>
      <w:r w:rsidRPr="00B039DD">
        <w:rPr>
          <w:lang w:val="es-ES_tradnl"/>
        </w:rPr>
        <w:tab/>
        <w:t xml:space="preserve">Queensland, Victoria y el Territorio de la Capital de Australia cuentan con una legislación específica de derechos humanos. Todas las jurisdicciones cuentan a su vez con una institución oficial de </w:t>
      </w:r>
      <w:r w:rsidRPr="00084937">
        <w:rPr>
          <w:i/>
          <w:iCs/>
          <w:lang w:val="es-ES_tradnl"/>
        </w:rPr>
        <w:t>ombudsman</w:t>
      </w:r>
      <w:r w:rsidRPr="00B039DD">
        <w:rPr>
          <w:lang w:val="es-ES_tradnl"/>
        </w:rPr>
        <w:t xml:space="preserve"> independiente para impulsar una administración pública responsable, legal, justa y transparente.</w:t>
      </w:r>
    </w:p>
    <w:p w14:paraId="57891024" w14:textId="0026FD54" w:rsidR="00E16C43" w:rsidRPr="00B039DD" w:rsidRDefault="00D7688B" w:rsidP="00D7688B">
      <w:pPr>
        <w:pStyle w:val="H1G"/>
        <w:rPr>
          <w:lang w:val="es-ES_tradnl"/>
        </w:rPr>
      </w:pPr>
      <w:r>
        <w:rPr>
          <w:lang w:val="es-ES_tradnl"/>
        </w:rPr>
        <w:tab/>
      </w:r>
      <w:r w:rsidR="00E16C43">
        <w:rPr>
          <w:lang w:val="es-ES_tradnl"/>
        </w:rPr>
        <w:tab/>
      </w:r>
      <w:r w:rsidR="00E16C43" w:rsidRPr="00B039DD">
        <w:rPr>
          <w:lang w:val="es-ES_tradnl"/>
        </w:rPr>
        <w:t>El Pacto Internacional de Derechos Económicos,</w:t>
      </w:r>
      <w:r>
        <w:rPr>
          <w:lang w:val="es-ES_tradnl"/>
        </w:rPr>
        <w:t xml:space="preserve"> </w:t>
      </w:r>
      <w:r w:rsidR="00E16C43" w:rsidRPr="00B039DD">
        <w:rPr>
          <w:lang w:val="es-ES_tradnl"/>
        </w:rPr>
        <w:t>Sociales y</w:t>
      </w:r>
      <w:r>
        <w:rPr>
          <w:lang w:val="es-ES_tradnl"/>
        </w:rPr>
        <w:br/>
      </w:r>
      <w:r w:rsidR="00E16C43" w:rsidRPr="00B039DD">
        <w:rPr>
          <w:lang w:val="es-ES_tradnl"/>
        </w:rPr>
        <w:t>Culturales y los tribunales nacionales</w:t>
      </w:r>
    </w:p>
    <w:p w14:paraId="403D2027" w14:textId="77777777" w:rsidR="00E16C43" w:rsidRPr="00B039DD" w:rsidRDefault="00E16C43" w:rsidP="00E16C43">
      <w:pPr>
        <w:pStyle w:val="SingleTxtG"/>
        <w:rPr>
          <w:lang w:val="es-ES_tradnl"/>
        </w:rPr>
      </w:pPr>
      <w:r w:rsidRPr="00B039DD">
        <w:rPr>
          <w:lang w:val="es-ES_tradnl"/>
        </w:rPr>
        <w:t>4.</w:t>
      </w:r>
      <w:r w:rsidRPr="00B039DD">
        <w:rPr>
          <w:lang w:val="es-ES_tradnl"/>
        </w:rPr>
        <w:tab/>
        <w:t>El Gobierno de Australia no mantiene un registro de datos relativos a las decisiones de los tribunales nacionales que invocan las disposiciones del Pacto Internacional de Derechos Económicos, Sociales y Culturales. Sin embargo, una búsqueda en bases de datos jurídicas indica que entre el 1 de marzo de 2017 y el 1 de mayo de 2023 el Pacto fue citado en al menos 84 decisiones de juzgados, tribunales y comisiones federales, estatales y territoriales</w:t>
      </w:r>
      <w:r w:rsidRPr="00B039DD">
        <w:rPr>
          <w:rStyle w:val="Refdenotaalpie"/>
          <w:lang w:val="es-ES_tradnl"/>
        </w:rPr>
        <w:footnoteReference w:id="4"/>
      </w:r>
      <w:r w:rsidRPr="00B039DD">
        <w:rPr>
          <w:lang w:val="es-ES_tradnl"/>
        </w:rPr>
        <w:t>.</w:t>
      </w:r>
    </w:p>
    <w:p w14:paraId="0407414D" w14:textId="42C30705" w:rsidR="00E16C43" w:rsidRPr="00B039DD" w:rsidRDefault="00D7688B" w:rsidP="00D7688B">
      <w:pPr>
        <w:pStyle w:val="H1G"/>
        <w:rPr>
          <w:lang w:val="es-ES_tradnl"/>
        </w:rPr>
      </w:pPr>
      <w:r>
        <w:rPr>
          <w:lang w:val="es-ES_tradnl"/>
        </w:rPr>
        <w:tab/>
      </w:r>
      <w:r w:rsidR="00E16C43">
        <w:rPr>
          <w:lang w:val="es-ES_tradnl"/>
        </w:rPr>
        <w:tab/>
      </w:r>
      <w:r w:rsidR="00E16C43" w:rsidRPr="00B039DD">
        <w:rPr>
          <w:lang w:val="es-ES_tradnl"/>
        </w:rPr>
        <w:t>Comité Parlamentario Mixto de Derechos Humanos</w:t>
      </w:r>
    </w:p>
    <w:p w14:paraId="2560E53D" w14:textId="77777777" w:rsidR="00E16C43" w:rsidRPr="00B039DD" w:rsidRDefault="00E16C43" w:rsidP="00E16C43">
      <w:pPr>
        <w:pStyle w:val="SingleTxtG"/>
        <w:rPr>
          <w:lang w:val="es-ES_tradnl"/>
        </w:rPr>
      </w:pPr>
      <w:r w:rsidRPr="00B039DD">
        <w:rPr>
          <w:lang w:val="es-ES_tradnl"/>
        </w:rPr>
        <w:t>5.</w:t>
      </w:r>
      <w:r w:rsidRPr="00B039DD">
        <w:rPr>
          <w:lang w:val="es-ES_tradnl"/>
        </w:rPr>
        <w:tab/>
        <w:t xml:space="preserve">El Comité Parlamentario Mixto de Derechos Humanos examina todos los proyectos de ley e instrumentos legislativos del Gobierno australiano a fin de comprobar su compatibilidad con los derechos humanos y comunica sus conclusiones a ambas cámaras del Parlamento. De agosto de 2012 a agosto de 2022, el Comité examinó 2.254 proyectos de ley y formuló observaciones sobre 602 (27 %) de ellos. </w:t>
      </w:r>
    </w:p>
    <w:p w14:paraId="11472CD4" w14:textId="77777777" w:rsidR="00E16C43" w:rsidRPr="00B039DD" w:rsidRDefault="00E16C43" w:rsidP="00E16C43">
      <w:pPr>
        <w:pStyle w:val="SingleTxtG"/>
        <w:rPr>
          <w:lang w:val="es-ES_tradnl"/>
        </w:rPr>
      </w:pPr>
      <w:r w:rsidRPr="00B039DD">
        <w:rPr>
          <w:lang w:val="es-ES_tradnl"/>
        </w:rPr>
        <w:t>6.</w:t>
      </w:r>
      <w:r w:rsidRPr="00B039DD">
        <w:rPr>
          <w:lang w:val="es-ES_tradnl"/>
        </w:rPr>
        <w:tab/>
        <w:t xml:space="preserve">Se ha reforzado al Comité introduciendo cambios en sus prácticas de información y reunión. En respuesta a la pandemia de COVID-19, el Comité pasó de reunirse únicamente de manera presencial durante las sesiones parlamentarias conjuntas a reunirse y presentar sus informes dentro y fuera de las sesiones parlamentarias. El Comité ha acelerado el examen de los instrumentos, de modo que pone su asesoramiento a disposición de los parlamentarios, para que puedan tomarlo en consideración, con mayor premura que antes. </w:t>
      </w:r>
    </w:p>
    <w:p w14:paraId="728F886B" w14:textId="36AC3608" w:rsidR="00E16C43" w:rsidRPr="00B039DD" w:rsidRDefault="00E16C43" w:rsidP="00E16C43">
      <w:pPr>
        <w:pStyle w:val="SingleTxtG"/>
        <w:rPr>
          <w:lang w:val="es-ES_tradnl"/>
        </w:rPr>
      </w:pPr>
      <w:r w:rsidRPr="00B039DD">
        <w:rPr>
          <w:lang w:val="es-ES_tradnl"/>
        </w:rPr>
        <w:t>7.</w:t>
      </w:r>
      <w:r w:rsidRPr="00B039DD">
        <w:rPr>
          <w:lang w:val="es-ES_tradnl"/>
        </w:rPr>
        <w:tab/>
        <w:t xml:space="preserve">El 15 de marzo de 2023, el Fiscal General solicitó al Comité que estudiara el marco de derechos humanos de Australia y presentara un informe para el 31 de marzo de 2024. El Comité ha invitado a presentar propuestas sobre la conveniencia de que el Parlamento australiano promulgue una ley federal de derechos humanos y, en caso afirmativo, sobre los elementos que debería incorporar, incluida una referencia al modelo propuesto en el documento de posición </w:t>
      </w:r>
      <w:r w:rsidR="00084937">
        <w:rPr>
          <w:lang w:val="es-ES_tradnl"/>
        </w:rPr>
        <w:t>“</w:t>
      </w:r>
      <w:r w:rsidRPr="00B039DD">
        <w:rPr>
          <w:lang w:val="es-ES_tradnl"/>
        </w:rPr>
        <w:t>Una ley de derechos humanos para Australia</w:t>
      </w:r>
      <w:r w:rsidR="00084937">
        <w:rPr>
          <w:lang w:val="es-ES_tradnl"/>
        </w:rPr>
        <w:t>”</w:t>
      </w:r>
      <w:r w:rsidRPr="00B039DD">
        <w:rPr>
          <w:lang w:val="es-ES_tradnl"/>
        </w:rPr>
        <w:t xml:space="preserve"> de la Comisión de Derechos Humanos de Australia. El Comité también ha invitado a presentar propuestas sobre la eficacia de los mecanismos existentes y sobre sus propias atribuciones en el marco de su investigación.</w:t>
      </w:r>
    </w:p>
    <w:p w14:paraId="0771750C" w14:textId="4EF110E0" w:rsidR="00E16C43" w:rsidRPr="00B039DD" w:rsidRDefault="00D7688B" w:rsidP="00D7688B">
      <w:pPr>
        <w:pStyle w:val="H1G"/>
        <w:rPr>
          <w:lang w:val="es-ES_tradnl"/>
        </w:rPr>
      </w:pPr>
      <w:r>
        <w:rPr>
          <w:lang w:val="es-ES_tradnl"/>
        </w:rPr>
        <w:lastRenderedPageBreak/>
        <w:tab/>
      </w:r>
      <w:r w:rsidR="00E16C43">
        <w:rPr>
          <w:lang w:val="es-ES_tradnl"/>
        </w:rPr>
        <w:tab/>
      </w:r>
      <w:r w:rsidR="00E16C43" w:rsidRPr="00B039DD">
        <w:rPr>
          <w:lang w:val="es-ES_tradnl"/>
        </w:rPr>
        <w:t xml:space="preserve">Comisión de Derechos Humanos de Australia </w:t>
      </w:r>
    </w:p>
    <w:p w14:paraId="26A410B9" w14:textId="77777777" w:rsidR="00E16C43" w:rsidRPr="00B039DD" w:rsidRDefault="00E16C43" w:rsidP="00E16C43">
      <w:pPr>
        <w:pStyle w:val="SingleTxtG"/>
        <w:rPr>
          <w:lang w:val="es-ES_tradnl"/>
        </w:rPr>
      </w:pPr>
      <w:r w:rsidRPr="00B039DD">
        <w:rPr>
          <w:lang w:val="es-ES_tradnl"/>
        </w:rPr>
        <w:t>8.</w:t>
      </w:r>
      <w:r w:rsidRPr="00B039DD">
        <w:rPr>
          <w:lang w:val="es-ES_tradnl"/>
        </w:rPr>
        <w:tab/>
        <w:t xml:space="preserve">La Comisión de Derechos Humanos de Australia es la institución nacional de derechos humanos y desempeña un papel fundamental en el cumplimiento de la agenda nacional e internacional de derechos humanos del país. </w:t>
      </w:r>
      <w:bookmarkStart w:id="1" w:name="_Hlk125722089"/>
    </w:p>
    <w:p w14:paraId="7F2247FE" w14:textId="77777777" w:rsidR="00E16C43" w:rsidRPr="00B039DD" w:rsidRDefault="00E16C43" w:rsidP="00E16C43">
      <w:pPr>
        <w:pStyle w:val="SingleTxtG"/>
        <w:rPr>
          <w:lang w:val="es-ES_tradnl"/>
        </w:rPr>
      </w:pPr>
      <w:r w:rsidRPr="00B039DD">
        <w:rPr>
          <w:lang w:val="es-ES_tradnl"/>
        </w:rPr>
        <w:t>9.</w:t>
      </w:r>
      <w:r w:rsidRPr="00B039DD">
        <w:rPr>
          <w:lang w:val="es-ES_tradnl"/>
        </w:rPr>
        <w:tab/>
        <w:t>La Comisión de Derechos Humanos de Australia tiene funciones reglamentarias de protección y promoción de los derechos humanos en el país. En virtud de la Ley de la Comisión de Derechos Humanos de Australia de 1986, los “derechos humanos” se definen en relación con los derechos y libertades reconocidos en el Pacto Internacional de Derechos Civiles y Políticos y otros instrumentos internacionales de derechos humanos. La definición legal no incluye el Pacto Internacional de Derechos Económicos, Sociales y Culturales, pero la Ley de la Comisión de Derechos Humanos de Australia prescribe que tanto el Comisionado de Justicia Social para los Aborígenes y los Isleños del Estrecho de Torres como el Comisionado Nacional para la Infancia deben tener en cuenta el Pacto en el desempeño de sus funciones.</w:t>
      </w:r>
    </w:p>
    <w:p w14:paraId="6130E3B7" w14:textId="34DF5C5E" w:rsidR="00E16C43" w:rsidRPr="00B039DD" w:rsidRDefault="00E16C43" w:rsidP="00E16C43">
      <w:pPr>
        <w:pStyle w:val="SingleTxtG"/>
        <w:rPr>
          <w:lang w:val="es-ES_tradnl"/>
        </w:rPr>
      </w:pPr>
      <w:r w:rsidRPr="00B039DD">
        <w:rPr>
          <w:lang w:val="es-ES_tradnl"/>
        </w:rPr>
        <w:t>10.</w:t>
      </w:r>
      <w:r w:rsidRPr="00B039DD">
        <w:rPr>
          <w:lang w:val="es-ES_tradnl"/>
        </w:rPr>
        <w:tab/>
        <w:t xml:space="preserve">Entre las funciones de la Comisión de Derechos Humanos de Australia figuran la investigación y la conciliación cuando se denuncian casos </w:t>
      </w:r>
      <w:r w:rsidR="00084937">
        <w:rPr>
          <w:lang w:val="es-ES_tradnl"/>
        </w:rPr>
        <w:t xml:space="preserve">de </w:t>
      </w:r>
      <w:r w:rsidRPr="00B039DD">
        <w:rPr>
          <w:lang w:val="es-ES_tradnl"/>
        </w:rPr>
        <w:t>discriminación ilegal y de vulneración de los derechos humanos, la investigación de cuestiones relacionadas con los derechos humanos de alcance nacional y la presentación de informes al respecto, la prestación de asesoramiento y la presentación de propuestas a los parlamentos y gobiernos, y la realización y coordinación de investigaciones sobre derechos humanos. Por otro lado, la Ley de Enmienda de la Legislación de Lucha contra la Discriminación y de Protección de los Derechos Humanos (Respeto en el Trabajo) de 2022 (Ley sobre el Respeto en el Trabajo), recientemente promulgada, habilita a la Comisión de Derechos Humanos de Australia a investigar y presentar informes sobre cuestiones de discriminación ilegal sistémica o casos de presunta discriminación ilegal sistémica en el marco de las cuatro leyes federales de lucha contra la discriminación.</w:t>
      </w:r>
      <w:bookmarkEnd w:id="1"/>
    </w:p>
    <w:p w14:paraId="2B9CDAD8" w14:textId="77B429AA" w:rsidR="00E16C43" w:rsidRPr="00B039DD" w:rsidRDefault="00E16C43" w:rsidP="00E16C43">
      <w:pPr>
        <w:pStyle w:val="SingleTxtG"/>
        <w:rPr>
          <w:lang w:val="es-ES_tradnl"/>
        </w:rPr>
      </w:pPr>
      <w:bookmarkStart w:id="2" w:name="_Hlk125546514"/>
      <w:r w:rsidRPr="00B039DD">
        <w:rPr>
          <w:lang w:val="es-ES_tradnl"/>
        </w:rPr>
        <w:t>11.</w:t>
      </w:r>
      <w:r w:rsidRPr="00B039DD">
        <w:rPr>
          <w:lang w:val="es-ES_tradnl"/>
        </w:rPr>
        <w:tab/>
        <w:t>Al margen de la financiación ya asignada a la Comisión de Derechos Humanos de Australia para 2022-2023, el Gobierno australiano aportó 49,8 millones de dólares</w:t>
      </w:r>
      <w:r w:rsidR="00084937">
        <w:rPr>
          <w:lang w:val="es-ES_tradnl"/>
        </w:rPr>
        <w:t xml:space="preserve"> de los Estados Unidos </w:t>
      </w:r>
      <w:r w:rsidRPr="00B039DD">
        <w:rPr>
          <w:lang w:val="es-ES_tradnl"/>
        </w:rPr>
        <w:t>adicionales, que comprenden:</w:t>
      </w:r>
    </w:p>
    <w:p w14:paraId="3B845182" w14:textId="522BD275" w:rsidR="00E16C43" w:rsidRPr="00B039DD" w:rsidRDefault="00D7688B" w:rsidP="00E16C43">
      <w:pPr>
        <w:pStyle w:val="SingleTxtG"/>
        <w:rPr>
          <w:lang w:val="es-ES_tradnl"/>
        </w:rPr>
      </w:pPr>
      <w:r>
        <w:rPr>
          <w:lang w:val="es-ES_tradnl"/>
        </w:rPr>
        <w:tab/>
      </w:r>
      <w:r w:rsidR="00E16C43" w:rsidRPr="00B039DD">
        <w:rPr>
          <w:lang w:val="es-ES_tradnl"/>
        </w:rPr>
        <w:t>a)</w:t>
      </w:r>
      <w:r w:rsidR="00E16C43" w:rsidRPr="00B039DD">
        <w:rPr>
          <w:lang w:val="es-ES_tradnl"/>
        </w:rPr>
        <w:tab/>
        <w:t>31,8 millones de dólares para la financiación básica en curso, incluidos 3,6</w:t>
      </w:r>
      <w:r w:rsidR="003049E9">
        <w:rPr>
          <w:lang w:val="es-ES_tradnl"/>
        </w:rPr>
        <w:t> </w:t>
      </w:r>
      <w:r w:rsidR="00E16C43" w:rsidRPr="00B039DD">
        <w:rPr>
          <w:lang w:val="es-ES_tradnl"/>
        </w:rPr>
        <w:t>millones adicionales a lo largo de tres años para la tramitación de denuncias;</w:t>
      </w:r>
    </w:p>
    <w:p w14:paraId="5E37B52D" w14:textId="41F529A5" w:rsidR="00E16C43" w:rsidRPr="00B039DD" w:rsidRDefault="00D7688B" w:rsidP="00E16C43">
      <w:pPr>
        <w:pStyle w:val="SingleTxtG"/>
        <w:rPr>
          <w:lang w:val="es-ES_tradnl"/>
        </w:rPr>
      </w:pPr>
      <w:r>
        <w:rPr>
          <w:lang w:val="es-ES_tradnl"/>
        </w:rPr>
        <w:tab/>
      </w:r>
      <w:r w:rsidR="00E16C43" w:rsidRPr="00B039DD">
        <w:rPr>
          <w:lang w:val="es-ES_tradnl"/>
        </w:rPr>
        <w:t>b)</w:t>
      </w:r>
      <w:r w:rsidR="00E16C43" w:rsidRPr="00B039DD">
        <w:rPr>
          <w:lang w:val="es-ES_tradnl"/>
        </w:rPr>
        <w:tab/>
        <w:t>10,5 millones de dólares en cuatro años para impulsar la aplicación de las recomendaciones del informe Respect@Work: Sexual Harassment National Inquiry Report (el informe Respect@Work);</w:t>
      </w:r>
    </w:p>
    <w:p w14:paraId="1A2E6E18" w14:textId="41DB2C22" w:rsidR="00E16C43" w:rsidRPr="00B039DD" w:rsidRDefault="00D7688B" w:rsidP="00E16C43">
      <w:pPr>
        <w:pStyle w:val="SingleTxtG"/>
        <w:rPr>
          <w:lang w:val="es-ES_tradnl"/>
        </w:rPr>
      </w:pPr>
      <w:r>
        <w:rPr>
          <w:lang w:val="es-ES_tradnl"/>
        </w:rPr>
        <w:tab/>
      </w:r>
      <w:r w:rsidR="00E16C43" w:rsidRPr="00B039DD">
        <w:rPr>
          <w:lang w:val="es-ES_tradnl"/>
        </w:rPr>
        <w:t>c)</w:t>
      </w:r>
      <w:r w:rsidR="00E16C43" w:rsidRPr="00B039DD">
        <w:rPr>
          <w:lang w:val="es-ES_tradnl"/>
        </w:rPr>
        <w:tab/>
        <w:t>7,5 millones de dólares en cuatro años a partir de 2022-2023 (seguidos de 1,4</w:t>
      </w:r>
      <w:r w:rsidR="00084937">
        <w:rPr>
          <w:lang w:val="es-ES_tradnl"/>
        </w:rPr>
        <w:t> </w:t>
      </w:r>
      <w:r w:rsidR="00E16C43" w:rsidRPr="00B039DD">
        <w:rPr>
          <w:lang w:val="es-ES_tradnl"/>
        </w:rPr>
        <w:t xml:space="preserve">millones de dólares anuales) para elaborar y poner en marcha un marco nacional e iniciativas de lucha contra el racismo. </w:t>
      </w:r>
      <w:bookmarkEnd w:id="2"/>
    </w:p>
    <w:p w14:paraId="02425408" w14:textId="305BDD58" w:rsidR="00E16C43" w:rsidRPr="00B039DD" w:rsidRDefault="00D7688B" w:rsidP="00D7688B">
      <w:pPr>
        <w:pStyle w:val="H1G"/>
        <w:rPr>
          <w:lang w:val="es-ES_tradnl"/>
        </w:rPr>
      </w:pPr>
      <w:r>
        <w:rPr>
          <w:lang w:val="es-ES_tradnl"/>
        </w:rPr>
        <w:tab/>
      </w:r>
      <w:r w:rsidR="00E16C43">
        <w:rPr>
          <w:lang w:val="es-ES_tradnl"/>
        </w:rPr>
        <w:tab/>
      </w:r>
      <w:r w:rsidR="00E16C43" w:rsidRPr="00B039DD">
        <w:rPr>
          <w:lang w:val="es-ES_tradnl"/>
        </w:rPr>
        <w:t>Acceso a recursos judiciales y asistencia jurídica gratuita</w:t>
      </w:r>
      <w:bookmarkStart w:id="3" w:name="_Hlk125714984"/>
    </w:p>
    <w:bookmarkEnd w:id="3"/>
    <w:p w14:paraId="459E6B0E" w14:textId="77777777" w:rsidR="00E16C43" w:rsidRPr="00B039DD" w:rsidRDefault="00E16C43" w:rsidP="00E16C43">
      <w:pPr>
        <w:pStyle w:val="SingleTxtG"/>
        <w:rPr>
          <w:lang w:val="es-ES_tradnl"/>
        </w:rPr>
      </w:pPr>
      <w:r w:rsidRPr="00B039DD">
        <w:rPr>
          <w:lang w:val="es-ES_tradnl"/>
        </w:rPr>
        <w:t>12.</w:t>
      </w:r>
      <w:r w:rsidRPr="00B039DD">
        <w:rPr>
          <w:lang w:val="es-ES_tradnl"/>
        </w:rPr>
        <w:tab/>
        <w:t>Al margen del mecanismo de presentación de denuncias de la Comisión de Derechos Humanos de Australia, los australianos tienen acceso a asistencia jurídica cuando estimen que se han vulnerado sus derechos.</w:t>
      </w:r>
    </w:p>
    <w:p w14:paraId="697DE21C" w14:textId="77777777" w:rsidR="00E16C43" w:rsidRPr="00B039DD" w:rsidRDefault="00E16C43" w:rsidP="00E16C43">
      <w:pPr>
        <w:pStyle w:val="SingleTxtG"/>
        <w:rPr>
          <w:lang w:val="es-ES_tradnl"/>
        </w:rPr>
      </w:pPr>
      <w:r w:rsidRPr="00B039DD">
        <w:rPr>
          <w:lang w:val="es-ES_tradnl"/>
        </w:rPr>
        <w:t>13.</w:t>
      </w:r>
      <w:r w:rsidRPr="00B039DD">
        <w:rPr>
          <w:lang w:val="es-ES_tradnl"/>
        </w:rPr>
        <w:tab/>
        <w:t>El 1 de julio de 2020, el Gobierno australiano suscribió el acuerdo sobre la Alianza Nacional de Asistencia Jurídica 2020-2025 con los estados y los territorios. La Alianza contribuye a los servicios de asistencia jurídica dedicados a garantizar el acceso de todas las personas al sistema judicial, incluidas las personas desfavorecidas en situaciones de vulnerabilidad. Estos servicios se centran en las personas comprendidas en una o varias categorías nacionales de beneficiarios prioritarios, como los miembros de las Primeras Naciones, los niños y jóvenes, las personas con discapacidad o enfermedades mentales, las personas de culturas y lenguas diversas y las personas detenidas. La Alianza también establece prioridades para los servicios, en particular, los derechos humanos y la lucha contra la discriminación.</w:t>
      </w:r>
    </w:p>
    <w:p w14:paraId="1D583DD7" w14:textId="77777777" w:rsidR="00E16C43" w:rsidRPr="00B039DD" w:rsidRDefault="00E16C43" w:rsidP="00E16C43">
      <w:pPr>
        <w:pStyle w:val="SingleTxtG"/>
        <w:rPr>
          <w:lang w:val="es-ES_tradnl"/>
        </w:rPr>
      </w:pPr>
      <w:r w:rsidRPr="00B039DD">
        <w:rPr>
          <w:lang w:val="es-ES_tradnl"/>
        </w:rPr>
        <w:lastRenderedPageBreak/>
        <w:t>14.</w:t>
      </w:r>
      <w:r w:rsidRPr="00B039DD">
        <w:rPr>
          <w:lang w:val="es-ES_tradnl"/>
        </w:rPr>
        <w:tab/>
        <w:t xml:space="preserve">En el marco de esta Alianza, el Gobierno australiano aporta más de 2.400 millones de dólares, repartidos a lo largo de cinco años, a los estados y territorios para sufragar servicios de asistencia jurídica prestados por comisiones de asistencia jurídica, servicios jurídicos para los aborígenes e isleños del estrecho de Torres y centros jurídicos comunitarios. </w:t>
      </w:r>
    </w:p>
    <w:p w14:paraId="5D4929A2" w14:textId="77777777" w:rsidR="00E16C43" w:rsidRPr="00B039DD" w:rsidRDefault="00E16C43" w:rsidP="00E16C43">
      <w:pPr>
        <w:pStyle w:val="SingleTxtG"/>
        <w:rPr>
          <w:lang w:val="es-ES_tradnl"/>
        </w:rPr>
      </w:pPr>
      <w:r w:rsidRPr="00B039DD">
        <w:rPr>
          <w:lang w:val="es-ES_tradnl"/>
        </w:rPr>
        <w:t>15.</w:t>
      </w:r>
      <w:r w:rsidRPr="00B039DD">
        <w:rPr>
          <w:lang w:val="es-ES_tradnl"/>
        </w:rPr>
        <w:tab/>
        <w:t>Una revisión independiente de la Alianza en 2023 incluirá una evaluación holística de las necesidades jurídicas y de la cuantía y asignación de los fondos de asistencia jurídica del Commonwealth. Los resultados de la revisión servirán de base para la adopción de decisiones relativas a la entidad que suceda a la asociación, que expira en 2025.</w:t>
      </w:r>
    </w:p>
    <w:p w14:paraId="5ACF2575" w14:textId="2833FE06" w:rsidR="00E16C43" w:rsidRPr="00B039DD" w:rsidRDefault="00D7688B" w:rsidP="00D7688B">
      <w:pPr>
        <w:pStyle w:val="H1G"/>
        <w:rPr>
          <w:lang w:val="es-ES_tradnl"/>
        </w:rPr>
      </w:pPr>
      <w:r>
        <w:rPr>
          <w:lang w:val="es-ES_tradnl"/>
        </w:rPr>
        <w:tab/>
      </w:r>
      <w:r w:rsidR="00E16C43">
        <w:rPr>
          <w:lang w:val="es-ES_tradnl"/>
        </w:rPr>
        <w:tab/>
      </w:r>
      <w:r w:rsidR="00E16C43" w:rsidRPr="00B039DD">
        <w:rPr>
          <w:lang w:val="es-ES_tradnl"/>
        </w:rPr>
        <w:t>Compromisos en materia de cambio climático y transición</w:t>
      </w:r>
      <w:r>
        <w:rPr>
          <w:lang w:val="es-ES_tradnl"/>
        </w:rPr>
        <w:br/>
      </w:r>
      <w:r w:rsidR="00E16C43" w:rsidRPr="00B039DD">
        <w:rPr>
          <w:lang w:val="es-ES_tradnl"/>
        </w:rPr>
        <w:t>a las energías renovables</w:t>
      </w:r>
    </w:p>
    <w:p w14:paraId="57DCF223" w14:textId="77777777" w:rsidR="00E16C43" w:rsidRPr="00B039DD" w:rsidRDefault="00E16C43" w:rsidP="00E16C43">
      <w:pPr>
        <w:pStyle w:val="SingleTxtG"/>
        <w:rPr>
          <w:lang w:val="es-ES_tradnl"/>
        </w:rPr>
      </w:pPr>
      <w:r w:rsidRPr="00B039DD">
        <w:rPr>
          <w:lang w:val="es-ES_tradnl"/>
        </w:rPr>
        <w:t>16.</w:t>
      </w:r>
      <w:r w:rsidRPr="00B039DD">
        <w:rPr>
          <w:lang w:val="es-ES_tradnl"/>
        </w:rPr>
        <w:tab/>
        <w:t xml:space="preserve">En junio de 2022, el Gobierno australiano presentó una contribución determinada a nivel nacional en el marco del Acuerdo de París, debidamente actualizada. De este modo, se refuerza el objetivo de reducir las emisiones australianas para 2030 hasta situarlas un 43 % por debajo del nivel de 2005 y se reafirma el objetivo de cero emisiones netas para 2050. En septiembre de 2022, el Gobierno aprobó la Ley sobre el Cambio Climático de 2022, que consagra dichos objetivos en la legislación. </w:t>
      </w:r>
    </w:p>
    <w:p w14:paraId="5242137D" w14:textId="33D44941" w:rsidR="00E16C43" w:rsidRPr="00B039DD" w:rsidRDefault="00E16C43" w:rsidP="00E16C43">
      <w:pPr>
        <w:pStyle w:val="SingleTxtG"/>
        <w:rPr>
          <w:lang w:val="es-ES_tradnl"/>
        </w:rPr>
      </w:pPr>
      <w:r w:rsidRPr="00B039DD">
        <w:rPr>
          <w:lang w:val="es-ES_tradnl"/>
        </w:rPr>
        <w:t>17.</w:t>
      </w:r>
      <w:r w:rsidRPr="00B039DD">
        <w:rPr>
          <w:lang w:val="es-ES_tradnl"/>
        </w:rPr>
        <w:tab/>
        <w:t xml:space="preserve">Australia se ha comprometido a alcanzar los objetivos referentes a la temperatura del Acuerdo de París, incluido el objetivo de limitar el aumento de la temperatura mundial en </w:t>
      </w:r>
      <w:r w:rsidRPr="00FF1637">
        <w:rPr>
          <w:lang w:val="es-ES_tradnl"/>
        </w:rPr>
        <w:t>1,5</w:t>
      </w:r>
      <w:r w:rsidR="00FF1637" w:rsidRPr="00FF1637">
        <w:rPr>
          <w:lang w:val="es-ES_tradnl"/>
        </w:rPr>
        <w:t> ºC</w:t>
      </w:r>
      <w:r w:rsidRPr="00FF1637">
        <w:rPr>
          <w:lang w:val="es-ES_tradnl"/>
        </w:rPr>
        <w:t xml:space="preserve"> por</w:t>
      </w:r>
      <w:r w:rsidRPr="00B039DD">
        <w:rPr>
          <w:lang w:val="es-ES_tradnl"/>
        </w:rPr>
        <w:t xml:space="preserve"> encima de los niveles preindustriales. Australia está acelerando sus esfuerzos por reducir gradualmente la producción de energía procedente del carbón sin medidas de mitigación, en consonancia con su propio objetivo de cero emisiones netas y la eliminación progresiva de las subvenciones ineficientes a los combustibles fósiles, conforme a lo estipulado en el Pacto de Glasgow por el Clima, el Plan de Implementación de Sharm </w:t>
      </w:r>
      <w:r w:rsidR="00084937">
        <w:rPr>
          <w:lang w:val="es-ES_tradnl"/>
        </w:rPr>
        <w:t>e</w:t>
      </w:r>
      <w:r w:rsidRPr="00B039DD">
        <w:rPr>
          <w:lang w:val="es-ES_tradnl"/>
        </w:rPr>
        <w:t>l</w:t>
      </w:r>
      <w:r w:rsidR="00084937">
        <w:rPr>
          <w:lang w:val="es-ES_tradnl"/>
        </w:rPr>
        <w:noBreakHyphen/>
      </w:r>
      <w:r w:rsidRPr="00B039DD">
        <w:rPr>
          <w:lang w:val="es-ES_tradnl"/>
        </w:rPr>
        <w:t xml:space="preserve"> Sheikh y el comunicado emitido por los dirigentes del G</w:t>
      </w:r>
      <w:r w:rsidR="003049E9">
        <w:rPr>
          <w:lang w:val="es-ES_tradnl"/>
        </w:rPr>
        <w:t>-</w:t>
      </w:r>
      <w:r w:rsidRPr="00B039DD">
        <w:rPr>
          <w:lang w:val="es-ES_tradnl"/>
        </w:rPr>
        <w:t>20 en 2022.</w:t>
      </w:r>
    </w:p>
    <w:p w14:paraId="4BF27608" w14:textId="77777777" w:rsidR="00E16C43" w:rsidRPr="00B039DD" w:rsidRDefault="00E16C43" w:rsidP="00E16C43">
      <w:pPr>
        <w:pStyle w:val="SingleTxtG"/>
        <w:rPr>
          <w:lang w:val="es-ES_tradnl"/>
        </w:rPr>
      </w:pPr>
      <w:r w:rsidRPr="00B039DD">
        <w:rPr>
          <w:lang w:val="es-ES_tradnl"/>
        </w:rPr>
        <w:t>18.</w:t>
      </w:r>
      <w:r w:rsidRPr="00B039DD">
        <w:rPr>
          <w:lang w:val="es-ES_tradnl"/>
        </w:rPr>
        <w:tab/>
        <w:t>En diciembre de 2022, el Gobierno australiano presentó su primera Declaración Anual sobre el Cambio Climático, relativa a los avances en la consecución de los objetivos de reducción de emisiones y a la eficacia de las políticas públicas. Presentar informes anuales generará mayor transparencia en relación con los retos y las oportunidades climáticos de Australia.</w:t>
      </w:r>
    </w:p>
    <w:p w14:paraId="2FA6DFA8" w14:textId="77777777" w:rsidR="00E16C43" w:rsidRPr="00B039DD" w:rsidRDefault="00E16C43" w:rsidP="00E16C43">
      <w:pPr>
        <w:pStyle w:val="SingleTxtG"/>
        <w:rPr>
          <w:lang w:val="es-ES_tradnl"/>
        </w:rPr>
      </w:pPr>
      <w:r w:rsidRPr="00B039DD">
        <w:rPr>
          <w:lang w:val="es-ES_tradnl"/>
        </w:rPr>
        <w:t>19.</w:t>
      </w:r>
      <w:r w:rsidRPr="00B039DD">
        <w:rPr>
          <w:lang w:val="es-ES_tradnl"/>
        </w:rPr>
        <w:tab/>
        <w:t xml:space="preserve">Australia se ha fijado un objetivo nacional del 82 % de energías renovables para 2030. Las políticas adoptadas a este respecto incluyen la asignación de 20.000 millones de dólares de financiación a bajo costo para mejorar, ampliar y modernizar la red eléctrica australiana. </w:t>
      </w:r>
    </w:p>
    <w:p w14:paraId="2FDF0633" w14:textId="77777777" w:rsidR="00E16C43" w:rsidRPr="00B039DD" w:rsidRDefault="00E16C43" w:rsidP="00E16C43">
      <w:pPr>
        <w:pStyle w:val="SingleTxtG"/>
        <w:rPr>
          <w:lang w:val="es-ES_tradnl"/>
        </w:rPr>
      </w:pPr>
      <w:r w:rsidRPr="00B039DD">
        <w:rPr>
          <w:lang w:val="es-ES_tradnl"/>
        </w:rPr>
        <w:t>20.</w:t>
      </w:r>
      <w:r w:rsidRPr="00B039DD">
        <w:rPr>
          <w:lang w:val="es-ES_tradnl"/>
        </w:rPr>
        <w:tab/>
        <w:t>Con vistas a impulsar la transición hacia el cero neto, el Gobierno australiano está invirtiendo en hidrógeno renovable en pos de la descarbonización de sectores para los que resulte difícil reducir las emisiones, incluida la futura fabricación de metales verdes y otros productos que el mundo necesita. Se destinará una suma total de 2.000 millones de dólares al programa Hydrogen Headstart con el objetivo de generar un gigavatio de capacidad de electrolizadores en el marco de dos o tres proyectos de hidrógeno verde de gran escala. Australia también está legislando sobre su Sistema de Garantía de Origen con vistas a rastrear y verificar las emisiones de los productos energéticos limpios y establecer un mecanismo sólido de certificación de la electricidad renovable.</w:t>
      </w:r>
    </w:p>
    <w:p w14:paraId="19FDA806" w14:textId="05EE1151" w:rsidR="00E16C43" w:rsidRPr="00B039DD" w:rsidRDefault="00E16C43" w:rsidP="00E16C43">
      <w:pPr>
        <w:pStyle w:val="SingleTxtG"/>
        <w:rPr>
          <w:lang w:val="es-ES_tradnl"/>
        </w:rPr>
      </w:pPr>
      <w:r w:rsidRPr="00B039DD">
        <w:rPr>
          <w:lang w:val="es-ES_tradnl"/>
        </w:rPr>
        <w:t>21.</w:t>
      </w:r>
      <w:r w:rsidRPr="00B039DD">
        <w:rPr>
          <w:lang w:val="es-ES_tradnl"/>
        </w:rPr>
        <w:tab/>
        <w:t>Por otro lado, el Gobierno adoptó disposiciones legislativas para reformar el mecanismo de salvaguardia con vistas a reducir las emisiones de unos 215 grandes emisores industriales de Australia, que representan aproximadamente el 28 % de las emisiones del país. Por su parte, el Fondo de Energía para las Regiones (</w:t>
      </w:r>
      <w:r w:rsidR="003049E9">
        <w:rPr>
          <w:lang w:val="es-ES_tradnl"/>
        </w:rPr>
        <w:t>“</w:t>
      </w:r>
      <w:r w:rsidRPr="00B039DD">
        <w:rPr>
          <w:lang w:val="es-ES_tradnl"/>
        </w:rPr>
        <w:t>Powering the Regions Fund</w:t>
      </w:r>
      <w:r w:rsidR="003049E9">
        <w:rPr>
          <w:lang w:val="es-ES_tradnl"/>
        </w:rPr>
        <w:t>”</w:t>
      </w:r>
      <w:r w:rsidRPr="00B039DD">
        <w:rPr>
          <w:lang w:val="es-ES_tradnl"/>
        </w:rPr>
        <w:t>) apoya tanto la creación de nuevas industrias de energía limpia como el proceso de descarbonización de las industrias ya existentes.</w:t>
      </w:r>
    </w:p>
    <w:p w14:paraId="3323AB53" w14:textId="509BEBB8" w:rsidR="00E16C43" w:rsidRPr="00B039DD" w:rsidRDefault="00E16C43" w:rsidP="00E16C43">
      <w:pPr>
        <w:pStyle w:val="SingleTxtG"/>
        <w:rPr>
          <w:lang w:val="es-ES_tradnl"/>
        </w:rPr>
      </w:pPr>
      <w:r w:rsidRPr="00B039DD">
        <w:rPr>
          <w:lang w:val="es-ES_tradnl"/>
        </w:rPr>
        <w:t>22.</w:t>
      </w:r>
      <w:r w:rsidRPr="00B039DD">
        <w:rPr>
          <w:lang w:val="es-ES_tradnl"/>
        </w:rPr>
        <w:tab/>
        <w:t>Australia aportó 200 millones de dólares al Fondo Verde para el Clima en el per</w:t>
      </w:r>
      <w:r w:rsidR="00084937">
        <w:rPr>
          <w:lang w:val="es-ES_tradnl"/>
        </w:rPr>
        <w:t>í</w:t>
      </w:r>
      <w:r w:rsidRPr="00B039DD">
        <w:rPr>
          <w:lang w:val="es-ES_tradnl"/>
        </w:rPr>
        <w:t>odo inicial de movilización de recursos (2015-2018) y participó intensamente en las operaciones del Fondo, cuya junta directiva ha copresidido en tres ocasiones.</w:t>
      </w:r>
    </w:p>
    <w:p w14:paraId="7A704B04" w14:textId="77777777" w:rsidR="00E16C43" w:rsidRPr="00B039DD" w:rsidRDefault="00E16C43" w:rsidP="00E16C43">
      <w:pPr>
        <w:pStyle w:val="SingleTxtG"/>
        <w:rPr>
          <w:lang w:val="es-ES_tradnl"/>
        </w:rPr>
      </w:pPr>
      <w:r w:rsidRPr="00B039DD">
        <w:rPr>
          <w:lang w:val="es-ES_tradnl"/>
        </w:rPr>
        <w:lastRenderedPageBreak/>
        <w:t>23.</w:t>
      </w:r>
      <w:r w:rsidRPr="00B039DD">
        <w:rPr>
          <w:lang w:val="es-ES_tradnl"/>
        </w:rPr>
        <w:tab/>
        <w:t xml:space="preserve">Los gobiernos de los estados y de los territorios también han adoptado ambiciosos planes en materia de cambio climático y energía, que complementan las políticas y compromisos del Commonwealth. </w:t>
      </w:r>
    </w:p>
    <w:p w14:paraId="40FADDAD" w14:textId="77777777" w:rsidR="00E16C43" w:rsidRPr="00B039DD" w:rsidRDefault="00E16C43" w:rsidP="00E16C43">
      <w:pPr>
        <w:pStyle w:val="SingleTxtG"/>
        <w:rPr>
          <w:lang w:val="es-ES_tradnl"/>
        </w:rPr>
      </w:pPr>
      <w:r w:rsidRPr="00B039DD">
        <w:rPr>
          <w:lang w:val="es-ES_tradnl"/>
        </w:rPr>
        <w:t>24.</w:t>
      </w:r>
      <w:r w:rsidRPr="00B039DD">
        <w:rPr>
          <w:lang w:val="es-ES_tradnl"/>
        </w:rPr>
        <w:tab/>
        <w:t xml:space="preserve">En 2020, el Gobierno del Territorio de la Capital Australiana alcanzó su objetivo de extraer el 100 % de su electricidad de fuentes renovables, tras reducir las emisiones de gases de efecto invernadero en un 40 % respecto de los niveles de 1990. También en 2020, el Gobierno del Territorio del Norte fijó un objetivo de cero neto en emisiones para 2050, y un objetivo de consumo eléctrico del 50 % proveniente de energías renovables para 2030. El Territorio del Norte está desarrollando el sistema eléctrico Darwin-Katherine y el proyecto Alice Springs Future Grid para alcanzar este objetivo. </w:t>
      </w:r>
    </w:p>
    <w:p w14:paraId="73170E2F" w14:textId="04E19B4C" w:rsidR="00E16C43" w:rsidRPr="00B039DD" w:rsidRDefault="00E16C43" w:rsidP="00E16C43">
      <w:pPr>
        <w:pStyle w:val="SingleTxtG"/>
        <w:rPr>
          <w:lang w:val="es-ES_tradnl"/>
        </w:rPr>
      </w:pPr>
      <w:r w:rsidRPr="00B039DD">
        <w:rPr>
          <w:lang w:val="es-ES_tradnl"/>
        </w:rPr>
        <w:t>25.</w:t>
      </w:r>
      <w:r w:rsidRPr="00B039DD">
        <w:rPr>
          <w:lang w:val="es-ES_tradnl"/>
        </w:rPr>
        <w:tab/>
        <w:t>El Gobierno de Australia Meridional tiene como objetivos, a escala de todo el estado, reducir las emisiones netas de gases de efecto invernadero en más de un 50 % para 2030, alcanzar el cero neto en emisiones para 2050 y una generación neta de energía renovable del 100 % para 2030. El Gobierno de Victoria tiene un objetivo de reducción de emisiones del 75</w:t>
      </w:r>
      <w:r w:rsidR="00550213">
        <w:rPr>
          <w:lang w:val="es-ES_tradnl"/>
        </w:rPr>
        <w:t xml:space="preserve"> % al </w:t>
      </w:r>
      <w:r w:rsidRPr="00B039DD">
        <w:rPr>
          <w:lang w:val="es-ES_tradnl"/>
        </w:rPr>
        <w:t>80 % para 2035 y de cero emisiones netas para 2045. Victoria está en un proceso oportuno de transición del sector energético de los combustibles fósiles a las energías renovables y asumiendo objetivos de generación renovable del 65 % para 2030 y del 95 % para 2035.</w:t>
      </w:r>
    </w:p>
    <w:p w14:paraId="56882732" w14:textId="6DA4FFDF" w:rsidR="00E16C43" w:rsidRPr="00B039DD" w:rsidRDefault="00D7688B" w:rsidP="00D7688B">
      <w:pPr>
        <w:pStyle w:val="H1G"/>
        <w:rPr>
          <w:lang w:val="es-ES_tradnl"/>
        </w:rPr>
      </w:pPr>
      <w:r>
        <w:rPr>
          <w:lang w:val="es-ES_tradnl"/>
        </w:rPr>
        <w:tab/>
      </w:r>
      <w:r w:rsidR="00E16C43">
        <w:rPr>
          <w:lang w:val="es-ES_tradnl"/>
        </w:rPr>
        <w:tab/>
      </w:r>
      <w:r w:rsidR="00E16C43" w:rsidRPr="00B039DD">
        <w:rPr>
          <w:lang w:val="es-ES_tradnl"/>
        </w:rPr>
        <w:t>Resiliencia y adaptación</w:t>
      </w:r>
    </w:p>
    <w:p w14:paraId="40548866" w14:textId="77777777" w:rsidR="00E16C43" w:rsidRPr="00B039DD" w:rsidRDefault="00E16C43" w:rsidP="00E16C43">
      <w:pPr>
        <w:pStyle w:val="SingleTxtG"/>
        <w:rPr>
          <w:lang w:val="es-ES_tradnl"/>
        </w:rPr>
      </w:pPr>
      <w:r w:rsidRPr="00B039DD">
        <w:rPr>
          <w:lang w:val="es-ES_tradnl"/>
        </w:rPr>
        <w:t>26.</w:t>
      </w:r>
      <w:r w:rsidRPr="00B039DD">
        <w:rPr>
          <w:lang w:val="es-ES_tradnl"/>
        </w:rPr>
        <w:tab/>
        <w:t>En agosto de 2022, los ministros australianos de energía acordaron trabajar con los pueblos de las Primeras Naciones en la elaboración conjunta de una Estrategia de Energía Limpia de las Primeras Naciones, considerada como una iniciativa prioritaria en el marco de la Alianza Nacional para la Transformación Energética. La Alianza incrementará la influencia de los pueblos de las Primeras Naciones a la hora de determinar las prioridades, así como su participación en el diseño, el desarrollo y la aplicación de políticas y programas de energía limpia en el marco de la transición hacia las cero emisiones netas.</w:t>
      </w:r>
    </w:p>
    <w:p w14:paraId="060185BA" w14:textId="1E589A47" w:rsidR="00E16C43" w:rsidRPr="00B039DD" w:rsidRDefault="00E16C43" w:rsidP="00E16C43">
      <w:pPr>
        <w:pStyle w:val="SingleTxtG"/>
        <w:rPr>
          <w:lang w:val="es-ES_tradnl"/>
        </w:rPr>
      </w:pPr>
      <w:r w:rsidRPr="00B039DD">
        <w:rPr>
          <w:lang w:val="es-ES_tradnl"/>
        </w:rPr>
        <w:t>27.</w:t>
      </w:r>
      <w:r w:rsidRPr="00B039DD">
        <w:rPr>
          <w:lang w:val="es-ES_tradnl"/>
        </w:rPr>
        <w:tab/>
        <w:t xml:space="preserve">El Programa de Guardias Rurales Indígenas de Australia ayuda a los </w:t>
      </w:r>
      <w:r w:rsidR="00FF1637" w:rsidRPr="00FF1637">
        <w:rPr>
          <w:lang w:val="es-ES_tradnl"/>
        </w:rPr>
        <w:t xml:space="preserve">Pueblos Indígenas </w:t>
      </w:r>
      <w:r w:rsidRPr="00FF1637">
        <w:rPr>
          <w:lang w:val="es-ES_tradnl"/>
        </w:rPr>
        <w:t>a combinar sus conocimientos tradicionales con la formación en conservación con vistas a la protección y gestión de sus tierras, mares y culturas a través de actividades c</w:t>
      </w:r>
      <w:r w:rsidRPr="00B039DD">
        <w:rPr>
          <w:lang w:val="es-ES_tradnl"/>
        </w:rPr>
        <w:t xml:space="preserve">omo la mitigación de incendios forestales, la protección de especies amenazadas y el cumplimiento de las normas de bioseguridad. Australia está duplicando el número de guardabosques indígenas y capacitando a la dirigencia de las Primeras Naciones en medidas de adaptación. </w:t>
      </w:r>
    </w:p>
    <w:p w14:paraId="0373EDCA" w14:textId="77777777" w:rsidR="00E16C43" w:rsidRPr="00B039DD" w:rsidRDefault="00E16C43" w:rsidP="00E16C43">
      <w:pPr>
        <w:pStyle w:val="SingleTxtG"/>
        <w:rPr>
          <w:lang w:val="es-ES_tradnl"/>
        </w:rPr>
      </w:pPr>
      <w:r w:rsidRPr="00B039DD">
        <w:rPr>
          <w:lang w:val="es-ES_tradnl"/>
        </w:rPr>
        <w:t>28.</w:t>
      </w:r>
      <w:r w:rsidRPr="00B039DD">
        <w:rPr>
          <w:lang w:val="es-ES_tradnl"/>
        </w:rPr>
        <w:tab/>
        <w:t>Australia está estableciendo el Centro de Excelencia Climática del Estrecho de Torres con vistas a facilitar iniciativas de adaptación dirigidas por las Primeras Naciones, y apoyando la inversión privada en capital natural y soluciones basadas en la naturaleza en materia de adaptación y resiliencia climática.</w:t>
      </w:r>
    </w:p>
    <w:p w14:paraId="11762139" w14:textId="77777777" w:rsidR="00E16C43" w:rsidRPr="00B039DD" w:rsidRDefault="00E16C43" w:rsidP="00E16C43">
      <w:pPr>
        <w:pStyle w:val="SingleTxtG"/>
        <w:rPr>
          <w:lang w:val="es-ES_tradnl"/>
        </w:rPr>
      </w:pPr>
      <w:r w:rsidRPr="00B039DD">
        <w:rPr>
          <w:lang w:val="es-ES_tradnl"/>
        </w:rPr>
        <w:t>29.</w:t>
      </w:r>
      <w:r w:rsidRPr="00B039DD">
        <w:rPr>
          <w:lang w:val="es-ES_tradnl"/>
        </w:rPr>
        <w:tab/>
        <w:t xml:space="preserve">Las áreas indígenas protegidas terrestres y marinas son gestionadas por grupos indígenas de conservación de la biodiversidad en el marco de acuerdos voluntarios con el Gobierno australiano. El Gobierno está invirtiendo 231,5 millones de dólares a lo largo de cinco años a partir del 1 de julio de 2023 para seguir impulsando el programa de Áreas Indígenas Protegidas, que actualmente abarca 82 áreas específicas sobre 87 millones de hectáreas de tierra. </w:t>
      </w:r>
    </w:p>
    <w:p w14:paraId="7BE53C14" w14:textId="6DF90A17" w:rsidR="00E16C43" w:rsidRPr="00B039DD" w:rsidRDefault="00D7688B" w:rsidP="00D7688B">
      <w:pPr>
        <w:pStyle w:val="H1G"/>
        <w:rPr>
          <w:lang w:val="es-ES_tradnl"/>
        </w:rPr>
      </w:pPr>
      <w:r>
        <w:rPr>
          <w:lang w:val="es-ES_tradnl"/>
        </w:rPr>
        <w:tab/>
      </w:r>
      <w:r w:rsidR="00E16C43">
        <w:rPr>
          <w:lang w:val="es-ES_tradnl"/>
        </w:rPr>
        <w:tab/>
      </w:r>
      <w:r w:rsidR="00E16C43" w:rsidRPr="00B039DD">
        <w:rPr>
          <w:lang w:val="es-ES_tradnl"/>
        </w:rPr>
        <w:t>Marco aplicable a las entidades empresariales</w:t>
      </w:r>
    </w:p>
    <w:p w14:paraId="243ECA32" w14:textId="77777777" w:rsidR="00E16C43" w:rsidRPr="00B039DD" w:rsidRDefault="00E16C43" w:rsidP="00E16C43">
      <w:pPr>
        <w:pStyle w:val="SingleTxtG"/>
        <w:rPr>
          <w:lang w:val="es-ES_tradnl"/>
        </w:rPr>
      </w:pPr>
      <w:r w:rsidRPr="00B039DD">
        <w:rPr>
          <w:lang w:val="es-ES_tradnl"/>
        </w:rPr>
        <w:t>30.</w:t>
      </w:r>
      <w:r w:rsidRPr="00B039DD">
        <w:rPr>
          <w:lang w:val="es-ES_tradnl"/>
        </w:rPr>
        <w:tab/>
        <w:t xml:space="preserve">Las empresas deben cumplir todas las leyes australianas, incluidas las relativas a las obligaciones internacionales de derechos humanos. Australia copatrocinó la resolución por la que se adoptaron los Principios Rectores de las Naciones Unidas sobre las Empresas y los Derechos Humanos, y alienta a las empresas a aplicar estos principios en el marco de las actividades que llevan a cabo tanto en Australia como en el extranjero. Australia recuerda las </w:t>
      </w:r>
      <w:r w:rsidRPr="00B039DD">
        <w:rPr>
          <w:lang w:val="es-ES_tradnl"/>
        </w:rPr>
        <w:lastRenderedPageBreak/>
        <w:t>observaciones finales formuladas en 2017 por el Comité de Derechos Económicos, Sociales y Culturales sobre esta cuestión</w:t>
      </w:r>
      <w:r w:rsidRPr="00B039DD">
        <w:rPr>
          <w:rStyle w:val="Refdenotaalpie"/>
          <w:lang w:val="es-ES_tradnl"/>
        </w:rPr>
        <w:footnoteReference w:id="5"/>
      </w:r>
      <w:r w:rsidRPr="00B039DD">
        <w:rPr>
          <w:lang w:val="es-ES_tradnl"/>
        </w:rPr>
        <w:t>.</w:t>
      </w:r>
    </w:p>
    <w:p w14:paraId="17DFAE9E" w14:textId="77777777" w:rsidR="00E16C43" w:rsidRPr="00B039DD" w:rsidRDefault="00E16C43" w:rsidP="00E16C43">
      <w:pPr>
        <w:pStyle w:val="SingleTxtG"/>
        <w:rPr>
          <w:lang w:val="es-ES_tradnl"/>
        </w:rPr>
      </w:pPr>
      <w:r w:rsidRPr="00B039DD">
        <w:rPr>
          <w:lang w:val="es-ES_tradnl"/>
        </w:rPr>
        <w:t>31.</w:t>
      </w:r>
      <w:r w:rsidRPr="00B039DD">
        <w:rPr>
          <w:lang w:val="es-ES_tradnl"/>
        </w:rPr>
        <w:tab/>
        <w:t xml:space="preserve">El Gobierno de Australia alienta a las empresas australianas a que actúen contra posibles casos de explotación, les brinda información a tal efecto, y a que apoyen los esfuerzos realizados contra la trata de personas y la esclavitud. Cabe mencionar, a este respecto, la entrada en vigor de la Ley de Lucha contra la Esclavitud Contemporánea de 2018 (Ley de Lucha contra la Esclavitud Contemporánea) el 1 de enero de 2019. Más adelante se presenta información adicional sobre el marco australiano de lucha contra la esclavitud contemporánea. </w:t>
      </w:r>
    </w:p>
    <w:p w14:paraId="7B3A9DB0" w14:textId="06050CC5" w:rsidR="00E16C43" w:rsidRPr="00B039DD" w:rsidRDefault="00D7688B" w:rsidP="00D7688B">
      <w:pPr>
        <w:pStyle w:val="H1G"/>
        <w:rPr>
          <w:lang w:val="es-ES_tradnl"/>
        </w:rPr>
      </w:pPr>
      <w:r>
        <w:rPr>
          <w:lang w:val="es-ES_tradnl"/>
        </w:rPr>
        <w:tab/>
      </w:r>
      <w:r w:rsidR="00E16C43">
        <w:rPr>
          <w:lang w:val="es-ES_tradnl"/>
        </w:rPr>
        <w:tab/>
      </w:r>
      <w:r w:rsidR="00E16C43" w:rsidRPr="00B039DD">
        <w:rPr>
          <w:lang w:val="es-ES_tradnl"/>
        </w:rPr>
        <w:t xml:space="preserve">Acceso de los no nacionales a vías de reparación </w:t>
      </w:r>
    </w:p>
    <w:p w14:paraId="12C07548" w14:textId="77777777" w:rsidR="00E16C43" w:rsidRPr="00B039DD" w:rsidRDefault="00E16C43" w:rsidP="00E16C43">
      <w:pPr>
        <w:pStyle w:val="SingleTxtG"/>
        <w:rPr>
          <w:lang w:val="es-ES_tradnl"/>
        </w:rPr>
      </w:pPr>
      <w:r w:rsidRPr="00B039DD">
        <w:rPr>
          <w:lang w:val="es-ES_tradnl"/>
        </w:rPr>
        <w:t>32.</w:t>
      </w:r>
      <w:r w:rsidRPr="00B039DD">
        <w:rPr>
          <w:lang w:val="es-ES_tradnl"/>
        </w:rPr>
        <w:tab/>
        <w:t xml:space="preserve">Australia cuenta con un punto de contacto nacional sobre conducta empresarial responsable, activo y dotado de suficientes recursos, en el marco del Departamento del Tesoro del Gobierno. </w:t>
      </w:r>
    </w:p>
    <w:p w14:paraId="7C6006DF" w14:textId="77777777" w:rsidR="00E16C43" w:rsidRPr="00B039DD" w:rsidRDefault="00E16C43" w:rsidP="00E16C43">
      <w:pPr>
        <w:pStyle w:val="SingleTxtG"/>
        <w:rPr>
          <w:lang w:val="es-ES_tradnl"/>
        </w:rPr>
      </w:pPr>
      <w:r w:rsidRPr="00B039DD">
        <w:rPr>
          <w:lang w:val="es-ES_tradnl"/>
        </w:rPr>
        <w:t>33.</w:t>
      </w:r>
      <w:r w:rsidRPr="00B039DD">
        <w:rPr>
          <w:lang w:val="es-ES_tradnl"/>
        </w:rPr>
        <w:tab/>
        <w:t xml:space="preserve">Los particulares y las organizaciones pueden utilizar este mecanismo de reclamación no judicial en pos de la resolución de sus denuncias de presuntas infracciones de las Líneas Directrices de la Organización de Cooperación y Desarrollo Económicos (OCDE) para Empresas Multinacionales sobre Conducta Empresarial Responsable presuntamente cometidas por empresas australianas en el extranjero. </w:t>
      </w:r>
    </w:p>
    <w:p w14:paraId="0AF4904D" w14:textId="77777777" w:rsidR="00E16C43" w:rsidRPr="00B039DD" w:rsidRDefault="00E16C43" w:rsidP="00E16C43">
      <w:pPr>
        <w:pStyle w:val="SingleTxtG"/>
        <w:rPr>
          <w:lang w:val="es-ES_tradnl"/>
        </w:rPr>
      </w:pPr>
      <w:r w:rsidRPr="00B039DD">
        <w:rPr>
          <w:lang w:val="es-ES_tradnl"/>
        </w:rPr>
        <w:t>34.</w:t>
      </w:r>
      <w:r w:rsidRPr="00B039DD">
        <w:rPr>
          <w:lang w:val="es-ES_tradnl"/>
        </w:rPr>
        <w:tab/>
        <w:t>En 2014, por ejemplo, el punto nacional de contacto recibió una denuncia de dos organizaciones que representaban a miembros de comunidades camboyanas cuyos derechos habían sido presuntamente vulnerados por una plantación y refinería de azúcar financiada por un banco australiano. En 2020, el punto nacional de contacto facilitó un acuerdo de mediación entre las partes, que propició el pago de una indemnización del banco a los miembros de la comunidad afectados. Desde 2017, el punto nacional de contacto ha aceptado siete denuncias presentadas por no nacionales sobre infracciones del capítulo de derechos humanos de las directrices de la OCDE cometidas por empresas australianas en el extranjero.</w:t>
      </w:r>
    </w:p>
    <w:p w14:paraId="6350940A" w14:textId="77777777" w:rsidR="00E16C43" w:rsidRPr="00B039DD" w:rsidRDefault="00E16C43" w:rsidP="00E16C43">
      <w:pPr>
        <w:pStyle w:val="SingleTxtG"/>
        <w:rPr>
          <w:lang w:val="es-ES_tradnl"/>
        </w:rPr>
      </w:pPr>
      <w:r w:rsidRPr="00B039DD">
        <w:rPr>
          <w:lang w:val="es-ES_tradnl"/>
        </w:rPr>
        <w:t>35.</w:t>
      </w:r>
      <w:r w:rsidRPr="00B039DD">
        <w:rPr>
          <w:lang w:val="es-ES_tradnl"/>
        </w:rPr>
        <w:tab/>
        <w:t>Más de 200 empresas australianas participan ya en la Red del Pacto Mundial de las Naciones Unidas en Australia, y cada vez son más las que incorporan a sus políticas y prácticas corporativas los Principios Rectores sobre las Empresas y los Derechos Humanos y las directrices de la OCDE.</w:t>
      </w:r>
    </w:p>
    <w:p w14:paraId="254C3B12" w14:textId="0AC79126" w:rsidR="00E16C43" w:rsidRPr="00B039DD" w:rsidRDefault="00D7688B" w:rsidP="00D7688B">
      <w:pPr>
        <w:pStyle w:val="H1G"/>
        <w:rPr>
          <w:lang w:val="es-ES_tradnl"/>
        </w:rPr>
      </w:pPr>
      <w:r>
        <w:rPr>
          <w:lang w:val="es-ES_tradnl"/>
        </w:rPr>
        <w:tab/>
      </w:r>
      <w:r w:rsidR="00E16C43">
        <w:rPr>
          <w:lang w:val="es-ES_tradnl"/>
        </w:rPr>
        <w:tab/>
      </w:r>
      <w:r w:rsidR="00E16C43" w:rsidRPr="00B039DD">
        <w:rPr>
          <w:lang w:val="es-ES_tradnl"/>
        </w:rPr>
        <w:t>Medidas restrictivas de respuesta a la COVID-19</w:t>
      </w:r>
    </w:p>
    <w:p w14:paraId="7882E98B" w14:textId="77777777" w:rsidR="00E16C43" w:rsidRPr="00B039DD" w:rsidRDefault="00E16C43" w:rsidP="00E16C43">
      <w:pPr>
        <w:pStyle w:val="SingleTxtG"/>
        <w:rPr>
          <w:lang w:val="es-ES_tradnl"/>
        </w:rPr>
      </w:pPr>
      <w:r w:rsidRPr="00B039DD">
        <w:rPr>
          <w:lang w:val="es-ES_tradnl"/>
        </w:rPr>
        <w:t>36.</w:t>
      </w:r>
      <w:r w:rsidRPr="00B039DD">
        <w:rPr>
          <w:lang w:val="es-ES_tradnl"/>
        </w:rPr>
        <w:tab/>
        <w:t xml:space="preserve">En marzo de 2020, haciendo uso de los poderes que le confería la Ley de Bioseguridad de 2015, el Gobierno australiano emitió un aviso de no viajar dirigido a todos los ciudadanos australianos debido a la pandemia de COVID-19. </w:t>
      </w:r>
    </w:p>
    <w:p w14:paraId="514668B0" w14:textId="77777777" w:rsidR="00E16C43" w:rsidRPr="00B039DD" w:rsidRDefault="00E16C43" w:rsidP="00E16C43">
      <w:pPr>
        <w:pStyle w:val="SingleTxtG"/>
        <w:rPr>
          <w:lang w:val="es-ES_tradnl"/>
        </w:rPr>
      </w:pPr>
      <w:r w:rsidRPr="00B039DD">
        <w:rPr>
          <w:lang w:val="es-ES_tradnl"/>
        </w:rPr>
        <w:t>37.</w:t>
      </w:r>
      <w:r w:rsidRPr="00B039DD">
        <w:rPr>
          <w:lang w:val="es-ES_tradnl"/>
        </w:rPr>
        <w:tab/>
        <w:t>A finales de 2021, la Auditoría General australiana llevó a cabo una auditoría independiente, según la cual la gestión de las restricciones a los viajes internacionales durante la pandemia había resultado en buena medida eficaz.</w:t>
      </w:r>
    </w:p>
    <w:p w14:paraId="152B170F" w14:textId="4CBEDEEB" w:rsidR="00E16C43" w:rsidRPr="00B039DD" w:rsidRDefault="00E16C43" w:rsidP="00E16C43">
      <w:pPr>
        <w:pStyle w:val="SingleTxtG"/>
        <w:rPr>
          <w:lang w:val="es-ES_tradnl"/>
        </w:rPr>
      </w:pPr>
      <w:r w:rsidRPr="00B039DD">
        <w:rPr>
          <w:lang w:val="es-ES_tradnl"/>
        </w:rPr>
        <w:t>38.</w:t>
      </w:r>
      <w:r w:rsidRPr="00B039DD">
        <w:rPr>
          <w:lang w:val="es-ES_tradnl"/>
        </w:rPr>
        <w:tab/>
        <w:t>El 8 de abril de 2020, el Senado creó una Comisión Especial sobre la COVID-19 encargada de investigar la respuesta del Gobierno australiano a la pandemia de COVID-19. El informe resultante, presentado en abril de 2022, recomendaba al Gobierno la creación de una Comisión Real sobre la respuesta de Australia a la COVID-19. El Gobierno se ha</w:t>
      </w:r>
      <w:r w:rsidR="003049E9">
        <w:rPr>
          <w:lang w:val="es-ES_tradnl"/>
        </w:rPr>
        <w:t xml:space="preserve"> </w:t>
      </w:r>
      <w:r w:rsidRPr="00B039DD">
        <w:rPr>
          <w:lang w:val="es-ES_tradnl"/>
        </w:rPr>
        <w:t>comprometido a llevar a cabo una investigación sobre la respuesta australiana a la COVID</w:t>
      </w:r>
      <w:r w:rsidR="003049E9">
        <w:rPr>
          <w:lang w:val="es-ES_tradnl"/>
        </w:rPr>
        <w:noBreakHyphen/>
      </w:r>
      <w:r w:rsidRPr="00B039DD">
        <w:rPr>
          <w:lang w:val="es-ES_tradnl"/>
        </w:rPr>
        <w:t>19.</w:t>
      </w:r>
    </w:p>
    <w:p w14:paraId="31205C3D" w14:textId="77777777" w:rsidR="00E16C43" w:rsidRPr="00B039DD" w:rsidRDefault="00E16C43" w:rsidP="00E16C43">
      <w:pPr>
        <w:pStyle w:val="SingleTxtG"/>
        <w:rPr>
          <w:lang w:val="es-ES_tradnl"/>
        </w:rPr>
      </w:pPr>
      <w:r w:rsidRPr="00B039DD">
        <w:rPr>
          <w:lang w:val="es-ES_tradnl"/>
        </w:rPr>
        <w:t>39.</w:t>
      </w:r>
      <w:r w:rsidRPr="00B039DD">
        <w:rPr>
          <w:lang w:val="es-ES_tradnl"/>
        </w:rPr>
        <w:tab/>
        <w:t>Las personas que estimen desproporcionadas las restricciones de sus derechos humanos impuestas por el Gobierno en el marco de su respuesta a la COVID-19 pueden presentar denuncias ante la Comisión de Derechos Humanos de Australia.</w:t>
      </w:r>
    </w:p>
    <w:p w14:paraId="417F5612" w14:textId="4EAEF6AB" w:rsidR="00E16C43" w:rsidRPr="00B039DD" w:rsidRDefault="00E16C43" w:rsidP="003049E9">
      <w:pPr>
        <w:pStyle w:val="SingleTxtG"/>
        <w:keepNext/>
        <w:keepLines/>
        <w:rPr>
          <w:lang w:val="es-ES_tradnl"/>
        </w:rPr>
      </w:pPr>
      <w:r w:rsidRPr="00B039DD">
        <w:rPr>
          <w:lang w:val="es-ES_tradnl"/>
        </w:rPr>
        <w:lastRenderedPageBreak/>
        <w:t>40.</w:t>
      </w:r>
      <w:r w:rsidRPr="00B039DD">
        <w:rPr>
          <w:lang w:val="es-ES_tradnl"/>
        </w:rPr>
        <w:tab/>
        <w:t>En 2021-2022, la Comisión de Derechos Humanos de Australia recibió 9.746</w:t>
      </w:r>
      <w:r w:rsidR="008130EE">
        <w:rPr>
          <w:lang w:val="es-ES_tradnl"/>
        </w:rPr>
        <w:t> </w:t>
      </w:r>
      <w:r w:rsidRPr="00B039DD">
        <w:rPr>
          <w:lang w:val="es-ES_tradnl"/>
        </w:rPr>
        <w:t>consultas relacionadas con la pandemia sobre la vacunación, los requisitos de uso de mascarillas, el bloqueo y las restricciones fronterizas estatales/territoriales, las cuarentenas, las prohibiciones de viaje y los límites de llegada de pasajeros. Ese mismo año, la Comisión recibió 1.473 denuncias relacionadas con la pandemia y resolvió 1.312.</w:t>
      </w:r>
    </w:p>
    <w:p w14:paraId="4D15B612" w14:textId="77777777" w:rsidR="00E16C43" w:rsidRPr="00B039DD" w:rsidRDefault="00E16C43" w:rsidP="00E16C43">
      <w:pPr>
        <w:pStyle w:val="SingleTxtG"/>
        <w:rPr>
          <w:lang w:val="es-ES_tradnl"/>
        </w:rPr>
      </w:pPr>
      <w:r w:rsidRPr="00B039DD">
        <w:rPr>
          <w:lang w:val="es-ES_tradnl"/>
        </w:rPr>
        <w:t>41.</w:t>
      </w:r>
      <w:r w:rsidRPr="00B039DD">
        <w:rPr>
          <w:lang w:val="es-ES_tradnl"/>
        </w:rPr>
        <w:tab/>
        <w:t>La Oficina del Ombudsman del Commonwealth recibe denuncias relacionadas con asuntos de administración pública, incluida la seguridad social. Entre 2021 y 2022, recibió 570 denuncias relativas a pagos de la seguridad social efectuados por el Gobierno australiano a particulares en el contexto de la COVID-19 y resolvió 478.</w:t>
      </w:r>
    </w:p>
    <w:p w14:paraId="54F6BFF5" w14:textId="25181F65" w:rsidR="00E16C43" w:rsidRPr="00B039DD" w:rsidRDefault="00D7688B" w:rsidP="00D7688B">
      <w:pPr>
        <w:pStyle w:val="H1G"/>
        <w:rPr>
          <w:lang w:val="es-ES_tradnl"/>
        </w:rPr>
      </w:pPr>
      <w:r>
        <w:rPr>
          <w:lang w:val="es-ES_tradnl"/>
        </w:rPr>
        <w:tab/>
      </w:r>
      <w:r w:rsidR="00E16C43">
        <w:rPr>
          <w:lang w:val="es-ES_tradnl"/>
        </w:rPr>
        <w:tab/>
      </w:r>
      <w:r w:rsidR="00E16C43" w:rsidRPr="00B039DD">
        <w:rPr>
          <w:lang w:val="es-ES_tradnl"/>
        </w:rPr>
        <w:t>Acceso universal y en condiciones de igualdad a las pruebas, el tratamiento y la vacunación</w:t>
      </w:r>
    </w:p>
    <w:p w14:paraId="192EF7AB" w14:textId="77777777" w:rsidR="00E16C43" w:rsidRPr="00B039DD" w:rsidRDefault="00E16C43" w:rsidP="00E16C43">
      <w:pPr>
        <w:pStyle w:val="SingleTxtG"/>
        <w:rPr>
          <w:lang w:val="es-ES_tradnl"/>
        </w:rPr>
      </w:pPr>
      <w:r w:rsidRPr="00B039DD">
        <w:rPr>
          <w:lang w:val="es-ES_tradnl"/>
        </w:rPr>
        <w:t>42.</w:t>
      </w:r>
      <w:r w:rsidRPr="00B039DD">
        <w:rPr>
          <w:lang w:val="es-ES_tradnl"/>
        </w:rPr>
        <w:tab/>
        <w:t xml:space="preserve">Australia ofrece acceso gratuito a la vacuna de la COVID-19 a todas las personas que se encuentren en el país, con independencia de que tengan Medicare o dispongan de un visado. </w:t>
      </w:r>
    </w:p>
    <w:p w14:paraId="39E0108C" w14:textId="77777777" w:rsidR="00E16C43" w:rsidRPr="00B039DD" w:rsidRDefault="00E16C43" w:rsidP="00E16C43">
      <w:pPr>
        <w:pStyle w:val="SingleTxtG"/>
        <w:rPr>
          <w:lang w:val="es-ES_tradnl"/>
        </w:rPr>
      </w:pPr>
      <w:r w:rsidRPr="00B039DD">
        <w:rPr>
          <w:lang w:val="es-ES_tradnl"/>
        </w:rPr>
        <w:t>43.</w:t>
      </w:r>
      <w:r w:rsidRPr="00B039DD">
        <w:rPr>
          <w:lang w:val="es-ES_tradnl"/>
        </w:rPr>
        <w:tab/>
        <w:t xml:space="preserve">En todo el país, equipos móviles de vacunación y análisis prestaron servicios de vacunación y análisis de COVID-19 en zonas regionales, a personas de edad, a personas con discapacidad, a poblaciones de las Primeras Naciones y en centros de detención. </w:t>
      </w:r>
    </w:p>
    <w:p w14:paraId="63E791E4" w14:textId="3ADD3D22" w:rsidR="00E16C43" w:rsidRPr="00B039DD" w:rsidRDefault="00E16C43" w:rsidP="00E16C43">
      <w:pPr>
        <w:pStyle w:val="SingleTxtG"/>
        <w:rPr>
          <w:lang w:val="es-ES_tradnl"/>
        </w:rPr>
      </w:pPr>
      <w:r w:rsidRPr="00B039DD">
        <w:rPr>
          <w:lang w:val="es-ES_tradnl"/>
        </w:rPr>
        <w:t>44.</w:t>
      </w:r>
      <w:r w:rsidRPr="00B039DD">
        <w:rPr>
          <w:lang w:val="es-ES_tradnl"/>
        </w:rPr>
        <w:tab/>
        <w:t>El Gobierno adoptó medidas para facilitar el acceso universal e igualitario de las</w:t>
      </w:r>
      <w:r w:rsidR="008130EE">
        <w:rPr>
          <w:lang w:val="es-ES_tradnl"/>
        </w:rPr>
        <w:t xml:space="preserve"> </w:t>
      </w:r>
      <w:r w:rsidRPr="00B039DD">
        <w:rPr>
          <w:lang w:val="es-ES_tradnl"/>
        </w:rPr>
        <w:t>personas con discapacidad a las pruebas, el tratamiento y la vacunación contra la COVID</w:t>
      </w:r>
      <w:r w:rsidR="008130EE">
        <w:rPr>
          <w:lang w:val="es-ES_tradnl"/>
        </w:rPr>
        <w:noBreakHyphen/>
      </w:r>
      <w:r w:rsidRPr="00B039DD">
        <w:rPr>
          <w:lang w:val="es-ES_tradnl"/>
        </w:rPr>
        <w:t xml:space="preserve">19, en particular aplicando programas de vacunación selectiva y efectuando pruebas rápidas de antígenos a los titulares de tarjetas de concesión, priorizando a los participantes del Plan Nacional de Seguro de Discapacidad. A escala nacional, se establecieron exenciones a los requisitos relativos a la protección facial y a la vacunación para personas con discapacidad, con el objetivo de garantizar que las personas con exenciones médicas válidas siguieran accediendo a los servicios públicos. </w:t>
      </w:r>
    </w:p>
    <w:p w14:paraId="45D4B929" w14:textId="547F0BD4" w:rsidR="00E16C43" w:rsidRPr="00B039DD" w:rsidRDefault="00E16C43" w:rsidP="00E16C43">
      <w:pPr>
        <w:pStyle w:val="SingleTxtG"/>
        <w:rPr>
          <w:lang w:val="es-ES_tradnl"/>
        </w:rPr>
      </w:pPr>
      <w:r w:rsidRPr="00B039DD">
        <w:rPr>
          <w:lang w:val="es-ES_tradnl"/>
        </w:rPr>
        <w:t>45.</w:t>
      </w:r>
      <w:r w:rsidRPr="00B039DD">
        <w:rPr>
          <w:lang w:val="es-ES_tradnl"/>
        </w:rPr>
        <w:tab/>
        <w:t>Servicios como el Servicio Real Aéreo de Médicos y la Red Local de Salud atendieron a comunidades remotas y poblaciones vulnerables. Se asignaron fondos a la Organización Nacional de Salud Controlada por la Comunidad Aborigen y los servicios de salud controlados por la comunidad aborigen para que prestaran servicios de análisis, tratamiento y vacunación a la población de las Primeras Naciones, incluso en comunidades remotas, de manera gratuita y en condiciones de seguridad cultural.</w:t>
      </w:r>
    </w:p>
    <w:p w14:paraId="0CD031DD" w14:textId="77777777" w:rsidR="00E16C43" w:rsidRPr="00B039DD" w:rsidRDefault="00E16C43" w:rsidP="00E16C43">
      <w:pPr>
        <w:pStyle w:val="SingleTxtG"/>
        <w:rPr>
          <w:lang w:val="es-ES_tradnl"/>
        </w:rPr>
      </w:pPr>
      <w:r w:rsidRPr="00B039DD">
        <w:rPr>
          <w:lang w:val="es-ES_tradnl"/>
        </w:rPr>
        <w:t>46.</w:t>
      </w:r>
      <w:r w:rsidRPr="00B039DD">
        <w:rPr>
          <w:lang w:val="es-ES_tradnl"/>
        </w:rPr>
        <w:tab/>
        <w:t xml:space="preserve">En diciembre de 2020, el Gobierno australiano estableció el Grupo Sanitario Consultivo sobre la COVID-19, destinado a las comunidades de culturas y lenguas diversas, con el objetivo de garantizar condiciones de seguridad cultural y el acceso universal en el marco del Programa Nacional de Vacunación contra la COVID-19. El Gobierno australiano invirtió asimismo 21.100.000 dólares, escalonados a lo largo de cuatro años (2020-2024), para apoyar a las comunidades cultural y lingüísticamente diversas en el marco del despliegue de la vacuna contra la COVID-19 y garantizar el acceso de estas comunidades de base a la información sobre la vacuna. </w:t>
      </w:r>
    </w:p>
    <w:p w14:paraId="2A15A834" w14:textId="29792F33" w:rsidR="00E16C43" w:rsidRPr="00B039DD" w:rsidRDefault="00D7688B" w:rsidP="00D7688B">
      <w:pPr>
        <w:pStyle w:val="H1G"/>
        <w:rPr>
          <w:lang w:val="es-ES_tradnl"/>
        </w:rPr>
      </w:pPr>
      <w:r>
        <w:rPr>
          <w:lang w:val="es-ES_tradnl"/>
        </w:rPr>
        <w:tab/>
      </w:r>
      <w:r w:rsidR="00E16C43">
        <w:rPr>
          <w:lang w:val="es-ES_tradnl"/>
        </w:rPr>
        <w:tab/>
      </w:r>
      <w:r w:rsidR="00E16C43" w:rsidRPr="00B039DD">
        <w:rPr>
          <w:lang w:val="es-ES_tradnl"/>
        </w:rPr>
        <w:t xml:space="preserve">Reconocimiento constitucional </w:t>
      </w:r>
    </w:p>
    <w:p w14:paraId="1BE2A038" w14:textId="77777777" w:rsidR="00E16C43" w:rsidRPr="00B039DD" w:rsidRDefault="00E16C43" w:rsidP="00E16C43">
      <w:pPr>
        <w:pStyle w:val="SingleTxtG"/>
        <w:rPr>
          <w:lang w:val="es-ES_tradnl"/>
        </w:rPr>
      </w:pPr>
      <w:r w:rsidRPr="00B039DD">
        <w:rPr>
          <w:lang w:val="es-ES_tradnl"/>
        </w:rPr>
        <w:t>47.</w:t>
      </w:r>
      <w:r w:rsidRPr="00B039DD">
        <w:rPr>
          <w:lang w:val="es-ES_tradnl"/>
        </w:rPr>
        <w:tab/>
        <w:t>El Gobierno australiano colabora estrechamente con las partes interesadas aborígenes e isleñas del estrecho de Torres y con entidades especializadas en políticas y toma de decisiones con vistas a mejorar los resultados para los pueblos y comunidades de las Primeras Naciones.</w:t>
      </w:r>
    </w:p>
    <w:p w14:paraId="60294934" w14:textId="3832090E" w:rsidR="00E16C43" w:rsidRPr="00B039DD" w:rsidRDefault="00E16C43" w:rsidP="00E16C43">
      <w:pPr>
        <w:pStyle w:val="SingleTxtG"/>
        <w:rPr>
          <w:lang w:val="es-ES_tradnl"/>
        </w:rPr>
      </w:pPr>
      <w:r w:rsidRPr="00B039DD">
        <w:rPr>
          <w:lang w:val="es-ES_tradnl"/>
        </w:rPr>
        <w:t>48.</w:t>
      </w:r>
      <w:r w:rsidRPr="00B039DD">
        <w:rPr>
          <w:lang w:val="es-ES_tradnl"/>
        </w:rPr>
        <w:tab/>
        <w:t xml:space="preserve">Un proceso de diez años de consultas y debates sobre el reconocimiento constitucional de los pueblos de las Primeras Naciones de Australia culminó en 2017 con la Declaración Uluru desde el Corazón, que solicitaba el reconocimiento constitucional de los pueblos de las Primeras Naciones en forma de una </w:t>
      </w:r>
      <w:r w:rsidR="008130EE">
        <w:rPr>
          <w:lang w:val="es-ES_tradnl"/>
        </w:rPr>
        <w:t>“</w:t>
      </w:r>
      <w:r w:rsidRPr="00B039DD">
        <w:rPr>
          <w:lang w:val="es-ES_tradnl"/>
        </w:rPr>
        <w:t>Voz</w:t>
      </w:r>
      <w:r w:rsidR="008130EE">
        <w:rPr>
          <w:lang w:val="es-ES_tradnl"/>
        </w:rPr>
        <w:t>”</w:t>
      </w:r>
      <w:r w:rsidRPr="00B039DD">
        <w:rPr>
          <w:lang w:val="es-ES_tradnl"/>
        </w:rPr>
        <w:t xml:space="preserve"> de los aborígenes e isleños del estrecho de Torres. </w:t>
      </w:r>
    </w:p>
    <w:p w14:paraId="2AEA26F5" w14:textId="77777777" w:rsidR="00E16C43" w:rsidRPr="00B039DD" w:rsidRDefault="00E16C43" w:rsidP="00E16C43">
      <w:pPr>
        <w:pStyle w:val="SingleTxtG"/>
        <w:rPr>
          <w:lang w:val="es-ES_tradnl"/>
        </w:rPr>
      </w:pPr>
      <w:r w:rsidRPr="00B039DD">
        <w:rPr>
          <w:lang w:val="es-ES_tradnl"/>
        </w:rPr>
        <w:lastRenderedPageBreak/>
        <w:t>49.</w:t>
      </w:r>
      <w:r w:rsidRPr="00B039DD">
        <w:rPr>
          <w:lang w:val="es-ES_tradnl"/>
        </w:rPr>
        <w:tab/>
        <w:t xml:space="preserve">Cualquier modificación de la Constitución australiana requiere la celebración de un referéndum y la obtención de una mayoría de votos favorables a escala nacional y en al menos cuatro de los seis estados australianos. </w:t>
      </w:r>
    </w:p>
    <w:p w14:paraId="73E56163" w14:textId="52954B60" w:rsidR="00E16C43" w:rsidRPr="00B039DD" w:rsidRDefault="00E16C43" w:rsidP="00E16C43">
      <w:pPr>
        <w:pStyle w:val="SingleTxtG"/>
        <w:rPr>
          <w:lang w:val="es-ES_tradnl"/>
        </w:rPr>
      </w:pPr>
      <w:r w:rsidRPr="00B039DD">
        <w:rPr>
          <w:lang w:val="es-ES_tradnl"/>
        </w:rPr>
        <w:t>50.</w:t>
      </w:r>
      <w:r w:rsidRPr="00B039DD">
        <w:rPr>
          <w:lang w:val="es-ES_tradnl"/>
        </w:rPr>
        <w:tab/>
        <w:t xml:space="preserve">El Gobierno australiano se ha comprometido a aplicar íntegramente la Declaración de Uluru desde el Corazón y celebrará un referéndum el 14 de octubre de 2023. El referéndum propondrá la modificación de la Constitución con vistas a incluir una </w:t>
      </w:r>
      <w:r w:rsidR="003049E9">
        <w:rPr>
          <w:lang w:val="es-ES_tradnl"/>
        </w:rPr>
        <w:t>“</w:t>
      </w:r>
      <w:r w:rsidRPr="00B039DD">
        <w:rPr>
          <w:lang w:val="es-ES_tradnl"/>
        </w:rPr>
        <w:t>voz</w:t>
      </w:r>
      <w:r w:rsidR="003049E9">
        <w:rPr>
          <w:lang w:val="es-ES_tradnl"/>
        </w:rPr>
        <w:t>”</w:t>
      </w:r>
      <w:r w:rsidRPr="00B039DD">
        <w:rPr>
          <w:lang w:val="es-ES_tradnl"/>
        </w:rPr>
        <w:t xml:space="preserve"> de los aborígenes </w:t>
      </w:r>
      <w:r w:rsidRPr="008F5E4D">
        <w:rPr>
          <w:lang w:val="es-ES_tradnl"/>
        </w:rPr>
        <w:t>y los isleños del estrecho de Torres. Esta voz sería un órgano consultivo independiente y representativo de los aborígenes e isleños del Estrecho de Torres, fruto del</w:t>
      </w:r>
      <w:r w:rsidRPr="00B039DD">
        <w:rPr>
          <w:lang w:val="es-ES_tradnl"/>
        </w:rPr>
        <w:t xml:space="preserve"> reconocimiento práctico y sustantivo de los pueblos de las Primeras Naciones en la Constitución y destinado a otorgarles una voz en los asuntos que les afectan. </w:t>
      </w:r>
    </w:p>
    <w:p w14:paraId="41D611BE" w14:textId="2012C908" w:rsidR="00E16C43" w:rsidRPr="00B039DD" w:rsidRDefault="00E16C43" w:rsidP="00E16C43">
      <w:pPr>
        <w:pStyle w:val="SingleTxtG"/>
        <w:rPr>
          <w:lang w:val="es-ES_tradnl"/>
        </w:rPr>
      </w:pPr>
      <w:r w:rsidRPr="00B039DD">
        <w:rPr>
          <w:lang w:val="es-ES_tradnl"/>
        </w:rPr>
        <w:t>51.</w:t>
      </w:r>
      <w:r w:rsidRPr="00B039DD">
        <w:rPr>
          <w:lang w:val="es-ES_tradnl"/>
        </w:rPr>
        <w:tab/>
        <w:t xml:space="preserve">Los estados y territorios también cuentan con programas en relación con esta cuestión. Por ejemplo, el 26 de marzo de 2023, Australia Meridional se convirtió en el primer estado en aprobar por ley el establecimiento de una voz de las Primeras Naciones ante el Parlamento. La Asamblea de los Primeros Pueblos de Victoria está negociando un tratado para toda Victoria. En mayo de 2023, Queensland aprobó la legislación conocida como </w:t>
      </w:r>
      <w:r w:rsidR="00D7688B">
        <w:rPr>
          <w:lang w:val="es-ES_tradnl"/>
        </w:rPr>
        <w:t>“</w:t>
      </w:r>
      <w:r w:rsidRPr="00B039DD">
        <w:rPr>
          <w:lang w:val="es-ES_tradnl"/>
        </w:rPr>
        <w:t>Path to Treaty</w:t>
      </w:r>
      <w:r w:rsidR="00D7688B">
        <w:rPr>
          <w:lang w:val="es-ES_tradnl"/>
        </w:rPr>
        <w:t>”</w:t>
      </w:r>
      <w:r w:rsidRPr="00B039DD">
        <w:rPr>
          <w:lang w:val="es-ES_tradnl"/>
        </w:rPr>
        <w:t xml:space="preserve">, para preparar la negociación de uno o varios tratados entre los pueblos aborígenes e </w:t>
      </w:r>
      <w:r w:rsidRPr="008F5E4D">
        <w:rPr>
          <w:lang w:val="es-ES_tradnl"/>
        </w:rPr>
        <w:t>isleños del estrecho de Torres y el Gobierno</w:t>
      </w:r>
      <w:r w:rsidRPr="00B039DD">
        <w:rPr>
          <w:lang w:val="es-ES_tradnl"/>
        </w:rPr>
        <w:t xml:space="preserve"> de Queensland. </w:t>
      </w:r>
    </w:p>
    <w:p w14:paraId="4C738CC0" w14:textId="0BB6FA72" w:rsidR="00E16C43" w:rsidRPr="00B039DD" w:rsidRDefault="00D7688B" w:rsidP="00D7688B">
      <w:pPr>
        <w:pStyle w:val="H1G"/>
        <w:rPr>
          <w:lang w:val="es-ES_tradnl"/>
        </w:rPr>
      </w:pPr>
      <w:r>
        <w:rPr>
          <w:lang w:val="es-ES_tradnl"/>
        </w:rPr>
        <w:tab/>
      </w:r>
      <w:r w:rsidR="00E16C43">
        <w:rPr>
          <w:lang w:val="es-ES_tradnl"/>
        </w:rPr>
        <w:tab/>
      </w:r>
      <w:r w:rsidR="00E16C43" w:rsidRPr="00B039DD">
        <w:rPr>
          <w:lang w:val="es-ES_tradnl"/>
        </w:rPr>
        <w:t>Enmiendas relativas a los títulos de propiedad de los aborígenes</w:t>
      </w:r>
    </w:p>
    <w:p w14:paraId="07EB7CB7" w14:textId="77777777" w:rsidR="00E16C43" w:rsidRPr="00B039DD" w:rsidRDefault="00E16C43" w:rsidP="00E16C43">
      <w:pPr>
        <w:pStyle w:val="SingleTxtG"/>
        <w:rPr>
          <w:lang w:val="es-ES_tradnl"/>
        </w:rPr>
      </w:pPr>
      <w:r w:rsidRPr="00B039DD">
        <w:rPr>
          <w:lang w:val="es-ES_tradnl"/>
        </w:rPr>
        <w:t>52.</w:t>
      </w:r>
      <w:r w:rsidRPr="00B039DD">
        <w:rPr>
          <w:lang w:val="es-ES_tradnl"/>
        </w:rPr>
        <w:tab/>
        <w:t>El Gobierno australiano ha enmendado su legislación sobre títulos de propiedad de los aborígenes, en consulta con las partes interesadas pertinentes. Australia recuerda las observaciones finales del Comité de Derechos Económicos, Sociales y Culturales sobre esta cuestión</w:t>
      </w:r>
      <w:r w:rsidRPr="00B039DD">
        <w:rPr>
          <w:rStyle w:val="Refdenotaalpie"/>
          <w:lang w:val="es-ES_tradnl"/>
        </w:rPr>
        <w:footnoteReference w:id="6"/>
      </w:r>
      <w:r w:rsidRPr="00B039DD">
        <w:rPr>
          <w:lang w:val="es-ES_tradnl"/>
        </w:rPr>
        <w:t>.</w:t>
      </w:r>
    </w:p>
    <w:p w14:paraId="701C3F96" w14:textId="77777777" w:rsidR="00E16C43" w:rsidRPr="00B039DD" w:rsidRDefault="00E16C43" w:rsidP="00E16C43">
      <w:pPr>
        <w:pStyle w:val="SingleTxtG"/>
        <w:rPr>
          <w:lang w:val="es-ES_tradnl"/>
        </w:rPr>
      </w:pPr>
      <w:r w:rsidRPr="00B039DD">
        <w:rPr>
          <w:lang w:val="es-ES_tradnl"/>
        </w:rPr>
        <w:t>53.</w:t>
      </w:r>
      <w:r w:rsidRPr="00B039DD">
        <w:rPr>
          <w:lang w:val="es-ES_tradnl"/>
        </w:rPr>
        <w:tab/>
        <w:t xml:space="preserve">La Ley de Enmienda de la Ley de Títulos de Propiedad de los Aborígenes de 2021 (Ley de Enmienda) fue elaborada en consulta con las partes interesadas y todas sus disposiciones entraron en vigor el 25 de septiembre de 2021. También se nutrió de las conclusiones de la revisión de la Ley de Títulos de Propiedad de los Aborígenes de 1993 (Ley de Títulos de Propiedad de los Aborígenes) llevada a cabo por la Comisión de Reforma Legislativa de Australia en 2015 y del informe sobre la administración y el uso de las tierras indígenas elaborado por el Consejo de Gobiernos Australianos. El objetivo de la enmienda de la Ley de Títulos de Propiedad de los Aborígenes y la Ley de Empresas (Aborígenes e Isleños del Estrecho de Torres) de 2006 era mejorar los procesos de resolución de reclamaciones de esos títulos de propiedad, la concertación de acuerdos, la adopción de decisiones y la solución de controversias. </w:t>
      </w:r>
      <w:bookmarkStart w:id="4" w:name="_Hlk140510371"/>
      <w:bookmarkEnd w:id="4"/>
    </w:p>
    <w:p w14:paraId="06C045CC" w14:textId="76D189C2" w:rsidR="00E16C43" w:rsidRPr="00B039DD" w:rsidRDefault="00E16C43" w:rsidP="00E16C43">
      <w:pPr>
        <w:pStyle w:val="SingleTxtG"/>
        <w:rPr>
          <w:lang w:val="es-ES_tradnl"/>
        </w:rPr>
      </w:pPr>
      <w:r w:rsidRPr="00B039DD">
        <w:rPr>
          <w:lang w:val="es-ES_tradnl"/>
        </w:rPr>
        <w:t>54.</w:t>
      </w:r>
      <w:r w:rsidRPr="00B039DD">
        <w:rPr>
          <w:lang w:val="es-ES_tradnl"/>
        </w:rPr>
        <w:tab/>
        <w:t xml:space="preserve">El Gobierno australiano ha aceptado en principio revisar el régimen de </w:t>
      </w:r>
      <w:r w:rsidR="008B7C09">
        <w:rPr>
          <w:lang w:val="es-ES_tradnl"/>
        </w:rPr>
        <w:t>“</w:t>
      </w:r>
      <w:r w:rsidRPr="00B039DD">
        <w:rPr>
          <w:lang w:val="es-ES_tradnl"/>
        </w:rPr>
        <w:t>leyes futuras</w:t>
      </w:r>
      <w:r w:rsidR="008B7C09">
        <w:rPr>
          <w:lang w:val="es-ES_tradnl"/>
        </w:rPr>
        <w:t>”</w:t>
      </w:r>
      <w:r w:rsidRPr="00B039DD">
        <w:rPr>
          <w:lang w:val="es-ES_tradnl"/>
        </w:rPr>
        <w:t xml:space="preserve"> de la Ley de Títulos Nativos, en el marco de la respuesta gubernamental a la investigación de la Comisión Mixta Permanente sobre Australia Septentrional acerca de la destrucción de cuevas de 46.000 años de antigüedad en el desfiladero de Juukan.</w:t>
      </w:r>
    </w:p>
    <w:p w14:paraId="19425098" w14:textId="05B2A648" w:rsidR="00E16C43" w:rsidRPr="00B039DD" w:rsidRDefault="00D7688B" w:rsidP="00D7688B">
      <w:pPr>
        <w:pStyle w:val="H1G"/>
        <w:rPr>
          <w:lang w:val="es-ES_tradnl"/>
        </w:rPr>
      </w:pPr>
      <w:bookmarkStart w:id="5" w:name="_Hlk146617215"/>
      <w:r>
        <w:rPr>
          <w:lang w:val="es-ES_tradnl"/>
        </w:rPr>
        <w:tab/>
      </w:r>
      <w:r w:rsidR="00E16C43">
        <w:rPr>
          <w:lang w:val="es-ES_tradnl"/>
        </w:rPr>
        <w:tab/>
      </w:r>
      <w:r w:rsidR="00E16C43" w:rsidRPr="00B039DD">
        <w:rPr>
          <w:lang w:val="es-ES_tradnl"/>
        </w:rPr>
        <w:t xml:space="preserve">Cerrar la Brecha </w:t>
      </w:r>
    </w:p>
    <w:p w14:paraId="201A9483" w14:textId="77777777" w:rsidR="00E16C43" w:rsidRPr="00B039DD" w:rsidRDefault="00E16C43" w:rsidP="00E16C43">
      <w:pPr>
        <w:pStyle w:val="SingleTxtG"/>
        <w:rPr>
          <w:lang w:val="es-ES_tradnl"/>
        </w:rPr>
      </w:pPr>
      <w:r w:rsidRPr="00B039DD">
        <w:rPr>
          <w:lang w:val="es-ES_tradnl"/>
        </w:rPr>
        <w:t>55.</w:t>
      </w:r>
      <w:r w:rsidRPr="00B039DD">
        <w:rPr>
          <w:lang w:val="es-ES_tradnl"/>
        </w:rPr>
        <w:tab/>
        <w:t>En julio de 2020 se estableció el nuevo Acuerdo Nacional sobre el Plan Cerrar la Brecha, negociado con los pueblos de las Primeras Naciones, representados por la Coalición de Organizaciones Sectoriales, y firmado por los primeros ministros del Commonwealth, los estados y los territorios, la Coordinadora Principal de la Coalición de Organizaciones Sectoriales y la Presidenta de la Asociación de Gobiernos Locales de Australia.</w:t>
      </w:r>
    </w:p>
    <w:p w14:paraId="36C02F65" w14:textId="0737E2DE" w:rsidR="00E16C43" w:rsidRPr="00B039DD" w:rsidRDefault="00E16C43" w:rsidP="00E16C43">
      <w:pPr>
        <w:pStyle w:val="SingleTxtG"/>
        <w:rPr>
          <w:lang w:val="es-ES_tradnl"/>
        </w:rPr>
      </w:pPr>
      <w:r w:rsidRPr="00B039DD">
        <w:rPr>
          <w:lang w:val="es-ES_tradnl"/>
        </w:rPr>
        <w:t>56.</w:t>
      </w:r>
      <w:r w:rsidRPr="00B039DD">
        <w:rPr>
          <w:lang w:val="es-ES_tradnl"/>
        </w:rPr>
        <w:tab/>
        <w:t>El acuerdo se sustenta en una serie de reformas prioritarias, respaldadas por 17</w:t>
      </w:r>
      <w:r w:rsidR="003049E9">
        <w:rPr>
          <w:lang w:val="es-ES_tradnl"/>
        </w:rPr>
        <w:t> </w:t>
      </w:r>
      <w:r w:rsidRPr="00B039DD">
        <w:rPr>
          <w:lang w:val="es-ES_tradnl"/>
        </w:rPr>
        <w:t xml:space="preserve">resultados socioeconómicos y 19 metas socioeconómicas orientadas a la mejora de los resultados de todos los indicadores. Las metas son objetivos específicos y mensurables que se supervisarán para exponer los avances logrados en relación con cada resultado. </w:t>
      </w:r>
    </w:p>
    <w:p w14:paraId="05E70C50" w14:textId="77777777" w:rsidR="00E16C43" w:rsidRPr="00B039DD" w:rsidRDefault="00E16C43" w:rsidP="003049E9">
      <w:pPr>
        <w:pStyle w:val="SingleTxtG"/>
        <w:keepNext/>
        <w:keepLines/>
        <w:rPr>
          <w:lang w:val="es-ES_tradnl"/>
        </w:rPr>
      </w:pPr>
      <w:r w:rsidRPr="00B039DD">
        <w:rPr>
          <w:lang w:val="es-ES_tradnl"/>
        </w:rPr>
        <w:lastRenderedPageBreak/>
        <w:t>57.</w:t>
      </w:r>
      <w:r w:rsidRPr="00B039DD">
        <w:rPr>
          <w:lang w:val="es-ES_tradnl"/>
        </w:rPr>
        <w:tab/>
        <w:t>En junio de 2023, los datos disponibles relativos a 15 de las 19 metas indicaron:</w:t>
      </w:r>
    </w:p>
    <w:p w14:paraId="0BD00BA5" w14:textId="31A1DAD8" w:rsidR="00E16C43" w:rsidRPr="00B039DD" w:rsidRDefault="00D7688B" w:rsidP="003049E9">
      <w:pPr>
        <w:pStyle w:val="SingleTxtG"/>
        <w:keepNext/>
        <w:keepLines/>
        <w:rPr>
          <w:lang w:val="es-ES_tradnl"/>
        </w:rPr>
      </w:pPr>
      <w:r>
        <w:rPr>
          <w:lang w:val="es-ES_tradnl"/>
        </w:rPr>
        <w:tab/>
      </w:r>
      <w:r w:rsidR="00E16C43" w:rsidRPr="00B039DD">
        <w:rPr>
          <w:lang w:val="es-ES_tradnl"/>
        </w:rPr>
        <w:t>a)</w:t>
      </w:r>
      <w:r w:rsidR="00E16C43" w:rsidRPr="00B039DD">
        <w:rPr>
          <w:lang w:val="es-ES_tradnl"/>
        </w:rPr>
        <w:tab/>
        <w:t>Cuatro metas están encarriladas (meta 3: niños matriculados en centros de educación de la primera infancia; meta 8: empleo indígena; meta 11: detención de jóvenes indígenas; y meta 15A: extensión territorial en la que rige el derecho indígena);</w:t>
      </w:r>
    </w:p>
    <w:p w14:paraId="475B5D5B" w14:textId="29555D46" w:rsidR="00E16C43" w:rsidRPr="00B039DD" w:rsidRDefault="00D7688B" w:rsidP="00E16C43">
      <w:pPr>
        <w:pStyle w:val="SingleTxtG"/>
        <w:rPr>
          <w:lang w:val="es-ES_tradnl"/>
        </w:rPr>
      </w:pPr>
      <w:r>
        <w:rPr>
          <w:lang w:val="es-ES_tradnl"/>
        </w:rPr>
        <w:tab/>
      </w:r>
      <w:r w:rsidR="00E16C43" w:rsidRPr="00B039DD">
        <w:rPr>
          <w:lang w:val="es-ES_tradnl"/>
        </w:rPr>
        <w:t>b)</w:t>
      </w:r>
      <w:r w:rsidR="00E16C43" w:rsidRPr="00B039DD">
        <w:rPr>
          <w:lang w:val="es-ES_tradnl"/>
        </w:rPr>
        <w:tab/>
        <w:t>Cuatro metas no están encarriladas y van a peor (meta 4: desarrollo en la primera infancia; meta 10: adultos indígenas encarcelados; meta 12: niños indígenas de hasta 17 años colocados fuera del hogar; y meta 14: tasa de suicidios entre la población indígena);</w:t>
      </w:r>
    </w:p>
    <w:p w14:paraId="1719508A" w14:textId="4AE800E0" w:rsidR="00E16C43" w:rsidRPr="00B039DD" w:rsidRDefault="00D7688B" w:rsidP="00E16C43">
      <w:pPr>
        <w:pStyle w:val="SingleTxtG"/>
        <w:rPr>
          <w:lang w:val="es-ES_tradnl"/>
        </w:rPr>
      </w:pPr>
      <w:r>
        <w:rPr>
          <w:lang w:val="es-ES_tradnl"/>
        </w:rPr>
        <w:tab/>
      </w:r>
      <w:r w:rsidR="00E16C43" w:rsidRPr="00B039DD">
        <w:rPr>
          <w:lang w:val="es-ES_tradnl"/>
        </w:rPr>
        <w:t>c)</w:t>
      </w:r>
      <w:r w:rsidR="00E16C43" w:rsidRPr="00B039DD">
        <w:rPr>
          <w:lang w:val="es-ES_tradnl"/>
        </w:rPr>
        <w:tab/>
        <w:t>Siete metas registran mejoras pero no están encarriladas (meta 1: brecha en la esperanza de vida; meta 2: peso saludable al nacer; meta 5: niños indígenas que alcanzan el 12º curso o una cualificación equivalente; meta 6: indígenas de entre 25 y 34 años que completan una cualificación terciaria; meta 7: jóvenes indígenas de entre 15 y 24 años con empleo, educación o formación; meta 9A: indígenas que habitan viviendas de tamaño adecuado, y meta 15B: territorios marítimos en los que rige el derecho indígena).</w:t>
      </w:r>
    </w:p>
    <w:p w14:paraId="413387DD" w14:textId="77777777" w:rsidR="00E16C43" w:rsidRPr="00B039DD" w:rsidRDefault="00E16C43" w:rsidP="00E16C43">
      <w:pPr>
        <w:pStyle w:val="SingleTxtG"/>
        <w:rPr>
          <w:lang w:val="es-ES_tradnl"/>
        </w:rPr>
      </w:pPr>
      <w:r w:rsidRPr="00B039DD">
        <w:rPr>
          <w:lang w:val="es-ES_tradnl"/>
        </w:rPr>
        <w:t>58.</w:t>
      </w:r>
      <w:r w:rsidRPr="00B039DD">
        <w:rPr>
          <w:lang w:val="es-ES_tradnl"/>
        </w:rPr>
        <w:tab/>
        <w:t xml:space="preserve">Estas evaluaciones se basan en una muestra reducida de datos y deben tomarse con cautela, pero indican que queda mucho por hacer. </w:t>
      </w:r>
    </w:p>
    <w:p w14:paraId="70EFF8EE" w14:textId="35E97207" w:rsidR="00E16C43" w:rsidRPr="00B039DD" w:rsidRDefault="00E16C43" w:rsidP="00E16C43">
      <w:pPr>
        <w:pStyle w:val="SingleTxtG"/>
        <w:rPr>
          <w:lang w:val="es-ES_tradnl"/>
        </w:rPr>
      </w:pPr>
      <w:r w:rsidRPr="00B039DD">
        <w:rPr>
          <w:lang w:val="es-ES_tradnl"/>
        </w:rPr>
        <w:t>59.</w:t>
      </w:r>
      <w:r w:rsidRPr="00B039DD">
        <w:rPr>
          <w:lang w:val="es-ES_tradnl"/>
        </w:rPr>
        <w:tab/>
        <w:t xml:space="preserve">El informe anual sobre la aplicación del </w:t>
      </w:r>
      <w:r w:rsidR="008F5E4D" w:rsidRPr="008F5E4D">
        <w:rPr>
          <w:lang w:val="es-ES_tradnl"/>
        </w:rPr>
        <w:t xml:space="preserve">Plan </w:t>
      </w:r>
      <w:r w:rsidRPr="008F5E4D">
        <w:rPr>
          <w:lang w:val="es-ES_tradnl"/>
        </w:rPr>
        <w:t>Cerrar la Brecha de 2022 del Commonwealth reseña los avances logrados en relación con los compromisos contraídos el año anterior en el marco del Acuerdo Nacional sobre el Plan Cerrar la Brecha. El Plan de Aplicación Cerrar la Brecha de 2023 del Commonwealth expone las prioridades de largo</w:t>
      </w:r>
      <w:r w:rsidRPr="00B039DD">
        <w:rPr>
          <w:lang w:val="es-ES_tradnl"/>
        </w:rPr>
        <w:t xml:space="preserve"> plazo y con visión de futuro del Gobierno en relación con el objetivo de cerrar la brecha, incluida la respuesta a las cuestiones destacadas en el informe anual. </w:t>
      </w:r>
    </w:p>
    <w:p w14:paraId="412DC5E3" w14:textId="77777777" w:rsidR="00E16C43" w:rsidRPr="00B039DD" w:rsidRDefault="00E16C43" w:rsidP="00E16C43">
      <w:pPr>
        <w:pStyle w:val="SingleTxtG"/>
        <w:rPr>
          <w:lang w:val="es-ES_tradnl"/>
        </w:rPr>
      </w:pPr>
      <w:r w:rsidRPr="00B039DD">
        <w:rPr>
          <w:lang w:val="es-ES_tradnl"/>
        </w:rPr>
        <w:t>60.</w:t>
      </w:r>
      <w:r w:rsidRPr="00B039DD">
        <w:rPr>
          <w:lang w:val="es-ES_tradnl"/>
        </w:rPr>
        <w:tab/>
        <w:t>El Gobierno australiano ha acordado intensificar los esfuerzos en los próximos 12 o 18 meses, centrándose en la justicia, la vivienda, la educación, el bienestar social y emocional, y el empoderamiento económico.</w:t>
      </w:r>
    </w:p>
    <w:p w14:paraId="140D6006" w14:textId="77777777" w:rsidR="00E16C43" w:rsidRPr="00B039DD" w:rsidRDefault="00E16C43" w:rsidP="00E16C43">
      <w:pPr>
        <w:pStyle w:val="SingleTxtG"/>
        <w:rPr>
          <w:lang w:val="es-ES_tradnl"/>
        </w:rPr>
      </w:pPr>
      <w:r w:rsidRPr="00B039DD">
        <w:rPr>
          <w:lang w:val="es-ES_tradnl"/>
        </w:rPr>
        <w:t>61.</w:t>
      </w:r>
      <w:r w:rsidRPr="00B039DD">
        <w:rPr>
          <w:lang w:val="es-ES_tradnl"/>
        </w:rPr>
        <w:tab/>
        <w:t>La primera de las prioridades del Acuerdo Nacional sobre el Plan Cerrar la Brecha, la Alianza para las Políticas de Justicia, consiste en transformar los sistemas de justicia en una alianza entre todos los niveles de gobierno y las organizaciones y comunidades de las Primeras Naciones. El marco estratégico de la Alianza para las Políticas de Justicia prioriza los avances de las reformas políticas en ámbitos clave como el aumento de la edad mínima de responsabilidad penal, la prevención, la intervención temprana y las respuestas alternativas y terapéuticas. Hace hincapié asimismo en el problema de la sobrerrepresentación de adultos y jóvenes de las Primeras Naciones en la población carcelaria.</w:t>
      </w:r>
      <w:bookmarkEnd w:id="5"/>
    </w:p>
    <w:p w14:paraId="60296F63" w14:textId="41765EED" w:rsidR="00E16C43" w:rsidRPr="00B039DD" w:rsidRDefault="00D7688B" w:rsidP="00D7688B">
      <w:pPr>
        <w:pStyle w:val="H1G"/>
        <w:rPr>
          <w:lang w:val="es-ES_tradnl"/>
        </w:rPr>
      </w:pPr>
      <w:r>
        <w:rPr>
          <w:lang w:val="es-ES_tradnl"/>
        </w:rPr>
        <w:tab/>
      </w:r>
      <w:r w:rsidR="00E16C43">
        <w:rPr>
          <w:lang w:val="es-ES_tradnl"/>
        </w:rPr>
        <w:tab/>
      </w:r>
      <w:r w:rsidR="00E16C43" w:rsidRPr="00B039DD">
        <w:rPr>
          <w:lang w:val="es-ES_tradnl"/>
        </w:rPr>
        <w:t>Pobreza</w:t>
      </w:r>
    </w:p>
    <w:p w14:paraId="30A3256C" w14:textId="77777777" w:rsidR="00E16C43" w:rsidRPr="00B039DD" w:rsidRDefault="00E16C43" w:rsidP="00E16C43">
      <w:pPr>
        <w:pStyle w:val="SingleTxtG"/>
        <w:rPr>
          <w:lang w:val="es-ES_tradnl"/>
        </w:rPr>
      </w:pPr>
      <w:r w:rsidRPr="00B039DD">
        <w:rPr>
          <w:lang w:val="es-ES_tradnl"/>
        </w:rPr>
        <w:t>62.</w:t>
      </w:r>
      <w:r w:rsidRPr="00B039DD">
        <w:rPr>
          <w:lang w:val="es-ES_tradnl"/>
        </w:rPr>
        <w:tab/>
        <w:t xml:space="preserve">El Gobierno australiano se ha comprometido a reducir la pobreza y otros factores de desventaja, </w:t>
      </w:r>
      <w:r w:rsidRPr="008F5E4D">
        <w:rPr>
          <w:lang w:val="es-ES_tradnl"/>
        </w:rPr>
        <w:t>así como a proteger a las personas que se encuentren en situaciones de vulnerabilidad. El informe de la Comisión de Productividad, Rising Inequality? A stocktake of the evidence, publicado en agosto de 2018, señaló que se puede utilizar una serie de indicadores para evaluar la pobreza</w:t>
      </w:r>
      <w:r w:rsidRPr="00B039DD">
        <w:rPr>
          <w:lang w:val="es-ES_tradnl"/>
        </w:rPr>
        <w:t xml:space="preserve"> y la desventaja. Este enfoque facilita una imagen más holística de la incidencia y el alcance de la pobreza desde una serie de perspectivas imposibles de condensar en una sola estadística. </w:t>
      </w:r>
    </w:p>
    <w:p w14:paraId="7DDF6EC1" w14:textId="243E78B4" w:rsidR="00E16C43" w:rsidRPr="00B039DD" w:rsidRDefault="00E16C43" w:rsidP="00E16C43">
      <w:pPr>
        <w:pStyle w:val="SingleTxtG"/>
        <w:rPr>
          <w:lang w:val="es-ES_tradnl"/>
        </w:rPr>
      </w:pPr>
      <w:r w:rsidRPr="00B039DD">
        <w:rPr>
          <w:lang w:val="es-ES_tradnl"/>
        </w:rPr>
        <w:t>63.</w:t>
      </w:r>
      <w:r w:rsidRPr="00B039DD">
        <w:rPr>
          <w:lang w:val="es-ES_tradnl"/>
        </w:rPr>
        <w:tab/>
        <w:t xml:space="preserve">La Declaración del Gobierno australiano </w:t>
      </w:r>
      <w:r w:rsidR="004413F5">
        <w:rPr>
          <w:lang w:val="es-ES_tradnl"/>
        </w:rPr>
        <w:t>“</w:t>
      </w:r>
      <w:r w:rsidRPr="00B039DD">
        <w:rPr>
          <w:lang w:val="es-ES_tradnl"/>
        </w:rPr>
        <w:t>Evaluar lo importante</w:t>
      </w:r>
      <w:r w:rsidR="004413F5">
        <w:rPr>
          <w:lang w:val="es-ES_tradnl"/>
        </w:rPr>
        <w:t>”</w:t>
      </w:r>
      <w:r w:rsidRPr="00B039DD">
        <w:rPr>
          <w:lang w:val="es-ES_tradnl"/>
        </w:rPr>
        <w:t xml:space="preserve"> es el primer marco nacional de bienestar del país y se basa en datos de la Encuesta Social General de la Oficina Australiana de Estadística, según la cual, en 2020, el 19 % de los hogares no estaba en condiciones de reunir 2.000 dólares en una semana para algo importante y el 21 % había experimentado un problema de liquidez en los 12 meses anteriores.</w:t>
      </w:r>
    </w:p>
    <w:p w14:paraId="7FA8F019" w14:textId="752483DC" w:rsidR="00E16C43" w:rsidRPr="00B039DD" w:rsidRDefault="00D7688B" w:rsidP="00D7688B">
      <w:pPr>
        <w:pStyle w:val="H1G"/>
        <w:rPr>
          <w:lang w:val="es-ES_tradnl"/>
        </w:rPr>
      </w:pPr>
      <w:r>
        <w:rPr>
          <w:lang w:val="es-ES_tradnl"/>
        </w:rPr>
        <w:tab/>
      </w:r>
      <w:r w:rsidR="00E16C43">
        <w:rPr>
          <w:lang w:val="es-ES_tradnl"/>
        </w:rPr>
        <w:tab/>
      </w:r>
      <w:r w:rsidR="00E16C43" w:rsidRPr="00B039DD">
        <w:rPr>
          <w:lang w:val="es-ES_tradnl"/>
        </w:rPr>
        <w:t>Tasas de desigualdad</w:t>
      </w:r>
    </w:p>
    <w:p w14:paraId="0F0FF761" w14:textId="76B1EA7E" w:rsidR="00E16C43" w:rsidRPr="00B039DD" w:rsidRDefault="00E16C43" w:rsidP="00E16C43">
      <w:pPr>
        <w:pStyle w:val="SingleTxtG"/>
        <w:rPr>
          <w:lang w:val="es-ES_tradnl"/>
        </w:rPr>
      </w:pPr>
      <w:r w:rsidRPr="00B039DD">
        <w:rPr>
          <w:lang w:val="es-ES_tradnl"/>
        </w:rPr>
        <w:t>64.</w:t>
      </w:r>
      <w:r w:rsidRPr="00B039DD">
        <w:rPr>
          <w:lang w:val="es-ES_tradnl"/>
        </w:rPr>
        <w:tab/>
        <w:t xml:space="preserve">La Oficina Australiana de Estadística establece datos estadísticos oficiales relativos a un amplio abanico de cuestiones económicas, sociales, demográficas y ambientales a </w:t>
      </w:r>
      <w:r w:rsidRPr="00B039DD">
        <w:rPr>
          <w:lang w:val="es-ES_tradnl"/>
        </w:rPr>
        <w:lastRenderedPageBreak/>
        <w:t>escala</w:t>
      </w:r>
      <w:r w:rsidR="00D7688B">
        <w:rPr>
          <w:lang w:val="es-ES_tradnl"/>
        </w:rPr>
        <w:t> </w:t>
      </w:r>
      <w:r w:rsidRPr="00B039DD">
        <w:rPr>
          <w:lang w:val="es-ES_tradnl"/>
        </w:rPr>
        <w:t>nacional, incluidos los siguientes conjuntos de datos para el período comprendido entre 2009-2010 y 2019-2020.</w:t>
      </w:r>
    </w:p>
    <w:p w14:paraId="7292074C" w14:textId="51DF2828" w:rsidR="00E16C43" w:rsidRPr="00B039DD" w:rsidRDefault="00E16C43" w:rsidP="00E16C43">
      <w:pPr>
        <w:pStyle w:val="SingleTxtG"/>
        <w:rPr>
          <w:lang w:val="es-ES_tradnl"/>
        </w:rPr>
      </w:pPr>
      <w:r w:rsidRPr="00B039DD">
        <w:rPr>
          <w:lang w:val="es-ES_tradnl"/>
        </w:rPr>
        <w:t>65.</w:t>
      </w:r>
      <w:r w:rsidRPr="00B039DD">
        <w:rPr>
          <w:lang w:val="es-ES_tradnl"/>
        </w:rPr>
        <w:tab/>
        <w:t>El cuadro 1 presenta la relación entre la suma total de los ingresos acumulados del 10</w:t>
      </w:r>
      <w:r w:rsidR="00D7688B">
        <w:rPr>
          <w:lang w:val="es-ES_tradnl"/>
        </w:rPr>
        <w:t> </w:t>
      </w:r>
      <w:r w:rsidRPr="00B039DD">
        <w:rPr>
          <w:lang w:val="es-ES_tradnl"/>
        </w:rPr>
        <w:t xml:space="preserve">% de los hogares de renta más alta (determinada a partir de los ingresos privados ponderados de los hogares) y los ingresos totales acumulados del 40 % de los hogares de renta más baja, antes de impuestos y transferencias. </w:t>
      </w:r>
    </w:p>
    <w:p w14:paraId="672EDE40" w14:textId="17DC5268" w:rsidR="00E16C43" w:rsidRPr="00B039DD" w:rsidRDefault="00E16C43" w:rsidP="00E16C43">
      <w:pPr>
        <w:pStyle w:val="SingleTxtG"/>
        <w:rPr>
          <w:lang w:val="es-ES_tradnl"/>
        </w:rPr>
      </w:pPr>
      <w:r w:rsidRPr="00B039DD">
        <w:rPr>
          <w:lang w:val="es-ES_tradnl"/>
        </w:rPr>
        <w:t>66.</w:t>
      </w:r>
      <w:r w:rsidRPr="00B039DD">
        <w:rPr>
          <w:lang w:val="es-ES_tradnl"/>
        </w:rPr>
        <w:tab/>
        <w:t>El cuadro 2 presenta la relación entre la suma total de los ingresos acumulados del 10</w:t>
      </w:r>
      <w:r w:rsidR="005A79CF">
        <w:rPr>
          <w:lang w:val="es-ES_tradnl"/>
        </w:rPr>
        <w:t> </w:t>
      </w:r>
      <w:r w:rsidRPr="00B039DD">
        <w:rPr>
          <w:lang w:val="es-ES_tradnl"/>
        </w:rPr>
        <w:t>% de los hogares de renta más alta (determinada a partir de la renta disponible ponderada de los hogares) y del 40 % de los hogares de renta más baja, después de impuestos y transferencias.</w:t>
      </w:r>
    </w:p>
    <w:p w14:paraId="0C112FF8" w14:textId="77777777" w:rsidR="00E16C43" w:rsidRPr="00B039DD" w:rsidRDefault="00E16C43" w:rsidP="00E16C43">
      <w:pPr>
        <w:pStyle w:val="SingleTxtG"/>
        <w:rPr>
          <w:lang w:val="es-ES_tradnl"/>
        </w:rPr>
      </w:pPr>
      <w:r w:rsidRPr="00B039DD">
        <w:rPr>
          <w:lang w:val="es-ES_tradnl"/>
        </w:rPr>
        <w:t>67.</w:t>
      </w:r>
      <w:r w:rsidRPr="00B039DD">
        <w:rPr>
          <w:lang w:val="es-ES_tradnl"/>
        </w:rPr>
        <w:tab/>
        <w:t>El cuadro 3 presenta la relación entre la suma de los activos propiedad de los hogares del decil más alto (determinada a partir del valor de los activos) y la suma de los activos del 50 % de los hogares de renta más baja</w:t>
      </w:r>
      <w:r w:rsidRPr="00B039DD">
        <w:rPr>
          <w:rStyle w:val="Refdenotaalpie"/>
          <w:lang w:val="es-ES_tradnl"/>
        </w:rPr>
        <w:footnoteReference w:id="7"/>
      </w:r>
      <w:r w:rsidRPr="00B039DD">
        <w:rPr>
          <w:lang w:val="es-ES_tradnl"/>
        </w:rPr>
        <w:t>.</w:t>
      </w:r>
    </w:p>
    <w:p w14:paraId="0A69F418" w14:textId="129B221F" w:rsidR="00E16C43" w:rsidRPr="00B039DD" w:rsidRDefault="00E16C43" w:rsidP="00D7688B">
      <w:pPr>
        <w:pStyle w:val="Ttulo1"/>
      </w:pPr>
      <w:r w:rsidRPr="00B039DD">
        <w:t>Cuadro 1</w:t>
      </w:r>
    </w:p>
    <w:p w14:paraId="1DC5FCA3" w14:textId="6478CC23" w:rsidR="00E16C43" w:rsidRPr="00D7688B" w:rsidRDefault="00E16C43" w:rsidP="00D7688B">
      <w:pPr>
        <w:pStyle w:val="SingleTxtG"/>
        <w:rPr>
          <w:b/>
          <w:bCs/>
          <w:lang w:val="es-ES_tradnl"/>
        </w:rPr>
      </w:pPr>
      <w:r w:rsidRPr="00D7688B">
        <w:rPr>
          <w:b/>
          <w:bCs/>
          <w:lang w:val="es-ES_tradnl"/>
        </w:rPr>
        <w:t>Ingresos privados ponderados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044"/>
        <w:gridCol w:w="910"/>
        <w:gridCol w:w="882"/>
        <w:gridCol w:w="909"/>
        <w:gridCol w:w="882"/>
        <w:gridCol w:w="868"/>
        <w:gridCol w:w="875"/>
      </w:tblGrid>
      <w:tr w:rsidR="00EF2118" w:rsidRPr="00EF2118" w14:paraId="05D00650" w14:textId="77777777" w:rsidTr="00EF2118">
        <w:trPr>
          <w:trHeight w:val="240"/>
          <w:tblHeader/>
        </w:trPr>
        <w:tc>
          <w:tcPr>
            <w:tcW w:w="2044" w:type="dxa"/>
            <w:vMerge w:val="restart"/>
            <w:tcBorders>
              <w:top w:val="single" w:sz="4" w:space="0" w:color="auto"/>
              <w:bottom w:val="single" w:sz="12" w:space="0" w:color="auto"/>
            </w:tcBorders>
            <w:shd w:val="clear" w:color="auto" w:fill="auto"/>
            <w:noWrap/>
            <w:vAlign w:val="bottom"/>
            <w:hideMark/>
          </w:tcPr>
          <w:p w14:paraId="4F79AA5E" w14:textId="77777777" w:rsidR="00E16C43" w:rsidRPr="00EF2118" w:rsidRDefault="00E16C43" w:rsidP="00EF2118">
            <w:pPr>
              <w:pStyle w:val="SingleTxtG"/>
              <w:tabs>
                <w:tab w:val="clear" w:pos="1701"/>
                <w:tab w:val="clear" w:pos="2268"/>
                <w:tab w:val="clear" w:pos="2835"/>
              </w:tabs>
              <w:spacing w:before="80" w:after="80" w:line="200" w:lineRule="exact"/>
              <w:ind w:left="0" w:right="0"/>
              <w:jc w:val="left"/>
              <w:rPr>
                <w:i/>
                <w:sz w:val="16"/>
                <w:lang w:val="es-ES_tradnl"/>
              </w:rPr>
            </w:pPr>
          </w:p>
        </w:tc>
        <w:tc>
          <w:tcPr>
            <w:tcW w:w="910" w:type="dxa"/>
            <w:tcBorders>
              <w:top w:val="single" w:sz="4" w:space="0" w:color="auto"/>
              <w:bottom w:val="single" w:sz="4" w:space="0" w:color="auto"/>
            </w:tcBorders>
            <w:shd w:val="clear" w:color="auto" w:fill="auto"/>
            <w:noWrap/>
            <w:vAlign w:val="bottom"/>
            <w:hideMark/>
          </w:tcPr>
          <w:p w14:paraId="0989B7FC" w14:textId="3A36BFC9" w:rsidR="00E16C43" w:rsidRPr="00EF2118" w:rsidRDefault="00E16C43" w:rsidP="00EF2118">
            <w:pPr>
              <w:pStyle w:val="SingleTxtG"/>
              <w:tabs>
                <w:tab w:val="clear" w:pos="1701"/>
                <w:tab w:val="clear" w:pos="2268"/>
                <w:tab w:val="clear" w:pos="2835"/>
              </w:tabs>
              <w:spacing w:before="80" w:after="80" w:line="200" w:lineRule="exact"/>
              <w:ind w:left="113" w:right="0"/>
              <w:jc w:val="right"/>
              <w:rPr>
                <w:bCs/>
                <w:i/>
                <w:sz w:val="16"/>
                <w:lang w:val="es-ES_tradnl"/>
              </w:rPr>
            </w:pPr>
            <w:r w:rsidRPr="00EF2118">
              <w:rPr>
                <w:i/>
                <w:iCs/>
                <w:sz w:val="16"/>
                <w:lang w:val="es-ES_tradnl"/>
              </w:rPr>
              <w:t>2009-2010</w:t>
            </w:r>
          </w:p>
        </w:tc>
        <w:tc>
          <w:tcPr>
            <w:tcW w:w="882" w:type="dxa"/>
            <w:tcBorders>
              <w:top w:val="single" w:sz="4" w:space="0" w:color="auto"/>
              <w:bottom w:val="single" w:sz="4" w:space="0" w:color="auto"/>
            </w:tcBorders>
            <w:shd w:val="clear" w:color="auto" w:fill="auto"/>
            <w:noWrap/>
            <w:vAlign w:val="bottom"/>
            <w:hideMark/>
          </w:tcPr>
          <w:p w14:paraId="0363FE3D" w14:textId="77777777" w:rsidR="00E16C43" w:rsidRPr="00EF2118" w:rsidRDefault="00E16C43" w:rsidP="00EF2118">
            <w:pPr>
              <w:pStyle w:val="SingleTxtG"/>
              <w:tabs>
                <w:tab w:val="clear" w:pos="1701"/>
                <w:tab w:val="clear" w:pos="2268"/>
                <w:tab w:val="clear" w:pos="2835"/>
              </w:tabs>
              <w:spacing w:before="80" w:after="80" w:line="200" w:lineRule="exact"/>
              <w:ind w:left="113" w:right="0"/>
              <w:jc w:val="right"/>
              <w:rPr>
                <w:bCs/>
                <w:i/>
                <w:sz w:val="16"/>
                <w:lang w:val="es-ES_tradnl"/>
              </w:rPr>
            </w:pPr>
            <w:r w:rsidRPr="00EF2118">
              <w:rPr>
                <w:i/>
                <w:iCs/>
                <w:sz w:val="16"/>
                <w:lang w:val="es-ES_tradnl"/>
              </w:rPr>
              <w:t>2011-2012</w:t>
            </w:r>
          </w:p>
        </w:tc>
        <w:tc>
          <w:tcPr>
            <w:tcW w:w="909" w:type="dxa"/>
            <w:tcBorders>
              <w:top w:val="single" w:sz="4" w:space="0" w:color="auto"/>
              <w:bottom w:val="single" w:sz="4" w:space="0" w:color="auto"/>
            </w:tcBorders>
            <w:shd w:val="clear" w:color="auto" w:fill="auto"/>
            <w:vAlign w:val="bottom"/>
            <w:hideMark/>
          </w:tcPr>
          <w:p w14:paraId="2E1D2CC6" w14:textId="77777777" w:rsidR="00E16C43" w:rsidRPr="00EF2118" w:rsidRDefault="00E16C43" w:rsidP="00EF2118">
            <w:pPr>
              <w:pStyle w:val="SingleTxtG"/>
              <w:tabs>
                <w:tab w:val="clear" w:pos="1701"/>
                <w:tab w:val="clear" w:pos="2268"/>
                <w:tab w:val="clear" w:pos="2835"/>
              </w:tabs>
              <w:spacing w:before="80" w:after="80" w:line="200" w:lineRule="exact"/>
              <w:ind w:left="113" w:right="0"/>
              <w:jc w:val="right"/>
              <w:rPr>
                <w:bCs/>
                <w:i/>
                <w:sz w:val="16"/>
                <w:lang w:val="es-ES_tradnl"/>
              </w:rPr>
            </w:pPr>
            <w:r w:rsidRPr="00EF2118">
              <w:rPr>
                <w:i/>
                <w:iCs/>
                <w:sz w:val="16"/>
                <w:lang w:val="es-ES_tradnl"/>
              </w:rPr>
              <w:t>2013-2014</w:t>
            </w:r>
          </w:p>
        </w:tc>
        <w:tc>
          <w:tcPr>
            <w:tcW w:w="882" w:type="dxa"/>
            <w:tcBorders>
              <w:top w:val="single" w:sz="4" w:space="0" w:color="auto"/>
              <w:bottom w:val="single" w:sz="4" w:space="0" w:color="auto"/>
            </w:tcBorders>
            <w:shd w:val="clear" w:color="auto" w:fill="auto"/>
            <w:noWrap/>
            <w:vAlign w:val="bottom"/>
            <w:hideMark/>
          </w:tcPr>
          <w:p w14:paraId="304B6DC4" w14:textId="77777777" w:rsidR="00E16C43" w:rsidRPr="00EF2118" w:rsidRDefault="00E16C43" w:rsidP="00EF2118">
            <w:pPr>
              <w:pStyle w:val="SingleTxtG"/>
              <w:tabs>
                <w:tab w:val="clear" w:pos="1701"/>
                <w:tab w:val="clear" w:pos="2268"/>
                <w:tab w:val="clear" w:pos="2835"/>
              </w:tabs>
              <w:spacing w:before="80" w:after="80" w:line="200" w:lineRule="exact"/>
              <w:ind w:left="113" w:right="0"/>
              <w:jc w:val="right"/>
              <w:rPr>
                <w:bCs/>
                <w:i/>
                <w:sz w:val="16"/>
                <w:lang w:val="es-ES_tradnl"/>
              </w:rPr>
            </w:pPr>
            <w:r w:rsidRPr="00EF2118">
              <w:rPr>
                <w:i/>
                <w:iCs/>
                <w:sz w:val="16"/>
                <w:lang w:val="es-ES_tradnl"/>
              </w:rPr>
              <w:t>2015-2016</w:t>
            </w:r>
          </w:p>
        </w:tc>
        <w:tc>
          <w:tcPr>
            <w:tcW w:w="868" w:type="dxa"/>
            <w:tcBorders>
              <w:top w:val="single" w:sz="4" w:space="0" w:color="auto"/>
              <w:bottom w:val="single" w:sz="4" w:space="0" w:color="auto"/>
            </w:tcBorders>
            <w:shd w:val="clear" w:color="auto" w:fill="auto"/>
            <w:vAlign w:val="bottom"/>
            <w:hideMark/>
          </w:tcPr>
          <w:p w14:paraId="58BEB6C4" w14:textId="77777777" w:rsidR="00E16C43" w:rsidRPr="00EF2118" w:rsidRDefault="00E16C43" w:rsidP="00EF2118">
            <w:pPr>
              <w:pStyle w:val="SingleTxtG"/>
              <w:tabs>
                <w:tab w:val="clear" w:pos="1701"/>
                <w:tab w:val="clear" w:pos="2268"/>
                <w:tab w:val="clear" w:pos="2835"/>
              </w:tabs>
              <w:spacing w:before="80" w:after="80" w:line="200" w:lineRule="exact"/>
              <w:ind w:left="113" w:right="0"/>
              <w:jc w:val="right"/>
              <w:rPr>
                <w:bCs/>
                <w:i/>
                <w:sz w:val="16"/>
                <w:lang w:val="es-ES_tradnl"/>
              </w:rPr>
            </w:pPr>
            <w:r w:rsidRPr="00EF2118">
              <w:rPr>
                <w:i/>
                <w:iCs/>
                <w:sz w:val="16"/>
                <w:lang w:val="es-ES_tradnl"/>
              </w:rPr>
              <w:t>2017-2018</w:t>
            </w:r>
          </w:p>
        </w:tc>
        <w:tc>
          <w:tcPr>
            <w:tcW w:w="875" w:type="dxa"/>
            <w:tcBorders>
              <w:top w:val="single" w:sz="4" w:space="0" w:color="auto"/>
              <w:bottom w:val="single" w:sz="4" w:space="0" w:color="auto"/>
            </w:tcBorders>
            <w:shd w:val="clear" w:color="auto" w:fill="auto"/>
            <w:noWrap/>
            <w:vAlign w:val="bottom"/>
            <w:hideMark/>
          </w:tcPr>
          <w:p w14:paraId="277670BF" w14:textId="77777777" w:rsidR="00E16C43" w:rsidRPr="00EF2118" w:rsidRDefault="00E16C43" w:rsidP="00EF2118">
            <w:pPr>
              <w:pStyle w:val="SingleTxtG"/>
              <w:tabs>
                <w:tab w:val="clear" w:pos="1701"/>
                <w:tab w:val="clear" w:pos="2268"/>
                <w:tab w:val="clear" w:pos="2835"/>
              </w:tabs>
              <w:spacing w:before="80" w:after="80" w:line="200" w:lineRule="exact"/>
              <w:ind w:left="113" w:right="0"/>
              <w:jc w:val="right"/>
              <w:rPr>
                <w:bCs/>
                <w:i/>
                <w:sz w:val="16"/>
                <w:lang w:val="es-ES_tradnl"/>
              </w:rPr>
            </w:pPr>
            <w:r w:rsidRPr="00EF2118">
              <w:rPr>
                <w:i/>
                <w:iCs/>
                <w:sz w:val="16"/>
                <w:lang w:val="es-ES_tradnl"/>
              </w:rPr>
              <w:t>2019-2020</w:t>
            </w:r>
          </w:p>
        </w:tc>
      </w:tr>
      <w:tr w:rsidR="00EF2118" w:rsidRPr="00EF2118" w14:paraId="45575B3E" w14:textId="77777777" w:rsidTr="00EF2118">
        <w:trPr>
          <w:trHeight w:val="240"/>
        </w:trPr>
        <w:tc>
          <w:tcPr>
            <w:tcW w:w="2044" w:type="dxa"/>
            <w:vMerge/>
            <w:tcBorders>
              <w:top w:val="single" w:sz="12" w:space="0" w:color="auto"/>
              <w:bottom w:val="single" w:sz="12" w:space="0" w:color="auto"/>
            </w:tcBorders>
            <w:shd w:val="clear" w:color="auto" w:fill="auto"/>
            <w:noWrap/>
            <w:vAlign w:val="bottom"/>
            <w:hideMark/>
          </w:tcPr>
          <w:p w14:paraId="188EE403" w14:textId="77777777" w:rsidR="00E16C43" w:rsidRPr="00EF2118" w:rsidRDefault="00E16C43" w:rsidP="00EF2118">
            <w:pPr>
              <w:pStyle w:val="SingleTxtG"/>
              <w:tabs>
                <w:tab w:val="clear" w:pos="1701"/>
                <w:tab w:val="clear" w:pos="2268"/>
                <w:tab w:val="clear" w:pos="2835"/>
              </w:tabs>
              <w:spacing w:before="40" w:after="40" w:line="220" w:lineRule="exact"/>
              <w:ind w:left="0" w:right="0"/>
              <w:jc w:val="left"/>
              <w:rPr>
                <w:bCs/>
                <w:sz w:val="18"/>
                <w:lang w:val="es-ES_tradnl"/>
              </w:rPr>
            </w:pPr>
          </w:p>
        </w:tc>
        <w:tc>
          <w:tcPr>
            <w:tcW w:w="5326" w:type="dxa"/>
            <w:gridSpan w:val="6"/>
            <w:tcBorders>
              <w:top w:val="single" w:sz="4" w:space="0" w:color="auto"/>
              <w:bottom w:val="single" w:sz="12" w:space="0" w:color="auto"/>
            </w:tcBorders>
            <w:shd w:val="clear" w:color="auto" w:fill="auto"/>
            <w:noWrap/>
            <w:vAlign w:val="bottom"/>
            <w:hideMark/>
          </w:tcPr>
          <w:p w14:paraId="3CCDFC5D" w14:textId="77777777" w:rsidR="00E16C43" w:rsidRPr="00EF2118" w:rsidRDefault="00E16C43" w:rsidP="00EF2118">
            <w:pPr>
              <w:pStyle w:val="SingleTxtG"/>
              <w:tabs>
                <w:tab w:val="clear" w:pos="1701"/>
                <w:tab w:val="clear" w:pos="2268"/>
                <w:tab w:val="clear" w:pos="2835"/>
              </w:tabs>
              <w:spacing w:before="80" w:after="80" w:line="200" w:lineRule="exact"/>
              <w:ind w:left="113" w:right="0"/>
              <w:jc w:val="center"/>
              <w:rPr>
                <w:i/>
                <w:iCs/>
                <w:sz w:val="16"/>
                <w:lang w:val="es-ES_tradnl"/>
              </w:rPr>
            </w:pPr>
            <w:r w:rsidRPr="00EF2118">
              <w:rPr>
                <w:i/>
                <w:iCs/>
                <w:sz w:val="16"/>
                <w:lang w:val="es-ES_tradnl"/>
              </w:rPr>
              <w:t>Coeficiente</w:t>
            </w:r>
          </w:p>
        </w:tc>
      </w:tr>
      <w:tr w:rsidR="00EF2118" w:rsidRPr="00EF2118" w14:paraId="08A6915F" w14:textId="77777777" w:rsidTr="00EF2118">
        <w:trPr>
          <w:trHeight w:val="240"/>
        </w:trPr>
        <w:tc>
          <w:tcPr>
            <w:tcW w:w="2044" w:type="dxa"/>
            <w:tcBorders>
              <w:top w:val="single" w:sz="12" w:space="0" w:color="auto"/>
              <w:bottom w:val="single" w:sz="12" w:space="0" w:color="auto"/>
            </w:tcBorders>
            <w:shd w:val="clear" w:color="auto" w:fill="auto"/>
            <w:hideMark/>
          </w:tcPr>
          <w:p w14:paraId="43544319" w14:textId="7C9DAAF7" w:rsidR="00E16C43" w:rsidRPr="00EF2118" w:rsidRDefault="00E16C43" w:rsidP="00EF2118">
            <w:pPr>
              <w:pStyle w:val="SingleTxtG"/>
              <w:tabs>
                <w:tab w:val="clear" w:pos="1701"/>
                <w:tab w:val="clear" w:pos="2268"/>
                <w:tab w:val="clear" w:pos="2835"/>
              </w:tabs>
              <w:spacing w:before="40" w:after="40" w:line="220" w:lineRule="exact"/>
              <w:ind w:left="0" w:right="0"/>
              <w:jc w:val="left"/>
              <w:rPr>
                <w:bCs/>
                <w:sz w:val="18"/>
                <w:lang w:val="es-ES_tradnl"/>
              </w:rPr>
            </w:pPr>
            <w:r w:rsidRPr="00EF2118">
              <w:rPr>
                <w:bCs/>
                <w:sz w:val="18"/>
                <w:lang w:val="es-ES_tradnl"/>
              </w:rPr>
              <w:t xml:space="preserve">Ingresos privados ponderados </w:t>
            </w:r>
            <w:r w:rsidR="00D7688B" w:rsidRPr="00EF2118">
              <w:rPr>
                <w:bCs/>
                <w:sz w:val="18"/>
                <w:lang w:val="es-ES_tradnl"/>
              </w:rPr>
              <w:t>–</w:t>
            </w:r>
            <w:r w:rsidRPr="00EF2118">
              <w:rPr>
                <w:bCs/>
                <w:sz w:val="18"/>
                <w:lang w:val="es-ES_tradnl"/>
              </w:rPr>
              <w:t xml:space="preserve"> Coeficiente a)</w:t>
            </w:r>
          </w:p>
        </w:tc>
        <w:tc>
          <w:tcPr>
            <w:tcW w:w="910" w:type="dxa"/>
            <w:tcBorders>
              <w:top w:val="single" w:sz="12" w:space="0" w:color="auto"/>
              <w:bottom w:val="single" w:sz="12" w:space="0" w:color="auto"/>
            </w:tcBorders>
            <w:shd w:val="clear" w:color="auto" w:fill="auto"/>
            <w:noWrap/>
            <w:vAlign w:val="bottom"/>
            <w:hideMark/>
          </w:tcPr>
          <w:p w14:paraId="129EED4D" w14:textId="77777777" w:rsidR="00E16C43" w:rsidRPr="00EF2118" w:rsidRDefault="00E16C43" w:rsidP="00EF2118">
            <w:pPr>
              <w:pStyle w:val="SingleTxtG"/>
              <w:tabs>
                <w:tab w:val="clear" w:pos="1701"/>
                <w:tab w:val="clear" w:pos="2268"/>
                <w:tab w:val="clear" w:pos="2835"/>
              </w:tabs>
              <w:spacing w:before="40" w:after="40" w:line="220" w:lineRule="exact"/>
              <w:ind w:left="113" w:right="0"/>
              <w:jc w:val="right"/>
              <w:rPr>
                <w:sz w:val="18"/>
                <w:lang w:val="es-ES_tradnl"/>
              </w:rPr>
            </w:pPr>
            <w:r w:rsidRPr="00EF2118">
              <w:rPr>
                <w:sz w:val="18"/>
                <w:lang w:val="es-ES_tradnl"/>
              </w:rPr>
              <w:t>2,45</w:t>
            </w:r>
          </w:p>
        </w:tc>
        <w:tc>
          <w:tcPr>
            <w:tcW w:w="882" w:type="dxa"/>
            <w:tcBorders>
              <w:top w:val="single" w:sz="12" w:space="0" w:color="auto"/>
              <w:bottom w:val="single" w:sz="12" w:space="0" w:color="auto"/>
            </w:tcBorders>
            <w:shd w:val="clear" w:color="auto" w:fill="auto"/>
            <w:noWrap/>
            <w:vAlign w:val="bottom"/>
            <w:hideMark/>
          </w:tcPr>
          <w:p w14:paraId="760266EE" w14:textId="77777777" w:rsidR="00E16C43" w:rsidRPr="00EF2118" w:rsidRDefault="00E16C43" w:rsidP="00EF2118">
            <w:pPr>
              <w:pStyle w:val="SingleTxtG"/>
              <w:tabs>
                <w:tab w:val="clear" w:pos="1701"/>
                <w:tab w:val="clear" w:pos="2268"/>
                <w:tab w:val="clear" w:pos="2835"/>
              </w:tabs>
              <w:spacing w:before="40" w:after="40" w:line="220" w:lineRule="exact"/>
              <w:ind w:left="113" w:right="0"/>
              <w:jc w:val="right"/>
              <w:rPr>
                <w:sz w:val="18"/>
                <w:lang w:val="es-ES_tradnl"/>
              </w:rPr>
            </w:pPr>
            <w:r w:rsidRPr="00EF2118">
              <w:rPr>
                <w:sz w:val="18"/>
                <w:lang w:val="es-ES_tradnl"/>
              </w:rPr>
              <w:t>2,29</w:t>
            </w:r>
          </w:p>
        </w:tc>
        <w:tc>
          <w:tcPr>
            <w:tcW w:w="909" w:type="dxa"/>
            <w:tcBorders>
              <w:top w:val="single" w:sz="12" w:space="0" w:color="auto"/>
              <w:bottom w:val="single" w:sz="12" w:space="0" w:color="auto"/>
            </w:tcBorders>
            <w:shd w:val="clear" w:color="auto" w:fill="auto"/>
            <w:noWrap/>
            <w:vAlign w:val="bottom"/>
            <w:hideMark/>
          </w:tcPr>
          <w:p w14:paraId="5533AEFF" w14:textId="77777777" w:rsidR="00E16C43" w:rsidRPr="00EF2118" w:rsidRDefault="00E16C43" w:rsidP="00EF2118">
            <w:pPr>
              <w:pStyle w:val="SingleTxtG"/>
              <w:tabs>
                <w:tab w:val="clear" w:pos="1701"/>
                <w:tab w:val="clear" w:pos="2268"/>
                <w:tab w:val="clear" w:pos="2835"/>
              </w:tabs>
              <w:spacing w:before="40" w:after="40" w:line="220" w:lineRule="exact"/>
              <w:ind w:left="113" w:right="0"/>
              <w:jc w:val="right"/>
              <w:rPr>
                <w:sz w:val="18"/>
                <w:lang w:val="es-ES_tradnl"/>
              </w:rPr>
            </w:pPr>
            <w:r w:rsidRPr="00EF2118">
              <w:rPr>
                <w:sz w:val="18"/>
                <w:lang w:val="es-ES_tradnl"/>
              </w:rPr>
              <w:t>3,05</w:t>
            </w:r>
          </w:p>
        </w:tc>
        <w:tc>
          <w:tcPr>
            <w:tcW w:w="882" w:type="dxa"/>
            <w:tcBorders>
              <w:top w:val="single" w:sz="12" w:space="0" w:color="auto"/>
              <w:bottom w:val="single" w:sz="12" w:space="0" w:color="auto"/>
            </w:tcBorders>
            <w:shd w:val="clear" w:color="auto" w:fill="auto"/>
            <w:noWrap/>
            <w:vAlign w:val="bottom"/>
            <w:hideMark/>
          </w:tcPr>
          <w:p w14:paraId="3ACD5443" w14:textId="77777777" w:rsidR="00E16C43" w:rsidRPr="00EF2118" w:rsidRDefault="00E16C43" w:rsidP="00EF2118">
            <w:pPr>
              <w:pStyle w:val="SingleTxtG"/>
              <w:tabs>
                <w:tab w:val="clear" w:pos="1701"/>
                <w:tab w:val="clear" w:pos="2268"/>
                <w:tab w:val="clear" w:pos="2835"/>
              </w:tabs>
              <w:spacing w:before="40" w:after="40" w:line="220" w:lineRule="exact"/>
              <w:ind w:left="113" w:right="0"/>
              <w:jc w:val="right"/>
              <w:rPr>
                <w:sz w:val="18"/>
                <w:lang w:val="es-ES_tradnl"/>
              </w:rPr>
            </w:pPr>
            <w:r w:rsidRPr="00EF2118">
              <w:rPr>
                <w:sz w:val="18"/>
                <w:lang w:val="es-ES_tradnl"/>
              </w:rPr>
              <w:t>2,41</w:t>
            </w:r>
          </w:p>
        </w:tc>
        <w:tc>
          <w:tcPr>
            <w:tcW w:w="868" w:type="dxa"/>
            <w:tcBorders>
              <w:top w:val="single" w:sz="12" w:space="0" w:color="auto"/>
              <w:bottom w:val="single" w:sz="12" w:space="0" w:color="auto"/>
            </w:tcBorders>
            <w:shd w:val="clear" w:color="auto" w:fill="auto"/>
            <w:noWrap/>
            <w:vAlign w:val="bottom"/>
            <w:hideMark/>
          </w:tcPr>
          <w:p w14:paraId="72267032" w14:textId="77777777" w:rsidR="00E16C43" w:rsidRPr="00EF2118" w:rsidRDefault="00E16C43" w:rsidP="00EF2118">
            <w:pPr>
              <w:pStyle w:val="SingleTxtG"/>
              <w:tabs>
                <w:tab w:val="clear" w:pos="1701"/>
                <w:tab w:val="clear" w:pos="2268"/>
                <w:tab w:val="clear" w:pos="2835"/>
              </w:tabs>
              <w:spacing w:before="40" w:after="40" w:line="220" w:lineRule="exact"/>
              <w:ind w:left="113" w:right="0"/>
              <w:jc w:val="right"/>
              <w:rPr>
                <w:sz w:val="18"/>
                <w:lang w:val="es-ES_tradnl"/>
              </w:rPr>
            </w:pPr>
            <w:r w:rsidRPr="00EF2118">
              <w:rPr>
                <w:sz w:val="18"/>
                <w:lang w:val="es-ES_tradnl"/>
              </w:rPr>
              <w:t>2,47</w:t>
            </w:r>
          </w:p>
        </w:tc>
        <w:tc>
          <w:tcPr>
            <w:tcW w:w="875" w:type="dxa"/>
            <w:tcBorders>
              <w:top w:val="single" w:sz="12" w:space="0" w:color="auto"/>
              <w:bottom w:val="single" w:sz="12" w:space="0" w:color="auto"/>
            </w:tcBorders>
            <w:shd w:val="clear" w:color="auto" w:fill="auto"/>
            <w:noWrap/>
            <w:vAlign w:val="bottom"/>
            <w:hideMark/>
          </w:tcPr>
          <w:p w14:paraId="47AB108B" w14:textId="77777777" w:rsidR="00E16C43" w:rsidRPr="00EF2118" w:rsidRDefault="00E16C43" w:rsidP="00EF2118">
            <w:pPr>
              <w:pStyle w:val="SingleTxtG"/>
              <w:tabs>
                <w:tab w:val="clear" w:pos="1701"/>
                <w:tab w:val="clear" w:pos="2268"/>
                <w:tab w:val="clear" w:pos="2835"/>
              </w:tabs>
              <w:spacing w:before="40" w:after="40" w:line="220" w:lineRule="exact"/>
              <w:ind w:left="113" w:right="0"/>
              <w:jc w:val="right"/>
              <w:rPr>
                <w:sz w:val="18"/>
                <w:lang w:val="es-ES_tradnl"/>
              </w:rPr>
            </w:pPr>
            <w:r w:rsidRPr="00EF2118">
              <w:rPr>
                <w:sz w:val="18"/>
                <w:lang w:val="es-ES_tradnl"/>
              </w:rPr>
              <w:t>2,34</w:t>
            </w:r>
          </w:p>
        </w:tc>
      </w:tr>
    </w:tbl>
    <w:p w14:paraId="472456A6" w14:textId="581D00C2" w:rsidR="00EF2118" w:rsidRPr="00EF2118" w:rsidRDefault="00EF2118" w:rsidP="00EF2118">
      <w:pPr>
        <w:pStyle w:val="SingleTxtG"/>
        <w:spacing w:before="120" w:after="240"/>
        <w:jc w:val="left"/>
        <w:rPr>
          <w:sz w:val="18"/>
          <w:szCs w:val="18"/>
        </w:rPr>
      </w:pPr>
      <w:r w:rsidRPr="00EF2118">
        <w:rPr>
          <w:sz w:val="18"/>
          <w:szCs w:val="18"/>
          <w:lang w:val="es-ES_tradnl"/>
        </w:rPr>
        <w:tab/>
        <w:t>a)</w:t>
      </w:r>
      <w:r w:rsidRPr="00EF2118">
        <w:rPr>
          <w:sz w:val="18"/>
          <w:szCs w:val="18"/>
          <w:lang w:val="es-ES_tradnl"/>
        </w:rPr>
        <w:tab/>
        <w:t>Este coeficiente se obtiene dividiendo la suma de la renta privada ponderada de los hogares (nivel de persona) del decil superior por la suma de la renta privada ponderada de los hogares (nivel de persona) de los cuatro deciles inferiores. Los deciles utilizados en el coeficiente se determinan a partir del ingreso privado ponderado de los hogares (nivel de persona).</w:t>
      </w:r>
    </w:p>
    <w:p w14:paraId="02BA76DD" w14:textId="0CDAF637" w:rsidR="00E16C43" w:rsidRPr="00B039DD" w:rsidRDefault="00EF2118" w:rsidP="00D7688B">
      <w:pPr>
        <w:pStyle w:val="Ttulo1"/>
        <w:spacing w:before="240"/>
      </w:pPr>
      <w:r>
        <w:t>C</w:t>
      </w:r>
      <w:r w:rsidR="00E16C43" w:rsidRPr="00B039DD">
        <w:t>uadro 2</w:t>
      </w:r>
    </w:p>
    <w:p w14:paraId="466E9C81" w14:textId="508A58C9" w:rsidR="00E16C43" w:rsidRPr="00B039DD" w:rsidRDefault="00E16C43" w:rsidP="00D7688B">
      <w:pPr>
        <w:pStyle w:val="SingleTxtG"/>
        <w:rPr>
          <w:b/>
          <w:lang w:val="es-ES_tradnl"/>
        </w:rPr>
      </w:pPr>
      <w:r w:rsidRPr="00B039DD">
        <w:rPr>
          <w:b/>
          <w:bCs/>
          <w:lang w:val="es-ES_tradnl"/>
        </w:rPr>
        <w:t>Ingresos disponibles ponderados</w:t>
      </w:r>
      <w:r w:rsidRPr="00B039DD">
        <w:rPr>
          <w:b/>
          <w:lang w:val="es-ES_tradnl"/>
        </w:rPr>
        <w:t xml:space="preserve"> </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031"/>
        <w:gridCol w:w="911"/>
        <w:gridCol w:w="897"/>
        <w:gridCol w:w="910"/>
        <w:gridCol w:w="883"/>
        <w:gridCol w:w="869"/>
        <w:gridCol w:w="869"/>
      </w:tblGrid>
      <w:tr w:rsidR="005B556F" w:rsidRPr="005B556F" w14:paraId="7A5E936F" w14:textId="77777777" w:rsidTr="005A79CF">
        <w:trPr>
          <w:trHeight w:val="240"/>
          <w:tblHeader/>
        </w:trPr>
        <w:tc>
          <w:tcPr>
            <w:tcW w:w="2031" w:type="dxa"/>
            <w:vMerge w:val="restart"/>
            <w:tcBorders>
              <w:top w:val="single" w:sz="4" w:space="0" w:color="auto"/>
              <w:bottom w:val="single" w:sz="12" w:space="0" w:color="auto"/>
            </w:tcBorders>
            <w:shd w:val="clear" w:color="auto" w:fill="auto"/>
            <w:noWrap/>
            <w:vAlign w:val="bottom"/>
            <w:hideMark/>
          </w:tcPr>
          <w:p w14:paraId="1C76DEC1" w14:textId="77777777" w:rsidR="00E16C43" w:rsidRPr="005B556F" w:rsidRDefault="00E16C43" w:rsidP="005B556F">
            <w:pPr>
              <w:pStyle w:val="SingleTxtG"/>
              <w:tabs>
                <w:tab w:val="clear" w:pos="1701"/>
                <w:tab w:val="clear" w:pos="2268"/>
                <w:tab w:val="clear" w:pos="2835"/>
              </w:tabs>
              <w:spacing w:before="80" w:after="80" w:line="200" w:lineRule="exact"/>
              <w:ind w:left="0" w:right="0"/>
              <w:jc w:val="left"/>
              <w:rPr>
                <w:i/>
                <w:sz w:val="16"/>
                <w:lang w:val="es-ES_tradnl"/>
              </w:rPr>
            </w:pPr>
          </w:p>
        </w:tc>
        <w:tc>
          <w:tcPr>
            <w:tcW w:w="911" w:type="dxa"/>
            <w:tcBorders>
              <w:top w:val="single" w:sz="4" w:space="0" w:color="auto"/>
              <w:bottom w:val="single" w:sz="4" w:space="0" w:color="auto"/>
            </w:tcBorders>
            <w:shd w:val="clear" w:color="auto" w:fill="auto"/>
            <w:noWrap/>
            <w:vAlign w:val="bottom"/>
            <w:hideMark/>
          </w:tcPr>
          <w:p w14:paraId="174C4D16" w14:textId="77777777" w:rsidR="00E16C43" w:rsidRPr="005B556F" w:rsidRDefault="00E16C43" w:rsidP="005B556F">
            <w:pPr>
              <w:pStyle w:val="SingleTxtG"/>
              <w:tabs>
                <w:tab w:val="clear" w:pos="1701"/>
                <w:tab w:val="clear" w:pos="2268"/>
                <w:tab w:val="clear" w:pos="2835"/>
              </w:tabs>
              <w:spacing w:before="80" w:after="80" w:line="200" w:lineRule="exact"/>
              <w:ind w:left="113" w:right="0"/>
              <w:jc w:val="right"/>
              <w:rPr>
                <w:i/>
                <w:sz w:val="16"/>
                <w:lang w:val="es-ES_tradnl"/>
              </w:rPr>
            </w:pPr>
            <w:r w:rsidRPr="005B556F">
              <w:rPr>
                <w:i/>
                <w:iCs/>
                <w:sz w:val="16"/>
                <w:lang w:val="es-ES_tradnl"/>
              </w:rPr>
              <w:t>2009-2010</w:t>
            </w:r>
          </w:p>
        </w:tc>
        <w:tc>
          <w:tcPr>
            <w:tcW w:w="897" w:type="dxa"/>
            <w:tcBorders>
              <w:top w:val="single" w:sz="4" w:space="0" w:color="auto"/>
              <w:bottom w:val="single" w:sz="4" w:space="0" w:color="auto"/>
            </w:tcBorders>
            <w:shd w:val="clear" w:color="auto" w:fill="auto"/>
            <w:noWrap/>
            <w:vAlign w:val="bottom"/>
            <w:hideMark/>
          </w:tcPr>
          <w:p w14:paraId="6535F698" w14:textId="77777777" w:rsidR="00E16C43" w:rsidRPr="005B556F" w:rsidRDefault="00E16C43" w:rsidP="005B556F">
            <w:pPr>
              <w:pStyle w:val="SingleTxtG"/>
              <w:tabs>
                <w:tab w:val="clear" w:pos="1701"/>
                <w:tab w:val="clear" w:pos="2268"/>
                <w:tab w:val="clear" w:pos="2835"/>
              </w:tabs>
              <w:spacing w:before="80" w:after="80" w:line="200" w:lineRule="exact"/>
              <w:ind w:left="113" w:right="0"/>
              <w:jc w:val="right"/>
              <w:rPr>
                <w:bCs/>
                <w:i/>
                <w:sz w:val="16"/>
                <w:lang w:val="es-ES_tradnl"/>
              </w:rPr>
            </w:pPr>
            <w:r w:rsidRPr="005B556F">
              <w:rPr>
                <w:i/>
                <w:iCs/>
                <w:sz w:val="16"/>
                <w:lang w:val="es-ES_tradnl"/>
              </w:rPr>
              <w:t>2011-2012</w:t>
            </w:r>
          </w:p>
        </w:tc>
        <w:tc>
          <w:tcPr>
            <w:tcW w:w="910" w:type="dxa"/>
            <w:tcBorders>
              <w:top w:val="single" w:sz="4" w:space="0" w:color="auto"/>
              <w:bottom w:val="single" w:sz="4" w:space="0" w:color="auto"/>
            </w:tcBorders>
            <w:shd w:val="clear" w:color="auto" w:fill="auto"/>
            <w:vAlign w:val="bottom"/>
            <w:hideMark/>
          </w:tcPr>
          <w:p w14:paraId="6242087F" w14:textId="77777777" w:rsidR="00E16C43" w:rsidRPr="005B556F" w:rsidRDefault="00E16C43" w:rsidP="005B556F">
            <w:pPr>
              <w:pStyle w:val="SingleTxtG"/>
              <w:tabs>
                <w:tab w:val="clear" w:pos="1701"/>
                <w:tab w:val="clear" w:pos="2268"/>
                <w:tab w:val="clear" w:pos="2835"/>
              </w:tabs>
              <w:spacing w:before="80" w:after="80" w:line="200" w:lineRule="exact"/>
              <w:ind w:left="113" w:right="0"/>
              <w:jc w:val="right"/>
              <w:rPr>
                <w:bCs/>
                <w:i/>
                <w:sz w:val="16"/>
                <w:lang w:val="es-ES_tradnl"/>
              </w:rPr>
            </w:pPr>
            <w:r w:rsidRPr="005B556F">
              <w:rPr>
                <w:i/>
                <w:iCs/>
                <w:sz w:val="16"/>
                <w:lang w:val="es-ES_tradnl"/>
              </w:rPr>
              <w:t>2013-2014</w:t>
            </w:r>
          </w:p>
        </w:tc>
        <w:tc>
          <w:tcPr>
            <w:tcW w:w="883" w:type="dxa"/>
            <w:tcBorders>
              <w:top w:val="single" w:sz="4" w:space="0" w:color="auto"/>
              <w:bottom w:val="single" w:sz="4" w:space="0" w:color="auto"/>
            </w:tcBorders>
            <w:shd w:val="clear" w:color="auto" w:fill="auto"/>
            <w:noWrap/>
            <w:vAlign w:val="bottom"/>
            <w:hideMark/>
          </w:tcPr>
          <w:p w14:paraId="1A4CE3D4" w14:textId="77777777" w:rsidR="00E16C43" w:rsidRPr="005B556F" w:rsidRDefault="00E16C43" w:rsidP="005B556F">
            <w:pPr>
              <w:pStyle w:val="SingleTxtG"/>
              <w:tabs>
                <w:tab w:val="clear" w:pos="1701"/>
                <w:tab w:val="clear" w:pos="2268"/>
                <w:tab w:val="clear" w:pos="2835"/>
              </w:tabs>
              <w:spacing w:before="80" w:after="80" w:line="200" w:lineRule="exact"/>
              <w:ind w:left="113" w:right="0"/>
              <w:jc w:val="right"/>
              <w:rPr>
                <w:bCs/>
                <w:i/>
                <w:sz w:val="16"/>
                <w:lang w:val="es-ES_tradnl"/>
              </w:rPr>
            </w:pPr>
            <w:r w:rsidRPr="005B556F">
              <w:rPr>
                <w:i/>
                <w:iCs/>
                <w:sz w:val="16"/>
                <w:lang w:val="es-ES_tradnl"/>
              </w:rPr>
              <w:t>2015-2016</w:t>
            </w:r>
          </w:p>
        </w:tc>
        <w:tc>
          <w:tcPr>
            <w:tcW w:w="869" w:type="dxa"/>
            <w:tcBorders>
              <w:top w:val="single" w:sz="4" w:space="0" w:color="auto"/>
              <w:bottom w:val="single" w:sz="4" w:space="0" w:color="auto"/>
            </w:tcBorders>
            <w:shd w:val="clear" w:color="auto" w:fill="auto"/>
            <w:vAlign w:val="bottom"/>
            <w:hideMark/>
          </w:tcPr>
          <w:p w14:paraId="12CD00E1" w14:textId="77777777" w:rsidR="00E16C43" w:rsidRPr="005B556F" w:rsidRDefault="00E16C43" w:rsidP="005B556F">
            <w:pPr>
              <w:pStyle w:val="SingleTxtG"/>
              <w:tabs>
                <w:tab w:val="clear" w:pos="1701"/>
                <w:tab w:val="clear" w:pos="2268"/>
                <w:tab w:val="clear" w:pos="2835"/>
              </w:tabs>
              <w:spacing w:before="80" w:after="80" w:line="200" w:lineRule="exact"/>
              <w:ind w:left="113" w:right="0"/>
              <w:jc w:val="right"/>
              <w:rPr>
                <w:bCs/>
                <w:i/>
                <w:sz w:val="16"/>
                <w:lang w:val="es-ES_tradnl"/>
              </w:rPr>
            </w:pPr>
            <w:r w:rsidRPr="005B556F">
              <w:rPr>
                <w:i/>
                <w:iCs/>
                <w:sz w:val="16"/>
                <w:lang w:val="es-ES_tradnl"/>
              </w:rPr>
              <w:t>2017-2018</w:t>
            </w:r>
          </w:p>
        </w:tc>
        <w:tc>
          <w:tcPr>
            <w:tcW w:w="869" w:type="dxa"/>
            <w:tcBorders>
              <w:top w:val="single" w:sz="4" w:space="0" w:color="auto"/>
              <w:bottom w:val="single" w:sz="4" w:space="0" w:color="auto"/>
            </w:tcBorders>
            <w:shd w:val="clear" w:color="auto" w:fill="auto"/>
            <w:noWrap/>
            <w:vAlign w:val="bottom"/>
            <w:hideMark/>
          </w:tcPr>
          <w:p w14:paraId="5DA76871" w14:textId="77777777" w:rsidR="00E16C43" w:rsidRPr="005B556F" w:rsidRDefault="00E16C43" w:rsidP="005B556F">
            <w:pPr>
              <w:pStyle w:val="SingleTxtG"/>
              <w:tabs>
                <w:tab w:val="clear" w:pos="1701"/>
                <w:tab w:val="clear" w:pos="2268"/>
                <w:tab w:val="clear" w:pos="2835"/>
              </w:tabs>
              <w:spacing w:before="80" w:after="80" w:line="200" w:lineRule="exact"/>
              <w:ind w:left="113" w:right="0"/>
              <w:jc w:val="right"/>
              <w:rPr>
                <w:bCs/>
                <w:i/>
                <w:sz w:val="16"/>
                <w:lang w:val="es-ES_tradnl"/>
              </w:rPr>
            </w:pPr>
            <w:r w:rsidRPr="005B556F">
              <w:rPr>
                <w:i/>
                <w:iCs/>
                <w:sz w:val="16"/>
                <w:lang w:val="es-ES_tradnl"/>
              </w:rPr>
              <w:t>2019-2020</w:t>
            </w:r>
          </w:p>
        </w:tc>
      </w:tr>
      <w:tr w:rsidR="005A79CF" w:rsidRPr="005B556F" w14:paraId="2746D6F3" w14:textId="77777777" w:rsidTr="005A79CF">
        <w:trPr>
          <w:trHeight w:val="240"/>
        </w:trPr>
        <w:tc>
          <w:tcPr>
            <w:tcW w:w="2031" w:type="dxa"/>
            <w:vMerge/>
            <w:tcBorders>
              <w:top w:val="single" w:sz="12" w:space="0" w:color="auto"/>
              <w:bottom w:val="single" w:sz="12" w:space="0" w:color="auto"/>
            </w:tcBorders>
            <w:shd w:val="clear" w:color="auto" w:fill="auto"/>
            <w:noWrap/>
            <w:vAlign w:val="bottom"/>
            <w:hideMark/>
          </w:tcPr>
          <w:p w14:paraId="194B081B" w14:textId="77777777" w:rsidR="00E16C43" w:rsidRPr="005B556F" w:rsidRDefault="00E16C43" w:rsidP="005B556F">
            <w:pPr>
              <w:pStyle w:val="SingleTxtG"/>
              <w:tabs>
                <w:tab w:val="clear" w:pos="1701"/>
                <w:tab w:val="clear" w:pos="2268"/>
                <w:tab w:val="clear" w:pos="2835"/>
              </w:tabs>
              <w:spacing w:before="40" w:after="40" w:line="220" w:lineRule="exact"/>
              <w:ind w:left="0" w:right="0"/>
              <w:jc w:val="left"/>
              <w:rPr>
                <w:bCs/>
                <w:sz w:val="18"/>
                <w:lang w:val="es-ES_tradnl"/>
              </w:rPr>
            </w:pPr>
          </w:p>
        </w:tc>
        <w:tc>
          <w:tcPr>
            <w:tcW w:w="5339" w:type="dxa"/>
            <w:gridSpan w:val="6"/>
            <w:tcBorders>
              <w:top w:val="single" w:sz="4" w:space="0" w:color="auto"/>
              <w:bottom w:val="single" w:sz="12" w:space="0" w:color="auto"/>
            </w:tcBorders>
            <w:shd w:val="clear" w:color="auto" w:fill="auto"/>
            <w:noWrap/>
            <w:vAlign w:val="bottom"/>
            <w:hideMark/>
          </w:tcPr>
          <w:p w14:paraId="6E82B42B" w14:textId="77777777" w:rsidR="00E16C43" w:rsidRPr="005A79CF" w:rsidRDefault="00E16C43" w:rsidP="005A79CF">
            <w:pPr>
              <w:pStyle w:val="SingleTxtG"/>
              <w:tabs>
                <w:tab w:val="clear" w:pos="1701"/>
                <w:tab w:val="clear" w:pos="2268"/>
                <w:tab w:val="clear" w:pos="2835"/>
              </w:tabs>
              <w:spacing w:before="80" w:after="80" w:line="200" w:lineRule="exact"/>
              <w:ind w:left="113" w:right="0"/>
              <w:jc w:val="center"/>
              <w:rPr>
                <w:i/>
                <w:iCs/>
                <w:sz w:val="16"/>
                <w:lang w:val="es-ES_tradnl"/>
              </w:rPr>
            </w:pPr>
            <w:r w:rsidRPr="005A79CF">
              <w:rPr>
                <w:i/>
                <w:iCs/>
                <w:sz w:val="16"/>
                <w:lang w:val="es-ES_tradnl"/>
              </w:rPr>
              <w:t>Coeficiente</w:t>
            </w:r>
          </w:p>
        </w:tc>
      </w:tr>
      <w:tr w:rsidR="005B556F" w:rsidRPr="005B556F" w14:paraId="4CF2D6AE" w14:textId="77777777" w:rsidTr="005A79CF">
        <w:trPr>
          <w:trHeight w:val="240"/>
        </w:trPr>
        <w:tc>
          <w:tcPr>
            <w:tcW w:w="2031" w:type="dxa"/>
            <w:tcBorders>
              <w:top w:val="single" w:sz="12" w:space="0" w:color="auto"/>
              <w:bottom w:val="single" w:sz="12" w:space="0" w:color="auto"/>
            </w:tcBorders>
            <w:shd w:val="clear" w:color="auto" w:fill="auto"/>
            <w:hideMark/>
          </w:tcPr>
          <w:p w14:paraId="63B0EF88" w14:textId="3E5940C4" w:rsidR="00E16C43" w:rsidRPr="005B556F" w:rsidRDefault="00E16C43" w:rsidP="005B556F">
            <w:pPr>
              <w:pStyle w:val="SingleTxtG"/>
              <w:tabs>
                <w:tab w:val="clear" w:pos="1701"/>
                <w:tab w:val="clear" w:pos="2268"/>
                <w:tab w:val="clear" w:pos="2835"/>
              </w:tabs>
              <w:spacing w:before="40" w:after="40" w:line="220" w:lineRule="exact"/>
              <w:ind w:left="0" w:right="0"/>
              <w:jc w:val="left"/>
              <w:rPr>
                <w:bCs/>
                <w:sz w:val="18"/>
                <w:lang w:val="es-ES_tradnl"/>
              </w:rPr>
            </w:pPr>
            <w:r w:rsidRPr="005B556F">
              <w:rPr>
                <w:bCs/>
                <w:sz w:val="18"/>
                <w:lang w:val="es-ES_tradnl"/>
              </w:rPr>
              <w:t xml:space="preserve">Ingresos disponibles ponderados </w:t>
            </w:r>
            <w:r w:rsidR="005B556F" w:rsidRPr="005B556F">
              <w:rPr>
                <w:bCs/>
                <w:sz w:val="18"/>
                <w:lang w:val="es-ES_tradnl"/>
              </w:rPr>
              <w:t>–</w:t>
            </w:r>
            <w:r w:rsidRPr="005B556F">
              <w:rPr>
                <w:bCs/>
                <w:sz w:val="18"/>
                <w:lang w:val="es-ES_tradnl"/>
              </w:rPr>
              <w:t xml:space="preserve"> Coeficiente a)</w:t>
            </w:r>
          </w:p>
        </w:tc>
        <w:tc>
          <w:tcPr>
            <w:tcW w:w="911" w:type="dxa"/>
            <w:tcBorders>
              <w:top w:val="single" w:sz="12" w:space="0" w:color="auto"/>
              <w:bottom w:val="single" w:sz="12" w:space="0" w:color="auto"/>
            </w:tcBorders>
            <w:shd w:val="clear" w:color="auto" w:fill="auto"/>
            <w:noWrap/>
            <w:vAlign w:val="bottom"/>
            <w:hideMark/>
          </w:tcPr>
          <w:p w14:paraId="15E22AA5" w14:textId="77777777" w:rsidR="00E16C43" w:rsidRPr="005B556F" w:rsidRDefault="00E16C43" w:rsidP="005B556F">
            <w:pPr>
              <w:pStyle w:val="SingleTxtG"/>
              <w:tabs>
                <w:tab w:val="clear" w:pos="1701"/>
                <w:tab w:val="clear" w:pos="2268"/>
                <w:tab w:val="clear" w:pos="2835"/>
              </w:tabs>
              <w:spacing w:before="40" w:after="40" w:line="220" w:lineRule="exact"/>
              <w:ind w:left="113" w:right="0"/>
              <w:jc w:val="right"/>
              <w:rPr>
                <w:sz w:val="18"/>
                <w:lang w:val="es-ES_tradnl"/>
              </w:rPr>
            </w:pPr>
            <w:r w:rsidRPr="005B556F">
              <w:rPr>
                <w:sz w:val="18"/>
                <w:lang w:val="es-ES_tradnl"/>
              </w:rPr>
              <w:t>1,27</w:t>
            </w:r>
          </w:p>
        </w:tc>
        <w:tc>
          <w:tcPr>
            <w:tcW w:w="897" w:type="dxa"/>
            <w:tcBorders>
              <w:top w:val="single" w:sz="12" w:space="0" w:color="auto"/>
              <w:bottom w:val="single" w:sz="12" w:space="0" w:color="auto"/>
            </w:tcBorders>
            <w:shd w:val="clear" w:color="auto" w:fill="auto"/>
            <w:noWrap/>
            <w:vAlign w:val="bottom"/>
            <w:hideMark/>
          </w:tcPr>
          <w:p w14:paraId="208AC78C" w14:textId="77777777" w:rsidR="00E16C43" w:rsidRPr="005B556F" w:rsidRDefault="00E16C43" w:rsidP="005B556F">
            <w:pPr>
              <w:pStyle w:val="SingleTxtG"/>
              <w:tabs>
                <w:tab w:val="clear" w:pos="1701"/>
                <w:tab w:val="clear" w:pos="2268"/>
                <w:tab w:val="clear" w:pos="2835"/>
              </w:tabs>
              <w:spacing w:before="40" w:after="40" w:line="220" w:lineRule="exact"/>
              <w:ind w:left="113" w:right="0"/>
              <w:jc w:val="right"/>
              <w:rPr>
                <w:sz w:val="18"/>
                <w:lang w:val="es-ES_tradnl"/>
              </w:rPr>
            </w:pPr>
            <w:r w:rsidRPr="005B556F">
              <w:rPr>
                <w:sz w:val="18"/>
                <w:lang w:val="es-ES_tradnl"/>
              </w:rPr>
              <w:t>1,21</w:t>
            </w:r>
          </w:p>
        </w:tc>
        <w:tc>
          <w:tcPr>
            <w:tcW w:w="910" w:type="dxa"/>
            <w:tcBorders>
              <w:top w:val="single" w:sz="12" w:space="0" w:color="auto"/>
              <w:bottom w:val="single" w:sz="12" w:space="0" w:color="auto"/>
            </w:tcBorders>
            <w:shd w:val="clear" w:color="auto" w:fill="auto"/>
            <w:noWrap/>
            <w:vAlign w:val="bottom"/>
            <w:hideMark/>
          </w:tcPr>
          <w:p w14:paraId="071603E7" w14:textId="77777777" w:rsidR="00E16C43" w:rsidRPr="005B556F" w:rsidRDefault="00E16C43" w:rsidP="005B556F">
            <w:pPr>
              <w:pStyle w:val="SingleTxtG"/>
              <w:tabs>
                <w:tab w:val="clear" w:pos="1701"/>
                <w:tab w:val="clear" w:pos="2268"/>
                <w:tab w:val="clear" w:pos="2835"/>
              </w:tabs>
              <w:spacing w:before="40" w:after="40" w:line="220" w:lineRule="exact"/>
              <w:ind w:left="113" w:right="0"/>
              <w:jc w:val="right"/>
              <w:rPr>
                <w:sz w:val="18"/>
                <w:lang w:val="es-ES_tradnl"/>
              </w:rPr>
            </w:pPr>
            <w:r w:rsidRPr="005B556F">
              <w:rPr>
                <w:sz w:val="18"/>
                <w:lang w:val="es-ES_tradnl"/>
              </w:rPr>
              <w:t>1,48</w:t>
            </w:r>
          </w:p>
        </w:tc>
        <w:tc>
          <w:tcPr>
            <w:tcW w:w="883" w:type="dxa"/>
            <w:tcBorders>
              <w:top w:val="single" w:sz="12" w:space="0" w:color="auto"/>
              <w:bottom w:val="single" w:sz="12" w:space="0" w:color="auto"/>
            </w:tcBorders>
            <w:shd w:val="clear" w:color="auto" w:fill="auto"/>
            <w:noWrap/>
            <w:vAlign w:val="bottom"/>
            <w:hideMark/>
          </w:tcPr>
          <w:p w14:paraId="72A077AD" w14:textId="77777777" w:rsidR="00E16C43" w:rsidRPr="005B556F" w:rsidRDefault="00E16C43" w:rsidP="005B556F">
            <w:pPr>
              <w:pStyle w:val="SingleTxtG"/>
              <w:tabs>
                <w:tab w:val="clear" w:pos="1701"/>
                <w:tab w:val="clear" w:pos="2268"/>
                <w:tab w:val="clear" w:pos="2835"/>
              </w:tabs>
              <w:spacing w:before="40" w:after="40" w:line="220" w:lineRule="exact"/>
              <w:ind w:left="113" w:right="0"/>
              <w:jc w:val="right"/>
              <w:rPr>
                <w:sz w:val="18"/>
                <w:lang w:val="es-ES_tradnl"/>
              </w:rPr>
            </w:pPr>
            <w:r w:rsidRPr="005B556F">
              <w:rPr>
                <w:sz w:val="18"/>
                <w:lang w:val="es-ES_tradnl"/>
              </w:rPr>
              <w:t>1,23</w:t>
            </w:r>
          </w:p>
        </w:tc>
        <w:tc>
          <w:tcPr>
            <w:tcW w:w="869" w:type="dxa"/>
            <w:tcBorders>
              <w:top w:val="single" w:sz="12" w:space="0" w:color="auto"/>
              <w:bottom w:val="single" w:sz="12" w:space="0" w:color="auto"/>
            </w:tcBorders>
            <w:shd w:val="clear" w:color="auto" w:fill="auto"/>
            <w:noWrap/>
            <w:vAlign w:val="bottom"/>
            <w:hideMark/>
          </w:tcPr>
          <w:p w14:paraId="111C21FC" w14:textId="77777777" w:rsidR="00E16C43" w:rsidRPr="005B556F" w:rsidRDefault="00E16C43" w:rsidP="005B556F">
            <w:pPr>
              <w:pStyle w:val="SingleTxtG"/>
              <w:tabs>
                <w:tab w:val="clear" w:pos="1701"/>
                <w:tab w:val="clear" w:pos="2268"/>
                <w:tab w:val="clear" w:pos="2835"/>
              </w:tabs>
              <w:spacing w:before="40" w:after="40" w:line="220" w:lineRule="exact"/>
              <w:ind w:left="113" w:right="0"/>
              <w:jc w:val="right"/>
              <w:rPr>
                <w:sz w:val="18"/>
                <w:lang w:val="es-ES_tradnl"/>
              </w:rPr>
            </w:pPr>
            <w:r w:rsidRPr="005B556F">
              <w:rPr>
                <w:sz w:val="18"/>
                <w:lang w:val="es-ES_tradnl"/>
              </w:rPr>
              <w:t>1,20</w:t>
            </w:r>
          </w:p>
        </w:tc>
        <w:tc>
          <w:tcPr>
            <w:tcW w:w="869" w:type="dxa"/>
            <w:tcBorders>
              <w:top w:val="single" w:sz="12" w:space="0" w:color="auto"/>
              <w:bottom w:val="single" w:sz="12" w:space="0" w:color="auto"/>
            </w:tcBorders>
            <w:shd w:val="clear" w:color="auto" w:fill="auto"/>
            <w:noWrap/>
            <w:vAlign w:val="bottom"/>
            <w:hideMark/>
          </w:tcPr>
          <w:p w14:paraId="7F507704" w14:textId="77777777" w:rsidR="00E16C43" w:rsidRPr="005B556F" w:rsidRDefault="00E16C43" w:rsidP="005B556F">
            <w:pPr>
              <w:pStyle w:val="SingleTxtG"/>
              <w:tabs>
                <w:tab w:val="clear" w:pos="1701"/>
                <w:tab w:val="clear" w:pos="2268"/>
                <w:tab w:val="clear" w:pos="2835"/>
              </w:tabs>
              <w:spacing w:before="40" w:after="40" w:line="220" w:lineRule="exact"/>
              <w:ind w:left="113" w:right="0"/>
              <w:jc w:val="right"/>
              <w:rPr>
                <w:sz w:val="18"/>
                <w:lang w:val="es-ES_tradnl"/>
              </w:rPr>
            </w:pPr>
            <w:r w:rsidRPr="005B556F">
              <w:rPr>
                <w:sz w:val="18"/>
                <w:lang w:val="es-ES_tradnl"/>
              </w:rPr>
              <w:t>1,24</w:t>
            </w:r>
          </w:p>
        </w:tc>
      </w:tr>
    </w:tbl>
    <w:p w14:paraId="1C4E5630" w14:textId="4D190D79" w:rsidR="00EF2118" w:rsidRPr="00EF2118" w:rsidRDefault="00EF2118" w:rsidP="00034084">
      <w:pPr>
        <w:pStyle w:val="SingleTxtG"/>
        <w:spacing w:before="120" w:after="240"/>
        <w:jc w:val="left"/>
        <w:rPr>
          <w:sz w:val="18"/>
          <w:szCs w:val="18"/>
          <w:lang w:val="es-ES_tradnl"/>
        </w:rPr>
      </w:pPr>
      <w:r w:rsidRPr="00EF2118">
        <w:rPr>
          <w:sz w:val="18"/>
          <w:szCs w:val="18"/>
          <w:lang w:val="es-ES_tradnl"/>
        </w:rPr>
        <w:tab/>
        <w:t>a)</w:t>
      </w:r>
      <w:r w:rsidRPr="00EF2118">
        <w:rPr>
          <w:sz w:val="18"/>
          <w:szCs w:val="18"/>
          <w:lang w:val="es-ES_tradnl"/>
        </w:rPr>
        <w:tab/>
        <w:t>Este coeficiente se obtiene dividiendo la suma de los ingresos disponibles ponderados de los hogares (nivel de persona) del decil superior por la suma de los ingresos disponibles ponderados de los hogares (nivel de persona) de los cuatro deciles inferiores. Los deciles utilizados en el coeficiente se determinan a partir de los ingresos disponibles ponderados de los hogares (nivel de persona).</w:t>
      </w:r>
    </w:p>
    <w:p w14:paraId="691FEC23" w14:textId="09044479" w:rsidR="00E16C43" w:rsidRPr="00B039DD" w:rsidRDefault="00E16C43" w:rsidP="005B556F">
      <w:pPr>
        <w:pStyle w:val="Ttulo1"/>
      </w:pPr>
      <w:r w:rsidRPr="00B039DD">
        <w:t>Cuadro 3</w:t>
      </w:r>
    </w:p>
    <w:p w14:paraId="08B2DB3A" w14:textId="03C386AA" w:rsidR="00E16C43" w:rsidRDefault="00E16C43" w:rsidP="00E16C43">
      <w:pPr>
        <w:pStyle w:val="SingleTxtG"/>
        <w:rPr>
          <w:b/>
          <w:bCs/>
          <w:lang w:val="es-ES_tradnl"/>
        </w:rPr>
      </w:pPr>
      <w:r w:rsidRPr="00B039DD">
        <w:rPr>
          <w:b/>
          <w:bCs/>
          <w:lang w:val="es-ES_tradnl"/>
        </w:rPr>
        <w:t>Valor de los activos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031"/>
        <w:gridCol w:w="911"/>
        <w:gridCol w:w="897"/>
        <w:gridCol w:w="910"/>
        <w:gridCol w:w="883"/>
        <w:gridCol w:w="869"/>
        <w:gridCol w:w="869"/>
      </w:tblGrid>
      <w:tr w:rsidR="005A79CF" w:rsidRPr="005B556F" w14:paraId="71E279F7" w14:textId="77777777" w:rsidTr="005A79CF">
        <w:trPr>
          <w:trHeight w:val="240"/>
          <w:tblHeader/>
        </w:trPr>
        <w:tc>
          <w:tcPr>
            <w:tcW w:w="2031" w:type="dxa"/>
            <w:vMerge w:val="restart"/>
            <w:tcBorders>
              <w:top w:val="single" w:sz="4" w:space="0" w:color="auto"/>
              <w:bottom w:val="single" w:sz="12" w:space="0" w:color="auto"/>
            </w:tcBorders>
            <w:shd w:val="clear" w:color="auto" w:fill="auto"/>
            <w:noWrap/>
            <w:vAlign w:val="bottom"/>
            <w:hideMark/>
          </w:tcPr>
          <w:p w14:paraId="7BD8D028" w14:textId="77777777" w:rsidR="005A79CF" w:rsidRPr="005B556F" w:rsidRDefault="005A79CF" w:rsidP="0070476E">
            <w:pPr>
              <w:pStyle w:val="SingleTxtG"/>
              <w:tabs>
                <w:tab w:val="clear" w:pos="1701"/>
                <w:tab w:val="clear" w:pos="2268"/>
                <w:tab w:val="clear" w:pos="2835"/>
              </w:tabs>
              <w:spacing w:before="80" w:after="80" w:line="200" w:lineRule="exact"/>
              <w:ind w:left="0" w:right="0"/>
              <w:jc w:val="left"/>
              <w:rPr>
                <w:i/>
                <w:sz w:val="16"/>
                <w:lang w:val="es-ES_tradnl"/>
              </w:rPr>
            </w:pPr>
          </w:p>
        </w:tc>
        <w:tc>
          <w:tcPr>
            <w:tcW w:w="911" w:type="dxa"/>
            <w:tcBorders>
              <w:top w:val="single" w:sz="4" w:space="0" w:color="auto"/>
              <w:bottom w:val="single" w:sz="4" w:space="0" w:color="auto"/>
            </w:tcBorders>
            <w:shd w:val="clear" w:color="auto" w:fill="auto"/>
            <w:noWrap/>
            <w:vAlign w:val="bottom"/>
            <w:hideMark/>
          </w:tcPr>
          <w:p w14:paraId="47B68DFC" w14:textId="77777777" w:rsidR="005A79CF" w:rsidRPr="005B556F" w:rsidRDefault="005A79CF" w:rsidP="0070476E">
            <w:pPr>
              <w:pStyle w:val="SingleTxtG"/>
              <w:tabs>
                <w:tab w:val="clear" w:pos="1701"/>
                <w:tab w:val="clear" w:pos="2268"/>
                <w:tab w:val="clear" w:pos="2835"/>
              </w:tabs>
              <w:spacing w:before="80" w:after="80" w:line="200" w:lineRule="exact"/>
              <w:ind w:left="113" w:right="0"/>
              <w:jc w:val="right"/>
              <w:rPr>
                <w:i/>
                <w:sz w:val="16"/>
                <w:lang w:val="es-ES_tradnl"/>
              </w:rPr>
            </w:pPr>
            <w:r w:rsidRPr="005B556F">
              <w:rPr>
                <w:i/>
                <w:iCs/>
                <w:sz w:val="16"/>
                <w:lang w:val="es-ES_tradnl"/>
              </w:rPr>
              <w:t>2009-2010</w:t>
            </w:r>
          </w:p>
        </w:tc>
        <w:tc>
          <w:tcPr>
            <w:tcW w:w="897" w:type="dxa"/>
            <w:tcBorders>
              <w:top w:val="single" w:sz="4" w:space="0" w:color="auto"/>
              <w:bottom w:val="single" w:sz="4" w:space="0" w:color="auto"/>
            </w:tcBorders>
            <w:shd w:val="clear" w:color="auto" w:fill="auto"/>
            <w:noWrap/>
            <w:vAlign w:val="bottom"/>
            <w:hideMark/>
          </w:tcPr>
          <w:p w14:paraId="4171D556" w14:textId="77777777" w:rsidR="005A79CF" w:rsidRPr="005B556F" w:rsidRDefault="005A79CF" w:rsidP="0070476E">
            <w:pPr>
              <w:pStyle w:val="SingleTxtG"/>
              <w:tabs>
                <w:tab w:val="clear" w:pos="1701"/>
                <w:tab w:val="clear" w:pos="2268"/>
                <w:tab w:val="clear" w:pos="2835"/>
              </w:tabs>
              <w:spacing w:before="80" w:after="80" w:line="200" w:lineRule="exact"/>
              <w:ind w:left="113" w:right="0"/>
              <w:jc w:val="right"/>
              <w:rPr>
                <w:bCs/>
                <w:i/>
                <w:sz w:val="16"/>
                <w:lang w:val="es-ES_tradnl"/>
              </w:rPr>
            </w:pPr>
            <w:r w:rsidRPr="005B556F">
              <w:rPr>
                <w:i/>
                <w:iCs/>
                <w:sz w:val="16"/>
                <w:lang w:val="es-ES_tradnl"/>
              </w:rPr>
              <w:t>2011-2012</w:t>
            </w:r>
          </w:p>
        </w:tc>
        <w:tc>
          <w:tcPr>
            <w:tcW w:w="910" w:type="dxa"/>
            <w:tcBorders>
              <w:top w:val="single" w:sz="4" w:space="0" w:color="auto"/>
              <w:bottom w:val="single" w:sz="4" w:space="0" w:color="auto"/>
            </w:tcBorders>
            <w:shd w:val="clear" w:color="auto" w:fill="auto"/>
            <w:vAlign w:val="bottom"/>
            <w:hideMark/>
          </w:tcPr>
          <w:p w14:paraId="47122772" w14:textId="77777777" w:rsidR="005A79CF" w:rsidRPr="005B556F" w:rsidRDefault="005A79CF" w:rsidP="0070476E">
            <w:pPr>
              <w:pStyle w:val="SingleTxtG"/>
              <w:tabs>
                <w:tab w:val="clear" w:pos="1701"/>
                <w:tab w:val="clear" w:pos="2268"/>
                <w:tab w:val="clear" w:pos="2835"/>
              </w:tabs>
              <w:spacing w:before="80" w:after="80" w:line="200" w:lineRule="exact"/>
              <w:ind w:left="113" w:right="0"/>
              <w:jc w:val="right"/>
              <w:rPr>
                <w:bCs/>
                <w:i/>
                <w:sz w:val="16"/>
                <w:lang w:val="es-ES_tradnl"/>
              </w:rPr>
            </w:pPr>
            <w:r w:rsidRPr="005B556F">
              <w:rPr>
                <w:i/>
                <w:iCs/>
                <w:sz w:val="16"/>
                <w:lang w:val="es-ES_tradnl"/>
              </w:rPr>
              <w:t>2013-2014</w:t>
            </w:r>
          </w:p>
        </w:tc>
        <w:tc>
          <w:tcPr>
            <w:tcW w:w="883" w:type="dxa"/>
            <w:tcBorders>
              <w:top w:val="single" w:sz="4" w:space="0" w:color="auto"/>
              <w:bottom w:val="single" w:sz="4" w:space="0" w:color="auto"/>
            </w:tcBorders>
            <w:shd w:val="clear" w:color="auto" w:fill="auto"/>
            <w:noWrap/>
            <w:vAlign w:val="bottom"/>
            <w:hideMark/>
          </w:tcPr>
          <w:p w14:paraId="1E802D23" w14:textId="77777777" w:rsidR="005A79CF" w:rsidRPr="005B556F" w:rsidRDefault="005A79CF" w:rsidP="0070476E">
            <w:pPr>
              <w:pStyle w:val="SingleTxtG"/>
              <w:tabs>
                <w:tab w:val="clear" w:pos="1701"/>
                <w:tab w:val="clear" w:pos="2268"/>
                <w:tab w:val="clear" w:pos="2835"/>
              </w:tabs>
              <w:spacing w:before="80" w:after="80" w:line="200" w:lineRule="exact"/>
              <w:ind w:left="113" w:right="0"/>
              <w:jc w:val="right"/>
              <w:rPr>
                <w:bCs/>
                <w:i/>
                <w:sz w:val="16"/>
                <w:lang w:val="es-ES_tradnl"/>
              </w:rPr>
            </w:pPr>
            <w:r w:rsidRPr="005B556F">
              <w:rPr>
                <w:i/>
                <w:iCs/>
                <w:sz w:val="16"/>
                <w:lang w:val="es-ES_tradnl"/>
              </w:rPr>
              <w:t>2015-2016</w:t>
            </w:r>
          </w:p>
        </w:tc>
        <w:tc>
          <w:tcPr>
            <w:tcW w:w="869" w:type="dxa"/>
            <w:tcBorders>
              <w:top w:val="single" w:sz="4" w:space="0" w:color="auto"/>
              <w:bottom w:val="single" w:sz="4" w:space="0" w:color="auto"/>
            </w:tcBorders>
            <w:shd w:val="clear" w:color="auto" w:fill="auto"/>
            <w:vAlign w:val="bottom"/>
            <w:hideMark/>
          </w:tcPr>
          <w:p w14:paraId="365060B2" w14:textId="77777777" w:rsidR="005A79CF" w:rsidRPr="005B556F" w:rsidRDefault="005A79CF" w:rsidP="0070476E">
            <w:pPr>
              <w:pStyle w:val="SingleTxtG"/>
              <w:tabs>
                <w:tab w:val="clear" w:pos="1701"/>
                <w:tab w:val="clear" w:pos="2268"/>
                <w:tab w:val="clear" w:pos="2835"/>
              </w:tabs>
              <w:spacing w:before="80" w:after="80" w:line="200" w:lineRule="exact"/>
              <w:ind w:left="113" w:right="0"/>
              <w:jc w:val="right"/>
              <w:rPr>
                <w:bCs/>
                <w:i/>
                <w:sz w:val="16"/>
                <w:lang w:val="es-ES_tradnl"/>
              </w:rPr>
            </w:pPr>
            <w:r w:rsidRPr="005B556F">
              <w:rPr>
                <w:i/>
                <w:iCs/>
                <w:sz w:val="16"/>
                <w:lang w:val="es-ES_tradnl"/>
              </w:rPr>
              <w:t>2017-2018</w:t>
            </w:r>
          </w:p>
        </w:tc>
        <w:tc>
          <w:tcPr>
            <w:tcW w:w="869" w:type="dxa"/>
            <w:tcBorders>
              <w:top w:val="single" w:sz="4" w:space="0" w:color="auto"/>
              <w:bottom w:val="single" w:sz="4" w:space="0" w:color="auto"/>
            </w:tcBorders>
            <w:shd w:val="clear" w:color="auto" w:fill="auto"/>
            <w:noWrap/>
            <w:vAlign w:val="bottom"/>
            <w:hideMark/>
          </w:tcPr>
          <w:p w14:paraId="449A635B" w14:textId="77777777" w:rsidR="005A79CF" w:rsidRPr="005B556F" w:rsidRDefault="005A79CF" w:rsidP="0070476E">
            <w:pPr>
              <w:pStyle w:val="SingleTxtG"/>
              <w:tabs>
                <w:tab w:val="clear" w:pos="1701"/>
                <w:tab w:val="clear" w:pos="2268"/>
                <w:tab w:val="clear" w:pos="2835"/>
              </w:tabs>
              <w:spacing w:before="80" w:after="80" w:line="200" w:lineRule="exact"/>
              <w:ind w:left="113" w:right="0"/>
              <w:jc w:val="right"/>
              <w:rPr>
                <w:bCs/>
                <w:i/>
                <w:sz w:val="16"/>
                <w:lang w:val="es-ES_tradnl"/>
              </w:rPr>
            </w:pPr>
            <w:r w:rsidRPr="005B556F">
              <w:rPr>
                <w:i/>
                <w:iCs/>
                <w:sz w:val="16"/>
                <w:lang w:val="es-ES_tradnl"/>
              </w:rPr>
              <w:t>2019-2020</w:t>
            </w:r>
          </w:p>
        </w:tc>
      </w:tr>
      <w:tr w:rsidR="005A79CF" w:rsidRPr="005B556F" w14:paraId="53DF6F63" w14:textId="77777777" w:rsidTr="005A79CF">
        <w:trPr>
          <w:trHeight w:val="240"/>
        </w:trPr>
        <w:tc>
          <w:tcPr>
            <w:tcW w:w="2031" w:type="dxa"/>
            <w:vMerge/>
            <w:tcBorders>
              <w:top w:val="single" w:sz="12" w:space="0" w:color="auto"/>
              <w:bottom w:val="single" w:sz="12" w:space="0" w:color="auto"/>
            </w:tcBorders>
            <w:shd w:val="clear" w:color="auto" w:fill="auto"/>
            <w:noWrap/>
            <w:vAlign w:val="bottom"/>
            <w:hideMark/>
          </w:tcPr>
          <w:p w14:paraId="186DE5C1" w14:textId="77777777" w:rsidR="005A79CF" w:rsidRPr="005B556F" w:rsidRDefault="005A79CF" w:rsidP="0070476E">
            <w:pPr>
              <w:pStyle w:val="SingleTxtG"/>
              <w:tabs>
                <w:tab w:val="clear" w:pos="1701"/>
                <w:tab w:val="clear" w:pos="2268"/>
                <w:tab w:val="clear" w:pos="2835"/>
              </w:tabs>
              <w:spacing w:before="40" w:after="40" w:line="220" w:lineRule="exact"/>
              <w:ind w:left="0" w:right="0"/>
              <w:jc w:val="left"/>
              <w:rPr>
                <w:bCs/>
                <w:sz w:val="18"/>
                <w:lang w:val="es-ES_tradnl"/>
              </w:rPr>
            </w:pPr>
          </w:p>
        </w:tc>
        <w:tc>
          <w:tcPr>
            <w:tcW w:w="5339" w:type="dxa"/>
            <w:gridSpan w:val="6"/>
            <w:tcBorders>
              <w:top w:val="single" w:sz="4" w:space="0" w:color="auto"/>
              <w:bottom w:val="single" w:sz="12" w:space="0" w:color="auto"/>
            </w:tcBorders>
            <w:shd w:val="clear" w:color="auto" w:fill="auto"/>
            <w:noWrap/>
            <w:vAlign w:val="bottom"/>
            <w:hideMark/>
          </w:tcPr>
          <w:p w14:paraId="4B13DBAE" w14:textId="77777777" w:rsidR="005A79CF" w:rsidRPr="005B556F" w:rsidRDefault="005A79CF" w:rsidP="005A79CF">
            <w:pPr>
              <w:pStyle w:val="SingleTxtG"/>
              <w:tabs>
                <w:tab w:val="clear" w:pos="1701"/>
                <w:tab w:val="clear" w:pos="2268"/>
                <w:tab w:val="clear" w:pos="2835"/>
              </w:tabs>
              <w:spacing w:before="80" w:after="80" w:line="200" w:lineRule="exact"/>
              <w:ind w:left="113" w:right="0"/>
              <w:jc w:val="center"/>
              <w:rPr>
                <w:iCs/>
                <w:sz w:val="18"/>
                <w:lang w:val="es-ES_tradnl"/>
              </w:rPr>
            </w:pPr>
            <w:r w:rsidRPr="005A79CF">
              <w:rPr>
                <w:i/>
                <w:iCs/>
                <w:sz w:val="16"/>
                <w:lang w:val="es-ES_tradnl"/>
              </w:rPr>
              <w:t>Coeficiente</w:t>
            </w:r>
          </w:p>
        </w:tc>
      </w:tr>
      <w:tr w:rsidR="005A79CF" w:rsidRPr="005A79CF" w14:paraId="5C740CD7" w14:textId="77777777" w:rsidTr="005A79CF">
        <w:trPr>
          <w:trHeight w:val="240"/>
        </w:trPr>
        <w:tc>
          <w:tcPr>
            <w:tcW w:w="2031" w:type="dxa"/>
            <w:tcBorders>
              <w:top w:val="single" w:sz="12" w:space="0" w:color="auto"/>
              <w:bottom w:val="single" w:sz="12" w:space="0" w:color="auto"/>
            </w:tcBorders>
            <w:shd w:val="clear" w:color="auto" w:fill="auto"/>
          </w:tcPr>
          <w:p w14:paraId="3DC10640" w14:textId="2C429280" w:rsidR="005A79CF" w:rsidRPr="005A79CF" w:rsidRDefault="005A79CF" w:rsidP="005A79CF">
            <w:pPr>
              <w:pStyle w:val="SingleTxtG"/>
              <w:tabs>
                <w:tab w:val="clear" w:pos="1701"/>
                <w:tab w:val="clear" w:pos="2268"/>
                <w:tab w:val="clear" w:pos="2835"/>
              </w:tabs>
              <w:spacing w:before="80" w:after="80" w:line="220" w:lineRule="exact"/>
              <w:ind w:left="283" w:right="0"/>
              <w:jc w:val="left"/>
              <w:rPr>
                <w:b/>
                <w:bCs/>
                <w:sz w:val="18"/>
                <w:lang w:val="es-ES_tradnl"/>
              </w:rPr>
            </w:pPr>
            <w:r w:rsidRPr="005A79CF">
              <w:rPr>
                <w:b/>
                <w:bCs/>
                <w:sz w:val="18"/>
                <w:lang w:val="es-ES_tradnl"/>
              </w:rPr>
              <w:t>Activos totales – Coeficiente a)</w:t>
            </w:r>
          </w:p>
        </w:tc>
        <w:tc>
          <w:tcPr>
            <w:tcW w:w="911" w:type="dxa"/>
            <w:tcBorders>
              <w:top w:val="single" w:sz="12" w:space="0" w:color="auto"/>
              <w:bottom w:val="single" w:sz="12" w:space="0" w:color="auto"/>
            </w:tcBorders>
            <w:shd w:val="clear" w:color="auto" w:fill="auto"/>
            <w:noWrap/>
            <w:vAlign w:val="bottom"/>
          </w:tcPr>
          <w:p w14:paraId="3119A48F" w14:textId="7A7F275C" w:rsidR="005A79CF" w:rsidRPr="005A79CF" w:rsidRDefault="005A79CF" w:rsidP="005A79CF">
            <w:pPr>
              <w:pStyle w:val="SingleTxtG"/>
              <w:tabs>
                <w:tab w:val="clear" w:pos="1701"/>
                <w:tab w:val="clear" w:pos="2268"/>
                <w:tab w:val="clear" w:pos="2835"/>
              </w:tabs>
              <w:spacing w:before="80" w:after="80" w:line="220" w:lineRule="exact"/>
              <w:ind w:left="0" w:right="0"/>
              <w:jc w:val="right"/>
              <w:rPr>
                <w:b/>
                <w:sz w:val="18"/>
                <w:lang w:val="es-ES_tradnl"/>
              </w:rPr>
            </w:pPr>
            <w:r w:rsidRPr="005A79CF">
              <w:rPr>
                <w:b/>
                <w:bCs/>
                <w:sz w:val="18"/>
                <w:lang w:val="es-ES_tradnl"/>
              </w:rPr>
              <w:t>4,21</w:t>
            </w:r>
          </w:p>
        </w:tc>
        <w:tc>
          <w:tcPr>
            <w:tcW w:w="897" w:type="dxa"/>
            <w:tcBorders>
              <w:top w:val="single" w:sz="12" w:space="0" w:color="auto"/>
              <w:bottom w:val="single" w:sz="12" w:space="0" w:color="auto"/>
            </w:tcBorders>
            <w:shd w:val="clear" w:color="auto" w:fill="auto"/>
            <w:noWrap/>
            <w:vAlign w:val="bottom"/>
          </w:tcPr>
          <w:p w14:paraId="3FCADD96" w14:textId="7B15FFA3" w:rsidR="005A79CF" w:rsidRPr="005A79CF" w:rsidRDefault="005A79CF" w:rsidP="005A79CF">
            <w:pPr>
              <w:pStyle w:val="SingleTxtG"/>
              <w:tabs>
                <w:tab w:val="clear" w:pos="1701"/>
                <w:tab w:val="clear" w:pos="2268"/>
                <w:tab w:val="clear" w:pos="2835"/>
              </w:tabs>
              <w:spacing w:before="80" w:after="80" w:line="220" w:lineRule="exact"/>
              <w:ind w:left="0" w:right="0"/>
              <w:jc w:val="right"/>
              <w:rPr>
                <w:b/>
                <w:sz w:val="18"/>
                <w:lang w:val="es-ES_tradnl"/>
              </w:rPr>
            </w:pPr>
            <w:r w:rsidRPr="005A79CF">
              <w:rPr>
                <w:b/>
                <w:bCs/>
                <w:sz w:val="18"/>
                <w:lang w:val="es-ES_tradnl"/>
              </w:rPr>
              <w:t>3,29</w:t>
            </w:r>
          </w:p>
        </w:tc>
        <w:tc>
          <w:tcPr>
            <w:tcW w:w="910" w:type="dxa"/>
            <w:tcBorders>
              <w:top w:val="single" w:sz="12" w:space="0" w:color="auto"/>
              <w:bottom w:val="single" w:sz="12" w:space="0" w:color="auto"/>
            </w:tcBorders>
            <w:shd w:val="clear" w:color="auto" w:fill="auto"/>
            <w:noWrap/>
            <w:vAlign w:val="bottom"/>
          </w:tcPr>
          <w:p w14:paraId="64A3A2F3" w14:textId="15FCFCF0" w:rsidR="005A79CF" w:rsidRPr="005A79CF" w:rsidRDefault="005A79CF" w:rsidP="005A79CF">
            <w:pPr>
              <w:pStyle w:val="SingleTxtG"/>
              <w:tabs>
                <w:tab w:val="clear" w:pos="1701"/>
                <w:tab w:val="clear" w:pos="2268"/>
                <w:tab w:val="clear" w:pos="2835"/>
              </w:tabs>
              <w:spacing w:before="80" w:after="80" w:line="220" w:lineRule="exact"/>
              <w:ind w:left="0" w:right="0"/>
              <w:jc w:val="right"/>
              <w:rPr>
                <w:b/>
                <w:sz w:val="18"/>
                <w:lang w:val="es-ES_tradnl"/>
              </w:rPr>
            </w:pPr>
            <w:r w:rsidRPr="005A79CF">
              <w:rPr>
                <w:b/>
                <w:bCs/>
                <w:sz w:val="18"/>
                <w:lang w:val="es-ES_tradnl"/>
              </w:rPr>
              <w:t>3,80</w:t>
            </w:r>
          </w:p>
        </w:tc>
        <w:tc>
          <w:tcPr>
            <w:tcW w:w="883" w:type="dxa"/>
            <w:tcBorders>
              <w:top w:val="single" w:sz="12" w:space="0" w:color="auto"/>
              <w:bottom w:val="single" w:sz="12" w:space="0" w:color="auto"/>
            </w:tcBorders>
            <w:shd w:val="clear" w:color="auto" w:fill="auto"/>
            <w:noWrap/>
            <w:vAlign w:val="bottom"/>
          </w:tcPr>
          <w:p w14:paraId="74AF2DD9" w14:textId="25804C3F" w:rsidR="005A79CF" w:rsidRPr="005A79CF" w:rsidRDefault="005A79CF" w:rsidP="005A79CF">
            <w:pPr>
              <w:pStyle w:val="SingleTxtG"/>
              <w:tabs>
                <w:tab w:val="clear" w:pos="1701"/>
                <w:tab w:val="clear" w:pos="2268"/>
                <w:tab w:val="clear" w:pos="2835"/>
              </w:tabs>
              <w:spacing w:before="80" w:after="80" w:line="220" w:lineRule="exact"/>
              <w:ind w:left="0" w:right="0"/>
              <w:jc w:val="right"/>
              <w:rPr>
                <w:b/>
                <w:sz w:val="18"/>
                <w:lang w:val="es-ES_tradnl"/>
              </w:rPr>
            </w:pPr>
            <w:r w:rsidRPr="005A79CF">
              <w:rPr>
                <w:b/>
                <w:bCs/>
                <w:sz w:val="18"/>
                <w:lang w:val="es-ES_tradnl"/>
              </w:rPr>
              <w:t>3,35</w:t>
            </w:r>
          </w:p>
        </w:tc>
        <w:tc>
          <w:tcPr>
            <w:tcW w:w="869" w:type="dxa"/>
            <w:tcBorders>
              <w:top w:val="single" w:sz="12" w:space="0" w:color="auto"/>
              <w:bottom w:val="single" w:sz="12" w:space="0" w:color="auto"/>
            </w:tcBorders>
            <w:shd w:val="clear" w:color="auto" w:fill="auto"/>
            <w:noWrap/>
            <w:vAlign w:val="bottom"/>
          </w:tcPr>
          <w:p w14:paraId="7F7EDB69" w14:textId="45F9C42F" w:rsidR="005A79CF" w:rsidRPr="005A79CF" w:rsidRDefault="005A79CF" w:rsidP="005A79CF">
            <w:pPr>
              <w:pStyle w:val="SingleTxtG"/>
              <w:tabs>
                <w:tab w:val="clear" w:pos="1701"/>
                <w:tab w:val="clear" w:pos="2268"/>
                <w:tab w:val="clear" w:pos="2835"/>
              </w:tabs>
              <w:spacing w:before="80" w:after="80" w:line="220" w:lineRule="exact"/>
              <w:ind w:left="0" w:right="0"/>
              <w:jc w:val="right"/>
              <w:rPr>
                <w:b/>
                <w:sz w:val="18"/>
                <w:lang w:val="es-ES_tradnl"/>
              </w:rPr>
            </w:pPr>
            <w:r w:rsidRPr="005A79CF">
              <w:rPr>
                <w:b/>
                <w:bCs/>
                <w:sz w:val="18"/>
                <w:lang w:val="es-ES_tradnl"/>
              </w:rPr>
              <w:t>3,67</w:t>
            </w:r>
          </w:p>
        </w:tc>
        <w:tc>
          <w:tcPr>
            <w:tcW w:w="869" w:type="dxa"/>
            <w:tcBorders>
              <w:top w:val="single" w:sz="12" w:space="0" w:color="auto"/>
              <w:bottom w:val="single" w:sz="12" w:space="0" w:color="auto"/>
            </w:tcBorders>
            <w:shd w:val="clear" w:color="auto" w:fill="auto"/>
            <w:noWrap/>
            <w:vAlign w:val="bottom"/>
          </w:tcPr>
          <w:p w14:paraId="40B43578" w14:textId="19E81ADD" w:rsidR="005A79CF" w:rsidRPr="005A79CF" w:rsidRDefault="005A79CF" w:rsidP="005A79CF">
            <w:pPr>
              <w:pStyle w:val="SingleTxtG"/>
              <w:tabs>
                <w:tab w:val="clear" w:pos="1701"/>
                <w:tab w:val="clear" w:pos="2268"/>
                <w:tab w:val="clear" w:pos="2835"/>
              </w:tabs>
              <w:spacing w:before="80" w:after="80" w:line="220" w:lineRule="exact"/>
              <w:ind w:left="0" w:right="0"/>
              <w:jc w:val="right"/>
              <w:rPr>
                <w:b/>
                <w:sz w:val="18"/>
                <w:lang w:val="es-ES_tradnl"/>
              </w:rPr>
            </w:pPr>
            <w:r w:rsidRPr="005A79CF">
              <w:rPr>
                <w:b/>
                <w:bCs/>
                <w:sz w:val="18"/>
                <w:lang w:val="es-ES_tradnl"/>
              </w:rPr>
              <w:t>3,43</w:t>
            </w:r>
          </w:p>
        </w:tc>
      </w:tr>
    </w:tbl>
    <w:p w14:paraId="37640ABE" w14:textId="19EE3983" w:rsidR="005B556F" w:rsidRPr="005B556F" w:rsidRDefault="005B556F" w:rsidP="005B556F">
      <w:pPr>
        <w:pStyle w:val="SingleTxtG"/>
        <w:spacing w:before="120" w:after="240"/>
        <w:jc w:val="left"/>
        <w:rPr>
          <w:sz w:val="18"/>
          <w:szCs w:val="18"/>
          <w:lang w:val="es-ES_tradnl"/>
        </w:rPr>
      </w:pPr>
      <w:r>
        <w:rPr>
          <w:sz w:val="18"/>
          <w:szCs w:val="18"/>
          <w:lang w:val="es-ES_tradnl"/>
        </w:rPr>
        <w:tab/>
      </w:r>
      <w:r w:rsidRPr="005B556F">
        <w:rPr>
          <w:sz w:val="18"/>
          <w:szCs w:val="18"/>
          <w:lang w:val="es-ES_tradnl"/>
        </w:rPr>
        <w:t>a)</w:t>
      </w:r>
      <w:r>
        <w:rPr>
          <w:sz w:val="18"/>
          <w:szCs w:val="18"/>
          <w:lang w:val="es-ES_tradnl"/>
        </w:rPr>
        <w:tab/>
      </w:r>
      <w:r w:rsidRPr="005B556F">
        <w:rPr>
          <w:sz w:val="18"/>
          <w:szCs w:val="18"/>
          <w:lang w:val="es-ES_tradnl"/>
        </w:rPr>
        <w:t xml:space="preserve">Este coeficiente se obtiene dividiendo la suma de los activos totales del decil superior por la suma de los activos totales de los </w:t>
      </w:r>
      <w:r w:rsidR="004413F5">
        <w:rPr>
          <w:sz w:val="18"/>
          <w:szCs w:val="18"/>
          <w:lang w:val="es-ES_tradnl"/>
        </w:rPr>
        <w:t>cinco</w:t>
      </w:r>
      <w:r w:rsidRPr="005B556F">
        <w:rPr>
          <w:sz w:val="18"/>
          <w:szCs w:val="18"/>
          <w:lang w:val="es-ES_tradnl"/>
        </w:rPr>
        <w:t xml:space="preserve"> deciles inferiores. Los deciles utilizados en el coeficiente se determinan a partir del total de los activos de los hogares.</w:t>
      </w:r>
    </w:p>
    <w:p w14:paraId="54BB7EAB" w14:textId="0388F1F7" w:rsidR="00E16C43" w:rsidRPr="00B039DD" w:rsidRDefault="005A79CF" w:rsidP="005A79CF">
      <w:pPr>
        <w:pStyle w:val="H1G"/>
        <w:rPr>
          <w:lang w:val="es-ES_tradnl"/>
        </w:rPr>
      </w:pPr>
      <w:r>
        <w:rPr>
          <w:lang w:val="es-ES_tradnl"/>
        </w:rPr>
        <w:lastRenderedPageBreak/>
        <w:tab/>
      </w:r>
      <w:r w:rsidR="00E16C43">
        <w:rPr>
          <w:lang w:val="es-ES_tradnl"/>
        </w:rPr>
        <w:tab/>
      </w:r>
      <w:r w:rsidR="00E16C43" w:rsidRPr="00B039DD">
        <w:rPr>
          <w:lang w:val="es-ES_tradnl"/>
        </w:rPr>
        <w:t>Ingresos públicos generados por los impuestos</w:t>
      </w:r>
    </w:p>
    <w:p w14:paraId="37F75790" w14:textId="77777777" w:rsidR="00E16C43" w:rsidRPr="00B039DD" w:rsidRDefault="00E16C43" w:rsidP="00E16C43">
      <w:pPr>
        <w:pStyle w:val="SingleTxtG"/>
        <w:rPr>
          <w:lang w:val="es-ES_tradnl"/>
        </w:rPr>
      </w:pPr>
      <w:r w:rsidRPr="00B039DD">
        <w:rPr>
          <w:lang w:val="es-ES_tradnl"/>
        </w:rPr>
        <w:t>68.</w:t>
      </w:r>
      <w:r w:rsidRPr="00B039DD">
        <w:rPr>
          <w:lang w:val="es-ES_tradnl"/>
        </w:rPr>
        <w:tab/>
        <w:t xml:space="preserve">La Oficina Australiana de Estadística publica datos anuales sobre los ingresos a todos los niveles de la administración pública. Las principales fuentes de ingresos del Gobierno australiano son los impuestos sobre la renta y el consumo, en tanto que los ingresos de los gobiernos estatales y locales proceden principalmente de los impuestos sobre la propiedad, las nóminas y los derechos de timbre. Los datos más recientes son de 2020-2021. </w:t>
      </w:r>
    </w:p>
    <w:p w14:paraId="26E7094E" w14:textId="4918A4D2" w:rsidR="00E16C43" w:rsidRPr="00B039DD" w:rsidRDefault="00E16C43" w:rsidP="00E16C43">
      <w:pPr>
        <w:pStyle w:val="SingleTxtG"/>
        <w:rPr>
          <w:lang w:val="es-ES_tradnl"/>
        </w:rPr>
      </w:pPr>
      <w:r w:rsidRPr="00B039DD">
        <w:rPr>
          <w:lang w:val="es-ES_tradnl"/>
        </w:rPr>
        <w:t>69.</w:t>
      </w:r>
      <w:r w:rsidRPr="00B039DD">
        <w:rPr>
          <w:lang w:val="es-ES_tradnl"/>
        </w:rPr>
        <w:tab/>
        <w:t xml:space="preserve">En los últimos </w:t>
      </w:r>
      <w:r w:rsidR="004413F5">
        <w:rPr>
          <w:lang w:val="es-ES_tradnl"/>
        </w:rPr>
        <w:t>diez</w:t>
      </w:r>
      <w:r w:rsidRPr="00B039DD">
        <w:rPr>
          <w:lang w:val="es-ES_tradnl"/>
        </w:rPr>
        <w:t xml:space="preserve"> años, los ingresos fiscales han representado por término medio el</w:t>
      </w:r>
      <w:r w:rsidR="003049E9">
        <w:rPr>
          <w:lang w:val="es-ES_tradnl"/>
        </w:rPr>
        <w:t> </w:t>
      </w:r>
      <w:r w:rsidRPr="00B039DD">
        <w:rPr>
          <w:lang w:val="es-ES_tradnl"/>
        </w:rPr>
        <w:t>71,7 % de los ingresos públicos totales. En 2020-2021:</w:t>
      </w:r>
    </w:p>
    <w:p w14:paraId="085CAE96" w14:textId="2B4AADA2" w:rsidR="00E16C43" w:rsidRPr="00B039DD" w:rsidRDefault="005A79CF" w:rsidP="00E16C43">
      <w:pPr>
        <w:pStyle w:val="SingleTxtG"/>
        <w:rPr>
          <w:lang w:val="es-ES_tradnl"/>
        </w:rPr>
      </w:pPr>
      <w:r>
        <w:rPr>
          <w:lang w:val="es-ES_tradnl"/>
        </w:rPr>
        <w:tab/>
      </w:r>
      <w:r w:rsidR="00E16C43" w:rsidRPr="00B039DD">
        <w:rPr>
          <w:lang w:val="es-ES_tradnl"/>
        </w:rPr>
        <w:t>a)</w:t>
      </w:r>
      <w:r w:rsidR="00E16C43" w:rsidRPr="00B039DD">
        <w:rPr>
          <w:lang w:val="es-ES_tradnl"/>
        </w:rPr>
        <w:tab/>
        <w:t xml:space="preserve">Los ingresos fiscales totales representaron el 72,7 % (589.100 millones de dólares) de los ingresos públicos totales; </w:t>
      </w:r>
    </w:p>
    <w:p w14:paraId="66A25B46" w14:textId="6AF3DD84" w:rsidR="00E16C43" w:rsidRPr="00B039DD" w:rsidRDefault="005A79CF" w:rsidP="00E16C43">
      <w:pPr>
        <w:pStyle w:val="SingleTxtG"/>
        <w:rPr>
          <w:lang w:val="es-ES_tradnl"/>
        </w:rPr>
      </w:pPr>
      <w:r>
        <w:rPr>
          <w:lang w:val="es-ES_tradnl"/>
        </w:rPr>
        <w:tab/>
      </w:r>
      <w:r w:rsidR="00E16C43" w:rsidRPr="00B039DD">
        <w:rPr>
          <w:lang w:val="es-ES_tradnl"/>
        </w:rPr>
        <w:t>b)</w:t>
      </w:r>
      <w:r w:rsidR="00E16C43" w:rsidRPr="00B039DD">
        <w:rPr>
          <w:lang w:val="es-ES_tradnl"/>
        </w:rPr>
        <w:tab/>
        <w:t>Los ingresos no fiscales representaron el 27,3 % (221.800 millones de dólares) de los ingresos totales.</w:t>
      </w:r>
    </w:p>
    <w:p w14:paraId="7D9481C4" w14:textId="2885FD9A" w:rsidR="00E16C43" w:rsidRPr="00B039DD" w:rsidRDefault="005A79CF" w:rsidP="005A79CF">
      <w:pPr>
        <w:pStyle w:val="H1G"/>
        <w:rPr>
          <w:lang w:val="es-ES_tradnl"/>
        </w:rPr>
      </w:pPr>
      <w:r>
        <w:rPr>
          <w:lang w:val="es-ES_tradnl"/>
        </w:rPr>
        <w:tab/>
      </w:r>
      <w:r w:rsidR="00E16C43">
        <w:rPr>
          <w:lang w:val="es-ES_tradnl"/>
        </w:rPr>
        <w:tab/>
      </w:r>
      <w:r w:rsidR="00E16C43" w:rsidRPr="00B039DD">
        <w:rPr>
          <w:lang w:val="es-ES_tradnl"/>
        </w:rPr>
        <w:t>Tipos impositivos</w:t>
      </w:r>
    </w:p>
    <w:p w14:paraId="45432747" w14:textId="4820187A" w:rsidR="00E16C43" w:rsidRPr="00B039DD" w:rsidRDefault="00E16C43" w:rsidP="00E16C43">
      <w:pPr>
        <w:pStyle w:val="SingleTxtG"/>
        <w:rPr>
          <w:lang w:val="es-ES_tradnl"/>
        </w:rPr>
      </w:pPr>
      <w:r w:rsidRPr="00B039DD">
        <w:rPr>
          <w:lang w:val="es-ES_tradnl"/>
        </w:rPr>
        <w:t>70.</w:t>
      </w:r>
      <w:r w:rsidRPr="00B039DD">
        <w:rPr>
          <w:lang w:val="es-ES_tradnl"/>
        </w:rPr>
        <w:tab/>
        <w:t>Australia tiene un tipo del impuesto de sociedades del 30</w:t>
      </w:r>
      <w:r w:rsidR="004413F5">
        <w:rPr>
          <w:lang w:val="es-ES_tradnl"/>
        </w:rPr>
        <w:t xml:space="preserve"> </w:t>
      </w:r>
      <w:r w:rsidRPr="00B039DD">
        <w:rPr>
          <w:lang w:val="es-ES_tradnl"/>
        </w:rPr>
        <w:t>% para todas las empresas con un volumen de negocio de 50 millones de dólares o más. Las empresas con un volumen de negocio inferior a 50 millones de dólares están sujetas a un tipo impositivo del 25 %. En</w:t>
      </w:r>
      <w:r w:rsidR="004413F5">
        <w:rPr>
          <w:lang w:val="es-ES_tradnl"/>
        </w:rPr>
        <w:t> </w:t>
      </w:r>
      <w:r w:rsidRPr="00B039DD">
        <w:rPr>
          <w:lang w:val="es-ES_tradnl"/>
        </w:rPr>
        <w:t>2020-</w:t>
      </w:r>
      <w:r w:rsidR="004413F5">
        <w:rPr>
          <w:lang w:val="es-ES_tradnl"/>
        </w:rPr>
        <w:t>20</w:t>
      </w:r>
      <w:r w:rsidRPr="00B039DD">
        <w:rPr>
          <w:lang w:val="es-ES_tradnl"/>
        </w:rPr>
        <w:t>21, el impuesto de sociedades representó el 12,3 % (100.000 millones de dólares) de los ingresos públicos totales.</w:t>
      </w:r>
    </w:p>
    <w:p w14:paraId="3C469800" w14:textId="77777777" w:rsidR="00E16C43" w:rsidRPr="00B039DD" w:rsidRDefault="00E16C43" w:rsidP="00E16C43">
      <w:pPr>
        <w:pStyle w:val="SingleTxtG"/>
        <w:rPr>
          <w:lang w:val="es-ES_tradnl"/>
        </w:rPr>
      </w:pPr>
      <w:r w:rsidRPr="00B039DD">
        <w:rPr>
          <w:lang w:val="es-ES_tradnl"/>
        </w:rPr>
        <w:t>71.</w:t>
      </w:r>
      <w:r w:rsidRPr="00B039DD">
        <w:rPr>
          <w:lang w:val="es-ES_tradnl"/>
        </w:rPr>
        <w:tab/>
        <w:t>Australia tiene un sistema progresivo del impuesto sobre la renta de las personas físicas, con un umbral libre de impuestos de 18.200 dólares. Además de los tipos impositivos básicos, se aplica un tipo adicional del 2 % en concepto de Medicare a todos los ingresos imponibles, que se reduce para las rentas bajas.</w:t>
      </w:r>
    </w:p>
    <w:p w14:paraId="7B41FD3B" w14:textId="77777777" w:rsidR="00E16C43" w:rsidRPr="00B039DD" w:rsidRDefault="00E16C43" w:rsidP="00E16C43">
      <w:pPr>
        <w:pStyle w:val="SingleTxtG"/>
        <w:rPr>
          <w:lang w:val="es-ES_tradnl"/>
        </w:rPr>
      </w:pPr>
      <w:r w:rsidRPr="00B039DD">
        <w:rPr>
          <w:lang w:val="es-ES_tradnl"/>
        </w:rPr>
        <w:t>72.</w:t>
      </w:r>
      <w:r w:rsidRPr="00B039DD">
        <w:rPr>
          <w:lang w:val="es-ES_tradnl"/>
        </w:rPr>
        <w:tab/>
        <w:t>En 2019-2020 (los datos más recientes disponibles), el 10 % de los contribuyentes con ingresos personales más altos aportaron aproximadamente el 13,2 % (99.600 millones) de los ingresos públicos totales, en tanto que el 50 % de los contribuyentes con ingresos más bajos pagaron aproximadamente el 3,7 % (28.300 millones)</w:t>
      </w:r>
      <w:r w:rsidRPr="00B039DD">
        <w:rPr>
          <w:rStyle w:val="Refdenotaalpie"/>
          <w:lang w:val="es-ES_tradnl"/>
        </w:rPr>
        <w:footnoteReference w:id="8"/>
      </w:r>
      <w:r w:rsidRPr="00B039DD">
        <w:rPr>
          <w:lang w:val="es-ES_tradnl"/>
        </w:rPr>
        <w:t xml:space="preserve">. </w:t>
      </w:r>
    </w:p>
    <w:p w14:paraId="2D9CBA58" w14:textId="05217C20" w:rsidR="00E16C43" w:rsidRPr="00B039DD" w:rsidRDefault="00E16C43" w:rsidP="00E16C43">
      <w:pPr>
        <w:pStyle w:val="SingleTxtG"/>
        <w:rPr>
          <w:lang w:val="es-ES_tradnl"/>
        </w:rPr>
      </w:pPr>
      <w:r w:rsidRPr="00B039DD">
        <w:rPr>
          <w:lang w:val="es-ES_tradnl"/>
        </w:rPr>
        <w:t>73.</w:t>
      </w:r>
      <w:r w:rsidRPr="00B039DD">
        <w:rPr>
          <w:lang w:val="es-ES_tradnl"/>
        </w:rPr>
        <w:tab/>
        <w:t xml:space="preserve">El porcentaje de los ingresos públicos totales que representa el impuesto a la renta de las personas físicas del Commonwealth ha aumentado en los últimos </w:t>
      </w:r>
      <w:r w:rsidR="004413F5">
        <w:rPr>
          <w:lang w:val="es-ES_tradnl"/>
        </w:rPr>
        <w:t>diez</w:t>
      </w:r>
      <w:r w:rsidRPr="00B039DD">
        <w:rPr>
          <w:lang w:val="es-ES_tradnl"/>
        </w:rPr>
        <w:t xml:space="preserve"> años. En</w:t>
      </w:r>
      <w:r w:rsidR="004413F5">
        <w:rPr>
          <w:lang w:val="es-ES_tradnl"/>
        </w:rPr>
        <w:t> </w:t>
      </w:r>
      <w:r w:rsidRPr="00B039DD">
        <w:rPr>
          <w:lang w:val="es-ES_tradnl"/>
        </w:rPr>
        <w:t>2020</w:t>
      </w:r>
      <w:r w:rsidR="004413F5">
        <w:rPr>
          <w:lang w:val="es-ES_tradnl"/>
        </w:rPr>
        <w:noBreakHyphen/>
      </w:r>
      <w:r w:rsidRPr="00B039DD">
        <w:rPr>
          <w:lang w:val="es-ES_tradnl"/>
        </w:rPr>
        <w:t>2021, representó 26,5 % (215.200 millones de dólares) de los ingresos públicos totales.</w:t>
      </w:r>
    </w:p>
    <w:p w14:paraId="70A589D3" w14:textId="77777777" w:rsidR="00E16C43" w:rsidRPr="00B039DD" w:rsidRDefault="00E16C43" w:rsidP="00E16C43">
      <w:pPr>
        <w:pStyle w:val="SingleTxtG"/>
        <w:rPr>
          <w:lang w:val="es-ES_tradnl"/>
        </w:rPr>
      </w:pPr>
      <w:r w:rsidRPr="00B039DD">
        <w:rPr>
          <w:lang w:val="es-ES_tradnl"/>
        </w:rPr>
        <w:t>74.</w:t>
      </w:r>
      <w:r w:rsidRPr="00B039DD">
        <w:rPr>
          <w:lang w:val="es-ES_tradnl"/>
        </w:rPr>
        <w:tab/>
        <w:t>El impuesto sobre el valor añadido se denomina en Australia impuesto sobre bienes y servicios y se ha mantenido en un tipo fijo del 10 % desde que empezó a aplicarse el 1 de julio de 2000. El impuesto sobre bienes y servicios es un impuesto sobre el consumo del que quedan exentos algunos productos y sectores como los alimentos frescos, la sanidad y la educación.</w:t>
      </w:r>
    </w:p>
    <w:p w14:paraId="19A544E9" w14:textId="77777777" w:rsidR="00E16C43" w:rsidRPr="00B039DD" w:rsidRDefault="00E16C43" w:rsidP="00E16C43">
      <w:pPr>
        <w:pStyle w:val="SingleTxtG"/>
        <w:rPr>
          <w:lang w:val="es-ES_tradnl"/>
        </w:rPr>
      </w:pPr>
      <w:r w:rsidRPr="00B039DD">
        <w:rPr>
          <w:lang w:val="es-ES_tradnl"/>
        </w:rPr>
        <w:t>75.</w:t>
      </w:r>
      <w:r w:rsidRPr="00B039DD">
        <w:rPr>
          <w:lang w:val="es-ES_tradnl"/>
        </w:rPr>
        <w:tab/>
        <w:t>En 2020-2021, el impuesto sobre bienes y servicios supuso el 9 % (73.300 millones de dólares) de los ingresos públicos totales.</w:t>
      </w:r>
    </w:p>
    <w:p w14:paraId="74516FCA" w14:textId="375EBF1C" w:rsidR="00E16C43" w:rsidRPr="00B039DD" w:rsidRDefault="005A79CF" w:rsidP="005A79CF">
      <w:pPr>
        <w:pStyle w:val="H1G"/>
        <w:rPr>
          <w:lang w:val="es-ES_tradnl"/>
        </w:rPr>
      </w:pPr>
      <w:r>
        <w:rPr>
          <w:lang w:val="es-ES_tradnl"/>
        </w:rPr>
        <w:tab/>
      </w:r>
      <w:r w:rsidR="00E16C43">
        <w:rPr>
          <w:lang w:val="es-ES_tradnl"/>
        </w:rPr>
        <w:tab/>
      </w:r>
      <w:r w:rsidR="00E16C43" w:rsidRPr="00B039DD">
        <w:rPr>
          <w:lang w:val="es-ES_tradnl"/>
        </w:rPr>
        <w:t>Gasto público y asignaciones presupuestarias</w:t>
      </w:r>
    </w:p>
    <w:p w14:paraId="733A8DB8" w14:textId="77777777" w:rsidR="00E16C43" w:rsidRPr="00B039DD" w:rsidRDefault="00E16C43" w:rsidP="00E16C43">
      <w:pPr>
        <w:pStyle w:val="SingleTxtG"/>
        <w:rPr>
          <w:lang w:val="es-ES_tradnl"/>
        </w:rPr>
      </w:pPr>
      <w:r w:rsidRPr="00B039DD">
        <w:rPr>
          <w:lang w:val="es-ES_tradnl"/>
        </w:rPr>
        <w:t>76.</w:t>
      </w:r>
      <w:r w:rsidRPr="00B039DD">
        <w:rPr>
          <w:lang w:val="es-ES_tradnl"/>
        </w:rPr>
        <w:tab/>
        <w:t xml:space="preserve">Todos los datos sobre gastos proceden de la última edición de las Estadísticas Financieras del Estado 2020-2021, publicadas por la Oficina Australiana de Estadística. Los datos de gasto del siguiente cuadro incluyen el gasto público total de Australia y de los estados. Se excluyen los gastos de las administraciones locales por falta de datos detallados. </w:t>
      </w:r>
    </w:p>
    <w:p w14:paraId="285BB711" w14:textId="37A18367" w:rsidR="00E16C43" w:rsidRPr="00B039DD" w:rsidRDefault="00E16C43" w:rsidP="00E82A2E">
      <w:pPr>
        <w:pStyle w:val="SingleTxtG"/>
        <w:keepNext/>
        <w:keepLines/>
        <w:rPr>
          <w:lang w:val="es-ES_tradnl"/>
        </w:rPr>
      </w:pPr>
      <w:r w:rsidRPr="00B039DD">
        <w:rPr>
          <w:lang w:val="es-ES_tradnl"/>
        </w:rPr>
        <w:lastRenderedPageBreak/>
        <w:t>77.</w:t>
      </w:r>
      <w:r w:rsidRPr="00B039DD">
        <w:rPr>
          <w:lang w:val="es-ES_tradnl"/>
        </w:rPr>
        <w:tab/>
        <w:t>Durante los ocho años transcurridos hasta 2018-2019, el porcentaje del producto interno bruto (PIB) correspondiente al gasto público consolidado se mantuvo relativamente estable (cuadro 6). Sin embargo, el gasto público aumentó en 2019-2020 y 2020-2021, en gran parte debido al costo de la respuesta a la pandemia de COVID-19. El gasto medio total entre 2011-</w:t>
      </w:r>
      <w:r w:rsidR="004413F5">
        <w:rPr>
          <w:lang w:val="es-ES_tradnl"/>
        </w:rPr>
        <w:t>20</w:t>
      </w:r>
      <w:r w:rsidRPr="00B039DD">
        <w:rPr>
          <w:lang w:val="es-ES_tradnl"/>
        </w:rPr>
        <w:t>12 y 2020-</w:t>
      </w:r>
      <w:r w:rsidR="004413F5">
        <w:rPr>
          <w:lang w:val="es-ES_tradnl"/>
        </w:rPr>
        <w:t>20</w:t>
      </w:r>
      <w:r w:rsidRPr="00B039DD">
        <w:rPr>
          <w:lang w:val="es-ES_tradnl"/>
        </w:rPr>
        <w:t>21 fue del 40,2 % del PIB.</w:t>
      </w:r>
    </w:p>
    <w:p w14:paraId="618ADE51" w14:textId="3674A740" w:rsidR="00E16C43" w:rsidRPr="00B039DD" w:rsidRDefault="00E16C43" w:rsidP="005A79CF">
      <w:pPr>
        <w:pStyle w:val="Ttulo1"/>
        <w:ind w:left="0"/>
      </w:pPr>
      <w:r w:rsidRPr="00B039DD">
        <w:t>Cuadro 4</w:t>
      </w:r>
    </w:p>
    <w:p w14:paraId="018461AB" w14:textId="77777777" w:rsidR="004413F5" w:rsidRDefault="00E16C43" w:rsidP="004413F5">
      <w:pPr>
        <w:pStyle w:val="SingleTxtG"/>
        <w:keepNext/>
        <w:keepLines/>
        <w:spacing w:after="0"/>
        <w:ind w:left="0" w:right="0"/>
        <w:rPr>
          <w:b/>
          <w:bCs/>
          <w:lang w:val="es-ES_tradnl"/>
        </w:rPr>
      </w:pPr>
      <w:r w:rsidRPr="00B039DD">
        <w:rPr>
          <w:b/>
          <w:bCs/>
          <w:lang w:val="es-ES_tradnl"/>
        </w:rPr>
        <w:t>Gasto público consolidado de 2011-2012 a 2020-2021</w:t>
      </w:r>
    </w:p>
    <w:p w14:paraId="277FACC8" w14:textId="738CC22E" w:rsidR="00E16C43" w:rsidRPr="004413F5" w:rsidRDefault="00E16C43" w:rsidP="005A79CF">
      <w:pPr>
        <w:pStyle w:val="SingleTxtG"/>
        <w:keepNext/>
        <w:keepLines/>
        <w:ind w:left="0" w:right="0"/>
        <w:rPr>
          <w:sz w:val="16"/>
          <w:szCs w:val="16"/>
          <w:lang w:val="es-ES_tradnl"/>
        </w:rPr>
      </w:pPr>
      <w:r w:rsidRPr="004413F5">
        <w:rPr>
          <w:sz w:val="16"/>
          <w:szCs w:val="16"/>
          <w:lang w:val="es-ES_tradnl"/>
        </w:rPr>
        <w:t>(</w:t>
      </w:r>
      <w:r w:rsidR="004413F5" w:rsidRPr="004413F5">
        <w:rPr>
          <w:sz w:val="16"/>
          <w:szCs w:val="16"/>
          <w:lang w:val="es-ES_tradnl"/>
        </w:rPr>
        <w:t xml:space="preserve">En </w:t>
      </w:r>
      <w:r w:rsidRPr="004413F5">
        <w:rPr>
          <w:sz w:val="16"/>
          <w:szCs w:val="16"/>
          <w:lang w:val="es-ES_tradnl"/>
        </w:rPr>
        <w:t xml:space="preserve">porcentaje del PIB) </w:t>
      </w:r>
    </w:p>
    <w:tbl>
      <w:tblPr>
        <w:tblW w:w="9637"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893"/>
        <w:gridCol w:w="874"/>
        <w:gridCol w:w="874"/>
        <w:gridCol w:w="876"/>
        <w:gridCol w:w="874"/>
        <w:gridCol w:w="876"/>
        <w:gridCol w:w="874"/>
        <w:gridCol w:w="873"/>
        <w:gridCol w:w="875"/>
        <w:gridCol w:w="873"/>
        <w:gridCol w:w="875"/>
      </w:tblGrid>
      <w:tr w:rsidR="005A79CF" w:rsidRPr="005A79CF" w14:paraId="2C20ED35" w14:textId="77777777" w:rsidTr="005A79CF">
        <w:trPr>
          <w:trHeight w:val="240"/>
          <w:tblHeader/>
        </w:trPr>
        <w:tc>
          <w:tcPr>
            <w:tcW w:w="463" w:type="pct"/>
            <w:shd w:val="clear" w:color="auto" w:fill="auto"/>
            <w:noWrap/>
            <w:vAlign w:val="bottom"/>
            <w:hideMark/>
          </w:tcPr>
          <w:p w14:paraId="681448F3" w14:textId="77777777" w:rsidR="00E16C43" w:rsidRPr="005A79CF" w:rsidRDefault="00E16C43" w:rsidP="005A79CF">
            <w:pPr>
              <w:pStyle w:val="SingleTxtG"/>
              <w:keepNext/>
              <w:keepLines/>
              <w:tabs>
                <w:tab w:val="clear" w:pos="1701"/>
                <w:tab w:val="clear" w:pos="2268"/>
                <w:tab w:val="clear" w:pos="2835"/>
              </w:tabs>
              <w:spacing w:before="80" w:after="80" w:line="200" w:lineRule="exact"/>
              <w:ind w:left="0" w:right="0"/>
              <w:jc w:val="left"/>
              <w:rPr>
                <w:i/>
                <w:sz w:val="16"/>
                <w:lang w:val="es-ES_tradnl"/>
              </w:rPr>
            </w:pPr>
          </w:p>
        </w:tc>
        <w:tc>
          <w:tcPr>
            <w:tcW w:w="453" w:type="pct"/>
            <w:shd w:val="clear" w:color="auto" w:fill="auto"/>
            <w:vAlign w:val="bottom"/>
            <w:hideMark/>
          </w:tcPr>
          <w:p w14:paraId="6D3F7960" w14:textId="77777777" w:rsidR="00E16C43" w:rsidRPr="005A79CF" w:rsidRDefault="00E16C43" w:rsidP="005A79CF">
            <w:pPr>
              <w:pStyle w:val="SingleTxtG"/>
              <w:keepNext/>
              <w:keepLines/>
              <w:tabs>
                <w:tab w:val="clear" w:pos="1701"/>
                <w:tab w:val="clear" w:pos="2268"/>
                <w:tab w:val="clear" w:pos="2835"/>
              </w:tabs>
              <w:spacing w:before="80" w:after="80" w:line="200" w:lineRule="exact"/>
              <w:ind w:left="113" w:right="0"/>
              <w:jc w:val="right"/>
              <w:rPr>
                <w:bCs/>
                <w:i/>
                <w:sz w:val="16"/>
                <w:lang w:val="es-ES_tradnl"/>
              </w:rPr>
            </w:pPr>
            <w:r w:rsidRPr="005A79CF">
              <w:rPr>
                <w:i/>
                <w:iCs/>
                <w:sz w:val="16"/>
                <w:lang w:val="es-ES_tradnl"/>
              </w:rPr>
              <w:t>2011-2012</w:t>
            </w:r>
          </w:p>
        </w:tc>
        <w:tc>
          <w:tcPr>
            <w:tcW w:w="453" w:type="pct"/>
            <w:shd w:val="clear" w:color="auto" w:fill="auto"/>
            <w:noWrap/>
            <w:vAlign w:val="bottom"/>
            <w:hideMark/>
          </w:tcPr>
          <w:p w14:paraId="372055AE" w14:textId="77777777" w:rsidR="00E16C43" w:rsidRPr="005A79CF" w:rsidRDefault="00E16C43" w:rsidP="005A79CF">
            <w:pPr>
              <w:pStyle w:val="SingleTxtG"/>
              <w:keepNext/>
              <w:keepLines/>
              <w:tabs>
                <w:tab w:val="clear" w:pos="1701"/>
                <w:tab w:val="clear" w:pos="2268"/>
                <w:tab w:val="clear" w:pos="2835"/>
              </w:tabs>
              <w:spacing w:before="80" w:after="80" w:line="200" w:lineRule="exact"/>
              <w:ind w:left="113" w:right="0"/>
              <w:jc w:val="right"/>
              <w:rPr>
                <w:bCs/>
                <w:i/>
                <w:sz w:val="16"/>
                <w:lang w:val="es-ES_tradnl"/>
              </w:rPr>
            </w:pPr>
            <w:r w:rsidRPr="005A79CF">
              <w:rPr>
                <w:i/>
                <w:iCs/>
                <w:sz w:val="16"/>
                <w:lang w:val="es-ES_tradnl"/>
              </w:rPr>
              <w:t>2012-2013</w:t>
            </w:r>
          </w:p>
        </w:tc>
        <w:tc>
          <w:tcPr>
            <w:tcW w:w="454" w:type="pct"/>
            <w:shd w:val="clear" w:color="auto" w:fill="auto"/>
            <w:noWrap/>
            <w:vAlign w:val="bottom"/>
            <w:hideMark/>
          </w:tcPr>
          <w:p w14:paraId="6E83CD26" w14:textId="77777777" w:rsidR="00E16C43" w:rsidRPr="005A79CF" w:rsidRDefault="00E16C43" w:rsidP="005A79CF">
            <w:pPr>
              <w:pStyle w:val="SingleTxtG"/>
              <w:keepNext/>
              <w:keepLines/>
              <w:tabs>
                <w:tab w:val="clear" w:pos="1701"/>
                <w:tab w:val="clear" w:pos="2268"/>
                <w:tab w:val="clear" w:pos="2835"/>
              </w:tabs>
              <w:spacing w:before="80" w:after="80" w:line="200" w:lineRule="exact"/>
              <w:ind w:left="113" w:right="0"/>
              <w:jc w:val="right"/>
              <w:rPr>
                <w:bCs/>
                <w:i/>
                <w:sz w:val="16"/>
                <w:lang w:val="es-ES_tradnl"/>
              </w:rPr>
            </w:pPr>
            <w:r w:rsidRPr="005A79CF">
              <w:rPr>
                <w:i/>
                <w:iCs/>
                <w:sz w:val="16"/>
                <w:lang w:val="es-ES_tradnl"/>
              </w:rPr>
              <w:t>2013-2014</w:t>
            </w:r>
          </w:p>
        </w:tc>
        <w:tc>
          <w:tcPr>
            <w:tcW w:w="453" w:type="pct"/>
            <w:shd w:val="clear" w:color="auto" w:fill="auto"/>
            <w:noWrap/>
            <w:vAlign w:val="bottom"/>
            <w:hideMark/>
          </w:tcPr>
          <w:p w14:paraId="51621BF2" w14:textId="77777777" w:rsidR="00E16C43" w:rsidRPr="005A79CF" w:rsidRDefault="00E16C43" w:rsidP="005A79CF">
            <w:pPr>
              <w:pStyle w:val="SingleTxtG"/>
              <w:keepNext/>
              <w:keepLines/>
              <w:tabs>
                <w:tab w:val="clear" w:pos="1701"/>
                <w:tab w:val="clear" w:pos="2268"/>
                <w:tab w:val="clear" w:pos="2835"/>
              </w:tabs>
              <w:spacing w:before="80" w:after="80" w:line="200" w:lineRule="exact"/>
              <w:ind w:left="113" w:right="0"/>
              <w:jc w:val="right"/>
              <w:rPr>
                <w:bCs/>
                <w:i/>
                <w:sz w:val="16"/>
                <w:lang w:val="es-ES_tradnl"/>
              </w:rPr>
            </w:pPr>
            <w:r w:rsidRPr="005A79CF">
              <w:rPr>
                <w:i/>
                <w:iCs/>
                <w:sz w:val="16"/>
                <w:lang w:val="es-ES_tradnl"/>
              </w:rPr>
              <w:t>2014-2015</w:t>
            </w:r>
          </w:p>
        </w:tc>
        <w:tc>
          <w:tcPr>
            <w:tcW w:w="454" w:type="pct"/>
            <w:shd w:val="clear" w:color="auto" w:fill="auto"/>
            <w:noWrap/>
            <w:vAlign w:val="bottom"/>
            <w:hideMark/>
          </w:tcPr>
          <w:p w14:paraId="3BD6F78B" w14:textId="77777777" w:rsidR="00E16C43" w:rsidRPr="005A79CF" w:rsidRDefault="00E16C43" w:rsidP="005A79CF">
            <w:pPr>
              <w:pStyle w:val="SingleTxtG"/>
              <w:keepNext/>
              <w:keepLines/>
              <w:tabs>
                <w:tab w:val="clear" w:pos="1701"/>
                <w:tab w:val="clear" w:pos="2268"/>
                <w:tab w:val="clear" w:pos="2835"/>
              </w:tabs>
              <w:spacing w:before="80" w:after="80" w:line="200" w:lineRule="exact"/>
              <w:ind w:left="113" w:right="0"/>
              <w:jc w:val="right"/>
              <w:rPr>
                <w:bCs/>
                <w:i/>
                <w:sz w:val="16"/>
                <w:lang w:val="es-ES_tradnl"/>
              </w:rPr>
            </w:pPr>
            <w:r w:rsidRPr="005A79CF">
              <w:rPr>
                <w:i/>
                <w:iCs/>
                <w:sz w:val="16"/>
                <w:lang w:val="es-ES_tradnl"/>
              </w:rPr>
              <w:t>2015-2016</w:t>
            </w:r>
          </w:p>
        </w:tc>
        <w:tc>
          <w:tcPr>
            <w:tcW w:w="453" w:type="pct"/>
            <w:shd w:val="clear" w:color="auto" w:fill="auto"/>
            <w:noWrap/>
            <w:vAlign w:val="bottom"/>
            <w:hideMark/>
          </w:tcPr>
          <w:p w14:paraId="40E3672A" w14:textId="77777777" w:rsidR="00E16C43" w:rsidRPr="005A79CF" w:rsidRDefault="00E16C43" w:rsidP="005A79CF">
            <w:pPr>
              <w:pStyle w:val="SingleTxtG"/>
              <w:keepNext/>
              <w:keepLines/>
              <w:tabs>
                <w:tab w:val="clear" w:pos="1701"/>
                <w:tab w:val="clear" w:pos="2268"/>
                <w:tab w:val="clear" w:pos="2835"/>
              </w:tabs>
              <w:spacing w:before="80" w:after="80" w:line="200" w:lineRule="exact"/>
              <w:ind w:left="113" w:right="0"/>
              <w:jc w:val="right"/>
              <w:rPr>
                <w:bCs/>
                <w:i/>
                <w:sz w:val="16"/>
                <w:lang w:val="es-ES_tradnl"/>
              </w:rPr>
            </w:pPr>
            <w:r w:rsidRPr="005A79CF">
              <w:rPr>
                <w:i/>
                <w:iCs/>
                <w:sz w:val="16"/>
                <w:lang w:val="es-ES_tradnl"/>
              </w:rPr>
              <w:t>2016-2017</w:t>
            </w:r>
          </w:p>
        </w:tc>
        <w:tc>
          <w:tcPr>
            <w:tcW w:w="453" w:type="pct"/>
            <w:shd w:val="clear" w:color="auto" w:fill="auto"/>
            <w:noWrap/>
            <w:vAlign w:val="bottom"/>
            <w:hideMark/>
          </w:tcPr>
          <w:p w14:paraId="6EF97DA9" w14:textId="77777777" w:rsidR="00E16C43" w:rsidRPr="005A79CF" w:rsidRDefault="00E16C43" w:rsidP="005A79CF">
            <w:pPr>
              <w:pStyle w:val="SingleTxtG"/>
              <w:keepNext/>
              <w:keepLines/>
              <w:tabs>
                <w:tab w:val="clear" w:pos="1701"/>
                <w:tab w:val="clear" w:pos="2268"/>
                <w:tab w:val="clear" w:pos="2835"/>
              </w:tabs>
              <w:spacing w:before="80" w:after="80" w:line="200" w:lineRule="exact"/>
              <w:ind w:left="113" w:right="0"/>
              <w:jc w:val="right"/>
              <w:rPr>
                <w:bCs/>
                <w:i/>
                <w:sz w:val="16"/>
                <w:lang w:val="es-ES_tradnl"/>
              </w:rPr>
            </w:pPr>
            <w:r w:rsidRPr="005A79CF">
              <w:rPr>
                <w:i/>
                <w:iCs/>
                <w:sz w:val="16"/>
                <w:lang w:val="es-ES_tradnl"/>
              </w:rPr>
              <w:t>2017-2018</w:t>
            </w:r>
          </w:p>
        </w:tc>
        <w:tc>
          <w:tcPr>
            <w:tcW w:w="454" w:type="pct"/>
            <w:shd w:val="clear" w:color="auto" w:fill="auto"/>
            <w:noWrap/>
            <w:vAlign w:val="bottom"/>
            <w:hideMark/>
          </w:tcPr>
          <w:p w14:paraId="7456C091" w14:textId="77777777" w:rsidR="00E16C43" w:rsidRPr="005A79CF" w:rsidRDefault="00E16C43" w:rsidP="005A79CF">
            <w:pPr>
              <w:pStyle w:val="SingleTxtG"/>
              <w:keepNext/>
              <w:keepLines/>
              <w:tabs>
                <w:tab w:val="clear" w:pos="1701"/>
                <w:tab w:val="clear" w:pos="2268"/>
                <w:tab w:val="clear" w:pos="2835"/>
              </w:tabs>
              <w:spacing w:before="80" w:after="80" w:line="200" w:lineRule="exact"/>
              <w:ind w:left="113" w:right="0"/>
              <w:jc w:val="right"/>
              <w:rPr>
                <w:bCs/>
                <w:i/>
                <w:sz w:val="16"/>
                <w:lang w:val="es-ES_tradnl"/>
              </w:rPr>
            </w:pPr>
            <w:r w:rsidRPr="005A79CF">
              <w:rPr>
                <w:i/>
                <w:iCs/>
                <w:sz w:val="16"/>
                <w:lang w:val="es-ES_tradnl"/>
              </w:rPr>
              <w:t>2018-2019</w:t>
            </w:r>
          </w:p>
        </w:tc>
        <w:tc>
          <w:tcPr>
            <w:tcW w:w="453" w:type="pct"/>
            <w:shd w:val="clear" w:color="auto" w:fill="auto"/>
            <w:noWrap/>
            <w:vAlign w:val="bottom"/>
            <w:hideMark/>
          </w:tcPr>
          <w:p w14:paraId="3F266466" w14:textId="77777777" w:rsidR="00E16C43" w:rsidRPr="005A79CF" w:rsidRDefault="00E16C43" w:rsidP="005A79CF">
            <w:pPr>
              <w:pStyle w:val="SingleTxtG"/>
              <w:keepNext/>
              <w:keepLines/>
              <w:tabs>
                <w:tab w:val="clear" w:pos="1701"/>
                <w:tab w:val="clear" w:pos="2268"/>
                <w:tab w:val="clear" w:pos="2835"/>
              </w:tabs>
              <w:spacing w:before="80" w:after="80" w:line="200" w:lineRule="exact"/>
              <w:ind w:left="113" w:right="0"/>
              <w:jc w:val="right"/>
              <w:rPr>
                <w:bCs/>
                <w:i/>
                <w:sz w:val="16"/>
                <w:lang w:val="es-ES_tradnl"/>
              </w:rPr>
            </w:pPr>
            <w:r w:rsidRPr="005A79CF">
              <w:rPr>
                <w:i/>
                <w:iCs/>
                <w:sz w:val="16"/>
                <w:lang w:val="es-ES_tradnl"/>
              </w:rPr>
              <w:t>2019-2020</w:t>
            </w:r>
          </w:p>
        </w:tc>
        <w:tc>
          <w:tcPr>
            <w:tcW w:w="454" w:type="pct"/>
            <w:shd w:val="clear" w:color="auto" w:fill="auto"/>
            <w:noWrap/>
            <w:vAlign w:val="bottom"/>
            <w:hideMark/>
          </w:tcPr>
          <w:p w14:paraId="3EE68248" w14:textId="77777777" w:rsidR="00E16C43" w:rsidRPr="005A79CF" w:rsidRDefault="00E16C43" w:rsidP="005A79CF">
            <w:pPr>
              <w:pStyle w:val="SingleTxtG"/>
              <w:keepNext/>
              <w:keepLines/>
              <w:tabs>
                <w:tab w:val="clear" w:pos="1701"/>
                <w:tab w:val="clear" w:pos="2268"/>
                <w:tab w:val="clear" w:pos="2835"/>
              </w:tabs>
              <w:spacing w:before="80" w:after="80" w:line="200" w:lineRule="exact"/>
              <w:ind w:left="113" w:right="0"/>
              <w:jc w:val="right"/>
              <w:rPr>
                <w:bCs/>
                <w:i/>
                <w:sz w:val="16"/>
                <w:lang w:val="es-ES_tradnl"/>
              </w:rPr>
            </w:pPr>
            <w:r w:rsidRPr="005A79CF">
              <w:rPr>
                <w:i/>
                <w:iCs/>
                <w:sz w:val="16"/>
                <w:lang w:val="es-ES_tradnl"/>
              </w:rPr>
              <w:t>2020-2021</w:t>
            </w:r>
          </w:p>
        </w:tc>
      </w:tr>
      <w:tr w:rsidR="005A79CF" w:rsidRPr="005A79CF" w14:paraId="3096A776" w14:textId="77777777" w:rsidTr="005A79CF">
        <w:trPr>
          <w:trHeight w:val="240"/>
        </w:trPr>
        <w:tc>
          <w:tcPr>
            <w:tcW w:w="463" w:type="pct"/>
            <w:shd w:val="clear" w:color="auto" w:fill="auto"/>
            <w:noWrap/>
            <w:hideMark/>
          </w:tcPr>
          <w:p w14:paraId="0638D70F" w14:textId="77777777" w:rsidR="00E16C43" w:rsidRPr="005A79CF" w:rsidRDefault="00E16C43" w:rsidP="005A79CF">
            <w:pPr>
              <w:pStyle w:val="SingleTxtG"/>
              <w:tabs>
                <w:tab w:val="clear" w:pos="1701"/>
                <w:tab w:val="clear" w:pos="2268"/>
                <w:tab w:val="clear" w:pos="2835"/>
              </w:tabs>
              <w:spacing w:before="40" w:after="40" w:line="220" w:lineRule="exact"/>
              <w:ind w:left="0" w:right="0"/>
              <w:jc w:val="left"/>
              <w:rPr>
                <w:sz w:val="18"/>
                <w:lang w:val="es-ES_tradnl"/>
              </w:rPr>
            </w:pPr>
            <w:r w:rsidRPr="005A79CF">
              <w:rPr>
                <w:sz w:val="18"/>
                <w:lang w:val="es-ES_tradnl"/>
              </w:rPr>
              <w:t>Gasto</w:t>
            </w:r>
          </w:p>
        </w:tc>
        <w:tc>
          <w:tcPr>
            <w:tcW w:w="453" w:type="pct"/>
            <w:shd w:val="clear" w:color="auto" w:fill="auto"/>
            <w:noWrap/>
            <w:vAlign w:val="bottom"/>
            <w:hideMark/>
          </w:tcPr>
          <w:p w14:paraId="4D9F14E5" w14:textId="061EDE3E" w:rsidR="00E16C43" w:rsidRPr="005A79CF" w:rsidRDefault="00E16C43" w:rsidP="005A79CF">
            <w:pPr>
              <w:pStyle w:val="SingleTxtG"/>
              <w:tabs>
                <w:tab w:val="clear" w:pos="1701"/>
                <w:tab w:val="clear" w:pos="2268"/>
                <w:tab w:val="clear" w:pos="2835"/>
              </w:tabs>
              <w:spacing w:before="40" w:after="40" w:line="220" w:lineRule="exact"/>
              <w:ind w:left="113" w:right="0"/>
              <w:jc w:val="right"/>
              <w:rPr>
                <w:sz w:val="18"/>
                <w:lang w:val="es-ES_tradnl"/>
              </w:rPr>
            </w:pPr>
            <w:r w:rsidRPr="005A79CF">
              <w:rPr>
                <w:sz w:val="18"/>
                <w:lang w:val="es-ES_tradnl"/>
              </w:rPr>
              <w:t xml:space="preserve">38,7 </w:t>
            </w:r>
          </w:p>
        </w:tc>
        <w:tc>
          <w:tcPr>
            <w:tcW w:w="453" w:type="pct"/>
            <w:shd w:val="clear" w:color="auto" w:fill="auto"/>
            <w:noWrap/>
            <w:vAlign w:val="bottom"/>
            <w:hideMark/>
          </w:tcPr>
          <w:p w14:paraId="6AF162BD" w14:textId="70985D64" w:rsidR="00E16C43" w:rsidRPr="005A79CF" w:rsidRDefault="00E16C43" w:rsidP="005A79CF">
            <w:pPr>
              <w:pStyle w:val="SingleTxtG"/>
              <w:tabs>
                <w:tab w:val="clear" w:pos="1701"/>
                <w:tab w:val="clear" w:pos="2268"/>
                <w:tab w:val="clear" w:pos="2835"/>
              </w:tabs>
              <w:spacing w:before="40" w:after="40" w:line="220" w:lineRule="exact"/>
              <w:ind w:left="113" w:right="0"/>
              <w:jc w:val="right"/>
              <w:rPr>
                <w:sz w:val="18"/>
                <w:lang w:val="es-ES_tradnl"/>
              </w:rPr>
            </w:pPr>
            <w:r w:rsidRPr="005A79CF">
              <w:rPr>
                <w:sz w:val="18"/>
                <w:lang w:val="es-ES_tradnl"/>
              </w:rPr>
              <w:t>38,5</w:t>
            </w:r>
          </w:p>
        </w:tc>
        <w:tc>
          <w:tcPr>
            <w:tcW w:w="454" w:type="pct"/>
            <w:shd w:val="clear" w:color="auto" w:fill="auto"/>
            <w:noWrap/>
            <w:vAlign w:val="bottom"/>
            <w:hideMark/>
          </w:tcPr>
          <w:p w14:paraId="4965ECCA" w14:textId="63A47CA6" w:rsidR="00E16C43" w:rsidRPr="005A79CF" w:rsidRDefault="00E16C43" w:rsidP="005A79CF">
            <w:pPr>
              <w:pStyle w:val="SingleTxtG"/>
              <w:tabs>
                <w:tab w:val="clear" w:pos="1701"/>
                <w:tab w:val="clear" w:pos="2268"/>
                <w:tab w:val="clear" w:pos="2835"/>
              </w:tabs>
              <w:spacing w:before="40" w:after="40" w:line="220" w:lineRule="exact"/>
              <w:ind w:left="113" w:right="0"/>
              <w:jc w:val="right"/>
              <w:rPr>
                <w:sz w:val="18"/>
                <w:lang w:val="es-ES_tradnl"/>
              </w:rPr>
            </w:pPr>
            <w:r w:rsidRPr="005A79CF">
              <w:rPr>
                <w:sz w:val="18"/>
                <w:lang w:val="es-ES_tradnl"/>
              </w:rPr>
              <w:t>38,7</w:t>
            </w:r>
          </w:p>
        </w:tc>
        <w:tc>
          <w:tcPr>
            <w:tcW w:w="453" w:type="pct"/>
            <w:shd w:val="clear" w:color="auto" w:fill="auto"/>
            <w:noWrap/>
            <w:vAlign w:val="bottom"/>
            <w:hideMark/>
          </w:tcPr>
          <w:p w14:paraId="6639CC3C" w14:textId="72192720" w:rsidR="00E16C43" w:rsidRPr="005A79CF" w:rsidRDefault="00E16C43" w:rsidP="005A79CF">
            <w:pPr>
              <w:pStyle w:val="SingleTxtG"/>
              <w:tabs>
                <w:tab w:val="clear" w:pos="1701"/>
                <w:tab w:val="clear" w:pos="2268"/>
                <w:tab w:val="clear" w:pos="2835"/>
              </w:tabs>
              <w:spacing w:before="40" w:after="40" w:line="220" w:lineRule="exact"/>
              <w:ind w:left="113" w:right="0"/>
              <w:jc w:val="right"/>
              <w:rPr>
                <w:sz w:val="18"/>
                <w:lang w:val="es-ES_tradnl"/>
              </w:rPr>
            </w:pPr>
            <w:r w:rsidRPr="005A79CF">
              <w:rPr>
                <w:sz w:val="18"/>
                <w:lang w:val="es-ES_tradnl"/>
              </w:rPr>
              <w:t>39,5</w:t>
            </w:r>
          </w:p>
        </w:tc>
        <w:tc>
          <w:tcPr>
            <w:tcW w:w="454" w:type="pct"/>
            <w:shd w:val="clear" w:color="auto" w:fill="auto"/>
            <w:noWrap/>
            <w:vAlign w:val="bottom"/>
            <w:hideMark/>
          </w:tcPr>
          <w:p w14:paraId="525D053E" w14:textId="52CC11BB" w:rsidR="00E16C43" w:rsidRPr="005A79CF" w:rsidRDefault="00E16C43" w:rsidP="005A79CF">
            <w:pPr>
              <w:pStyle w:val="SingleTxtG"/>
              <w:tabs>
                <w:tab w:val="clear" w:pos="1701"/>
                <w:tab w:val="clear" w:pos="2268"/>
                <w:tab w:val="clear" w:pos="2835"/>
              </w:tabs>
              <w:spacing w:before="40" w:after="40" w:line="220" w:lineRule="exact"/>
              <w:ind w:left="113" w:right="0"/>
              <w:jc w:val="right"/>
              <w:rPr>
                <w:sz w:val="18"/>
                <w:lang w:val="es-ES_tradnl"/>
              </w:rPr>
            </w:pPr>
            <w:r w:rsidRPr="005A79CF">
              <w:rPr>
                <w:sz w:val="18"/>
                <w:lang w:val="es-ES_tradnl"/>
              </w:rPr>
              <w:t>39,7</w:t>
            </w:r>
          </w:p>
        </w:tc>
        <w:tc>
          <w:tcPr>
            <w:tcW w:w="453" w:type="pct"/>
            <w:shd w:val="clear" w:color="auto" w:fill="auto"/>
            <w:noWrap/>
            <w:vAlign w:val="bottom"/>
            <w:hideMark/>
          </w:tcPr>
          <w:p w14:paraId="559F077E" w14:textId="6539EA36" w:rsidR="00E16C43" w:rsidRPr="005A79CF" w:rsidRDefault="00E16C43" w:rsidP="005A79CF">
            <w:pPr>
              <w:pStyle w:val="SingleTxtG"/>
              <w:tabs>
                <w:tab w:val="clear" w:pos="1701"/>
                <w:tab w:val="clear" w:pos="2268"/>
                <w:tab w:val="clear" w:pos="2835"/>
              </w:tabs>
              <w:spacing w:before="40" w:after="40" w:line="220" w:lineRule="exact"/>
              <w:ind w:left="113" w:right="0"/>
              <w:jc w:val="right"/>
              <w:rPr>
                <w:sz w:val="18"/>
                <w:lang w:val="es-ES_tradnl"/>
              </w:rPr>
            </w:pPr>
            <w:r w:rsidRPr="005A79CF">
              <w:rPr>
                <w:sz w:val="18"/>
                <w:lang w:val="es-ES_tradnl"/>
              </w:rPr>
              <w:t>39</w:t>
            </w:r>
            <w:r w:rsidR="005A79CF">
              <w:rPr>
                <w:sz w:val="18"/>
                <w:lang w:val="es-ES_tradnl"/>
              </w:rPr>
              <w:t>,</w:t>
            </w:r>
            <w:r w:rsidRPr="005A79CF">
              <w:rPr>
                <w:sz w:val="18"/>
                <w:lang w:val="es-ES_tradnl"/>
              </w:rPr>
              <w:t>2</w:t>
            </w:r>
          </w:p>
        </w:tc>
        <w:tc>
          <w:tcPr>
            <w:tcW w:w="453" w:type="pct"/>
            <w:shd w:val="clear" w:color="auto" w:fill="auto"/>
            <w:noWrap/>
            <w:vAlign w:val="bottom"/>
            <w:hideMark/>
          </w:tcPr>
          <w:p w14:paraId="50EF6329" w14:textId="60EB5377" w:rsidR="00E16C43" w:rsidRPr="005A79CF" w:rsidRDefault="00E16C43" w:rsidP="005A79CF">
            <w:pPr>
              <w:pStyle w:val="SingleTxtG"/>
              <w:tabs>
                <w:tab w:val="clear" w:pos="1701"/>
                <w:tab w:val="clear" w:pos="2268"/>
                <w:tab w:val="clear" w:pos="2835"/>
              </w:tabs>
              <w:spacing w:before="40" w:after="40" w:line="220" w:lineRule="exact"/>
              <w:ind w:left="113" w:right="0"/>
              <w:jc w:val="right"/>
              <w:rPr>
                <w:sz w:val="18"/>
                <w:lang w:val="es-ES_tradnl"/>
              </w:rPr>
            </w:pPr>
            <w:r w:rsidRPr="005A79CF">
              <w:rPr>
                <w:sz w:val="18"/>
                <w:lang w:val="es-ES_tradnl"/>
              </w:rPr>
              <w:t>38,9</w:t>
            </w:r>
          </w:p>
        </w:tc>
        <w:tc>
          <w:tcPr>
            <w:tcW w:w="454" w:type="pct"/>
            <w:shd w:val="clear" w:color="auto" w:fill="auto"/>
            <w:noWrap/>
            <w:vAlign w:val="bottom"/>
            <w:hideMark/>
          </w:tcPr>
          <w:p w14:paraId="0ABBF570" w14:textId="48AF9A61" w:rsidR="00E16C43" w:rsidRPr="005A79CF" w:rsidRDefault="00E16C43" w:rsidP="005A79CF">
            <w:pPr>
              <w:pStyle w:val="SingleTxtG"/>
              <w:tabs>
                <w:tab w:val="clear" w:pos="1701"/>
                <w:tab w:val="clear" w:pos="2268"/>
                <w:tab w:val="clear" w:pos="2835"/>
              </w:tabs>
              <w:spacing w:before="40" w:after="40" w:line="220" w:lineRule="exact"/>
              <w:ind w:left="113" w:right="0"/>
              <w:jc w:val="right"/>
              <w:rPr>
                <w:sz w:val="18"/>
                <w:lang w:val="es-ES_tradnl"/>
              </w:rPr>
            </w:pPr>
            <w:r w:rsidRPr="005A79CF">
              <w:rPr>
                <w:sz w:val="18"/>
                <w:lang w:val="es-ES_tradnl"/>
              </w:rPr>
              <w:t>38,7</w:t>
            </w:r>
          </w:p>
        </w:tc>
        <w:tc>
          <w:tcPr>
            <w:tcW w:w="453" w:type="pct"/>
            <w:shd w:val="clear" w:color="auto" w:fill="auto"/>
            <w:noWrap/>
            <w:vAlign w:val="bottom"/>
            <w:hideMark/>
          </w:tcPr>
          <w:p w14:paraId="67C37F7C" w14:textId="20B6F868" w:rsidR="00E16C43" w:rsidRPr="005A79CF" w:rsidRDefault="00E16C43" w:rsidP="005A79CF">
            <w:pPr>
              <w:pStyle w:val="SingleTxtG"/>
              <w:tabs>
                <w:tab w:val="clear" w:pos="1701"/>
                <w:tab w:val="clear" w:pos="2268"/>
                <w:tab w:val="clear" w:pos="2835"/>
              </w:tabs>
              <w:spacing w:before="40" w:after="40" w:line="220" w:lineRule="exact"/>
              <w:ind w:left="113" w:right="0"/>
              <w:jc w:val="right"/>
              <w:rPr>
                <w:sz w:val="18"/>
                <w:lang w:val="es-ES_tradnl"/>
              </w:rPr>
            </w:pPr>
            <w:r w:rsidRPr="005A79CF">
              <w:rPr>
                <w:sz w:val="18"/>
                <w:lang w:val="es-ES_tradnl"/>
              </w:rPr>
              <w:t>43,6</w:t>
            </w:r>
          </w:p>
        </w:tc>
        <w:tc>
          <w:tcPr>
            <w:tcW w:w="454" w:type="pct"/>
            <w:shd w:val="clear" w:color="auto" w:fill="auto"/>
            <w:noWrap/>
            <w:vAlign w:val="bottom"/>
            <w:hideMark/>
          </w:tcPr>
          <w:p w14:paraId="51FEA1EB" w14:textId="7604DAD9" w:rsidR="00E16C43" w:rsidRPr="005A79CF" w:rsidRDefault="00E16C43" w:rsidP="005A79CF">
            <w:pPr>
              <w:pStyle w:val="SingleTxtG"/>
              <w:tabs>
                <w:tab w:val="clear" w:pos="1701"/>
                <w:tab w:val="clear" w:pos="2268"/>
                <w:tab w:val="clear" w:pos="2835"/>
              </w:tabs>
              <w:spacing w:before="40" w:after="40" w:line="220" w:lineRule="exact"/>
              <w:ind w:left="113" w:right="0"/>
              <w:jc w:val="right"/>
              <w:rPr>
                <w:sz w:val="18"/>
                <w:lang w:val="es-ES_tradnl"/>
              </w:rPr>
            </w:pPr>
            <w:r w:rsidRPr="005A79CF">
              <w:rPr>
                <w:sz w:val="18"/>
                <w:lang w:val="es-ES_tradnl"/>
              </w:rPr>
              <w:t>46,9</w:t>
            </w:r>
          </w:p>
        </w:tc>
      </w:tr>
    </w:tbl>
    <w:p w14:paraId="1EA333B5" w14:textId="3D98C119" w:rsidR="00E16C43" w:rsidRPr="00B039DD" w:rsidRDefault="00E16C43" w:rsidP="005A79CF">
      <w:pPr>
        <w:pStyle w:val="SingleTxtG"/>
        <w:spacing w:before="240"/>
        <w:rPr>
          <w:lang w:val="es-ES_tradnl"/>
        </w:rPr>
      </w:pPr>
      <w:r w:rsidRPr="00B039DD">
        <w:rPr>
          <w:lang w:val="es-ES_tradnl"/>
        </w:rPr>
        <w:t>78.</w:t>
      </w:r>
      <w:r w:rsidRPr="00B039DD">
        <w:rPr>
          <w:lang w:val="es-ES_tradnl"/>
        </w:rPr>
        <w:tab/>
        <w:t>Entre 2011-2012 y 2020-2021, el porcentaje del gasto total destinado a la educación, la sanidad, la protección social y la vivienda y los servicios comunitarios (gasto social) se mantuvo estable. Por término medio, durante este per</w:t>
      </w:r>
      <w:r w:rsidR="00E769E3">
        <w:rPr>
          <w:lang w:val="es-ES_tradnl"/>
        </w:rPr>
        <w:t>í</w:t>
      </w:r>
      <w:r w:rsidRPr="00B039DD">
        <w:rPr>
          <w:lang w:val="es-ES_tradnl"/>
        </w:rPr>
        <w:t>odo, el gasto social ascendió al 60,6 % del gasto público total consolidado.</w:t>
      </w:r>
    </w:p>
    <w:p w14:paraId="7603786C" w14:textId="070C093E" w:rsidR="00E16C43" w:rsidRPr="00B039DD" w:rsidRDefault="00E16C43" w:rsidP="00E16C43">
      <w:pPr>
        <w:pStyle w:val="SingleTxtG"/>
        <w:rPr>
          <w:lang w:val="es-ES_tradnl"/>
        </w:rPr>
      </w:pPr>
      <w:r w:rsidRPr="00B039DD">
        <w:rPr>
          <w:lang w:val="es-ES_tradnl"/>
        </w:rPr>
        <w:t>79.</w:t>
      </w:r>
      <w:r w:rsidRPr="00B039DD">
        <w:rPr>
          <w:lang w:val="es-ES_tradnl"/>
        </w:rPr>
        <w:tab/>
        <w:t>En 2020-2021, el porcentaje destinado al gasto social se redujo moderadamente hasta situarse en el 58,3 % del gasto total. Un factor importante fue el aumento de otros gastos del Gobierno australiano, en el marco de la respuesta a la pandemia. Se prevé que el gasto social vuelva a situarse en la media en los próximos años. En valores nominales, el gasto social ha aumentado año tras año durante el mismo per</w:t>
      </w:r>
      <w:r w:rsidR="00E769E3">
        <w:rPr>
          <w:lang w:val="es-ES_tradnl"/>
        </w:rPr>
        <w:t>í</w:t>
      </w:r>
      <w:r w:rsidRPr="00B039DD">
        <w:rPr>
          <w:lang w:val="es-ES_tradnl"/>
        </w:rPr>
        <w:t>odo.</w:t>
      </w:r>
    </w:p>
    <w:p w14:paraId="7E2FC6FC" w14:textId="4478A30E" w:rsidR="00E16C43" w:rsidRPr="00B039DD" w:rsidRDefault="005A79CF" w:rsidP="005A79CF">
      <w:pPr>
        <w:pStyle w:val="H1G"/>
        <w:rPr>
          <w:lang w:val="es-ES_tradnl"/>
        </w:rPr>
      </w:pPr>
      <w:r>
        <w:rPr>
          <w:lang w:val="es-ES_tradnl"/>
        </w:rPr>
        <w:tab/>
      </w:r>
      <w:r w:rsidR="00E16C43">
        <w:rPr>
          <w:lang w:val="es-ES_tradnl"/>
        </w:rPr>
        <w:tab/>
      </w:r>
      <w:r w:rsidR="00E16C43" w:rsidRPr="00B039DD">
        <w:rPr>
          <w:lang w:val="es-ES_tradnl"/>
        </w:rPr>
        <w:t>Políticas fiscales adoptadas en respuesta a la COVID-19</w:t>
      </w:r>
    </w:p>
    <w:p w14:paraId="09F1A637" w14:textId="77777777" w:rsidR="00E16C43" w:rsidRPr="00B039DD" w:rsidRDefault="00E16C43" w:rsidP="00E16C43">
      <w:pPr>
        <w:pStyle w:val="SingleTxtG"/>
        <w:rPr>
          <w:lang w:val="es-ES_tradnl"/>
        </w:rPr>
      </w:pPr>
      <w:r w:rsidRPr="00B039DD">
        <w:rPr>
          <w:lang w:val="es-ES_tradnl"/>
        </w:rPr>
        <w:t>80.</w:t>
      </w:r>
      <w:r w:rsidRPr="00B039DD">
        <w:rPr>
          <w:lang w:val="es-ES_tradnl"/>
        </w:rPr>
        <w:tab/>
        <w:t>La respuesta fiscal inicial de Australia a la pandemia de COVID-19 se centró en brindar asistencia de emergencia. Cabe mencionar los siguientes ejemplos:</w:t>
      </w:r>
    </w:p>
    <w:p w14:paraId="1682386A" w14:textId="5DF18D9C" w:rsidR="00E16C43" w:rsidRPr="00B039DD" w:rsidRDefault="005A79CF" w:rsidP="00E16C43">
      <w:pPr>
        <w:pStyle w:val="SingleTxtG"/>
        <w:rPr>
          <w:lang w:val="es-ES_tradnl"/>
        </w:rPr>
      </w:pPr>
      <w:r>
        <w:rPr>
          <w:lang w:val="es-ES_tradnl"/>
        </w:rPr>
        <w:tab/>
      </w:r>
      <w:r w:rsidR="00E16C43" w:rsidRPr="00B039DD">
        <w:rPr>
          <w:lang w:val="es-ES_tradnl"/>
        </w:rPr>
        <w:t>a)</w:t>
      </w:r>
      <w:r w:rsidR="00E16C43" w:rsidRPr="00B039DD">
        <w:rPr>
          <w:lang w:val="es-ES_tradnl"/>
        </w:rPr>
        <w:tab/>
        <w:t>El subsidio JobKeeper abonado a los empleadores para que mantuvieran a sus trabajadores vinculados a la empresa;</w:t>
      </w:r>
    </w:p>
    <w:p w14:paraId="1CBB0956" w14:textId="16D27AB5" w:rsidR="00E16C43" w:rsidRPr="00B039DD" w:rsidRDefault="005A79CF" w:rsidP="00E16C43">
      <w:pPr>
        <w:pStyle w:val="SingleTxtG"/>
        <w:rPr>
          <w:lang w:val="es-ES_tradnl"/>
        </w:rPr>
      </w:pPr>
      <w:r>
        <w:rPr>
          <w:lang w:val="es-ES_tradnl"/>
        </w:rPr>
        <w:tab/>
      </w:r>
      <w:r w:rsidR="00E16C43" w:rsidRPr="00B039DD">
        <w:rPr>
          <w:lang w:val="es-ES_tradnl"/>
        </w:rPr>
        <w:t>b)</w:t>
      </w:r>
      <w:r w:rsidR="00E16C43" w:rsidRPr="00B039DD">
        <w:rPr>
          <w:lang w:val="es-ES_tradnl"/>
        </w:rPr>
        <w:tab/>
        <w:t>Pagos en efectivo destinados a incentivar y ayudar a las personas y los hogares que cumplieran determinados requisitos;</w:t>
      </w:r>
    </w:p>
    <w:p w14:paraId="4E61DF04" w14:textId="23BA2DD9" w:rsidR="00E16C43" w:rsidRPr="00B039DD" w:rsidRDefault="005A79CF" w:rsidP="00E16C43">
      <w:pPr>
        <w:pStyle w:val="SingleTxtG"/>
        <w:rPr>
          <w:lang w:val="es-ES_tradnl"/>
        </w:rPr>
      </w:pPr>
      <w:r>
        <w:rPr>
          <w:lang w:val="es-ES_tradnl"/>
        </w:rPr>
        <w:tab/>
      </w:r>
      <w:r w:rsidR="00E16C43" w:rsidRPr="00B039DD">
        <w:rPr>
          <w:lang w:val="es-ES_tradnl"/>
        </w:rPr>
        <w:t>c)</w:t>
      </w:r>
      <w:r w:rsidR="00E16C43" w:rsidRPr="00B039DD">
        <w:rPr>
          <w:lang w:val="es-ES_tradnl"/>
        </w:rPr>
        <w:tab/>
        <w:t>Flujos de efectivo destinados a las pequeñas y medianas empresas y a los empleadores sin ánimo de lucro;</w:t>
      </w:r>
    </w:p>
    <w:p w14:paraId="1BB56DD4" w14:textId="387DAB3C" w:rsidR="00E16C43" w:rsidRPr="00B039DD" w:rsidRDefault="005A79CF" w:rsidP="00E16C43">
      <w:pPr>
        <w:pStyle w:val="SingleTxtG"/>
        <w:rPr>
          <w:lang w:val="es-ES_tradnl"/>
        </w:rPr>
      </w:pPr>
      <w:r>
        <w:rPr>
          <w:lang w:val="es-ES_tradnl"/>
        </w:rPr>
        <w:tab/>
      </w:r>
      <w:r w:rsidR="00E16C43" w:rsidRPr="00B039DD">
        <w:rPr>
          <w:lang w:val="es-ES_tradnl"/>
        </w:rPr>
        <w:t>d)</w:t>
      </w:r>
      <w:r w:rsidR="00E16C43" w:rsidRPr="00B039DD">
        <w:rPr>
          <w:lang w:val="es-ES_tradnl"/>
        </w:rPr>
        <w:tab/>
        <w:t>Apoyo económico a las personas que no podían trabajar ni obtener ingresos al haber recibido instrucciones de aislarse o permanecer en cuarentena en el contexto de la COVID-19;</w:t>
      </w:r>
    </w:p>
    <w:p w14:paraId="1A431B89" w14:textId="481EE8A0" w:rsidR="00E16C43" w:rsidRPr="00B039DD" w:rsidRDefault="005A79CF" w:rsidP="00E16C43">
      <w:pPr>
        <w:pStyle w:val="SingleTxtG"/>
        <w:rPr>
          <w:lang w:val="es-ES_tradnl"/>
        </w:rPr>
      </w:pPr>
      <w:r>
        <w:rPr>
          <w:lang w:val="es-ES_tradnl"/>
        </w:rPr>
        <w:tab/>
      </w:r>
      <w:r w:rsidR="00E16C43" w:rsidRPr="00B039DD">
        <w:rPr>
          <w:lang w:val="es-ES_tradnl"/>
        </w:rPr>
        <w:t>e)</w:t>
      </w:r>
      <w:r w:rsidR="00E16C43" w:rsidRPr="00B039DD">
        <w:rPr>
          <w:lang w:val="es-ES_tradnl"/>
        </w:rPr>
        <w:tab/>
        <w:t xml:space="preserve">Sistemas de préstamos con garantía destinados a ayudar a las pequeñas y medianas empresas a acceder al capital. </w:t>
      </w:r>
    </w:p>
    <w:p w14:paraId="1B840F1E" w14:textId="77777777" w:rsidR="00E16C43" w:rsidRPr="00B039DD" w:rsidRDefault="00E16C43" w:rsidP="00E16C43">
      <w:pPr>
        <w:pStyle w:val="SingleTxtG"/>
        <w:rPr>
          <w:lang w:val="es-ES_tradnl"/>
        </w:rPr>
      </w:pPr>
      <w:r w:rsidRPr="00B039DD">
        <w:rPr>
          <w:lang w:val="es-ES_tradnl"/>
        </w:rPr>
        <w:t>81.</w:t>
      </w:r>
      <w:r w:rsidRPr="00B039DD">
        <w:rPr>
          <w:lang w:val="es-ES_tradnl"/>
        </w:rPr>
        <w:tab/>
        <w:t xml:space="preserve">Los principios de esta respuesta fiscal eran que sería temporal, selectiva y proporcionada, y que se ejecutaría a través de los mecanismos existentes siempre que fuera posible. </w:t>
      </w:r>
    </w:p>
    <w:p w14:paraId="3444BC27" w14:textId="77777777" w:rsidR="00E16C43" w:rsidRPr="00B039DD" w:rsidRDefault="00E16C43" w:rsidP="00E16C43">
      <w:pPr>
        <w:pStyle w:val="SingleTxtG"/>
        <w:rPr>
          <w:lang w:val="es-ES_tradnl"/>
        </w:rPr>
      </w:pPr>
      <w:r w:rsidRPr="00B039DD">
        <w:rPr>
          <w:lang w:val="es-ES_tradnl"/>
        </w:rPr>
        <w:t>82.</w:t>
      </w:r>
      <w:r w:rsidRPr="00B039DD">
        <w:rPr>
          <w:lang w:val="es-ES_tradnl"/>
        </w:rPr>
        <w:tab/>
        <w:t>En diciembre de 2022, el Gabinete Nacional australiano dio a conocer su Marco Estratégico de Transición de las Medidas de Respuesta a la COVID-19, para que los programas y órdenes de salud pública del Gobierno pudieran dejar atrás la fase de emergencia, en aras de una mayor sostenibilidad de los presupuestos públicos.</w:t>
      </w:r>
    </w:p>
    <w:p w14:paraId="4BF2FE3B" w14:textId="5D40F13B"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Discriminación en razón de la fe</w:t>
      </w:r>
    </w:p>
    <w:p w14:paraId="44100403" w14:textId="77777777" w:rsidR="00E16C43" w:rsidRPr="00B039DD" w:rsidRDefault="00E16C43" w:rsidP="00E16C43">
      <w:pPr>
        <w:pStyle w:val="SingleTxtG"/>
        <w:rPr>
          <w:lang w:val="es-ES_tradnl"/>
        </w:rPr>
      </w:pPr>
      <w:r w:rsidRPr="00B039DD">
        <w:rPr>
          <w:lang w:val="es-ES_tradnl"/>
        </w:rPr>
        <w:t>83.</w:t>
      </w:r>
      <w:r w:rsidRPr="00B039DD">
        <w:rPr>
          <w:lang w:val="es-ES_tradnl"/>
        </w:rPr>
        <w:tab/>
        <w:t xml:space="preserve">Todo australiano es libre de tener o adoptar cualquier religión o creencia, de cambiar de religión o creencia y de no tener o adoptar ninguna religión o creencia. Esta libertad es absoluta. </w:t>
      </w:r>
    </w:p>
    <w:p w14:paraId="3576B41E" w14:textId="77777777" w:rsidR="00E16C43" w:rsidRPr="00B039DD" w:rsidRDefault="00E16C43" w:rsidP="00E82A2E">
      <w:pPr>
        <w:pStyle w:val="SingleTxtG"/>
        <w:keepNext/>
        <w:keepLines/>
        <w:rPr>
          <w:lang w:val="es-ES_tradnl"/>
        </w:rPr>
      </w:pPr>
      <w:r w:rsidRPr="00B039DD">
        <w:rPr>
          <w:lang w:val="es-ES_tradnl"/>
        </w:rPr>
        <w:lastRenderedPageBreak/>
        <w:t>84.</w:t>
      </w:r>
      <w:r w:rsidRPr="00B039DD">
        <w:rPr>
          <w:lang w:val="es-ES_tradnl"/>
        </w:rPr>
        <w:tab/>
        <w:t xml:space="preserve">La legislación de lucha contra la discriminación del Commonwealth no protege actualmente contra la discriminación en razón de la fe de una persona. En vista de ello, el Gobierno australiano se ha comprometido a legislar para impedir toda discriminación por motivos de fe e incluso para proteger contra la denigración. </w:t>
      </w:r>
    </w:p>
    <w:p w14:paraId="25E8B240" w14:textId="77777777" w:rsidR="00E16C43" w:rsidRPr="00B039DD" w:rsidRDefault="00E16C43" w:rsidP="00E16C43">
      <w:pPr>
        <w:pStyle w:val="SingleTxtG"/>
        <w:rPr>
          <w:lang w:val="es-ES_tradnl"/>
        </w:rPr>
      </w:pPr>
      <w:r w:rsidRPr="00B039DD">
        <w:rPr>
          <w:lang w:val="es-ES_tradnl"/>
        </w:rPr>
        <w:t>85.</w:t>
      </w:r>
      <w:r w:rsidRPr="00B039DD">
        <w:rPr>
          <w:lang w:val="es-ES_tradnl"/>
        </w:rPr>
        <w:tab/>
        <w:t>En el marco de esta reforma legislativa, el Gobierno también se ha comprometido a reformar las leyes de lucha contra la discriminación del Commonwealth con vistas a proteger a todos los alumnos contra todo tipo de discriminación y a proteger a los docentes contra la discriminación en el trabajo, si bien se mantiene el derecho de las escuelas religiosas a preferir a personas de su confesión a la hora de seleccionar al personal.</w:t>
      </w:r>
    </w:p>
    <w:p w14:paraId="6B0B026F" w14:textId="77777777" w:rsidR="00E16C43" w:rsidRPr="00B039DD" w:rsidRDefault="00E16C43" w:rsidP="00E16C43">
      <w:pPr>
        <w:pStyle w:val="SingleTxtG"/>
        <w:rPr>
          <w:lang w:val="es-ES_tradnl"/>
        </w:rPr>
      </w:pPr>
      <w:r w:rsidRPr="00B039DD">
        <w:rPr>
          <w:lang w:val="es-ES_tradnl"/>
        </w:rPr>
        <w:t>86.</w:t>
      </w:r>
      <w:r w:rsidRPr="00B039DD">
        <w:rPr>
          <w:lang w:val="es-ES_tradnl"/>
        </w:rPr>
        <w:tab/>
        <w:t>El 4 de noviembre de 2022, el Gobierno solicitó a la Comisión de Reforma Legislativa de Australia que sopesara modificaciones de la legislación de lucha contra la discriminación del Commonwealth, incluido el artículo 38 de la Ley de Discriminación Sexual de 1984 (Ley de Discriminación Sexual), con vistas a ajustar las leyes a los compromisos del Gobierno a la luz de las obligaciones internacionales de Australia en materia de derechos humanos. Se prevé que la Comisión de Reforma Legislativa de Australia presente su informe en diciembre de 2023.</w:t>
      </w:r>
    </w:p>
    <w:p w14:paraId="20695D94" w14:textId="77777777" w:rsidR="00E16C43" w:rsidRPr="00B039DD" w:rsidRDefault="00E16C43" w:rsidP="00E16C43">
      <w:pPr>
        <w:pStyle w:val="SingleTxtG"/>
        <w:rPr>
          <w:lang w:val="es-ES_tradnl"/>
        </w:rPr>
      </w:pPr>
      <w:r w:rsidRPr="00B039DD">
        <w:rPr>
          <w:lang w:val="es-ES_tradnl"/>
        </w:rPr>
        <w:t>87.</w:t>
      </w:r>
      <w:r w:rsidRPr="00B039DD">
        <w:rPr>
          <w:lang w:val="es-ES_tradnl"/>
        </w:rPr>
        <w:tab/>
        <w:t>Todos los estados y territorios tienen a su vez legislaciones pertinentes de lucha contra la discriminación. El Territorio de la Capital Australiana, Tasmania, Victoria y el Territorio del Norte han adoptado sendas legislaciones en virtud de las cuales, con contadas excepciones, los centros de enseñanza religiosa no pueden discriminar a los docentes (entre otras cosas) por ser de un sexo determinado, por ser personas lesbianas, bisexuales, transgénero, intersexuales, queer o asexuales (LGBTIQA+), por estar divorciadas o vivir en una relación de hecho, o por estar embarazadas. En general, estas leyes están en consonancia con las propuestas de reforma actualmente examinadas en Queensland y Australia Occidental. La legislación de lucha contra la discriminación de Nueva Gales del Sur está siendo objeto de una revisión exhaustiva e independiente.</w:t>
      </w:r>
    </w:p>
    <w:p w14:paraId="0537B6FC" w14:textId="77777777" w:rsidR="00E16C43" w:rsidRPr="00B039DD" w:rsidRDefault="00E16C43" w:rsidP="00E16C43">
      <w:pPr>
        <w:pStyle w:val="SingleTxtG"/>
        <w:rPr>
          <w:lang w:val="es-ES_tradnl"/>
        </w:rPr>
      </w:pPr>
      <w:r w:rsidRPr="00B039DD">
        <w:rPr>
          <w:lang w:val="es-ES_tradnl"/>
        </w:rPr>
        <w:t>88.</w:t>
      </w:r>
      <w:r w:rsidRPr="00B039DD">
        <w:rPr>
          <w:lang w:val="es-ES_tradnl"/>
        </w:rPr>
        <w:tab/>
        <w:t xml:space="preserve">Asimismo, las leyes del Territorio de la Capital Australiana, el Territorio del Norte, Queensland, Tasmania y Victoria prohíben a los centros educativos religiosos discriminar a sus alumnos y alumnas por ser LGBTIQA+, por no casarse o por estar encinta. </w:t>
      </w:r>
    </w:p>
    <w:p w14:paraId="45738836" w14:textId="0572B870" w:rsidR="00E16C43" w:rsidRPr="00B039DD" w:rsidRDefault="0039023F" w:rsidP="0039023F">
      <w:pPr>
        <w:pStyle w:val="H1G"/>
        <w:rPr>
          <w:lang w:val="es-ES_tradnl"/>
        </w:rPr>
      </w:pPr>
      <w:r>
        <w:rPr>
          <w:lang w:val="es-ES_tradnl"/>
        </w:rPr>
        <w:tab/>
      </w:r>
      <w:r>
        <w:rPr>
          <w:lang w:val="es-ES_tradnl"/>
        </w:rPr>
        <w:tab/>
      </w:r>
      <w:r w:rsidR="00E16C43" w:rsidRPr="00B039DD">
        <w:rPr>
          <w:lang w:val="es-ES_tradnl"/>
        </w:rPr>
        <w:t>Discriminación sexual</w:t>
      </w:r>
    </w:p>
    <w:p w14:paraId="7C3D4EF7" w14:textId="23CFD5AB" w:rsidR="00E16C43" w:rsidRPr="00B039DD" w:rsidRDefault="00E16C43" w:rsidP="00E16C43">
      <w:pPr>
        <w:pStyle w:val="SingleTxtG"/>
        <w:rPr>
          <w:lang w:val="es-ES_tradnl"/>
        </w:rPr>
      </w:pPr>
      <w:r w:rsidRPr="00B039DD">
        <w:rPr>
          <w:lang w:val="es-ES_tradnl"/>
        </w:rPr>
        <w:t>89.</w:t>
      </w:r>
      <w:r w:rsidRPr="00B039DD">
        <w:rPr>
          <w:lang w:val="es-ES_tradnl"/>
        </w:rPr>
        <w:tab/>
        <w:t xml:space="preserve">En marzo de 2020, la Comisión de Derechos Humanos de Australia publicó el informe Respect@Work. Contiene 55 recomendaciones dirigidas a todos los niveles de </w:t>
      </w:r>
      <w:r w:rsidR="00ED089B" w:rsidRPr="00B039DD">
        <w:rPr>
          <w:lang w:val="es-ES_tradnl"/>
        </w:rPr>
        <w:t xml:space="preserve">Gobierno </w:t>
      </w:r>
      <w:r w:rsidRPr="00B039DD">
        <w:rPr>
          <w:lang w:val="es-ES_tradnl"/>
        </w:rPr>
        <w:t>y al sector privado relativas a reformas políticas y legislativas de prevención y lucha contra la discriminación sexual en el lugar de trabajo, incluido el acoso sexual.</w:t>
      </w:r>
    </w:p>
    <w:p w14:paraId="570B4148" w14:textId="5DCA6E9C" w:rsidR="00E16C43" w:rsidRPr="00B039DD" w:rsidRDefault="00E16C43" w:rsidP="00E16C43">
      <w:pPr>
        <w:pStyle w:val="SingleTxtG"/>
        <w:rPr>
          <w:lang w:val="es-ES_tradnl"/>
        </w:rPr>
      </w:pPr>
      <w:r w:rsidRPr="00B039DD">
        <w:rPr>
          <w:lang w:val="es-ES_tradnl"/>
        </w:rPr>
        <w:t>90.</w:t>
      </w:r>
      <w:r w:rsidRPr="00B039DD">
        <w:rPr>
          <w:lang w:val="es-ES_tradnl"/>
        </w:rPr>
        <w:tab/>
        <w:t>El Gobierno australiano ha avanzado en la adopción de reformas legislativas destinadas a aplicar dichas recomendaciones, entre otras la Ley de Enmienda sobre la Discriminación Sexual y el Trabajo Justo (Respeto en el Trabajo) de 2021 y la Ley sobre el Respeto en el Trabajo. Estas reformas refuerzan los marcos jurídico</w:t>
      </w:r>
      <w:r w:rsidR="00E82A2E">
        <w:rPr>
          <w:lang w:val="es-ES_tradnl"/>
        </w:rPr>
        <w:t>s</w:t>
      </w:r>
      <w:r w:rsidRPr="00B039DD">
        <w:rPr>
          <w:lang w:val="es-ES_tradnl"/>
        </w:rPr>
        <w:t xml:space="preserve"> y regulatorios relativos al acoso sexual en Australia, y amplían el papel de la Comisión de Derechos Humanos de Australia en la prevención del acoso sexual y la discriminación. </w:t>
      </w:r>
    </w:p>
    <w:p w14:paraId="65D44231" w14:textId="77777777" w:rsidR="00E16C43" w:rsidRPr="00B039DD" w:rsidRDefault="00E16C43" w:rsidP="00E16C43">
      <w:pPr>
        <w:pStyle w:val="SingleTxtG"/>
        <w:rPr>
          <w:lang w:val="es-ES_tradnl"/>
        </w:rPr>
      </w:pPr>
      <w:r w:rsidRPr="00B039DD">
        <w:rPr>
          <w:lang w:val="es-ES_tradnl"/>
        </w:rPr>
        <w:t>91.</w:t>
      </w:r>
      <w:r w:rsidRPr="00B039DD">
        <w:rPr>
          <w:lang w:val="es-ES_tradnl"/>
        </w:rPr>
        <w:tab/>
        <w:t>Por otro lado, la Ley sobre el Respeto en el Trabajo permite a los organismos representativos presentar demandas representativas por discriminación ilegal ante los tribunales, lo cual contribuye a mejorar el acceso de las personas a la justicia. Al suprimir los obstáculos procesales que impedían a los órganos representativos incoar procedimientos judiciales, esta enmienda promueve el acceso a la justicia y a recursos efectivos.</w:t>
      </w:r>
    </w:p>
    <w:p w14:paraId="1AFC463E" w14:textId="7744C3CE" w:rsidR="00E16C43" w:rsidRPr="00B039DD" w:rsidRDefault="00ED089B" w:rsidP="00ED089B">
      <w:pPr>
        <w:pStyle w:val="H1G"/>
        <w:rPr>
          <w:lang w:val="es-ES_tradnl"/>
        </w:rPr>
      </w:pPr>
      <w:r>
        <w:rPr>
          <w:lang w:val="es-ES_tradnl"/>
        </w:rPr>
        <w:tab/>
      </w:r>
      <w:r w:rsidR="00E16C43">
        <w:rPr>
          <w:lang w:val="es-ES_tradnl"/>
        </w:rPr>
        <w:tab/>
      </w:r>
      <w:r w:rsidR="00E16C43" w:rsidRPr="00B039DD">
        <w:rPr>
          <w:lang w:val="es-ES_tradnl"/>
        </w:rPr>
        <w:t xml:space="preserve">Acceso a la justicia </w:t>
      </w:r>
    </w:p>
    <w:p w14:paraId="5B1F7657" w14:textId="77777777" w:rsidR="00E16C43" w:rsidRPr="00B039DD" w:rsidRDefault="00E16C43" w:rsidP="00E16C43">
      <w:pPr>
        <w:pStyle w:val="SingleTxtG"/>
        <w:rPr>
          <w:lang w:val="es-ES_tradnl"/>
        </w:rPr>
      </w:pPr>
      <w:r w:rsidRPr="00B039DD">
        <w:rPr>
          <w:lang w:val="es-ES_tradnl"/>
        </w:rPr>
        <w:t>92.</w:t>
      </w:r>
      <w:r w:rsidRPr="00B039DD">
        <w:rPr>
          <w:lang w:val="es-ES_tradnl"/>
        </w:rPr>
        <w:tab/>
        <w:t>La resolución de denuncias de discriminación ilegal mediante la conciliación es una de las funciones claves de la Comisión de Derechos Humanos de Australia, que facilita el acceso a la justicia y reduce la carga de los tribunales.</w:t>
      </w:r>
    </w:p>
    <w:p w14:paraId="610BBBD3" w14:textId="77777777" w:rsidR="00E16C43" w:rsidRPr="00B039DD" w:rsidRDefault="00E16C43" w:rsidP="00E16C43">
      <w:pPr>
        <w:pStyle w:val="SingleTxtG"/>
        <w:rPr>
          <w:lang w:val="es-ES_tradnl"/>
        </w:rPr>
      </w:pPr>
      <w:r w:rsidRPr="00B039DD">
        <w:rPr>
          <w:lang w:val="es-ES_tradnl"/>
        </w:rPr>
        <w:lastRenderedPageBreak/>
        <w:t>93.</w:t>
      </w:r>
      <w:r w:rsidRPr="00B039DD">
        <w:rPr>
          <w:lang w:val="es-ES_tradnl"/>
        </w:rPr>
        <w:tab/>
        <w:t>En 2017 se empezaron a introducir cambios para mejorar los procesos de tramitación de denuncias de la Comisión de Derechos Humanos de Australia, en consonancia con las recomendaciones de la propia Comisión y del Comité Parlamentario Mixto de Derechos Humanos. Se enmendó la Ley de la Comisión de Derechos Humanos de Australia para reforzar la seguridad jurídica y garantizar la equidad procesal a todas las partes implicadas en una denuncia:</w:t>
      </w:r>
    </w:p>
    <w:p w14:paraId="1A316DCA" w14:textId="1F734877" w:rsidR="00E16C43" w:rsidRPr="00B039DD" w:rsidRDefault="0039023F" w:rsidP="00E16C43">
      <w:pPr>
        <w:pStyle w:val="SingleTxtG"/>
        <w:rPr>
          <w:lang w:val="es-ES_tradnl"/>
        </w:rPr>
      </w:pPr>
      <w:r>
        <w:rPr>
          <w:lang w:val="es-ES_tradnl"/>
        </w:rPr>
        <w:tab/>
      </w:r>
      <w:r w:rsidR="00E16C43" w:rsidRPr="00B039DD">
        <w:rPr>
          <w:lang w:val="es-ES_tradnl"/>
        </w:rPr>
        <w:t>a)</w:t>
      </w:r>
      <w:r w:rsidR="00E16C43" w:rsidRPr="00B039DD">
        <w:rPr>
          <w:lang w:val="es-ES_tradnl"/>
        </w:rPr>
        <w:tab/>
        <w:t>Disuadir o desestimar la presentación de denuncias injustificadas en cada fase del proceso de tramitación de denuncias;</w:t>
      </w:r>
    </w:p>
    <w:p w14:paraId="754D9394" w14:textId="24AFC384" w:rsidR="00E16C43" w:rsidRPr="00B039DD" w:rsidRDefault="0039023F" w:rsidP="00E16C43">
      <w:pPr>
        <w:pStyle w:val="SingleTxtG"/>
        <w:rPr>
          <w:lang w:val="es-ES_tradnl"/>
        </w:rPr>
      </w:pPr>
      <w:r>
        <w:rPr>
          <w:lang w:val="es-ES_tradnl"/>
        </w:rPr>
        <w:tab/>
      </w:r>
      <w:r w:rsidR="00E16C43" w:rsidRPr="00B039DD">
        <w:rPr>
          <w:lang w:val="es-ES_tradnl"/>
        </w:rPr>
        <w:t>b)</w:t>
      </w:r>
      <w:r w:rsidR="00E16C43" w:rsidRPr="00B039DD">
        <w:rPr>
          <w:lang w:val="es-ES_tradnl"/>
        </w:rPr>
        <w:tab/>
        <w:t>Reducir la carga reglamentaria y administrativa;</w:t>
      </w:r>
    </w:p>
    <w:p w14:paraId="3C23939F" w14:textId="05EC60F8" w:rsidR="00E16C43" w:rsidRPr="00B039DD" w:rsidRDefault="0039023F" w:rsidP="00E16C43">
      <w:pPr>
        <w:pStyle w:val="SingleTxtG"/>
        <w:rPr>
          <w:lang w:val="es-ES_tradnl"/>
        </w:rPr>
      </w:pPr>
      <w:r>
        <w:rPr>
          <w:lang w:val="es-ES_tradnl"/>
        </w:rPr>
        <w:tab/>
      </w:r>
      <w:r w:rsidR="00E16C43" w:rsidRPr="00B039DD">
        <w:rPr>
          <w:lang w:val="es-ES_tradnl"/>
        </w:rPr>
        <w:t>c)</w:t>
      </w:r>
      <w:r w:rsidR="00E16C43" w:rsidRPr="00B039DD">
        <w:rPr>
          <w:lang w:val="es-ES_tradnl"/>
        </w:rPr>
        <w:tab/>
        <w:t>Reformar los requisitos de presentación de información;</w:t>
      </w:r>
    </w:p>
    <w:p w14:paraId="3BE3022B" w14:textId="5850BE8B" w:rsidR="00E16C43" w:rsidRPr="00B039DD" w:rsidRDefault="0039023F" w:rsidP="00E16C43">
      <w:pPr>
        <w:pStyle w:val="SingleTxtG"/>
        <w:rPr>
          <w:lang w:val="es-ES_tradnl"/>
        </w:rPr>
      </w:pPr>
      <w:r>
        <w:rPr>
          <w:lang w:val="es-ES_tradnl"/>
        </w:rPr>
        <w:tab/>
      </w:r>
      <w:r w:rsidR="00E16C43" w:rsidRPr="00B039DD">
        <w:rPr>
          <w:lang w:val="es-ES_tradnl"/>
        </w:rPr>
        <w:t>d)</w:t>
      </w:r>
      <w:r w:rsidR="00E16C43" w:rsidRPr="00B039DD">
        <w:rPr>
          <w:lang w:val="es-ES_tradnl"/>
        </w:rPr>
        <w:tab/>
        <w:t>Aclarar el proceso de conciliación y los mecanismos de gobernanza de la Comisión de Derechos Humanos de Australia.</w:t>
      </w:r>
    </w:p>
    <w:p w14:paraId="0ED7096F" w14:textId="2CAABA08"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 xml:space="preserve">Estrategia sobre la discapacidad </w:t>
      </w:r>
    </w:p>
    <w:p w14:paraId="6A91AAAF" w14:textId="77777777" w:rsidR="00E16C43" w:rsidRPr="00B039DD" w:rsidRDefault="00E16C43" w:rsidP="00E16C43">
      <w:pPr>
        <w:pStyle w:val="SingleTxtG"/>
        <w:rPr>
          <w:lang w:val="es-ES_tradnl"/>
        </w:rPr>
      </w:pPr>
      <w:r w:rsidRPr="00B039DD">
        <w:rPr>
          <w:lang w:val="es-ES_tradnl"/>
        </w:rPr>
        <w:t>94.</w:t>
      </w:r>
      <w:r w:rsidRPr="00B039DD">
        <w:rPr>
          <w:lang w:val="es-ES_tradnl"/>
        </w:rPr>
        <w:tab/>
        <w:t>La Estrategia Nacional sobre la Discapacidad 2010-2020 llevó adelante reformas destinadas a apoyar e incluir mejor a las personas con discapacidad, como la plena aplicación del Plan Nacional de Seguro de Discapacidad, la mejora de los resultados educativos, la adopción de nueva legislación y la creación de la Comisión Real sobre la Violencia, el Abuso, el Descuido y la Explotación de las Personas con Discapacidad (Comisión Real sobre la Discapacidad).</w:t>
      </w:r>
    </w:p>
    <w:p w14:paraId="714DE0BA" w14:textId="611845E1" w:rsidR="00E16C43" w:rsidRPr="00B039DD" w:rsidRDefault="00E16C43" w:rsidP="00E16C43">
      <w:pPr>
        <w:pStyle w:val="SingleTxtG"/>
        <w:rPr>
          <w:lang w:val="es-ES_tradnl"/>
        </w:rPr>
      </w:pPr>
      <w:r w:rsidRPr="00B039DD">
        <w:rPr>
          <w:lang w:val="es-ES_tradnl"/>
        </w:rPr>
        <w:t>95.</w:t>
      </w:r>
      <w:r w:rsidRPr="00B039DD">
        <w:rPr>
          <w:lang w:val="es-ES_tradnl"/>
        </w:rPr>
        <w:tab/>
        <w:t xml:space="preserve">Esta </w:t>
      </w:r>
      <w:r w:rsidR="00ED089B" w:rsidRPr="00B039DD">
        <w:rPr>
          <w:lang w:val="es-ES_tradnl"/>
        </w:rPr>
        <w:t xml:space="preserve">Estrategia </w:t>
      </w:r>
      <w:r w:rsidRPr="00B039DD">
        <w:rPr>
          <w:lang w:val="es-ES_tradnl"/>
        </w:rPr>
        <w:t>original ha sido sustituida por la Estrategia Australiana sobre la Discapacidad 2021-2031, que reserva un papel más destacado, a raíz de un amplio proceso de consultas, a la aplicación y la rendición de cuentas. Australia recuerda las observaciones finales del Comité de Derechos Económicos, Sociales y Culturales sobre esta cuestión</w:t>
      </w:r>
      <w:r w:rsidRPr="00B039DD">
        <w:rPr>
          <w:rStyle w:val="Refdenotaalpie"/>
          <w:lang w:val="es-ES_tradnl"/>
        </w:rPr>
        <w:footnoteReference w:id="9"/>
      </w:r>
      <w:r w:rsidRPr="00B039DD">
        <w:rPr>
          <w:lang w:val="es-ES_tradnl"/>
        </w:rPr>
        <w:t>.</w:t>
      </w:r>
    </w:p>
    <w:p w14:paraId="53B321A7" w14:textId="77777777" w:rsidR="00E16C43" w:rsidRPr="00B039DD" w:rsidRDefault="00E16C43" w:rsidP="00E16C43">
      <w:pPr>
        <w:pStyle w:val="SingleTxtG"/>
        <w:rPr>
          <w:lang w:val="es-ES_tradnl"/>
        </w:rPr>
      </w:pPr>
      <w:r w:rsidRPr="00B039DD">
        <w:rPr>
          <w:lang w:val="es-ES_tradnl"/>
        </w:rPr>
        <w:t>96.</w:t>
      </w:r>
      <w:r w:rsidRPr="00B039DD">
        <w:rPr>
          <w:lang w:val="es-ES_tradnl"/>
        </w:rPr>
        <w:tab/>
        <w:t xml:space="preserve">La Estrategia Australiana sobre la Discapacidad 2021-2031 se articula en torno a siete resultados: empleo y seguridad financiera; hogares y comunidades inclusivos; seguridad, derechos y justicia; apoyo personal y comunitario; educación y aprendizaje; salud y bienestar; y actitudes de la comunidad. </w:t>
      </w:r>
    </w:p>
    <w:p w14:paraId="1A1ED4AB" w14:textId="77777777" w:rsidR="00E16C43" w:rsidRPr="00B039DD" w:rsidRDefault="00E16C43" w:rsidP="00E16C43">
      <w:pPr>
        <w:pStyle w:val="SingleTxtG"/>
        <w:rPr>
          <w:lang w:val="es-ES_tradnl"/>
        </w:rPr>
      </w:pPr>
      <w:r w:rsidRPr="00B039DD">
        <w:rPr>
          <w:lang w:val="es-ES_tradnl"/>
        </w:rPr>
        <w:t>97.</w:t>
      </w:r>
      <w:r w:rsidRPr="00B039DD">
        <w:rPr>
          <w:lang w:val="es-ES_tradnl"/>
        </w:rPr>
        <w:tab/>
        <w:t>En el marco de la estrategia se han establecido importantes mecanismos permanentes de información y rendición de cuentas, como la creación de un Consejo Consultivo y la celebración de foros públicos destinados a habilitar a las personas con discapacidad a impulsar el debate sobre la aplicación de la estrategia y contribuir a la consecución de sus objetivos.</w:t>
      </w:r>
    </w:p>
    <w:p w14:paraId="2BD16529" w14:textId="77777777" w:rsidR="00E16C43" w:rsidRPr="00B039DD" w:rsidRDefault="00E16C43" w:rsidP="00E16C43">
      <w:pPr>
        <w:pStyle w:val="SingleTxtG"/>
        <w:rPr>
          <w:lang w:val="es-ES_tradnl"/>
        </w:rPr>
      </w:pPr>
      <w:r w:rsidRPr="00B039DD">
        <w:rPr>
          <w:lang w:val="es-ES_tradnl"/>
        </w:rPr>
        <w:t>98.</w:t>
      </w:r>
      <w:r w:rsidRPr="00B039DD">
        <w:rPr>
          <w:lang w:val="es-ES_tradnl"/>
        </w:rPr>
        <w:tab/>
        <w:t>La Comisión Real sobre la Discapacidad fue creada en 2019 en respuesta a la preocupación de la comunidad por las denuncias de violencia, abandono, maltrato y explotación que sufrían las personas con discapacidad. Su labor explora tres áreas clave: mejorar la prevención y la protección de las personas con discapacidad frente a la violencia, el maltrato, el abandono y la explotación; aplicar las mejores prácticas a la presentación de informes, la investigación y la respuesta relativas a este tipo de violencia; y promover una sociedad más integradora que apoye la independencia de las personas con discapacidad y su derecho a vivir sin violencia. El informe final se presentará al Gobernador General para el 29 de septiembre de 2023.</w:t>
      </w:r>
    </w:p>
    <w:p w14:paraId="1B22A2D9" w14:textId="2CAF8F16"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Plan Nacional de Seguro de Discapacidad</w:t>
      </w:r>
    </w:p>
    <w:p w14:paraId="1ACE2737" w14:textId="77777777" w:rsidR="00E16C43" w:rsidRPr="00B039DD" w:rsidRDefault="00E16C43" w:rsidP="00E16C43">
      <w:pPr>
        <w:pStyle w:val="SingleTxtG"/>
        <w:rPr>
          <w:lang w:val="es-ES_tradnl"/>
        </w:rPr>
      </w:pPr>
      <w:r w:rsidRPr="00B039DD">
        <w:rPr>
          <w:lang w:val="es-ES_tradnl"/>
        </w:rPr>
        <w:t>99.</w:t>
      </w:r>
      <w:r w:rsidRPr="00B039DD">
        <w:rPr>
          <w:lang w:val="es-ES_tradnl"/>
        </w:rPr>
        <w:tab/>
        <w:t xml:space="preserve">Desde la presentación del último informe, el Plan Nacional de Seguro de Discapacidad ha sido plenamente implantado y está operativo en toda Australia. El Plan Nacional de Seguro de Discapacidad ha transformado la vida de muchos australianos con discapacidad y ha revolucionado su acceso a las ayudas que necesitan para participar plenamente en la </w:t>
      </w:r>
      <w:r w:rsidRPr="00B039DD">
        <w:rPr>
          <w:lang w:val="es-ES_tradnl"/>
        </w:rPr>
        <w:lastRenderedPageBreak/>
        <w:t>comunidad. En 2019 se creó una cartera ministerial federal a cargo del Plan Nacional de Seguro de Discapacidad.</w:t>
      </w:r>
    </w:p>
    <w:p w14:paraId="71C32E49" w14:textId="28BE3022" w:rsidR="00E16C43" w:rsidRPr="00B039DD" w:rsidRDefault="00E16C43" w:rsidP="00E16C43">
      <w:pPr>
        <w:pStyle w:val="SingleTxtG"/>
        <w:rPr>
          <w:lang w:val="es-ES_tradnl"/>
        </w:rPr>
      </w:pPr>
      <w:r w:rsidRPr="00B039DD">
        <w:rPr>
          <w:lang w:val="es-ES_tradnl"/>
        </w:rPr>
        <w:t>100.</w:t>
      </w:r>
      <w:r w:rsidRPr="00B039DD">
        <w:rPr>
          <w:lang w:val="es-ES_tradnl"/>
        </w:rPr>
        <w:tab/>
        <w:t>En 2021-2022, los gobiernos australianos aportaron 29.200 millones de dólares al Plan</w:t>
      </w:r>
      <w:r w:rsidR="00ED089B">
        <w:rPr>
          <w:lang w:val="es-ES_tradnl"/>
        </w:rPr>
        <w:t xml:space="preserve"> </w:t>
      </w:r>
      <w:r w:rsidRPr="00B039DD">
        <w:rPr>
          <w:lang w:val="es-ES_tradnl"/>
        </w:rPr>
        <w:t>Nacional de Seguro de Discapacidad, y otros 2.100 millones a servicios especializados en</w:t>
      </w:r>
      <w:r w:rsidR="00ED089B">
        <w:rPr>
          <w:lang w:val="es-ES_tradnl"/>
        </w:rPr>
        <w:t xml:space="preserve"> </w:t>
      </w:r>
      <w:r w:rsidRPr="00B039DD">
        <w:rPr>
          <w:lang w:val="es-ES_tradnl"/>
        </w:rPr>
        <w:t>discapacidad no relacionados con el Plan Nacional de Seguro de Discapacidad. En</w:t>
      </w:r>
      <w:r w:rsidR="00ED089B">
        <w:rPr>
          <w:lang w:val="es-ES_tradnl"/>
        </w:rPr>
        <w:t> </w:t>
      </w:r>
      <w:r w:rsidRPr="00B039DD">
        <w:rPr>
          <w:lang w:val="es-ES_tradnl"/>
        </w:rPr>
        <w:t>2023</w:t>
      </w:r>
      <w:r w:rsidR="00ED089B">
        <w:rPr>
          <w:lang w:val="es-ES_tradnl"/>
        </w:rPr>
        <w:noBreakHyphen/>
      </w:r>
      <w:r w:rsidRPr="00B039DD">
        <w:rPr>
          <w:lang w:val="es-ES_tradnl"/>
        </w:rPr>
        <w:t>2024, aportaron 41.900 millones de dólares al Plan Nacional de Seguro de Discapacidad.</w:t>
      </w:r>
    </w:p>
    <w:p w14:paraId="67D3A765" w14:textId="77777777" w:rsidR="00E16C43" w:rsidRPr="00B039DD" w:rsidRDefault="00E16C43" w:rsidP="00E16C43">
      <w:pPr>
        <w:pStyle w:val="SingleTxtG"/>
        <w:rPr>
          <w:lang w:val="es-ES_tradnl"/>
        </w:rPr>
      </w:pPr>
      <w:r w:rsidRPr="00B039DD">
        <w:rPr>
          <w:lang w:val="es-ES_tradnl"/>
        </w:rPr>
        <w:t>101.</w:t>
      </w:r>
      <w:r w:rsidRPr="00B039DD">
        <w:rPr>
          <w:lang w:val="es-ES_tradnl"/>
        </w:rPr>
        <w:tab/>
        <w:t xml:space="preserve">Al 31 de marzo de 2023, había 592.059 participantes en el Plan, incluidos 44.689 participantes que se identificaban como </w:t>
      </w:r>
      <w:r w:rsidRPr="00581426">
        <w:rPr>
          <w:lang w:val="es-ES_tradnl"/>
        </w:rPr>
        <w:t>aborígenes e isleños del estrecho de Torres y</w:t>
      </w:r>
      <w:r w:rsidRPr="00B039DD">
        <w:rPr>
          <w:lang w:val="es-ES_tradnl"/>
        </w:rPr>
        <w:t xml:space="preserve"> 54.201 participantes que se identificaban como cultural o lingüísticamente diversos.</w:t>
      </w:r>
    </w:p>
    <w:p w14:paraId="3DC9B7B7" w14:textId="77777777" w:rsidR="00E16C43" w:rsidRPr="00B039DD" w:rsidRDefault="00E16C43" w:rsidP="00E16C43">
      <w:pPr>
        <w:pStyle w:val="SingleTxtG"/>
        <w:rPr>
          <w:lang w:val="es-ES_tradnl"/>
        </w:rPr>
      </w:pPr>
      <w:r w:rsidRPr="00B039DD">
        <w:rPr>
          <w:lang w:val="es-ES_tradnl"/>
        </w:rPr>
        <w:t>102.</w:t>
      </w:r>
      <w:r w:rsidRPr="00B039DD">
        <w:rPr>
          <w:lang w:val="es-ES_tradnl"/>
        </w:rPr>
        <w:tab/>
        <w:t>El Gobierno australiano ha respondido en varios informes a la mayoría de las recomendaciones formuladas por la Comisión Parlamentaria Mixta Permanente sobre el Plan Nacional de Seguro de Discapacidad o las ha puesto en práctica.</w:t>
      </w:r>
    </w:p>
    <w:p w14:paraId="7E99C224" w14:textId="77777777" w:rsidR="00E16C43" w:rsidRPr="00B039DD" w:rsidRDefault="00E16C43" w:rsidP="00E16C43">
      <w:pPr>
        <w:pStyle w:val="SingleTxtG"/>
        <w:rPr>
          <w:lang w:val="es-ES_tradnl"/>
        </w:rPr>
      </w:pPr>
      <w:r w:rsidRPr="00B039DD">
        <w:rPr>
          <w:lang w:val="es-ES_tradnl"/>
        </w:rPr>
        <w:t>103.</w:t>
      </w:r>
      <w:r w:rsidRPr="00B039DD">
        <w:rPr>
          <w:lang w:val="es-ES_tradnl"/>
        </w:rPr>
        <w:tab/>
        <w:t xml:space="preserve">En 2019, la Ley de Enmienda del Plan Nacional de Seguro de Discapacidad (Gobernanza Simplificada) de 2019 introdujo nuevos requisitos para los nombramientos y las consultas, basándose en las enseñanzas extraídas del período de prueba y transición. </w:t>
      </w:r>
    </w:p>
    <w:p w14:paraId="6BB9D709" w14:textId="502F1025" w:rsidR="00E16C43" w:rsidRPr="00B039DD" w:rsidRDefault="00E16C43" w:rsidP="00E16C43">
      <w:pPr>
        <w:pStyle w:val="SingleTxtG"/>
        <w:rPr>
          <w:lang w:val="es-ES_tradnl"/>
        </w:rPr>
      </w:pPr>
      <w:r w:rsidRPr="00B039DD">
        <w:rPr>
          <w:lang w:val="es-ES_tradnl"/>
        </w:rPr>
        <w:t>104.</w:t>
      </w:r>
      <w:r w:rsidRPr="00B039DD">
        <w:rPr>
          <w:lang w:val="es-ES_tradnl"/>
        </w:rPr>
        <w:tab/>
        <w:t xml:space="preserve">En 2021, la Ley de Enmienda del Plan Nacional de Seguro de Discapacidad (Mejora de las ayudas a los participantes en riesgo) reforzó las medidas destinadas a ayudar y proteger a los participantes en el Plan Nacional de Seguro de Discapacidad, ampliando las competencias del Comisionado del Plan Nacional de Seguro de Discapacidad en materia de cumplimiento y aplicación, clarificando las disposiciones relativas al registro de proveedores y permitiendo intercambios de información eficaces. Estas enmiendas se basaron en recomendaciones formuladas por el Excmo. Sr. Alan Robertson, </w:t>
      </w:r>
      <w:r w:rsidR="00ED089B" w:rsidRPr="00B039DD">
        <w:rPr>
          <w:lang w:val="es-ES_tradnl"/>
        </w:rPr>
        <w:t xml:space="preserve">Juez </w:t>
      </w:r>
      <w:r w:rsidRPr="00B039DD">
        <w:rPr>
          <w:lang w:val="es-ES_tradnl"/>
        </w:rPr>
        <w:t>del Tribunal Supremo, en el marco de su revisión de aspectos relacionados con la muerte de la Sra. Ann-Marie Smith.</w:t>
      </w:r>
    </w:p>
    <w:p w14:paraId="537B6D21" w14:textId="77777777" w:rsidR="00E16C43" w:rsidRPr="00B039DD" w:rsidRDefault="00E16C43" w:rsidP="00E16C43">
      <w:pPr>
        <w:pStyle w:val="SingleTxtG"/>
        <w:rPr>
          <w:lang w:val="es-ES_tradnl"/>
        </w:rPr>
      </w:pPr>
      <w:r w:rsidRPr="00B039DD">
        <w:rPr>
          <w:lang w:val="es-ES_tradnl"/>
        </w:rPr>
        <w:t>105.</w:t>
      </w:r>
      <w:r w:rsidRPr="00B039DD">
        <w:rPr>
          <w:lang w:val="es-ES_tradnl"/>
        </w:rPr>
        <w:tab/>
        <w:t xml:space="preserve">En 2022, la Ley de Enmienda del Plan Nacional de Seguro de Discapacidad (Garantía de Servicio al Participante y Otras Medidas) de 2022 estableció una Garantía de Servicio al Participante, gracias a la cual el Organismo Nacional del Seguro de Discapacidad pudo implementar mejoras significativas para los participantes, sus familias y sus cuidadores, como la reducción de la carga burocrática, el incremento de la flexibilidad y la clarificación de los plazos fijados para la toma de decisiones. Estas enmiendas se basaron en las recomendaciones formuladas en el marco de la revisión de la Ley del Plan Nacional de Seguro de Discapacidad de 2013, llevada a cabo en 2019 por el Sr. David Tune. También incorporaron algunas recomendaciones formuladas en el marco de una revisión de 2015 de la Ley del Plan Nacional de Seguro de Discapacidad con vistas a mejorar la experiencia y los resultados de las personas con discapacidad en el marco del Plan Nacional de Seguro de Discapacidad. </w:t>
      </w:r>
    </w:p>
    <w:p w14:paraId="41166461" w14:textId="77777777" w:rsidR="00E16C43" w:rsidRPr="00B039DD" w:rsidRDefault="00E16C43" w:rsidP="00E16C43">
      <w:pPr>
        <w:pStyle w:val="SingleTxtG"/>
        <w:rPr>
          <w:lang w:val="es-ES_tradnl"/>
        </w:rPr>
      </w:pPr>
      <w:r w:rsidRPr="00B039DD">
        <w:rPr>
          <w:lang w:val="es-ES_tradnl"/>
        </w:rPr>
        <w:t>106.</w:t>
      </w:r>
      <w:r w:rsidRPr="00B039DD">
        <w:rPr>
          <w:lang w:val="es-ES_tradnl"/>
        </w:rPr>
        <w:tab/>
        <w:t xml:space="preserve">En 2018, se creó la Comisión de Protección y Calidad del Plan Nacional de Seguro de Discapacidad con el objetivo de mejorar la calidad y la seguridad de los servicios y medios de apoyo cubiertos por el Plan Nacional, responder a las quejas y los incidentes, regular a los proveedores de servicios y vigilar el cumplimiento de las normas deontológicas y relativas al ejercicio de la profesión. El Marco de Participación, publicado en 2022, describe a grandes rasgos la relación y cooperación que el Organismo Nacional del Seguro de Discapacidad entablará con la comunidad de personas con discapacidad a fin de lograr cambios y avances significativos del Plan Nacional de Seguro de Discapacidad, optando por la planificación conjunta, las consultas y los intercambios de información. </w:t>
      </w:r>
    </w:p>
    <w:p w14:paraId="1315AB77" w14:textId="77777777" w:rsidR="00E16C43" w:rsidRPr="00B039DD" w:rsidRDefault="00E16C43" w:rsidP="00E16C43">
      <w:pPr>
        <w:pStyle w:val="SingleTxtG"/>
        <w:rPr>
          <w:lang w:val="es-ES_tradnl"/>
        </w:rPr>
      </w:pPr>
      <w:r w:rsidRPr="00B039DD">
        <w:rPr>
          <w:lang w:val="es-ES_tradnl"/>
        </w:rPr>
        <w:t>107.</w:t>
      </w:r>
      <w:r w:rsidRPr="00B039DD">
        <w:rPr>
          <w:lang w:val="es-ES_tradnl"/>
        </w:rPr>
        <w:tab/>
        <w:t>El 18 de octubre de 2022, el Ministro a cargo del Plan Nacional de Seguro de Discapacidad anunció una revisión independiente del diseño, el funcionamiento y la sostenibilidad del plan. La presentación del informe final está prevista para octubre de 2023.</w:t>
      </w:r>
    </w:p>
    <w:p w14:paraId="415FBFFC" w14:textId="77777777" w:rsidR="00E16C43" w:rsidRPr="00B039DD" w:rsidRDefault="00E16C43" w:rsidP="00E16C43">
      <w:pPr>
        <w:pStyle w:val="SingleTxtG"/>
        <w:rPr>
          <w:lang w:val="es-ES_tradnl"/>
        </w:rPr>
      </w:pPr>
      <w:r w:rsidRPr="00B039DD">
        <w:rPr>
          <w:lang w:val="es-ES_tradnl"/>
        </w:rPr>
        <w:t>108.</w:t>
      </w:r>
      <w:r w:rsidRPr="00B039DD">
        <w:rPr>
          <w:lang w:val="es-ES_tradnl"/>
        </w:rPr>
        <w:tab/>
        <w:t xml:space="preserve">El Gobierno australiano también financia el Programa de Información, Vínculos y Capacidad. El programa está destinado a todas las personas con discapacidad, con independencia de que reúnan los requisitos para acogerse al Plan Nacional de Seguro de Discapacidad. Los objetivos del programa son: establecer conexiones entre las personas con discapacidad y las comunidades en las que viven; promover los conocimientos, las </w:t>
      </w:r>
      <w:r w:rsidRPr="00B039DD">
        <w:rPr>
          <w:lang w:val="es-ES_tradnl"/>
        </w:rPr>
        <w:lastRenderedPageBreak/>
        <w:t xml:space="preserve">capacidades y la confianza de las personas con discapacidad; y mejorar su acceso a los servicios generales. </w:t>
      </w:r>
    </w:p>
    <w:p w14:paraId="1154F287" w14:textId="66111216"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 xml:space="preserve">Empleo </w:t>
      </w:r>
    </w:p>
    <w:p w14:paraId="02E8DF91" w14:textId="77777777" w:rsidR="00E16C43" w:rsidRPr="00B039DD" w:rsidRDefault="00E16C43" w:rsidP="00E16C43">
      <w:pPr>
        <w:pStyle w:val="SingleTxtG"/>
        <w:rPr>
          <w:lang w:val="es-ES_tradnl"/>
        </w:rPr>
      </w:pPr>
      <w:r w:rsidRPr="00B039DD">
        <w:rPr>
          <w:lang w:val="es-ES_tradnl"/>
        </w:rPr>
        <w:t>109.</w:t>
      </w:r>
      <w:r w:rsidRPr="00B039DD">
        <w:rPr>
          <w:lang w:val="es-ES_tradnl"/>
        </w:rPr>
        <w:tab/>
        <w:t>La Ley contra la Discriminación por Discapacidad de 1992 (Ley contra la Discriminación por Discapacidad) protege contra la discriminación por motivos de discapacidad, y consagra el derecho de las personas con discapacidad a acceder a las mismas oportunidades de empleo que las personas sin discapacidad. Las leyes de los estados y los territorios también protegen contra la discriminación por motivos de discapacidad.</w:t>
      </w:r>
    </w:p>
    <w:p w14:paraId="3AD56BD5" w14:textId="018C533B" w:rsidR="00E16C43" w:rsidRPr="00B039DD" w:rsidRDefault="00E16C43" w:rsidP="00E16C43">
      <w:pPr>
        <w:pStyle w:val="SingleTxtG"/>
        <w:rPr>
          <w:lang w:val="es-ES_tradnl"/>
        </w:rPr>
      </w:pPr>
      <w:r w:rsidRPr="00B039DD">
        <w:rPr>
          <w:lang w:val="es-ES_tradnl"/>
        </w:rPr>
        <w:t>110.</w:t>
      </w:r>
      <w:r w:rsidRPr="00B039DD">
        <w:rPr>
          <w:lang w:val="es-ES_tradnl"/>
        </w:rPr>
        <w:tab/>
        <w:t>En el presupuesto de 2023</w:t>
      </w:r>
      <w:r w:rsidR="00581426">
        <w:rPr>
          <w:lang w:val="es-ES_tradnl"/>
        </w:rPr>
        <w:t>/</w:t>
      </w:r>
      <w:r w:rsidRPr="00B039DD">
        <w:rPr>
          <w:lang w:val="es-ES_tradnl"/>
        </w:rPr>
        <w:t>24, el Gobierno australiano destinó 52,7 millones de dólares a la creación de oportunidades permanentes de empleo para personas con discapacidad con importantes necesidades de apoyo, a lo largo de un per</w:t>
      </w:r>
      <w:r w:rsidR="00E769E3">
        <w:rPr>
          <w:lang w:val="es-ES_tradnl"/>
        </w:rPr>
        <w:t>í</w:t>
      </w:r>
      <w:r w:rsidRPr="00B039DD">
        <w:rPr>
          <w:lang w:val="es-ES_tradnl"/>
        </w:rPr>
        <w:t xml:space="preserve">odo de cuatro años; ayudar al sector del empleo con apoyo a evolucionar y adaptarse mejor a las expectativas de la comunidad; y brindar apoyo e información sobre derechos y opciones laborales. </w:t>
      </w:r>
    </w:p>
    <w:p w14:paraId="2896A007" w14:textId="77777777" w:rsidR="00E16C43" w:rsidRPr="00B039DD" w:rsidRDefault="00E16C43" w:rsidP="00E16C43">
      <w:pPr>
        <w:pStyle w:val="SingleTxtG"/>
        <w:rPr>
          <w:lang w:val="es-ES_tradnl"/>
        </w:rPr>
      </w:pPr>
      <w:r w:rsidRPr="00B039DD">
        <w:rPr>
          <w:lang w:val="es-ES_tradnl"/>
        </w:rPr>
        <w:t>111.</w:t>
      </w:r>
      <w:r w:rsidRPr="00B039DD">
        <w:rPr>
          <w:lang w:val="es-ES_tradnl"/>
        </w:rPr>
        <w:tab/>
        <w:t>El Fondo de Ayuda al Empleo ofrece ayuda financiera a los empleadores y a las personas con discapacidad o trastornos mentales que reúnan los requisitos pertinentes para costear modificaciones relacionadas con el trabajo, equipos, servicios de interpretación del lenguaje de signos Auslan (Australian Sign Language) y servicios de asistencia y apoyo en el lugar de trabajo.</w:t>
      </w:r>
    </w:p>
    <w:p w14:paraId="3585E843" w14:textId="77777777" w:rsidR="00E16C43" w:rsidRPr="00B039DD" w:rsidRDefault="00E16C43" w:rsidP="00E16C43">
      <w:pPr>
        <w:pStyle w:val="SingleTxtG"/>
        <w:rPr>
          <w:lang w:val="es-ES_tradnl"/>
        </w:rPr>
      </w:pPr>
      <w:r w:rsidRPr="00B039DD">
        <w:rPr>
          <w:lang w:val="es-ES_tradnl"/>
        </w:rPr>
        <w:t>112.</w:t>
      </w:r>
      <w:r w:rsidRPr="00B039DD">
        <w:rPr>
          <w:lang w:val="es-ES_tradnl"/>
        </w:rPr>
        <w:tab/>
        <w:t xml:space="preserve">El Gobierno australiano asigna fondos al Coordinador Nacional de Contratación de Personas con Discapacidad para que ayude a grandes empleadores a acceder a las capacidades y los talentos de personas con discapacidad. </w:t>
      </w:r>
    </w:p>
    <w:p w14:paraId="6D2C2343" w14:textId="77777777" w:rsidR="00E16C43" w:rsidRPr="00B039DD" w:rsidRDefault="00E16C43" w:rsidP="00E16C43">
      <w:pPr>
        <w:pStyle w:val="SingleTxtG"/>
        <w:rPr>
          <w:lang w:val="es-ES_tradnl"/>
        </w:rPr>
      </w:pPr>
      <w:r w:rsidRPr="00B039DD">
        <w:rPr>
          <w:lang w:val="es-ES_tradnl"/>
        </w:rPr>
        <w:t>113.</w:t>
      </w:r>
      <w:r w:rsidRPr="00B039DD">
        <w:rPr>
          <w:lang w:val="es-ES_tradnl"/>
        </w:rPr>
        <w:tab/>
        <w:t xml:space="preserve">El objetivo gubernamental de un 7 % de empleados con discapacidad en la Administración Pública Australiana para 2025 figura en la Estrategia para el Empleo de Personas con Discapacidad en los Servicios Públicos de Australia 2020-2025. El porcentaje de empleados con discapacidad de la Administración Pública Australiana ha seguido una tendencia creciente. En diciembre de 2022 un 4,9 % de empleados de la Administración Pública Australiana se identificaban como personas con discapacidad, frente a un 3,5 % en junio de 2011. </w:t>
      </w:r>
    </w:p>
    <w:p w14:paraId="5151A1C6" w14:textId="19C227F7" w:rsidR="00E16C43" w:rsidRPr="00B039DD" w:rsidRDefault="00E16C43" w:rsidP="00E16C43">
      <w:pPr>
        <w:pStyle w:val="SingleTxtG"/>
        <w:rPr>
          <w:lang w:val="es-ES_tradnl"/>
        </w:rPr>
      </w:pPr>
      <w:r w:rsidRPr="00B039DD">
        <w:rPr>
          <w:lang w:val="es-ES_tradnl"/>
        </w:rPr>
        <w:t>114.</w:t>
      </w:r>
      <w:r w:rsidRPr="00B039DD">
        <w:rPr>
          <w:lang w:val="es-ES_tradnl"/>
        </w:rPr>
        <w:tab/>
        <w:t xml:space="preserve">El plan de empleo </w:t>
      </w:r>
      <w:r w:rsidR="00ED089B">
        <w:rPr>
          <w:lang w:val="es-ES_tradnl"/>
        </w:rPr>
        <w:t>“</w:t>
      </w:r>
      <w:r w:rsidRPr="00ED089B">
        <w:rPr>
          <w:lang w:val="es-ES_tradnl"/>
        </w:rPr>
        <w:t>Employ My Ability</w:t>
      </w:r>
      <w:r w:rsidR="00ED089B">
        <w:rPr>
          <w:lang w:val="es-ES_tradnl"/>
        </w:rPr>
        <w:t>”</w:t>
      </w:r>
      <w:r w:rsidRPr="00B039DD">
        <w:rPr>
          <w:lang w:val="es-ES_tradnl"/>
        </w:rPr>
        <w:t xml:space="preserve"> está asociado a la Estrategia sobre la Discapacidad 2021-2031, centrada en el empleo de las personas con discapacidad. </w:t>
      </w:r>
    </w:p>
    <w:p w14:paraId="43B7FA14" w14:textId="77777777" w:rsidR="00E16C43" w:rsidRPr="00B039DD" w:rsidRDefault="00E16C43" w:rsidP="00E16C43">
      <w:pPr>
        <w:pStyle w:val="SingleTxtG"/>
        <w:rPr>
          <w:lang w:val="es-ES_tradnl"/>
        </w:rPr>
      </w:pPr>
      <w:r w:rsidRPr="00B039DD">
        <w:rPr>
          <w:lang w:val="es-ES_tradnl"/>
        </w:rPr>
        <w:t>115.</w:t>
      </w:r>
      <w:r w:rsidRPr="00B039DD">
        <w:rPr>
          <w:lang w:val="es-ES_tradnl"/>
        </w:rPr>
        <w:tab/>
        <w:t>Las personas que no puedan trabajar 15 o más horas semanales durante los próximos dos años como consecuencia de deficiencias físicas, intelectuales o psiquiátricas, pueden optar a la pensión por discapacidad, que aporta una ayuda económica. Los cuadros sobre las deficiencias que pueden motivar la concesión de pensiones de apoyo a la discapacidad especifican cómo evaluar una discapacidad relacionada con el trabajo a los efectos de la tramitación de una pensión de apoyo a la discapacidad. Tras extensas consultas, el Gobierno actualizó recientemente los cuadros para mejorar la coherencia, aclarar las finalidades de las políticas y reflejar los avances pertinentes en tecnología médica, evaluaciones y terminología.</w:t>
      </w:r>
    </w:p>
    <w:p w14:paraId="0401A03E" w14:textId="37EFC0B1"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Esterilización forzada</w:t>
      </w:r>
    </w:p>
    <w:p w14:paraId="4D6D2F3B" w14:textId="77777777" w:rsidR="00E16C43" w:rsidRPr="00B039DD" w:rsidRDefault="00E16C43" w:rsidP="00E16C43">
      <w:pPr>
        <w:pStyle w:val="SingleTxtG"/>
        <w:rPr>
          <w:lang w:val="es-ES_tradnl"/>
        </w:rPr>
      </w:pPr>
      <w:r w:rsidRPr="00B039DD">
        <w:rPr>
          <w:lang w:val="es-ES_tradnl"/>
        </w:rPr>
        <w:t>116.</w:t>
      </w:r>
      <w:r w:rsidRPr="00B039DD">
        <w:rPr>
          <w:lang w:val="es-ES_tradnl"/>
        </w:rPr>
        <w:tab/>
        <w:t xml:space="preserve">El Gobierno australiano respeta el derecho de todas las personas a la integridad física y a decidir de manera libre e informada si someterse o no a un procedimiento de esterilización, siempre y cuando tengan la capacidad de tomar la decisión de forma independiente. </w:t>
      </w:r>
    </w:p>
    <w:p w14:paraId="70B9D9ED" w14:textId="77777777" w:rsidR="00E16C43" w:rsidRPr="00B039DD" w:rsidRDefault="00E16C43" w:rsidP="00E16C43">
      <w:pPr>
        <w:pStyle w:val="SingleTxtG"/>
        <w:rPr>
          <w:lang w:val="es-ES_tradnl"/>
        </w:rPr>
      </w:pPr>
      <w:r w:rsidRPr="00B039DD">
        <w:rPr>
          <w:lang w:val="es-ES_tradnl"/>
        </w:rPr>
        <w:t>117.</w:t>
      </w:r>
      <w:r w:rsidRPr="00B039DD">
        <w:rPr>
          <w:lang w:val="es-ES_tradnl"/>
        </w:rPr>
        <w:tab/>
        <w:t xml:space="preserve">En Australia, un procedimiento de esterilización por motivos no terapéuticos puede llevarse a cabo únicamente con el consentimiento de la persona adulta, o con la autorización de un juzgado, tribunal o tutor autorizado (dependiendo de la jurisdicción) en el caso de que la persona sea incapaz de dar su consentimiento informado. Se requiere la autorización de los tribunales de derecho de familia y bienestar infantil para cualquier procedimiento quirúrgico o de esterilización de niños que no sea terapéutico o bien resulte invasivo e </w:t>
      </w:r>
      <w:r w:rsidRPr="00B039DD">
        <w:rPr>
          <w:lang w:val="es-ES_tradnl"/>
        </w:rPr>
        <w:lastRenderedPageBreak/>
        <w:t>irreversible, cuando exista un riesgo importante de tomar una decisión equivocada y cuando las consecuencias de una decisión equivocada sean especialmente graves.</w:t>
      </w:r>
    </w:p>
    <w:p w14:paraId="24EA3DBA" w14:textId="7DDB9061"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Medidas contra el edadismo, la discriminación y</w:t>
      </w:r>
      <w:r>
        <w:rPr>
          <w:lang w:val="es-ES_tradnl"/>
        </w:rPr>
        <w:br/>
      </w:r>
      <w:r w:rsidR="00E16C43" w:rsidRPr="00B039DD">
        <w:rPr>
          <w:lang w:val="es-ES_tradnl"/>
        </w:rPr>
        <w:t>los malos tratos</w:t>
      </w:r>
    </w:p>
    <w:p w14:paraId="494EE050" w14:textId="77777777" w:rsidR="00E16C43" w:rsidRPr="00B039DD" w:rsidRDefault="00E16C43" w:rsidP="00E16C43">
      <w:pPr>
        <w:pStyle w:val="SingleTxtG"/>
        <w:rPr>
          <w:lang w:val="es-ES_tradnl"/>
        </w:rPr>
      </w:pPr>
      <w:r w:rsidRPr="00B039DD">
        <w:rPr>
          <w:lang w:val="es-ES_tradnl"/>
        </w:rPr>
        <w:t>118.</w:t>
      </w:r>
      <w:r w:rsidRPr="00B039DD">
        <w:rPr>
          <w:lang w:val="es-ES_tradnl"/>
        </w:rPr>
        <w:tab/>
        <w:t>La Ley de Lucha contra la Discriminación por Edad del Commonwealth de 2004 (Ley de Lucha contra la Discriminación por Edad) protege a los australianos de la discriminación por edad y prohíbe discriminar a nadie por motivos de edad en diversos ámbitos de la vida pública, como el empleo, la educación, la vivienda y el suministro de bienes, servicios e instalaciones. Todos los estados y territorios cuentan a su vez con leyes de lucha contra la discriminación.</w:t>
      </w:r>
    </w:p>
    <w:p w14:paraId="72002B6F" w14:textId="77777777" w:rsidR="00E16C43" w:rsidRPr="00B039DD" w:rsidRDefault="00E16C43" w:rsidP="00E16C43">
      <w:pPr>
        <w:pStyle w:val="SingleTxtG"/>
        <w:rPr>
          <w:lang w:val="es-ES_tradnl"/>
        </w:rPr>
      </w:pPr>
      <w:r w:rsidRPr="00B039DD">
        <w:rPr>
          <w:lang w:val="es-ES_tradnl"/>
        </w:rPr>
        <w:t>119.</w:t>
      </w:r>
      <w:r w:rsidRPr="00B039DD">
        <w:rPr>
          <w:lang w:val="es-ES_tradnl"/>
        </w:rPr>
        <w:tab/>
        <w:t>En octubre de 2018 se estableció la Comisión Real acerca de la Calidad y la Seguridad de la Atención a las Personas de Edad con vistas a mejorar la seguridad, la salud, el bienestar y la calidad de vida de los beneficiarios de servicios de atención por razones de edad financiados por Australia. Presentó su informe final al Parlamento en marzo de 2021, con 148 recomendaciones. La respuesta del Gobierno consistió en destinar fondos adicionales a los servicios de atención a las personas de edad y enmendar la Ley sobre la Atención a las Personas de Edad de 1997 y los instrumentos legislativos relacionados con vistas a:</w:t>
      </w:r>
    </w:p>
    <w:p w14:paraId="0B8F4161" w14:textId="7D0FDC38" w:rsidR="00E16C43" w:rsidRPr="00B039DD" w:rsidRDefault="0039023F" w:rsidP="00E16C43">
      <w:pPr>
        <w:pStyle w:val="SingleTxtG"/>
        <w:rPr>
          <w:lang w:val="es-ES_tradnl"/>
        </w:rPr>
      </w:pPr>
      <w:r>
        <w:rPr>
          <w:lang w:val="es-ES_tradnl"/>
        </w:rPr>
        <w:tab/>
      </w:r>
      <w:r w:rsidR="00E16C43" w:rsidRPr="00B039DD">
        <w:rPr>
          <w:lang w:val="es-ES_tradnl"/>
        </w:rPr>
        <w:t>a)</w:t>
      </w:r>
      <w:r w:rsidR="00E16C43" w:rsidRPr="00B039DD">
        <w:rPr>
          <w:lang w:val="es-ES_tradnl"/>
        </w:rPr>
        <w:tab/>
        <w:t>Implantar controles más estrictos sobre el recurso a prácticas restrictivas, como los medios de contención físicos y farmacológicos, con el fin de garantizar que s</w:t>
      </w:r>
      <w:r w:rsidR="00C66F1B">
        <w:rPr>
          <w:lang w:val="es-ES_tradnl"/>
        </w:rPr>
        <w:t>o</w:t>
      </w:r>
      <w:r w:rsidR="00E16C43" w:rsidRPr="00B039DD">
        <w:rPr>
          <w:lang w:val="es-ES_tradnl"/>
        </w:rPr>
        <w:t>lo se utilicen de la forma menos restrictiva posible, durante el menor tiempo posible y como último recurso;</w:t>
      </w:r>
    </w:p>
    <w:p w14:paraId="11CBEA0D" w14:textId="650BD717" w:rsidR="00E16C43" w:rsidRPr="00B039DD" w:rsidRDefault="0039023F" w:rsidP="00E16C43">
      <w:pPr>
        <w:pStyle w:val="SingleTxtG"/>
        <w:rPr>
          <w:lang w:val="es-ES_tradnl"/>
        </w:rPr>
      </w:pPr>
      <w:r>
        <w:rPr>
          <w:lang w:val="es-ES_tradnl"/>
        </w:rPr>
        <w:tab/>
      </w:r>
      <w:r w:rsidR="00E16C43" w:rsidRPr="00B039DD">
        <w:rPr>
          <w:lang w:val="es-ES_tradnl"/>
        </w:rPr>
        <w:t>b)</w:t>
      </w:r>
      <w:r w:rsidR="00E16C43" w:rsidRPr="00B039DD">
        <w:rPr>
          <w:lang w:val="es-ES_tradnl"/>
        </w:rPr>
        <w:tab/>
        <w:t>Introducir un Código de Conducta sobre la Asistencia a la Vejez que sea de obligado cumplimiento para los proveedores de este tipo de servicios, así como habilitar al Comisionado de Calidad y Seguridad de la Asistencia a la Vejez a que adopte medidas coercitivas en caso de incumplimiento del Código de Conducta;</w:t>
      </w:r>
    </w:p>
    <w:p w14:paraId="56DEB6F5" w14:textId="124770A3" w:rsidR="00E16C43" w:rsidRPr="00B039DD" w:rsidRDefault="0039023F" w:rsidP="00E16C43">
      <w:pPr>
        <w:pStyle w:val="SingleTxtG"/>
        <w:rPr>
          <w:lang w:val="es-ES_tradnl"/>
        </w:rPr>
      </w:pPr>
      <w:r>
        <w:rPr>
          <w:lang w:val="es-ES_tradnl"/>
        </w:rPr>
        <w:tab/>
      </w:r>
      <w:r w:rsidR="00E16C43" w:rsidRPr="00B039DD">
        <w:rPr>
          <w:lang w:val="es-ES_tradnl"/>
        </w:rPr>
        <w:t>c)</w:t>
      </w:r>
      <w:r w:rsidR="00E16C43" w:rsidRPr="00B039DD">
        <w:rPr>
          <w:lang w:val="es-ES_tradnl"/>
        </w:rPr>
        <w:tab/>
        <w:t>Publicar clasificaciones por estrellas para que los australianos de edad puedan comparar los servicios de atención residencial a la tercera edad y decidir cuál se ajusta mejor a sus necesidades.</w:t>
      </w:r>
    </w:p>
    <w:p w14:paraId="391DC4B9" w14:textId="77777777" w:rsidR="00E16C43" w:rsidRPr="00B039DD" w:rsidRDefault="00E16C43" w:rsidP="00E16C43">
      <w:pPr>
        <w:pStyle w:val="SingleTxtG"/>
        <w:rPr>
          <w:lang w:val="es-ES_tradnl"/>
        </w:rPr>
      </w:pPr>
      <w:r w:rsidRPr="00B039DD">
        <w:rPr>
          <w:lang w:val="es-ES_tradnl"/>
        </w:rPr>
        <w:t>120.</w:t>
      </w:r>
      <w:r w:rsidRPr="00B039DD">
        <w:rPr>
          <w:lang w:val="es-ES_tradnl"/>
        </w:rPr>
        <w:tab/>
        <w:t>Se está elaborando una nueva ley general de atención a la tercera edad que situará a los ancianos australianos en el centro del sistema de atención a la tercera edad y sentará las bases de un cambio fundamental.</w:t>
      </w:r>
    </w:p>
    <w:p w14:paraId="4610C061" w14:textId="7FF6C91F"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Plan Nacional de Respuesta a los Abusos contra los</w:t>
      </w:r>
      <w:r>
        <w:rPr>
          <w:lang w:val="es-ES_tradnl"/>
        </w:rPr>
        <w:br/>
      </w:r>
      <w:r w:rsidR="00E16C43" w:rsidRPr="00B039DD">
        <w:rPr>
          <w:lang w:val="es-ES_tradnl"/>
        </w:rPr>
        <w:t>Australianos de Edad</w:t>
      </w:r>
    </w:p>
    <w:p w14:paraId="0BB1148B" w14:textId="77777777" w:rsidR="00E16C43" w:rsidRPr="00B039DD" w:rsidRDefault="00E16C43" w:rsidP="00E16C43">
      <w:pPr>
        <w:pStyle w:val="SingleTxtG"/>
        <w:rPr>
          <w:lang w:val="es-ES_tradnl"/>
        </w:rPr>
      </w:pPr>
      <w:r w:rsidRPr="00B039DD">
        <w:rPr>
          <w:lang w:val="es-ES_tradnl"/>
        </w:rPr>
        <w:t>121.</w:t>
      </w:r>
      <w:r w:rsidRPr="00B039DD">
        <w:rPr>
          <w:lang w:val="es-ES_tradnl"/>
        </w:rPr>
        <w:tab/>
        <w:t>Desde 2016, el Gobierno australiano ha invertido 81,39 millones de dólares a través del Departamento de la Fiscalía General, en el marco del esfuerzo conjunto del Gobierno por combatir los abusos contra las personas mayores.</w:t>
      </w:r>
    </w:p>
    <w:p w14:paraId="236DE107" w14:textId="080B4219" w:rsidR="00E16C43" w:rsidRPr="00B039DD" w:rsidRDefault="00E16C43" w:rsidP="00E16C43">
      <w:pPr>
        <w:pStyle w:val="SingleTxtG"/>
        <w:rPr>
          <w:lang w:val="es-ES_tradnl"/>
        </w:rPr>
      </w:pPr>
      <w:r w:rsidRPr="00B039DD">
        <w:rPr>
          <w:lang w:val="es-ES_tradnl"/>
        </w:rPr>
        <w:t>122.</w:t>
      </w:r>
      <w:r w:rsidRPr="00B039DD">
        <w:rPr>
          <w:lang w:val="es-ES_tradnl"/>
        </w:rPr>
        <w:tab/>
        <w:t>El Plan Nacional de Respuesta a los Abusos contra los Australianos de Edad</w:t>
      </w:r>
      <w:r w:rsidR="00C66F1B">
        <w:rPr>
          <w:lang w:val="es-ES_tradnl"/>
        </w:rPr>
        <w:t xml:space="preserve"> </w:t>
      </w:r>
      <w:r w:rsidRPr="00B039DD">
        <w:rPr>
          <w:lang w:val="es-ES_tradnl"/>
        </w:rPr>
        <w:t>2019</w:t>
      </w:r>
      <w:r w:rsidR="00C66F1B">
        <w:rPr>
          <w:lang w:val="es-ES_tradnl"/>
        </w:rPr>
        <w:noBreakHyphen/>
      </w:r>
      <w:r w:rsidRPr="00B039DD">
        <w:rPr>
          <w:lang w:val="es-ES_tradnl"/>
        </w:rPr>
        <w:t xml:space="preserve">2023 proporciona el marco de acción político para que todos los niveles de gobierno australianos traten la cuestión de los abusos contra las personas de edad, en particular reforzando la respuesta y las salvaguardias para las personas mayores en situación de vulnerabilidad. </w:t>
      </w:r>
    </w:p>
    <w:p w14:paraId="495E9CCA" w14:textId="05D036EA" w:rsidR="00E16C43" w:rsidRPr="00B039DD" w:rsidRDefault="00E16C43" w:rsidP="00E16C43">
      <w:pPr>
        <w:pStyle w:val="SingleTxtG"/>
        <w:rPr>
          <w:lang w:val="es-ES_tradnl"/>
        </w:rPr>
      </w:pPr>
      <w:r w:rsidRPr="00B039DD">
        <w:rPr>
          <w:lang w:val="es-ES_tradnl"/>
        </w:rPr>
        <w:t>123.</w:t>
      </w:r>
      <w:r w:rsidRPr="00B039DD">
        <w:rPr>
          <w:lang w:val="es-ES_tradnl"/>
        </w:rPr>
        <w:tab/>
        <w:t xml:space="preserve">Entre las iniciativas del </w:t>
      </w:r>
      <w:r w:rsidR="00C66F1B" w:rsidRPr="00B039DD">
        <w:rPr>
          <w:lang w:val="es-ES_tradnl"/>
        </w:rPr>
        <w:t xml:space="preserve">Plan </w:t>
      </w:r>
      <w:r w:rsidRPr="00B039DD">
        <w:rPr>
          <w:lang w:val="es-ES_tradnl"/>
        </w:rPr>
        <w:t xml:space="preserve">figura el Estudio nacional de prevalencia de los abusos contra las personas mayores, primera evaluación a gran escala de la naturaleza y el alcance de los abusos sufridos por personas mayores de 65 años en la comunidad. El </w:t>
      </w:r>
      <w:r w:rsidR="00C66F1B" w:rsidRPr="00B039DD">
        <w:rPr>
          <w:lang w:val="es-ES_tradnl"/>
        </w:rPr>
        <w:t xml:space="preserve">Plan </w:t>
      </w:r>
      <w:r w:rsidRPr="00B039DD">
        <w:rPr>
          <w:lang w:val="es-ES_tradnl"/>
        </w:rPr>
        <w:t xml:space="preserve">también apoyó la creación de una línea telefónica nacional de atención de casos de maltrato de personas mayores, en colaboración con los gobiernos estatales y territoriales, y la financiación de la coalición nacional contra el maltrato de las personas mayores de Australia. </w:t>
      </w:r>
    </w:p>
    <w:p w14:paraId="4DB1C3A7" w14:textId="1769BC85" w:rsidR="00E16C43" w:rsidRPr="00B039DD" w:rsidRDefault="00E16C43" w:rsidP="00E82A2E">
      <w:pPr>
        <w:pStyle w:val="SingleTxtG"/>
        <w:keepNext/>
        <w:keepLines/>
        <w:rPr>
          <w:lang w:val="es-ES_tradnl"/>
        </w:rPr>
      </w:pPr>
      <w:r w:rsidRPr="00B039DD">
        <w:rPr>
          <w:lang w:val="es-ES_tradnl"/>
        </w:rPr>
        <w:lastRenderedPageBreak/>
        <w:t>124.</w:t>
      </w:r>
      <w:r w:rsidRPr="00B039DD">
        <w:rPr>
          <w:lang w:val="es-ES_tradnl"/>
        </w:rPr>
        <w:tab/>
        <w:t xml:space="preserve">Los estados y los territorios también llevan a cabo iniciativas de lucha contra la discriminación por motivos de edad y contra el maltrato de las personas mayores. Por ejemplo, Australia Occidental está afiliada a la Red Mundial de Ciudades y Comunidades Adaptadas a las Personas Mayores de la Organización Mundial de la Salud e impulsa el intercambio de buenas prácticas en materia de personas mayores. Cuenta con una serie de subvenciones e iniciativas, incluida la guía de recursos </w:t>
      </w:r>
      <w:r w:rsidRPr="00E82A2E">
        <w:rPr>
          <w:lang w:val="es-ES_tradnl"/>
        </w:rPr>
        <w:t>Creating Age-friendly Communities in Western Australia 2021 [</w:t>
      </w:r>
      <w:r w:rsidR="00C66F1B" w:rsidRPr="00E82A2E">
        <w:rPr>
          <w:lang w:val="es-ES_tradnl"/>
        </w:rPr>
        <w:t>“</w:t>
      </w:r>
      <w:r w:rsidRPr="00E82A2E">
        <w:rPr>
          <w:lang w:val="es-ES_tradnl"/>
        </w:rPr>
        <w:t>Creación de comunidades ad</w:t>
      </w:r>
      <w:r w:rsidRPr="00B039DD">
        <w:rPr>
          <w:lang w:val="es-ES_tradnl"/>
        </w:rPr>
        <w:t>aptadas a las personas mayores en Australia Occidental 2021</w:t>
      </w:r>
      <w:r w:rsidR="00C66F1B">
        <w:rPr>
          <w:lang w:val="es-ES_tradnl"/>
        </w:rPr>
        <w:t>”</w:t>
      </w:r>
      <w:r w:rsidRPr="00B039DD">
        <w:rPr>
          <w:lang w:val="es-ES_tradnl"/>
        </w:rPr>
        <w:t>], que establece un modelo de referencia para la creación de comunidades adaptadas a las personas mayores. En Nueva Gales del Sur, se estableció en</w:t>
      </w:r>
      <w:r w:rsidR="00C66F1B">
        <w:rPr>
          <w:lang w:val="es-ES_tradnl"/>
        </w:rPr>
        <w:t> </w:t>
      </w:r>
      <w:r w:rsidRPr="00B039DD">
        <w:rPr>
          <w:lang w:val="es-ES_tradnl"/>
        </w:rPr>
        <w:t>2019 la Comisión sobre el Envejecimiento y la Discapacidad, una agencia oficial independiente, cuyas funciones incluyen la recepción de notificaciones o denuncias de casos de abuso, negligencia o explotación de personas mayores o de adultos con discapacidad, y la respuesta pertinente.</w:t>
      </w:r>
    </w:p>
    <w:p w14:paraId="37ABC871" w14:textId="01D82F77"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Recomendaciones de la Comisión de Reforma Legislativa</w:t>
      </w:r>
      <w:r>
        <w:rPr>
          <w:lang w:val="es-ES_tradnl"/>
        </w:rPr>
        <w:br/>
      </w:r>
      <w:r w:rsidR="00E16C43" w:rsidRPr="00B039DD">
        <w:rPr>
          <w:lang w:val="es-ES_tradnl"/>
        </w:rPr>
        <w:t xml:space="preserve">de Australia </w:t>
      </w:r>
    </w:p>
    <w:p w14:paraId="54356AAB" w14:textId="378A0965" w:rsidR="00E16C43" w:rsidRPr="00B039DD" w:rsidRDefault="00E16C43" w:rsidP="00E16C43">
      <w:pPr>
        <w:pStyle w:val="SingleTxtG"/>
        <w:rPr>
          <w:lang w:val="es-ES_tradnl"/>
        </w:rPr>
      </w:pPr>
      <w:r w:rsidRPr="00B039DD">
        <w:rPr>
          <w:lang w:val="es-ES_tradnl"/>
        </w:rPr>
        <w:t>125.</w:t>
      </w:r>
      <w:r w:rsidRPr="00B039DD">
        <w:rPr>
          <w:lang w:val="es-ES_tradnl"/>
        </w:rPr>
        <w:tab/>
        <w:t xml:space="preserve">El informe de la Comisión de Reforma Legislativa de Australia de 2017 </w:t>
      </w:r>
      <w:r w:rsidRPr="00C66F1B">
        <w:rPr>
          <w:lang w:val="es-ES_tradnl"/>
        </w:rPr>
        <w:t>Elder Abuse: A National Legal Response</w:t>
      </w:r>
      <w:r w:rsidRPr="00B039DD">
        <w:rPr>
          <w:lang w:val="es-ES_tradnl"/>
        </w:rPr>
        <w:t xml:space="preserve"> [</w:t>
      </w:r>
      <w:r w:rsidR="00C66F1B">
        <w:rPr>
          <w:lang w:val="es-ES_tradnl"/>
        </w:rPr>
        <w:t>“</w:t>
      </w:r>
      <w:r w:rsidRPr="00B039DD">
        <w:rPr>
          <w:lang w:val="es-ES_tradnl"/>
        </w:rPr>
        <w:t>Abusos contra las personas mayores: una respuesta legal nacional</w:t>
      </w:r>
      <w:r w:rsidR="00C66F1B">
        <w:rPr>
          <w:lang w:val="es-ES_tradnl"/>
        </w:rPr>
        <w:t>”</w:t>
      </w:r>
      <w:r w:rsidRPr="00B039DD">
        <w:rPr>
          <w:lang w:val="es-ES_tradnl"/>
        </w:rPr>
        <w:t xml:space="preserve">] incluye recomendaciones para los gobiernos australianos, así como para los colegios de abogados, el sector bancario y el Consejo de Tutela y Administración de Australia. La introducción del plan nacional fue una respuesta clave al informe, y la publicación en 2021 del primer estudio nacional sobre la prevalencia de los abusos contra las personas mayores es otra medida importante destinada a profundizar el conocimiento y la comprensión de la naturaleza y la prevalencia de los abusos infligidos a las personas mayores en Australia. </w:t>
      </w:r>
    </w:p>
    <w:p w14:paraId="204A173C" w14:textId="55F658DF" w:rsidR="00E16C43" w:rsidRPr="00B039DD" w:rsidRDefault="00E16C43" w:rsidP="00E16C43">
      <w:pPr>
        <w:pStyle w:val="SingleTxtG"/>
        <w:rPr>
          <w:lang w:val="es-ES_tradnl"/>
        </w:rPr>
      </w:pPr>
      <w:r w:rsidRPr="00B039DD">
        <w:rPr>
          <w:lang w:val="es-ES_tradnl"/>
        </w:rPr>
        <w:t>126.</w:t>
      </w:r>
      <w:r w:rsidRPr="00B039DD">
        <w:rPr>
          <w:lang w:val="es-ES_tradnl"/>
        </w:rPr>
        <w:tab/>
        <w:t xml:space="preserve">El Gobierno australiano ha puesto en marcha el Plan de Respuesta a Incidentes Graves en respuesta a las recomendaciones de la Comisión Real acerca de la Calidad y la Seguridad de la Atención a las Personas de Edad y el informe sobre los abusos sufridos por las personas mayores. El objetivo del </w:t>
      </w:r>
      <w:r w:rsidR="00C66F1B" w:rsidRPr="00B039DD">
        <w:rPr>
          <w:lang w:val="es-ES_tradnl"/>
        </w:rPr>
        <w:t xml:space="preserve">Plan </w:t>
      </w:r>
      <w:r w:rsidRPr="00B039DD">
        <w:rPr>
          <w:lang w:val="es-ES_tradnl"/>
        </w:rPr>
        <w:t xml:space="preserve">es reducir y prevenir el descuido y el maltrato de los ancianos australianos que reciben servicios de asistencia subvencionados con fondos públicos. </w:t>
      </w:r>
    </w:p>
    <w:p w14:paraId="556A2EF7" w14:textId="77777777" w:rsidR="00E16C43" w:rsidRPr="00B039DD" w:rsidRDefault="00E16C43" w:rsidP="00E16C43">
      <w:pPr>
        <w:pStyle w:val="SingleTxtG"/>
        <w:rPr>
          <w:lang w:val="es-ES_tradnl"/>
        </w:rPr>
      </w:pPr>
      <w:r w:rsidRPr="00B039DD">
        <w:rPr>
          <w:lang w:val="es-ES_tradnl"/>
        </w:rPr>
        <w:t>127.</w:t>
      </w:r>
      <w:r w:rsidRPr="00B039DD">
        <w:rPr>
          <w:lang w:val="es-ES_tradnl"/>
        </w:rPr>
        <w:tab/>
        <w:t xml:space="preserve">Los gobiernos de los estados y los territorios también han respondido al informe de la Comisión de Reforma Legislativa de Australia. Por ejemplo, en 2018, Australia Meridional aprobó una ley para establecer la Unidad de Salvaguardia de Adultos, que trata los casos de abusos o malos tratos a personas mayores que se señalan y garantiza el funcionamiento de mecanismos de protección. </w:t>
      </w:r>
    </w:p>
    <w:p w14:paraId="65988F39" w14:textId="5DA198B5"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 xml:space="preserve">Empleo </w:t>
      </w:r>
    </w:p>
    <w:p w14:paraId="28BB6137" w14:textId="77777777" w:rsidR="00E16C43" w:rsidRPr="00B039DD" w:rsidRDefault="00E16C43" w:rsidP="00E16C43">
      <w:pPr>
        <w:pStyle w:val="SingleTxtG"/>
        <w:rPr>
          <w:lang w:val="es-ES_tradnl"/>
        </w:rPr>
      </w:pPr>
      <w:r w:rsidRPr="00B039DD">
        <w:rPr>
          <w:lang w:val="es-ES_tradnl"/>
        </w:rPr>
        <w:t>128.</w:t>
      </w:r>
      <w:r w:rsidRPr="00B039DD">
        <w:rPr>
          <w:lang w:val="es-ES_tradnl"/>
        </w:rPr>
        <w:tab/>
        <w:t xml:space="preserve">Los gobiernos de Australia, los estados y los territorios colaboran en el marco del Consejo Permanente de Fiscales Generales en la elaboración de propuestas de reforma legislativa con vistas a reforzar la protección de los australianos de edad. </w:t>
      </w:r>
    </w:p>
    <w:p w14:paraId="378D36D9" w14:textId="0459F0D7" w:rsidR="00E16C43" w:rsidRPr="00B039DD" w:rsidRDefault="00E16C43" w:rsidP="00E16C43">
      <w:pPr>
        <w:pStyle w:val="SingleTxtG"/>
        <w:rPr>
          <w:lang w:val="es-ES_tradnl"/>
        </w:rPr>
      </w:pPr>
      <w:r w:rsidRPr="00B039DD">
        <w:rPr>
          <w:lang w:val="es-ES_tradnl"/>
        </w:rPr>
        <w:t>129.</w:t>
      </w:r>
      <w:r w:rsidRPr="00B039DD">
        <w:rPr>
          <w:lang w:val="es-ES_tradnl"/>
        </w:rPr>
        <w:tab/>
        <w:t xml:space="preserve">La ex Comisionada Encargada de la Lucha contra la Discriminación por Edad, la Excma. Dra. Kay Patterson emprendió varios proyectos de respuesta al edadismo, también en el lugar de trabajo. En julio de 2023, la Comisionada Encargada de la Lucha contra la Discriminación por Edad publicó el informe </w:t>
      </w:r>
      <w:r w:rsidRPr="00C66F1B">
        <w:rPr>
          <w:lang w:val="es-ES_tradnl"/>
        </w:rPr>
        <w:t>Changing perspectives: testing an ageism intervention [</w:t>
      </w:r>
      <w:r w:rsidR="0039023F" w:rsidRPr="00C66F1B">
        <w:rPr>
          <w:lang w:val="es-ES_tradnl"/>
        </w:rPr>
        <w:t>“</w:t>
      </w:r>
      <w:r w:rsidRPr="00C66F1B">
        <w:rPr>
          <w:lang w:val="es-ES_tradnl"/>
        </w:rPr>
        <w:t>Cambiando de perspectivas: interv</w:t>
      </w:r>
      <w:r w:rsidRPr="00B039DD">
        <w:rPr>
          <w:lang w:val="es-ES_tradnl"/>
        </w:rPr>
        <w:t>ención experimental contra el edadismo</w:t>
      </w:r>
      <w:r w:rsidR="0039023F">
        <w:rPr>
          <w:lang w:val="es-ES_tradnl"/>
        </w:rPr>
        <w:t>”</w:t>
      </w:r>
      <w:r w:rsidRPr="00B039DD">
        <w:rPr>
          <w:lang w:val="es-ES_tradnl"/>
        </w:rPr>
        <w:t xml:space="preserve">], que presentaba las conclusiones de un estudio realizado sobre una sesión de sensibilización de trabajadores de centros comunitarios y de atención de personas mayores. </w:t>
      </w:r>
    </w:p>
    <w:p w14:paraId="3F7E01B1" w14:textId="11039D1F" w:rsidR="00E16C43" w:rsidRPr="00B039DD" w:rsidRDefault="00E16C43" w:rsidP="00E16C43">
      <w:pPr>
        <w:pStyle w:val="SingleTxtG"/>
        <w:rPr>
          <w:lang w:val="es-ES_tradnl"/>
        </w:rPr>
      </w:pPr>
      <w:r w:rsidRPr="00B039DD">
        <w:rPr>
          <w:lang w:val="es-ES_tradnl"/>
        </w:rPr>
        <w:t>130.</w:t>
      </w:r>
      <w:r w:rsidRPr="00B039DD">
        <w:rPr>
          <w:lang w:val="es-ES_tradnl"/>
        </w:rPr>
        <w:tab/>
        <w:t xml:space="preserve">En 2021, la Comisión de Derechos Humanos de Australia publicó su informe </w:t>
      </w:r>
      <w:r w:rsidRPr="00C66F1B">
        <w:rPr>
          <w:lang w:val="es-ES_tradnl"/>
        </w:rPr>
        <w:t>What’s age got to do with it? [</w:t>
      </w:r>
      <w:r w:rsidR="00C66F1B">
        <w:rPr>
          <w:lang w:val="es-ES_tradnl"/>
        </w:rPr>
        <w:t>“</w:t>
      </w:r>
      <w:r w:rsidRPr="00C66F1B">
        <w:rPr>
          <w:lang w:val="es-ES_tradnl"/>
        </w:rPr>
        <w:t>¿Qué tiene que ver la edad?</w:t>
      </w:r>
      <w:r w:rsidR="00C66F1B">
        <w:rPr>
          <w:lang w:val="es-ES_tradnl"/>
        </w:rPr>
        <w:t>”</w:t>
      </w:r>
      <w:r w:rsidRPr="00C66F1B">
        <w:rPr>
          <w:lang w:val="es-ES_tradnl"/>
        </w:rPr>
        <w:t>], relativo a la discriminación por motivos de edad en la historia australiana. Su informe de 2016, Willing to Work: National Inquiry into Employment Discrimination against Older Australians and Australians with Disability [</w:t>
      </w:r>
      <w:r w:rsidR="00C66F1B">
        <w:rPr>
          <w:lang w:val="es-ES_tradnl"/>
        </w:rPr>
        <w:t>“</w:t>
      </w:r>
      <w:r w:rsidRPr="00C66F1B">
        <w:rPr>
          <w:lang w:val="es-ES_tradnl"/>
        </w:rPr>
        <w:t xml:space="preserve">La voluntad de trabajar: Investigación nacional sobre la discriminación laboral de los </w:t>
      </w:r>
      <w:r w:rsidRPr="00B039DD">
        <w:rPr>
          <w:lang w:val="es-ES_tradnl"/>
        </w:rPr>
        <w:t>australianos de edad avanzada y los australianos con discapacidad</w:t>
      </w:r>
      <w:r w:rsidR="00C66F1B">
        <w:rPr>
          <w:lang w:val="es-ES_tradnl"/>
        </w:rPr>
        <w:t>”</w:t>
      </w:r>
      <w:r w:rsidRPr="00B039DD">
        <w:rPr>
          <w:lang w:val="es-ES_tradnl"/>
        </w:rPr>
        <w:t xml:space="preserve">] comprende una serie de </w:t>
      </w:r>
      <w:r w:rsidRPr="00B039DD">
        <w:rPr>
          <w:lang w:val="es-ES_tradnl"/>
        </w:rPr>
        <w:lastRenderedPageBreak/>
        <w:t xml:space="preserve">recomendaciones sobre estrategias prácticas y el seguimiento sistemático de los avances y los resultados. </w:t>
      </w:r>
    </w:p>
    <w:p w14:paraId="6013BB7D" w14:textId="2CD4EA67" w:rsidR="00E16C43" w:rsidRPr="00B039DD" w:rsidRDefault="00E16C43" w:rsidP="00E16C43">
      <w:pPr>
        <w:pStyle w:val="SingleTxtG"/>
        <w:rPr>
          <w:vertAlign w:val="superscript"/>
          <w:lang w:val="es-ES_tradnl"/>
        </w:rPr>
      </w:pPr>
      <w:r w:rsidRPr="00B039DD">
        <w:rPr>
          <w:lang w:val="es-ES_tradnl"/>
        </w:rPr>
        <w:t>131.</w:t>
      </w:r>
      <w:r w:rsidRPr="00B039DD">
        <w:rPr>
          <w:lang w:val="es-ES_tradnl"/>
        </w:rPr>
        <w:tab/>
        <w:t>La Comisionada Encargada de la Lucha contra la Discriminación por Edad y la Comisión de Derechos Humanos de Australia emprendieron diversos proyectos destinados a promover las ventajas de una fuerza de trabajo multigeneracional, entre ellos un proyecto de módulo de formación para directivos sobre los derechos de los trabajadores de edad y una colaboración entablada con el Instituto Australiano de Recursos Humanos para llevar a cabo una investigación sobre las estrategias de las organizaciones para contratar y retener a trabajadores de más edad a lo largo de varios años. Australia recuerda las observaciones finales del Comité de Derechos Económicos, Sociales y Culturales sobre esta cuestión</w:t>
      </w:r>
      <w:r w:rsidRPr="00B039DD">
        <w:rPr>
          <w:rStyle w:val="Refdenotaalpie"/>
          <w:lang w:val="es-ES_tradnl"/>
        </w:rPr>
        <w:footnoteReference w:id="10"/>
      </w:r>
      <w:r w:rsidR="00C66F1B">
        <w:rPr>
          <w:lang w:val="es-ES_tradnl"/>
        </w:rPr>
        <w:t>.</w:t>
      </w:r>
    </w:p>
    <w:p w14:paraId="700CA298" w14:textId="77777777" w:rsidR="00E16C43" w:rsidRPr="00B039DD" w:rsidRDefault="00E16C43" w:rsidP="00E16C43">
      <w:pPr>
        <w:pStyle w:val="SingleTxtG"/>
        <w:rPr>
          <w:lang w:val="es-ES_tradnl"/>
        </w:rPr>
      </w:pPr>
      <w:r w:rsidRPr="00B039DD">
        <w:rPr>
          <w:lang w:val="es-ES_tradnl"/>
        </w:rPr>
        <w:t>132.</w:t>
      </w:r>
      <w:r w:rsidRPr="00B039DD">
        <w:rPr>
          <w:lang w:val="es-ES_tradnl"/>
        </w:rPr>
        <w:tab/>
        <w:t xml:space="preserve">Por otro lado, la Comisionada Encargada de la Lucha contra la Discriminación por Edad asumió la presidencia de la Asociación de Colaboración sobre el Empleo de las Personas de Edad Madura, creada en 2018. Esta asociación reúne a las principales partes interesadas del mercado y el Gobierno y ha utilizado su influencia para incrementar la participación laboral de los trabajadores de edad avanzada, promover las ventajas de contar con una fuerza de trabajo diversa desde el punto de vista de la edad y contribuir a reducir la discriminación por motivos de edad. </w:t>
      </w:r>
    </w:p>
    <w:p w14:paraId="2FC6888C" w14:textId="20C0D9BB" w:rsidR="00E16C43" w:rsidRPr="00B039DD" w:rsidRDefault="00E16C43" w:rsidP="00E16C43">
      <w:pPr>
        <w:pStyle w:val="SingleTxtG"/>
        <w:rPr>
          <w:lang w:val="es-ES_tradnl"/>
        </w:rPr>
      </w:pPr>
      <w:r w:rsidRPr="00B039DD">
        <w:rPr>
          <w:lang w:val="es-ES_tradnl"/>
        </w:rPr>
        <w:t>133.</w:t>
      </w:r>
      <w:r w:rsidRPr="00B039DD">
        <w:rPr>
          <w:lang w:val="es-ES_tradnl"/>
        </w:rPr>
        <w:tab/>
        <w:t>Los gobiernos de los estados y los territorios también prestan servicios destinados a mejorar las oportunidades de empleo para los trabajadores mayores. Así, por ejemplo, el objetivo del Plan de Envejecimiento Activo 2017-2022 de Tasmania es ofrecer a los trabajadores de edad avanzada el mayor número posible de oportunidades de reincorporarse, volver a formarse o permanecer en la fuerza de trabajo. Nueva Gales del Sur financia la Red de Mujeres de Edad Avanzada en el marco del programa Return to Work Pathways [</w:t>
      </w:r>
      <w:r w:rsidR="0039023F">
        <w:rPr>
          <w:lang w:val="es-ES_tradnl"/>
        </w:rPr>
        <w:t>“</w:t>
      </w:r>
      <w:r w:rsidRPr="00B039DD">
        <w:rPr>
          <w:lang w:val="es-ES_tradnl"/>
        </w:rPr>
        <w:t>Volver a Trabajar</w:t>
      </w:r>
      <w:r w:rsidR="0039023F">
        <w:rPr>
          <w:lang w:val="es-ES_tradnl"/>
        </w:rPr>
        <w:t>”</w:t>
      </w:r>
      <w:r w:rsidRPr="00B039DD">
        <w:rPr>
          <w:lang w:val="es-ES_tradnl"/>
        </w:rPr>
        <w:t>], que ayuda a las mujeres mayores, mediante actividades de orientación y sesiones de grupo, a adquirir las capacidades y la confianza necesarias para conseguir un empleo y permanecer en la población activa.</w:t>
      </w:r>
    </w:p>
    <w:p w14:paraId="6E7128EA" w14:textId="216DAC28"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 xml:space="preserve">Centros regionales de tramitación </w:t>
      </w:r>
    </w:p>
    <w:p w14:paraId="063B92D8" w14:textId="77777777" w:rsidR="00E16C43" w:rsidRPr="00B039DD" w:rsidRDefault="00E16C43" w:rsidP="00E16C43">
      <w:pPr>
        <w:pStyle w:val="SingleTxtG"/>
        <w:rPr>
          <w:lang w:val="es-ES_tradnl"/>
        </w:rPr>
      </w:pPr>
      <w:r w:rsidRPr="00B039DD">
        <w:rPr>
          <w:lang w:val="es-ES_tradnl"/>
        </w:rPr>
        <w:t>134.</w:t>
      </w:r>
      <w:r w:rsidRPr="00B039DD">
        <w:rPr>
          <w:lang w:val="es-ES_tradnl"/>
        </w:rPr>
        <w:tab/>
        <w:t xml:space="preserve">Los mecanismos regionales de tramitación ubicados en Papua Nueva Guinea pasaron a ser gestionados de forma independiente por el Gobierno de ese país el 1 de enero de 2022. Hasta el 31 de diciembre de 2021, el Gobierno australiano apoyó a Papua Nueva Guinea en la gestión de los casos de las personas en tránsito (también conocidas como personas trasladadas) a través de proveedores de servicios especializados contratados a tal fin. </w:t>
      </w:r>
    </w:p>
    <w:p w14:paraId="367D296F" w14:textId="77777777" w:rsidR="00E16C43" w:rsidRPr="00B039DD" w:rsidRDefault="00E16C43" w:rsidP="00E16C43">
      <w:pPr>
        <w:pStyle w:val="SingleTxtG"/>
        <w:rPr>
          <w:lang w:val="es-ES_tradnl"/>
        </w:rPr>
      </w:pPr>
      <w:r w:rsidRPr="00B039DD">
        <w:rPr>
          <w:lang w:val="es-ES_tradnl"/>
        </w:rPr>
        <w:t>135.</w:t>
      </w:r>
      <w:r w:rsidRPr="00B039DD">
        <w:rPr>
          <w:lang w:val="es-ES_tradnl"/>
        </w:rPr>
        <w:tab/>
        <w:t xml:space="preserve">Ninguna de las personas trasladadas a Papua Nueva Guinea o Nauru en el marco del dispositivo para la tramitación regional de las solicitudes de asilo se encuentra detenida. </w:t>
      </w:r>
    </w:p>
    <w:p w14:paraId="7AAB4D4E" w14:textId="77777777" w:rsidR="00E16C43" w:rsidRPr="00B039DD" w:rsidRDefault="00E16C43" w:rsidP="00E16C43">
      <w:pPr>
        <w:pStyle w:val="SingleTxtG"/>
        <w:rPr>
          <w:lang w:val="es-ES_tradnl"/>
        </w:rPr>
      </w:pPr>
      <w:r w:rsidRPr="00B039DD">
        <w:rPr>
          <w:lang w:val="es-ES_tradnl"/>
        </w:rPr>
        <w:t>136.</w:t>
      </w:r>
      <w:r w:rsidRPr="00B039DD">
        <w:rPr>
          <w:lang w:val="es-ES_tradnl"/>
        </w:rPr>
        <w:tab/>
        <w:t xml:space="preserve">Las personas que residen en Nauru en régimen de tramitación regional viven en alojamientos comunitarios y tienen derechos laborales. Los centros regionales de procesamiento utilizados anteriormente para alojar a personas en Nauru fueron desmantelados en 2018 y 2019. </w:t>
      </w:r>
    </w:p>
    <w:p w14:paraId="18C19C34" w14:textId="77777777" w:rsidR="00E16C43" w:rsidRPr="00B039DD" w:rsidRDefault="00E16C43" w:rsidP="00E16C43">
      <w:pPr>
        <w:pStyle w:val="SingleTxtG"/>
        <w:rPr>
          <w:lang w:val="es-ES_tradnl"/>
        </w:rPr>
      </w:pPr>
      <w:r w:rsidRPr="00B039DD">
        <w:rPr>
          <w:lang w:val="es-ES_tradnl"/>
        </w:rPr>
        <w:t>137.</w:t>
      </w:r>
      <w:r w:rsidRPr="00B039DD">
        <w:rPr>
          <w:lang w:val="es-ES_tradnl"/>
        </w:rPr>
        <w:tab/>
        <w:t xml:space="preserve">De conformidad con el memorando de entendimiento concertado entre Australia y la República de Nauru, el Gobierno de Nauru es responsable de los mecanismos regionales de tramitación en su territorio, incluida la gestión de los casos de las personas acogidas a los acuerdos de tramitación. </w:t>
      </w:r>
    </w:p>
    <w:p w14:paraId="56923BE6" w14:textId="77777777" w:rsidR="00E16C43" w:rsidRPr="00B039DD" w:rsidRDefault="00E16C43" w:rsidP="00E16C43">
      <w:pPr>
        <w:pStyle w:val="SingleTxtG"/>
        <w:rPr>
          <w:lang w:val="es-ES_tradnl"/>
        </w:rPr>
      </w:pPr>
      <w:r w:rsidRPr="00B039DD">
        <w:rPr>
          <w:lang w:val="es-ES_tradnl"/>
        </w:rPr>
        <w:t>138.</w:t>
      </w:r>
      <w:r w:rsidRPr="00B039DD">
        <w:rPr>
          <w:lang w:val="es-ES_tradnl"/>
        </w:rPr>
        <w:tab/>
        <w:t xml:space="preserve">Los proveedores de servicios contratados deben prestar servicios acordes con los requisitos legislativos de Nauru y de forma que se preserven los derechos humanos individuales, la dignidad y el bienestar de las personas trasladadas. Se les exige: </w:t>
      </w:r>
    </w:p>
    <w:p w14:paraId="4310CB8F" w14:textId="0772507A" w:rsidR="00E16C43" w:rsidRPr="00B039DD" w:rsidRDefault="0039023F" w:rsidP="00E16C43">
      <w:pPr>
        <w:pStyle w:val="SingleTxtG"/>
        <w:rPr>
          <w:lang w:val="es-ES_tradnl"/>
        </w:rPr>
      </w:pPr>
      <w:r>
        <w:rPr>
          <w:lang w:val="es-ES_tradnl"/>
        </w:rPr>
        <w:tab/>
      </w:r>
      <w:r w:rsidR="00E16C43" w:rsidRPr="00B039DD">
        <w:rPr>
          <w:lang w:val="es-ES_tradnl"/>
        </w:rPr>
        <w:t>a)</w:t>
      </w:r>
      <w:r w:rsidR="00E16C43" w:rsidRPr="00B039DD">
        <w:rPr>
          <w:lang w:val="es-ES_tradnl"/>
        </w:rPr>
        <w:tab/>
        <w:t>Tratar a todos los trasladados con respeto y cortesía, y sin acoso;</w:t>
      </w:r>
    </w:p>
    <w:p w14:paraId="765E0117" w14:textId="478618E9" w:rsidR="00E16C43" w:rsidRPr="00B039DD" w:rsidRDefault="0039023F" w:rsidP="00E16C43">
      <w:pPr>
        <w:pStyle w:val="SingleTxtG"/>
        <w:rPr>
          <w:lang w:val="es-ES_tradnl"/>
        </w:rPr>
      </w:pPr>
      <w:r>
        <w:rPr>
          <w:lang w:val="es-ES_tradnl"/>
        </w:rPr>
        <w:tab/>
      </w:r>
      <w:r w:rsidR="00E16C43" w:rsidRPr="00B039DD">
        <w:rPr>
          <w:lang w:val="es-ES_tradnl"/>
        </w:rPr>
        <w:t>b)</w:t>
      </w:r>
      <w:r w:rsidR="00E16C43" w:rsidRPr="00B039DD">
        <w:rPr>
          <w:lang w:val="es-ES_tradnl"/>
        </w:rPr>
        <w:tab/>
        <w:t>Ayudar y asistir a las personas trasladadas que presenten solicitudes relacionadas con el acceso a servicios;</w:t>
      </w:r>
    </w:p>
    <w:p w14:paraId="0F5CCEE3" w14:textId="7E766C25" w:rsidR="00E16C43" w:rsidRPr="00B039DD" w:rsidRDefault="0039023F" w:rsidP="00E16C43">
      <w:pPr>
        <w:pStyle w:val="SingleTxtG"/>
        <w:rPr>
          <w:lang w:val="es-ES_tradnl"/>
        </w:rPr>
      </w:pPr>
      <w:r>
        <w:rPr>
          <w:lang w:val="es-ES_tradnl"/>
        </w:rPr>
        <w:lastRenderedPageBreak/>
        <w:tab/>
      </w:r>
      <w:r w:rsidR="00E16C43" w:rsidRPr="00B039DD">
        <w:rPr>
          <w:lang w:val="es-ES_tradnl"/>
        </w:rPr>
        <w:t>c)</w:t>
      </w:r>
      <w:r w:rsidR="00E16C43" w:rsidRPr="00B039DD">
        <w:rPr>
          <w:lang w:val="es-ES_tradnl"/>
        </w:rPr>
        <w:tab/>
        <w:t>Desempeñar todas las funciones con sensibilidad, preservando la dignidad de las personas trasladadas y teniendo debidamente en cuenta sus circunstancias e historias personales;</w:t>
      </w:r>
    </w:p>
    <w:p w14:paraId="767993EF" w14:textId="201FCEEA" w:rsidR="00E16C43" w:rsidRPr="00B039DD" w:rsidRDefault="0039023F" w:rsidP="00E16C43">
      <w:pPr>
        <w:pStyle w:val="SingleTxtG"/>
        <w:rPr>
          <w:lang w:val="es-ES_tradnl"/>
        </w:rPr>
      </w:pPr>
      <w:r>
        <w:rPr>
          <w:lang w:val="es-ES_tradnl"/>
        </w:rPr>
        <w:tab/>
      </w:r>
      <w:r w:rsidR="00E16C43" w:rsidRPr="00B039DD">
        <w:rPr>
          <w:lang w:val="es-ES_tradnl"/>
        </w:rPr>
        <w:t>d)</w:t>
      </w:r>
      <w:r w:rsidR="00E16C43" w:rsidRPr="00B039DD">
        <w:rPr>
          <w:lang w:val="es-ES_tradnl"/>
        </w:rPr>
        <w:tab/>
        <w:t>Comportarse de forma tolerante y respetuosa, y tener en cuenta el contexto cultural de las personas trasladadas, evitando la discriminación y los prejuicios;</w:t>
      </w:r>
    </w:p>
    <w:p w14:paraId="312D1DE1" w14:textId="7F51AA11" w:rsidR="00E16C43" w:rsidRPr="00B039DD" w:rsidRDefault="0039023F" w:rsidP="00E16C43">
      <w:pPr>
        <w:pStyle w:val="SingleTxtG"/>
        <w:rPr>
          <w:lang w:val="es-ES_tradnl"/>
        </w:rPr>
      </w:pPr>
      <w:r>
        <w:rPr>
          <w:lang w:val="es-ES_tradnl"/>
        </w:rPr>
        <w:tab/>
      </w:r>
      <w:r w:rsidR="00E16C43" w:rsidRPr="00B039DD">
        <w:rPr>
          <w:lang w:val="es-ES_tradnl"/>
        </w:rPr>
        <w:t>e)</w:t>
      </w:r>
      <w:r w:rsidR="00E16C43" w:rsidRPr="00B039DD">
        <w:rPr>
          <w:lang w:val="es-ES_tradnl"/>
        </w:rPr>
        <w:tab/>
        <w:t>Demostrar comprensión, respeto y sensibilidad en relación con las creencias y convenciones religiosas de las personas trasladadas y sus necesidades particulares.</w:t>
      </w:r>
    </w:p>
    <w:p w14:paraId="2AE00380" w14:textId="77777777" w:rsidR="00E16C43" w:rsidRPr="00B039DD" w:rsidRDefault="00E16C43" w:rsidP="00E16C43">
      <w:pPr>
        <w:pStyle w:val="SingleTxtG"/>
        <w:rPr>
          <w:lang w:val="es-ES_tradnl"/>
        </w:rPr>
      </w:pPr>
      <w:r w:rsidRPr="00B039DD">
        <w:rPr>
          <w:lang w:val="es-ES_tradnl"/>
        </w:rPr>
        <w:t>139.</w:t>
      </w:r>
      <w:r w:rsidRPr="00B039DD">
        <w:rPr>
          <w:lang w:val="es-ES_tradnl"/>
        </w:rPr>
        <w:tab/>
        <w:t>El Gobierno australiano mantiene su compromiso de establecer una capacidad de procesamiento regional sostenible en Nauru con vistas a recibir y tramitar todas las nuevas llegadas marítimas no autorizadas. Australia está resolviendo el número residual de casos de tramitación regional mediante opciones de migración a terceros países, incluido el reasentamiento en los Estados Unidos y Nueva Zelandia, el patrocinio privado en el Canadá o el retorno voluntario a los lugares de origen o a terceros países donde tengan derecho de entrada. Se ponen al alcance de estas personas una serie de apoyos para que puedan explorar opciones de migración a terceros países.</w:t>
      </w:r>
    </w:p>
    <w:p w14:paraId="6EF31944" w14:textId="7AF63DD1"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 xml:space="preserve">Acceso a la atención de la salud </w:t>
      </w:r>
    </w:p>
    <w:p w14:paraId="7F1D48C0" w14:textId="77777777" w:rsidR="00E16C43" w:rsidRPr="00B039DD" w:rsidRDefault="00E16C43" w:rsidP="00E16C43">
      <w:pPr>
        <w:pStyle w:val="SingleTxtG"/>
        <w:rPr>
          <w:lang w:val="es-ES_tradnl"/>
        </w:rPr>
      </w:pPr>
      <w:r w:rsidRPr="00B039DD">
        <w:rPr>
          <w:lang w:val="es-ES_tradnl"/>
        </w:rPr>
        <w:t>140.</w:t>
      </w:r>
      <w:r w:rsidRPr="00B039DD">
        <w:rPr>
          <w:lang w:val="es-ES_tradnl"/>
        </w:rPr>
        <w:tab/>
        <w:t xml:space="preserve">El Gobierno australiano sigue apoyando al gobierno de Nauru en el marco de la aplicación de los acuerdos regionales de tramitación a través de proveedores de servicios contratados a tal fin, con vistas a garantizar que las personas trasladadas tengan acceso a los servicios de salud. Las personas trasladadas tienen acceso a servicios de atención primaria de salud y de salud mental en el Centro Médico del Centro Regional de Tramitación y el Hospital de la República de Nauru los siete días de la semana. </w:t>
      </w:r>
    </w:p>
    <w:p w14:paraId="217CE21E" w14:textId="77777777" w:rsidR="00E16C43" w:rsidRPr="00B039DD" w:rsidRDefault="00E16C43" w:rsidP="00E16C43">
      <w:pPr>
        <w:pStyle w:val="SingleTxtG"/>
        <w:rPr>
          <w:lang w:val="es-ES_tradnl"/>
        </w:rPr>
      </w:pPr>
      <w:r w:rsidRPr="00B039DD">
        <w:rPr>
          <w:lang w:val="es-ES_tradnl"/>
        </w:rPr>
        <w:t>141.</w:t>
      </w:r>
      <w:r w:rsidRPr="00B039DD">
        <w:rPr>
          <w:lang w:val="es-ES_tradnl"/>
        </w:rPr>
        <w:tab/>
        <w:t>La evaluación clínica y el tratamiento corren a cargo de un equipo multidisciplinar de médicos generalistas, enfermeros y especialistas en asesoramiento. Hay servicios de salud especializados en los campos de la psicología, la psiquiatría, la odontología, la obstetricia, la radiografía y la farmacia. Los servicios de salud se complementan con la visita de médicos especialistas cuando es necesario. En caso de que se carezca de un tratamiento médico especializado en Nauru, existen mecanismos para el traslado temporal a un tercer país, incluida Australia, para la evaluación y tratamiento del paciente.</w:t>
      </w:r>
    </w:p>
    <w:p w14:paraId="4EFB4FD2" w14:textId="53AE6DA4"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 xml:space="preserve">Derogación de las leyes de evacuación médica </w:t>
      </w:r>
    </w:p>
    <w:p w14:paraId="1A320A9A" w14:textId="77777777" w:rsidR="00E16C43" w:rsidRPr="00B039DD" w:rsidRDefault="00E16C43" w:rsidP="00E16C43">
      <w:pPr>
        <w:pStyle w:val="SingleTxtG"/>
        <w:rPr>
          <w:lang w:val="es-ES_tradnl"/>
        </w:rPr>
      </w:pPr>
      <w:r w:rsidRPr="00B039DD">
        <w:rPr>
          <w:lang w:val="es-ES_tradnl"/>
        </w:rPr>
        <w:t>142.</w:t>
      </w:r>
      <w:r w:rsidRPr="00B039DD">
        <w:rPr>
          <w:lang w:val="es-ES_tradnl"/>
        </w:rPr>
        <w:tab/>
        <w:t xml:space="preserve">Las disposiciones relativas al traslado por motivos médicos incluidas en la Ley de Migración de 1958 (Ley de Migración) fueron derogadas el 5 de diciembre de 2019 en virtud de la Ley de Enmienda de la Legislación de Interior (Medidas Diversas) de 2019 (Leyes de Evacuación Médica). </w:t>
      </w:r>
    </w:p>
    <w:p w14:paraId="0CCD6B39" w14:textId="77777777" w:rsidR="00E16C43" w:rsidRPr="00B039DD" w:rsidRDefault="00E16C43" w:rsidP="00E16C43">
      <w:pPr>
        <w:pStyle w:val="SingleTxtG"/>
        <w:rPr>
          <w:lang w:val="es-ES_tradnl"/>
        </w:rPr>
      </w:pPr>
      <w:r w:rsidRPr="00B039DD">
        <w:rPr>
          <w:lang w:val="es-ES_tradnl"/>
        </w:rPr>
        <w:t>143.</w:t>
      </w:r>
      <w:r w:rsidRPr="00B039DD">
        <w:rPr>
          <w:lang w:val="es-ES_tradnl"/>
        </w:rPr>
        <w:tab/>
        <w:t xml:space="preserve">Los traslados por razones médicas son anteriores a la legislación de evacuación médica, de modo que la mencionada derogación no ha suprimido la posibilidad de trasladar por motivos médicos a una persona desde un país de tramitación regional cuando así lo exija el artículo 198B de la Ley de Migración. </w:t>
      </w:r>
    </w:p>
    <w:p w14:paraId="3F9722CE" w14:textId="77777777" w:rsidR="00E16C43" w:rsidRPr="00B039DD" w:rsidRDefault="00E16C43" w:rsidP="00E16C43">
      <w:pPr>
        <w:pStyle w:val="SingleTxtG"/>
        <w:rPr>
          <w:lang w:val="es-ES_tradnl"/>
        </w:rPr>
      </w:pPr>
      <w:r w:rsidRPr="00B039DD">
        <w:rPr>
          <w:lang w:val="es-ES_tradnl"/>
        </w:rPr>
        <w:t>144.</w:t>
      </w:r>
      <w:r w:rsidRPr="00B039DD">
        <w:rPr>
          <w:lang w:val="es-ES_tradnl"/>
        </w:rPr>
        <w:tab/>
        <w:t>Cuando esté clínicamente indicado, las personas trasladadas pueden ser transferidas a un tercer país para recibir tratamiento. Los traslados médicos dependen de circunstancias personales, de la existencia de servicios médicos en el país de tramitación regional y de la evaluación médica del médico tratante y de un funcionario médico del Commonwealth. Las transferencias siguen su curso en el marco de estos procesos.</w:t>
      </w:r>
    </w:p>
    <w:p w14:paraId="241EFC0C" w14:textId="6D9870A3"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Concesión de visados permanentes a los titulares de visados</w:t>
      </w:r>
      <w:r>
        <w:rPr>
          <w:lang w:val="es-ES_tradnl"/>
        </w:rPr>
        <w:br/>
      </w:r>
      <w:r w:rsidR="00E16C43" w:rsidRPr="00B039DD">
        <w:rPr>
          <w:lang w:val="es-ES_tradnl"/>
        </w:rPr>
        <w:t>temporales de protección</w:t>
      </w:r>
    </w:p>
    <w:p w14:paraId="53B82F93" w14:textId="77777777" w:rsidR="00E16C43" w:rsidRPr="00B039DD" w:rsidRDefault="00E16C43" w:rsidP="00E16C43">
      <w:pPr>
        <w:pStyle w:val="SingleTxtG"/>
        <w:rPr>
          <w:lang w:val="es-ES_tradnl"/>
        </w:rPr>
      </w:pPr>
      <w:r w:rsidRPr="00B039DD">
        <w:rPr>
          <w:lang w:val="es-ES_tradnl"/>
        </w:rPr>
        <w:t>145.</w:t>
      </w:r>
      <w:r w:rsidRPr="00B039DD">
        <w:rPr>
          <w:lang w:val="es-ES_tradnl"/>
        </w:rPr>
        <w:tab/>
        <w:t xml:space="preserve">El Gobierno australiano ha ofrecido una vía de acceso a visados permanentes de resolución de situación a más de 19.000 titulares de visados de protección temporal o de refugio, tras determinarse que le incumbían obligaciones internacionales respecto de estas </w:t>
      </w:r>
      <w:r w:rsidRPr="00B039DD">
        <w:rPr>
          <w:lang w:val="es-ES_tradnl"/>
        </w:rPr>
        <w:lastRenderedPageBreak/>
        <w:t xml:space="preserve">personas. De este modo pueden contribuir más plenamente a Australia, conseguir un empleo seguro, desarrollar actividades económicas, estudiar más fácilmente, patrocinar a familiares que reúnan los requisitos necesarios para activar la reunificación familiar en el marco del Programa de Migración a Australia e iniciar trámites para la obtención de la ciudadanía australiana. </w:t>
      </w:r>
    </w:p>
    <w:p w14:paraId="5C0604B9" w14:textId="77777777" w:rsidR="00E16C43" w:rsidRPr="00B039DD" w:rsidRDefault="00E16C43" w:rsidP="00C66F1B">
      <w:pPr>
        <w:pStyle w:val="SingleTxtG"/>
        <w:keepNext/>
        <w:keepLines/>
        <w:rPr>
          <w:lang w:val="es-ES_tradnl"/>
        </w:rPr>
      </w:pPr>
      <w:r w:rsidRPr="00B039DD">
        <w:rPr>
          <w:lang w:val="es-ES_tradnl"/>
        </w:rPr>
        <w:t>146.</w:t>
      </w:r>
      <w:r w:rsidRPr="00B039DD">
        <w:rPr>
          <w:lang w:val="es-ES_tradnl"/>
        </w:rPr>
        <w:tab/>
        <w:t>Las personas a las que se concede un visado permanente de resolución adquieren los mismos derechos y prestaciones que los residentes humanitarios permanentes y acceden a los pagos de la seguridad social, al Plan Nacional de Seguro de Discapacidad y a las ayudas para la realización de estudios superiores.</w:t>
      </w:r>
    </w:p>
    <w:p w14:paraId="6DF023BE" w14:textId="5D9705C0" w:rsidR="00E16C43" w:rsidRPr="00B039DD" w:rsidRDefault="00E16C43" w:rsidP="00E16C43">
      <w:pPr>
        <w:pStyle w:val="SingleTxtG"/>
        <w:rPr>
          <w:lang w:val="es-ES_tradnl"/>
        </w:rPr>
      </w:pPr>
      <w:r w:rsidRPr="00B039DD">
        <w:rPr>
          <w:lang w:val="es-ES_tradnl"/>
        </w:rPr>
        <w:t>147.</w:t>
      </w:r>
      <w:r w:rsidRPr="00B039DD">
        <w:rPr>
          <w:lang w:val="es-ES_tradnl"/>
        </w:rPr>
        <w:tab/>
        <w:t>Esta vía de obtención de visados permanentes está abierta desde el 14 de febrero de</w:t>
      </w:r>
      <w:r w:rsidR="0039023F">
        <w:rPr>
          <w:lang w:val="es-ES_tradnl"/>
        </w:rPr>
        <w:t> </w:t>
      </w:r>
      <w:r w:rsidRPr="00B039DD">
        <w:rPr>
          <w:lang w:val="es-ES_tradnl"/>
        </w:rPr>
        <w:t>2023. Para agilizar el proceso de presentación de solicitudes, el Gobierno ha destinado 9,4</w:t>
      </w:r>
      <w:r w:rsidR="00C66F1B">
        <w:rPr>
          <w:lang w:val="es-ES_tradnl"/>
        </w:rPr>
        <w:t> </w:t>
      </w:r>
      <w:r w:rsidRPr="00B039DD">
        <w:rPr>
          <w:lang w:val="es-ES_tradnl"/>
        </w:rPr>
        <w:t>millones de dólares en dos años a financiar la asistencia gratuita prestada en el marco de los procedimientos de solicitud de visados, a cargo de proveedores de servicios jurídicos comunitarios especializados en refugiados e inmigración.</w:t>
      </w:r>
    </w:p>
    <w:p w14:paraId="30981780" w14:textId="77777777" w:rsidR="00E16C43" w:rsidRPr="00B039DD" w:rsidRDefault="00E16C43" w:rsidP="00E16C43">
      <w:pPr>
        <w:pStyle w:val="SingleTxtG"/>
        <w:rPr>
          <w:lang w:val="es-ES_tradnl"/>
        </w:rPr>
      </w:pPr>
      <w:r w:rsidRPr="00B039DD">
        <w:rPr>
          <w:lang w:val="es-ES_tradnl"/>
        </w:rPr>
        <w:t>148.</w:t>
      </w:r>
      <w:r w:rsidRPr="00B039DD">
        <w:rPr>
          <w:lang w:val="es-ES_tradnl"/>
        </w:rPr>
        <w:tab/>
        <w:t>Australia ofrece una protección acorde con sus obligaciones internacionales. Los criterios de la concesión de visados de protección y las pruebas pertinentes figuran en las disposiciones del marco legal de protección de la Ley de Migración y el Reglamento de Migración de 1994.</w:t>
      </w:r>
    </w:p>
    <w:p w14:paraId="55CA5D7E" w14:textId="77777777" w:rsidR="00E16C43" w:rsidRPr="00B039DD" w:rsidRDefault="00E16C43" w:rsidP="00E16C43">
      <w:pPr>
        <w:pStyle w:val="SingleTxtG"/>
        <w:rPr>
          <w:lang w:val="es-ES_tradnl"/>
        </w:rPr>
      </w:pPr>
      <w:r w:rsidRPr="00B039DD">
        <w:rPr>
          <w:lang w:val="es-ES_tradnl"/>
        </w:rPr>
        <w:t>149.</w:t>
      </w:r>
      <w:r w:rsidRPr="00B039DD">
        <w:rPr>
          <w:lang w:val="es-ES_tradnl"/>
        </w:rPr>
        <w:tab/>
        <w:t>Las personas que no tengan derecho a protección en virtud de las obligaciones de protección de Australia, que no estén a la espera de la conclusión de un examen del fondo de la cuestión o una revisión judicial, y que hayan agotado todas las vías para permanecer en Australia, deben salir voluntariamente del país y pueden recibir asistencia a tal fin.</w:t>
      </w:r>
    </w:p>
    <w:p w14:paraId="4F719C5D" w14:textId="1DDC0593"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Medidas contra la desigualdad</w:t>
      </w:r>
    </w:p>
    <w:p w14:paraId="548883B6" w14:textId="05C48499" w:rsidR="00E16C43" w:rsidRPr="00B039DD" w:rsidRDefault="00E16C43" w:rsidP="00E16C43">
      <w:pPr>
        <w:pStyle w:val="SingleTxtG"/>
        <w:rPr>
          <w:lang w:val="es-ES_tradnl"/>
        </w:rPr>
      </w:pPr>
      <w:r w:rsidRPr="00B039DD">
        <w:rPr>
          <w:lang w:val="es-ES_tradnl"/>
        </w:rPr>
        <w:t>150.</w:t>
      </w:r>
      <w:r w:rsidRPr="00B039DD">
        <w:rPr>
          <w:lang w:val="es-ES_tradnl"/>
        </w:rPr>
        <w:tab/>
        <w:t>Australia está abordando la cuestión de la desigualdad entre hombres y mujeres en el marco de nuevas políticas y leyes, y se ha comprometido con el objetivo del G</w:t>
      </w:r>
      <w:r w:rsidR="00C66F1B">
        <w:rPr>
          <w:lang w:val="es-ES_tradnl"/>
        </w:rPr>
        <w:t>-</w:t>
      </w:r>
      <w:r w:rsidRPr="00B039DD">
        <w:rPr>
          <w:lang w:val="es-ES_tradnl"/>
        </w:rPr>
        <w:t>20 de reducir la diferencia entre las tasas de actividad de hombres y mujeres en un 25 % para 2025. Australia cumplió por primera vez el objetivo en febrero de 2020, y la brecha de participación de género alcanzó un mínimo histórico de 7,3 % puntos en noviembre de 2022.</w:t>
      </w:r>
    </w:p>
    <w:p w14:paraId="1431B47D" w14:textId="77777777" w:rsidR="00E16C43" w:rsidRPr="00B039DD" w:rsidRDefault="00E16C43" w:rsidP="00E16C43">
      <w:pPr>
        <w:pStyle w:val="SingleTxtG"/>
        <w:rPr>
          <w:lang w:val="es-ES_tradnl"/>
        </w:rPr>
      </w:pPr>
      <w:r w:rsidRPr="00B039DD">
        <w:rPr>
          <w:lang w:val="es-ES_tradnl"/>
        </w:rPr>
        <w:t>151.</w:t>
      </w:r>
      <w:r w:rsidRPr="00B039DD">
        <w:rPr>
          <w:lang w:val="es-ES_tradnl"/>
        </w:rPr>
        <w:tab/>
        <w:t>El Gobierno australiano ha introducido una presupuestación que responde a las cuestiones de género y desarrolla la capacidad de análisis de género en todo el Commonwealth, impulsando mejoras en el proceso de recopilación y el uso de datos intersectoriales accesibles, de calidad y desglosados por género.</w:t>
      </w:r>
    </w:p>
    <w:p w14:paraId="51E5CAF1" w14:textId="3C060CB0" w:rsidR="00E16C43" w:rsidRPr="00B039DD" w:rsidRDefault="00E16C43" w:rsidP="00E16C43">
      <w:pPr>
        <w:pStyle w:val="SingleTxtG"/>
        <w:rPr>
          <w:lang w:val="es-ES_tradnl"/>
        </w:rPr>
      </w:pPr>
      <w:r w:rsidRPr="00B039DD">
        <w:rPr>
          <w:lang w:val="es-ES_tradnl"/>
        </w:rPr>
        <w:t>152.</w:t>
      </w:r>
      <w:r w:rsidRPr="00B039DD">
        <w:rPr>
          <w:lang w:val="es-ES_tradnl"/>
        </w:rPr>
        <w:tab/>
        <w:t>El Gobierno australiano está elaborando la Estrategia Nacional de Consecución de la Igualdad de Género destinada a guiar la acción pangubernamental mediante iniciativas centradas en la igualdad económica y la independencia de la mujer; el liderazgo, la representación y los derechos; la repartición equilibrada de las responsabilidades familiares y de cuidado; y la salud y el bienestar</w:t>
      </w:r>
      <w:r w:rsidR="00C66F1B">
        <w:rPr>
          <w:lang w:val="es-ES_tradnl"/>
        </w:rPr>
        <w:t>.</w:t>
      </w:r>
    </w:p>
    <w:p w14:paraId="77A76DD8" w14:textId="77777777" w:rsidR="00E16C43" w:rsidRPr="00B039DD" w:rsidRDefault="00E16C43" w:rsidP="00E16C43">
      <w:pPr>
        <w:pStyle w:val="SingleTxtG"/>
        <w:rPr>
          <w:lang w:val="es-ES_tradnl"/>
        </w:rPr>
      </w:pPr>
      <w:r w:rsidRPr="00B039DD">
        <w:rPr>
          <w:lang w:val="es-ES_tradnl"/>
        </w:rPr>
        <w:t>153.</w:t>
      </w:r>
      <w:r w:rsidRPr="00B039DD">
        <w:rPr>
          <w:lang w:val="es-ES_tradnl"/>
        </w:rPr>
        <w:tab/>
        <w:t xml:space="preserve">En septiembre de 2022, el Gobierno australiano creó un grupo de trabajo independiente sobre la igualdad económica de las mujeres para asesorar al Gobierno sobre la promoción de la igualdad económica de las mujeres, incluidas las principales cuestiones identificadas en la Cumbre sobre Empleo y Competencias de 2022. </w:t>
      </w:r>
    </w:p>
    <w:p w14:paraId="6D2DDFB1" w14:textId="3DE1257E" w:rsidR="00E16C43" w:rsidRPr="00B039DD" w:rsidRDefault="00E16C43" w:rsidP="00E16C43">
      <w:pPr>
        <w:pStyle w:val="SingleTxtG"/>
        <w:rPr>
          <w:lang w:val="es-ES_tradnl"/>
        </w:rPr>
      </w:pPr>
      <w:r w:rsidRPr="00B039DD">
        <w:rPr>
          <w:lang w:val="es-ES_tradnl"/>
        </w:rPr>
        <w:t>154.</w:t>
      </w:r>
      <w:r w:rsidRPr="00B039DD">
        <w:rPr>
          <w:lang w:val="es-ES_tradnl"/>
        </w:rPr>
        <w:tab/>
        <w:t>El Organismo para la Igualdad de Género en el Lugar de Trabajo impulsa la igualdad de género en los lugares de trabajo colaborando con empresas a las que ayuda a cumplir los requisitos de información establecidos en la Ley de Igualdad de Género en el Trabajo de</w:t>
      </w:r>
      <w:r w:rsidR="0039023F">
        <w:rPr>
          <w:lang w:val="es-ES_tradnl"/>
        </w:rPr>
        <w:t> </w:t>
      </w:r>
      <w:r w:rsidRPr="00B039DD">
        <w:rPr>
          <w:lang w:val="es-ES_tradnl"/>
        </w:rPr>
        <w:t xml:space="preserve">2012. </w:t>
      </w:r>
    </w:p>
    <w:p w14:paraId="13EB7C9E" w14:textId="77777777" w:rsidR="00E16C43" w:rsidRPr="00B039DD" w:rsidRDefault="00E16C43" w:rsidP="00E82A2E">
      <w:pPr>
        <w:pStyle w:val="SingleTxtG"/>
        <w:keepNext/>
        <w:keepLines/>
        <w:rPr>
          <w:lang w:val="es-ES_tradnl"/>
        </w:rPr>
      </w:pPr>
      <w:r w:rsidRPr="00B039DD">
        <w:rPr>
          <w:lang w:val="es-ES_tradnl"/>
        </w:rPr>
        <w:lastRenderedPageBreak/>
        <w:t>155.</w:t>
      </w:r>
      <w:r w:rsidRPr="00B039DD">
        <w:rPr>
          <w:lang w:val="es-ES_tradnl"/>
        </w:rPr>
        <w:tab/>
        <w:t>La Ley de Enmienda (Empleos Seguros y Mejores Salarios) de la Legislación de Relaciones Laborales Justas de 2022 (Ley de Empleos Seguros y Mejores Salarios) introdujo cambios en la Ley de Relaciones Laborales Justas de 2009 (Ley de Relaciones Laborales Justas), incluidas medidas de lucha contra la desigualdad de género, tales como:</w:t>
      </w:r>
    </w:p>
    <w:p w14:paraId="4C1881DB" w14:textId="01682C04" w:rsidR="00E16C43" w:rsidRPr="00B039DD" w:rsidRDefault="0039023F" w:rsidP="00E82A2E">
      <w:pPr>
        <w:pStyle w:val="SingleTxtG"/>
        <w:keepNext/>
        <w:keepLines/>
        <w:rPr>
          <w:lang w:val="es-ES_tradnl"/>
        </w:rPr>
      </w:pPr>
      <w:r>
        <w:rPr>
          <w:lang w:val="es-ES_tradnl"/>
        </w:rPr>
        <w:tab/>
      </w:r>
      <w:r w:rsidR="00E16C43" w:rsidRPr="00B039DD">
        <w:rPr>
          <w:lang w:val="es-ES_tradnl"/>
        </w:rPr>
        <w:t>a)</w:t>
      </w:r>
      <w:r w:rsidR="00E16C43" w:rsidRPr="00B039DD">
        <w:rPr>
          <w:lang w:val="es-ES_tradnl"/>
        </w:rPr>
        <w:tab/>
        <w:t>Incorporación de un principio de igualdad de remuneración para orientar la labor del tribunal nacional del trabajo, la Comisión de Relaciones Laborales Justas, a la hora de examinar casos de igualdad de remuneración por trabajo de igual valor;</w:t>
      </w:r>
    </w:p>
    <w:p w14:paraId="633A7AD5" w14:textId="146D55BF" w:rsidR="00E16C43" w:rsidRPr="00B039DD" w:rsidRDefault="0039023F" w:rsidP="00E16C43">
      <w:pPr>
        <w:pStyle w:val="SingleTxtG"/>
        <w:rPr>
          <w:lang w:val="es-ES_tradnl"/>
        </w:rPr>
      </w:pPr>
      <w:r>
        <w:rPr>
          <w:lang w:val="es-ES_tradnl"/>
        </w:rPr>
        <w:tab/>
      </w:r>
      <w:r w:rsidR="00E16C43" w:rsidRPr="00B039DD">
        <w:rPr>
          <w:lang w:val="es-ES_tradnl"/>
        </w:rPr>
        <w:t>b)</w:t>
      </w:r>
      <w:r w:rsidR="00E16C43" w:rsidRPr="00B039DD">
        <w:rPr>
          <w:lang w:val="es-ES_tradnl"/>
        </w:rPr>
        <w:tab/>
        <w:t>Integración de los principios de seguridad laboral e igualdad de género en los procesos de toma de decisiones de la Comisión de Relaciones Laborales Justas;</w:t>
      </w:r>
    </w:p>
    <w:p w14:paraId="55873A22" w14:textId="417F2E05" w:rsidR="00E16C43" w:rsidRPr="00B039DD" w:rsidRDefault="0039023F" w:rsidP="00E16C43">
      <w:pPr>
        <w:pStyle w:val="SingleTxtG"/>
        <w:rPr>
          <w:lang w:val="es-ES_tradnl"/>
        </w:rPr>
      </w:pPr>
      <w:r>
        <w:rPr>
          <w:lang w:val="es-ES_tradnl"/>
        </w:rPr>
        <w:tab/>
      </w:r>
      <w:r w:rsidR="00E16C43" w:rsidRPr="00B039DD">
        <w:rPr>
          <w:lang w:val="es-ES_tradnl"/>
        </w:rPr>
        <w:t>c)</w:t>
      </w:r>
      <w:r w:rsidR="00E16C43" w:rsidRPr="00B039DD">
        <w:rPr>
          <w:lang w:val="es-ES_tradnl"/>
        </w:rPr>
        <w:tab/>
        <w:t>Creación de nuevos grupos de expertos en el marco de la Comisión de Relaciones Laborales Justas, centrados en la igualdad salarial y el sector asistencial y comunitario, y respaldados por una unidad de investigación especializada;</w:t>
      </w:r>
    </w:p>
    <w:p w14:paraId="3FCE14C0" w14:textId="47154C8C" w:rsidR="00E16C43" w:rsidRPr="00B039DD" w:rsidRDefault="0039023F" w:rsidP="00E16C43">
      <w:pPr>
        <w:pStyle w:val="SingleTxtG"/>
        <w:rPr>
          <w:lang w:val="es-ES_tradnl"/>
        </w:rPr>
      </w:pPr>
      <w:r>
        <w:rPr>
          <w:lang w:val="es-ES_tradnl"/>
        </w:rPr>
        <w:tab/>
      </w:r>
      <w:r w:rsidR="00E16C43" w:rsidRPr="00B039DD">
        <w:rPr>
          <w:lang w:val="es-ES_tradnl"/>
        </w:rPr>
        <w:t>d)</w:t>
      </w:r>
      <w:r w:rsidR="00E16C43" w:rsidRPr="00B039DD">
        <w:rPr>
          <w:lang w:val="es-ES_tradnl"/>
        </w:rPr>
        <w:tab/>
        <w:t>Prohibición de las cláusulas de confidencialidad salarial en los contratos de trabajo;</w:t>
      </w:r>
    </w:p>
    <w:p w14:paraId="5FFEE0E4" w14:textId="17266709" w:rsidR="00E16C43" w:rsidRPr="00B039DD" w:rsidRDefault="0039023F" w:rsidP="00E16C43">
      <w:pPr>
        <w:pStyle w:val="SingleTxtG"/>
        <w:rPr>
          <w:lang w:val="es-ES_tradnl"/>
        </w:rPr>
      </w:pPr>
      <w:r>
        <w:rPr>
          <w:lang w:val="es-ES_tradnl"/>
        </w:rPr>
        <w:tab/>
      </w:r>
      <w:r w:rsidR="00E16C43" w:rsidRPr="00B039DD">
        <w:rPr>
          <w:lang w:val="es-ES_tradnl"/>
        </w:rPr>
        <w:t>e)</w:t>
      </w:r>
      <w:r w:rsidR="00E16C43" w:rsidRPr="00B039DD">
        <w:rPr>
          <w:lang w:val="es-ES_tradnl"/>
        </w:rPr>
        <w:tab/>
        <w:t>Aplicación efectiva del derecho a solicitar modalidades de trabajo flexibles y del derecho a solicitar prórrogas de la licencia parental no remunerada.</w:t>
      </w:r>
    </w:p>
    <w:p w14:paraId="50066E2F" w14:textId="5730DCD1" w:rsidR="00E16C43" w:rsidRPr="00B039DD" w:rsidRDefault="00E16C43" w:rsidP="00E16C43">
      <w:pPr>
        <w:pStyle w:val="SingleTxtG"/>
        <w:rPr>
          <w:lang w:val="es-ES_tradnl"/>
        </w:rPr>
      </w:pPr>
      <w:r w:rsidRPr="00B039DD">
        <w:rPr>
          <w:lang w:val="es-ES_tradnl"/>
        </w:rPr>
        <w:t>156.</w:t>
      </w:r>
      <w:r w:rsidRPr="00B039DD">
        <w:rPr>
          <w:lang w:val="es-ES_tradnl"/>
        </w:rPr>
        <w:tab/>
        <w:t>El Gobierno australiano es consciente de que disponer de servicios de guardería infantil más asequibles permite a un mayor número de progenitores, especialmente de madres, participar más plenamente en la población activa. El Gobierno está invirtiendo 4.600</w:t>
      </w:r>
      <w:r w:rsidR="00C66F1B">
        <w:rPr>
          <w:lang w:val="es-ES_tradnl"/>
        </w:rPr>
        <w:t> </w:t>
      </w:r>
      <w:r w:rsidRPr="00B039DD">
        <w:rPr>
          <w:lang w:val="es-ES_tradnl"/>
        </w:rPr>
        <w:t xml:space="preserve">millones de dólares, a lo largo de cuatro años, a partir de 2022-2023 para aumentar el subsidio de los servicios de guardería infantil y elevar el umbral de ingresos familiares máximos establecido para optar a dicho subsidio. En el marco de esta inversión, el Gobierno destinó 33,7 millones de dólares a elevar el número de horas de la educación y atención de la primera infancia hasta un umbral mínimo de 36 horas por quincena para las familias con niños de las Primeras Naciones. El Gobierno australiano también ha modificado el régimen del permiso parental retribuido para hacerlo más flexible y neutro en cuanto al género. Estas modificaciones entraron en vigor en julio de 2023. </w:t>
      </w:r>
    </w:p>
    <w:p w14:paraId="21BDD55F" w14:textId="374B8562"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Representación de las mujeres en cargos directivos</w:t>
      </w:r>
    </w:p>
    <w:p w14:paraId="0AAF5E41" w14:textId="77777777" w:rsidR="00E16C43" w:rsidRPr="00B039DD" w:rsidRDefault="00E16C43" w:rsidP="00E16C43">
      <w:pPr>
        <w:pStyle w:val="SingleTxtG"/>
        <w:rPr>
          <w:lang w:val="es-ES_tradnl"/>
        </w:rPr>
      </w:pPr>
      <w:r w:rsidRPr="00B039DD">
        <w:rPr>
          <w:lang w:val="es-ES_tradnl"/>
        </w:rPr>
        <w:t>157.</w:t>
      </w:r>
      <w:r w:rsidRPr="00B039DD">
        <w:rPr>
          <w:lang w:val="es-ES_tradnl"/>
        </w:rPr>
        <w:tab/>
        <w:t xml:space="preserve">El Gobierno australiano está impulsando el liderazgo femenino en los ámbitos público, privado, comunitario y político. </w:t>
      </w:r>
    </w:p>
    <w:p w14:paraId="04BF94B2" w14:textId="700DDCF0" w:rsidR="00E16C43" w:rsidRPr="00B039DD" w:rsidRDefault="00E16C43" w:rsidP="00E16C43">
      <w:pPr>
        <w:pStyle w:val="SingleTxtG"/>
        <w:rPr>
          <w:lang w:val="es-ES_tradnl"/>
        </w:rPr>
      </w:pPr>
      <w:r w:rsidRPr="00B039DD">
        <w:rPr>
          <w:lang w:val="es-ES_tradnl"/>
        </w:rPr>
        <w:t>158.</w:t>
      </w:r>
      <w:r w:rsidRPr="00B039DD">
        <w:rPr>
          <w:lang w:val="es-ES_tradnl"/>
        </w:rPr>
        <w:tab/>
        <w:t xml:space="preserve">El Gobierno trabaja para cumplir los objetivos de 2016 en materia de equilibrio de género en los consejos directivos del Estado australiano, incluido el objetivo de que las mujeres ocupen globalmente el 50 % de los cargos de los consejos de directivos públicos, y que tanto hombres como mujeres ocupen al menos el 40 % de los cargos de cada directivo. El Gobierno superó el objetivo general en 2021-2022. Al 30 de junio, las mujeres ocupaban un 51,4 % de los puestos directivos. </w:t>
      </w:r>
    </w:p>
    <w:p w14:paraId="44B8232A" w14:textId="0894203C" w:rsidR="00E16C43" w:rsidRPr="00B039DD" w:rsidRDefault="00E16C43" w:rsidP="00E16C43">
      <w:pPr>
        <w:pStyle w:val="SingleTxtG"/>
        <w:rPr>
          <w:lang w:val="es-ES_tradnl"/>
        </w:rPr>
      </w:pPr>
      <w:r w:rsidRPr="00B039DD">
        <w:rPr>
          <w:lang w:val="es-ES_tradnl"/>
        </w:rPr>
        <w:t>159.</w:t>
      </w:r>
      <w:r w:rsidRPr="00B039DD">
        <w:rPr>
          <w:lang w:val="es-ES_tradnl"/>
        </w:rPr>
        <w:tab/>
        <w:t>La Administración Pública Australiana es el mayor empleador del sector público del Commonwealth. La Estrategia de Igualdad de Género 2021-2026 de la Administración Pública Australiana está impulsando cambios duraderos, como el equilibrio de género en los niveles superiores de dirección y una mayor diversidad de género en determinadas ocupaciones. En junio de 2022, las mujeres representaban el 60,7 % de la fuerza de trabajo del sector de los servicios y el 52</w:t>
      </w:r>
      <w:r w:rsidR="00C66F1B">
        <w:rPr>
          <w:lang w:val="es-ES_tradnl"/>
        </w:rPr>
        <w:t xml:space="preserve"> </w:t>
      </w:r>
      <w:r w:rsidRPr="00B039DD">
        <w:rPr>
          <w:lang w:val="es-ES_tradnl"/>
        </w:rPr>
        <w:t xml:space="preserve">% del total del personal directivo superior. </w:t>
      </w:r>
    </w:p>
    <w:p w14:paraId="6729EC6E" w14:textId="77777777" w:rsidR="00E16C43" w:rsidRPr="00B039DD" w:rsidRDefault="00E16C43" w:rsidP="00E16C43">
      <w:pPr>
        <w:pStyle w:val="SingleTxtG"/>
        <w:rPr>
          <w:lang w:val="es-ES_tradnl"/>
        </w:rPr>
      </w:pPr>
      <w:r w:rsidRPr="00B039DD">
        <w:rPr>
          <w:lang w:val="es-ES_tradnl"/>
        </w:rPr>
        <w:t>160.</w:t>
      </w:r>
      <w:r w:rsidRPr="00B039DD">
        <w:rPr>
          <w:lang w:val="es-ES_tradnl"/>
        </w:rPr>
        <w:tab/>
        <w:t>En el sector privado, en febrero de 2023, las mujeres representaban el 35,5 % de los miembros de los consejos de administración de las 300 empresas de la Bolsa de Valores de Australia (ASX). El censo de mujeres directivas de 2022 reveló que apenas 18 de esas 300 empresas contaban con una Directora General</w:t>
      </w:r>
      <w:r w:rsidRPr="00B039DD">
        <w:rPr>
          <w:rStyle w:val="Refdenotaalpie"/>
          <w:lang w:val="es-ES_tradnl"/>
        </w:rPr>
        <w:footnoteReference w:id="11"/>
      </w:r>
      <w:r w:rsidRPr="00B039DD">
        <w:rPr>
          <w:lang w:val="es-ES_tradnl"/>
        </w:rPr>
        <w:t xml:space="preserve">. En las medianas y grandes empresas, las mujeres ocupan el 41 % de los cargos directivos. </w:t>
      </w:r>
    </w:p>
    <w:p w14:paraId="4E60208F" w14:textId="2D796DCB" w:rsidR="00E16C43" w:rsidRPr="00B039DD" w:rsidRDefault="00E16C43" w:rsidP="00E16C43">
      <w:pPr>
        <w:pStyle w:val="SingleTxtG"/>
        <w:rPr>
          <w:lang w:val="es-ES_tradnl"/>
        </w:rPr>
      </w:pPr>
      <w:r w:rsidRPr="00B039DD">
        <w:rPr>
          <w:lang w:val="es-ES_tradnl"/>
        </w:rPr>
        <w:t>161.</w:t>
      </w:r>
      <w:r w:rsidRPr="00B039DD">
        <w:rPr>
          <w:lang w:val="es-ES_tradnl"/>
        </w:rPr>
        <w:tab/>
        <w:t xml:space="preserve">El enfoque del Departamento de Defensa del Gobierno australiano sobre la igualdad de género y la inclusión se ha visto recientemente reforzado con la adopción de su estrategia </w:t>
      </w:r>
      <w:r w:rsidR="0039023F">
        <w:rPr>
          <w:lang w:val="es-ES_tradnl"/>
        </w:rPr>
        <w:lastRenderedPageBreak/>
        <w:t>“</w:t>
      </w:r>
      <w:r w:rsidRPr="00B039DD">
        <w:rPr>
          <w:lang w:val="es-ES_tradnl"/>
        </w:rPr>
        <w:t>Camino al cambio: una cultura de defensa en evolución</w:t>
      </w:r>
      <w:r w:rsidR="00581426">
        <w:rPr>
          <w:lang w:val="es-ES_tradnl"/>
        </w:rPr>
        <w:t>, 2017-2022</w:t>
      </w:r>
      <w:r w:rsidR="0039023F">
        <w:rPr>
          <w:lang w:val="es-ES_tradnl"/>
        </w:rPr>
        <w:t>”</w:t>
      </w:r>
      <w:r w:rsidRPr="00B039DD">
        <w:rPr>
          <w:lang w:val="es-ES_tradnl"/>
        </w:rPr>
        <w:t xml:space="preserve"> y el Plan de Acción Nacional sobre Mujeres, Paz y Seguridad 2021-2031. El informe anual sobre las mujeres en las Fuerzas de Defensa de Australia acredita la determinación del Gobierno de lograr resultados en materia de igualdad de género en el ejército. </w:t>
      </w:r>
    </w:p>
    <w:p w14:paraId="58CDFDAB" w14:textId="77777777" w:rsidR="00E16C43" w:rsidRPr="00B039DD" w:rsidRDefault="00E16C43" w:rsidP="00E16C43">
      <w:pPr>
        <w:pStyle w:val="SingleTxtG"/>
        <w:rPr>
          <w:lang w:val="es-ES_tradnl"/>
        </w:rPr>
      </w:pPr>
      <w:r w:rsidRPr="00B039DD">
        <w:rPr>
          <w:lang w:val="es-ES_tradnl"/>
        </w:rPr>
        <w:t>162.</w:t>
      </w:r>
      <w:r w:rsidRPr="00B039DD">
        <w:rPr>
          <w:lang w:val="es-ES_tradnl"/>
        </w:rPr>
        <w:tab/>
        <w:t>Entre los ingentes esfuerzos llevados a cabo para aumentar la representación femenina en las Fuerzas de Defensa de Australia y en el personal civil de Defensa figuran actividades de orientación específicas, formación, educación, establecimiento de objetivos de reclutamiento e incremento de la representación femenina en los procesos de toma de decisiones de alto nivel y en todos los esfuerzos de paz y seguridad. El Informe sobre el personal de Defensa de abril de 2023 reveló que las tasas de participación de las mujeres habían aumentado hasta alcanzar el 47,5 % del personal civil y el 20,4 % del personal militar, que en abril de 2018 se situaban en el 42,2 % y el 17,6 %, respectivamente. Es preciso seguir trabajando para lograr una igualdad duradera para las mujeres, y uno de los principales objetivos es aumentar la presencia femenina en cargos directivos, comités y funciones no tradicionales.</w:t>
      </w:r>
    </w:p>
    <w:p w14:paraId="71895C4A" w14:textId="77777777" w:rsidR="00E16C43" w:rsidRPr="00B039DD" w:rsidRDefault="00E16C43" w:rsidP="00E16C43">
      <w:pPr>
        <w:pStyle w:val="SingleTxtG"/>
        <w:rPr>
          <w:lang w:val="es-ES_tradnl"/>
        </w:rPr>
      </w:pPr>
      <w:r w:rsidRPr="00B039DD">
        <w:rPr>
          <w:lang w:val="es-ES_tradnl"/>
        </w:rPr>
        <w:t>163.</w:t>
      </w:r>
      <w:r w:rsidRPr="00B039DD">
        <w:rPr>
          <w:lang w:val="es-ES_tradnl"/>
        </w:rPr>
        <w:tab/>
        <w:t xml:space="preserve">Australia se atiene a la resolución 1325 del Consejo de Seguridad de las Naciones Unidas, que pide a los Estados que adopten una perspectiva de género en todas las operaciones de mantenimiento de la paz y todos los procesos de paz. En 2018, Australia retiró la parte de su reserva a la Convención sobre la Eliminación de Todas las Formas de Discriminación contra la Mujer relativa a la exclusión de las mujeres de las tareas de combate. </w:t>
      </w:r>
    </w:p>
    <w:p w14:paraId="3DA6748D" w14:textId="78ED185E"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Los planes nacionales de lucha contra la violencia doméstica</w:t>
      </w:r>
      <w:r>
        <w:rPr>
          <w:lang w:val="es-ES_tradnl"/>
        </w:rPr>
        <w:br/>
      </w:r>
      <w:r w:rsidR="00E16C43" w:rsidRPr="00B039DD">
        <w:rPr>
          <w:lang w:val="es-ES_tradnl"/>
        </w:rPr>
        <w:t>y el acoso sexual</w:t>
      </w:r>
    </w:p>
    <w:p w14:paraId="35D20DD4" w14:textId="77777777" w:rsidR="00E16C43" w:rsidRPr="00B039DD" w:rsidRDefault="00E16C43" w:rsidP="00E16C43">
      <w:pPr>
        <w:pStyle w:val="SingleTxtG"/>
        <w:rPr>
          <w:lang w:val="es-ES_tradnl"/>
        </w:rPr>
      </w:pPr>
      <w:r w:rsidRPr="00B039DD">
        <w:rPr>
          <w:lang w:val="es-ES_tradnl"/>
        </w:rPr>
        <w:t>164.</w:t>
      </w:r>
      <w:r w:rsidRPr="00B039DD">
        <w:rPr>
          <w:lang w:val="es-ES_tradnl"/>
        </w:rPr>
        <w:tab/>
        <w:t xml:space="preserve">El Plan Nacional para Reducir la Violencia contra la Mujer y sus Hijos 2010-2022, que acredita el empeño colectivo de los gobiernos de combatir la violencia familiar, doméstica y sexual, impulsó la intensificación de la colaboración entre organizaciones, departamentos gubernamentales y servicios, estableció infraestructuras clave, reforzó las respuestas de los servicios y prestó apoyo a los servicios jurídicos destinados a las mujeres, los alojamientos de emergencia y los programas de seguridad en el hogar. </w:t>
      </w:r>
    </w:p>
    <w:p w14:paraId="5669583A" w14:textId="23F7A769" w:rsidR="00E16C43" w:rsidRPr="00B039DD" w:rsidRDefault="00E16C43" w:rsidP="00E16C43">
      <w:pPr>
        <w:pStyle w:val="SingleTxtG"/>
        <w:rPr>
          <w:lang w:val="es-ES_tradnl"/>
        </w:rPr>
      </w:pPr>
      <w:r w:rsidRPr="00B039DD">
        <w:rPr>
          <w:lang w:val="es-ES_tradnl"/>
        </w:rPr>
        <w:t>165.</w:t>
      </w:r>
      <w:r w:rsidRPr="00B039DD">
        <w:rPr>
          <w:lang w:val="es-ES_tradnl"/>
        </w:rPr>
        <w:tab/>
        <w:t xml:space="preserve">Desde el primer plan nacional, cada vez son menos los australianos que mantienen actitudes de apoyo a la violencia contra las mujeres, y </w:t>
      </w:r>
      <w:r w:rsidR="00C66F1B">
        <w:rPr>
          <w:lang w:val="es-ES_tradnl"/>
        </w:rPr>
        <w:t>e</w:t>
      </w:r>
      <w:r w:rsidRPr="00B039DD">
        <w:rPr>
          <w:lang w:val="es-ES_tradnl"/>
        </w:rPr>
        <w:t>stas afirman sentirse cada vez más seguras tanto en la vida privada como en entornos comunitarios</w:t>
      </w:r>
      <w:r w:rsidRPr="00B039DD">
        <w:rPr>
          <w:rStyle w:val="Refdenotaalpie"/>
          <w:lang w:val="es-ES_tradnl"/>
        </w:rPr>
        <w:footnoteReference w:id="12"/>
      </w:r>
      <w:r w:rsidRPr="00B039DD">
        <w:rPr>
          <w:lang w:val="es-ES_tradnl"/>
        </w:rPr>
        <w:t xml:space="preserve">. </w:t>
      </w:r>
    </w:p>
    <w:p w14:paraId="226A9D96" w14:textId="5E4AA269" w:rsidR="00E16C43" w:rsidRPr="00C66F1B" w:rsidRDefault="00E16C43" w:rsidP="00E16C43">
      <w:pPr>
        <w:pStyle w:val="SingleTxtG"/>
        <w:rPr>
          <w:lang w:val="es-ES_tradnl"/>
        </w:rPr>
      </w:pPr>
      <w:r w:rsidRPr="00B039DD">
        <w:rPr>
          <w:lang w:val="es-ES_tradnl"/>
        </w:rPr>
        <w:t>166.</w:t>
      </w:r>
      <w:r w:rsidRPr="00B039DD">
        <w:rPr>
          <w:lang w:val="es-ES_tradnl"/>
        </w:rPr>
        <w:tab/>
        <w:t xml:space="preserve">Sin embargo, hay que seguir trabajando para acabar con la violencia contra las mujeres y los niños. En octubre de 2022, los gobiernos australianos lanzaron el Plan Nacional para Acabar con la Violencia contra las Mujeres y los Niños 2022-2032. Este </w:t>
      </w:r>
      <w:r w:rsidR="00C66F1B" w:rsidRPr="00B039DD">
        <w:rPr>
          <w:lang w:val="es-ES_tradnl"/>
        </w:rPr>
        <w:t xml:space="preserve">Plan </w:t>
      </w:r>
      <w:r w:rsidRPr="00B039DD">
        <w:rPr>
          <w:lang w:val="es-ES_tradnl"/>
        </w:rPr>
        <w:t xml:space="preserve">se basó en las conclusiones del informe </w:t>
      </w:r>
      <w:r w:rsidRPr="00C66F1B">
        <w:rPr>
          <w:lang w:val="es-ES_tradnl"/>
        </w:rPr>
        <w:t xml:space="preserve">Respect@Work de la Comisión de Derechos Humanos de Australia y en Set the Standard: Report on the Independent Review into Commonwealth Parliamentary Workplaces 2021. </w:t>
      </w:r>
      <w:bookmarkStart w:id="6" w:name="_Hlk143781417"/>
      <w:bookmarkEnd w:id="6"/>
    </w:p>
    <w:p w14:paraId="6F2C4846" w14:textId="3F811109" w:rsidR="00E16C43" w:rsidRPr="00B039DD" w:rsidRDefault="00E16C43" w:rsidP="00E16C43">
      <w:pPr>
        <w:pStyle w:val="SingleTxtG"/>
        <w:rPr>
          <w:lang w:val="es-ES_tradnl"/>
        </w:rPr>
      </w:pPr>
      <w:r w:rsidRPr="00B039DD">
        <w:rPr>
          <w:lang w:val="es-ES_tradnl"/>
        </w:rPr>
        <w:t>167.</w:t>
      </w:r>
      <w:r w:rsidRPr="00B039DD">
        <w:rPr>
          <w:lang w:val="es-ES_tradnl"/>
        </w:rPr>
        <w:tab/>
        <w:t>El Gobierno australiano está invirtiendo más de 2.000 millones de dólares en la aplicación del Plan en el marco de los presupuestos de 2022</w:t>
      </w:r>
      <w:r w:rsidR="00581426">
        <w:rPr>
          <w:lang w:val="es-ES_tradnl"/>
        </w:rPr>
        <w:t>/</w:t>
      </w:r>
      <w:r w:rsidRPr="00B039DD">
        <w:rPr>
          <w:lang w:val="es-ES_tradnl"/>
        </w:rPr>
        <w:t>23 y 2023</w:t>
      </w:r>
      <w:r w:rsidR="00581426">
        <w:rPr>
          <w:lang w:val="es-ES_tradnl"/>
        </w:rPr>
        <w:t>/</w:t>
      </w:r>
      <w:r w:rsidRPr="00B039DD">
        <w:rPr>
          <w:lang w:val="es-ES_tradnl"/>
        </w:rPr>
        <w:t>24. Entre otras, se han previsto las siguientes iniciativas:</w:t>
      </w:r>
    </w:p>
    <w:p w14:paraId="10DD9BE5" w14:textId="3ACCBDDE" w:rsidR="00E16C43" w:rsidRPr="00B039DD" w:rsidRDefault="0039023F" w:rsidP="00E16C43">
      <w:pPr>
        <w:pStyle w:val="SingleTxtG"/>
        <w:rPr>
          <w:lang w:val="es-ES_tradnl"/>
        </w:rPr>
      </w:pPr>
      <w:r>
        <w:rPr>
          <w:lang w:val="es-ES_tradnl"/>
        </w:rPr>
        <w:tab/>
      </w:r>
      <w:r w:rsidR="00E16C43" w:rsidRPr="00B039DD">
        <w:rPr>
          <w:lang w:val="es-ES_tradnl"/>
        </w:rPr>
        <w:t>a)</w:t>
      </w:r>
      <w:r w:rsidR="00E16C43" w:rsidRPr="00B039DD">
        <w:rPr>
          <w:lang w:val="es-ES_tradnl"/>
        </w:rPr>
        <w:tab/>
        <w:t>Contratación de 500 nuevos trabajadores comunitarios y de servicios de primera línea para asistir a mujeres y niños víctimas de violencia;</w:t>
      </w:r>
    </w:p>
    <w:p w14:paraId="20B25A6A" w14:textId="5B9CC0E4" w:rsidR="00E16C43" w:rsidRPr="00B039DD" w:rsidRDefault="0039023F" w:rsidP="00E16C43">
      <w:pPr>
        <w:pStyle w:val="SingleTxtG"/>
        <w:rPr>
          <w:lang w:val="es-ES_tradnl"/>
        </w:rPr>
      </w:pPr>
      <w:r>
        <w:rPr>
          <w:lang w:val="es-ES_tradnl"/>
        </w:rPr>
        <w:tab/>
      </w:r>
      <w:r w:rsidR="00E16C43" w:rsidRPr="00B039DD">
        <w:rPr>
          <w:lang w:val="es-ES_tradnl"/>
        </w:rPr>
        <w:t>b)</w:t>
      </w:r>
      <w:r w:rsidR="00E16C43" w:rsidRPr="00B039DD">
        <w:rPr>
          <w:lang w:val="es-ES_tradnl"/>
        </w:rPr>
        <w:tab/>
        <w:t>Establecimiento de modalidades de alojamiento de emergencia y de transición para mujeres y niños víctimas de la violencia familiar y doméstica y para mujeres mayores en riesgo de quedar sin hogar;</w:t>
      </w:r>
    </w:p>
    <w:p w14:paraId="75434D27" w14:textId="27A0E377" w:rsidR="00E16C43" w:rsidRPr="00B039DD" w:rsidRDefault="0039023F" w:rsidP="00E16C43">
      <w:pPr>
        <w:pStyle w:val="SingleTxtG"/>
        <w:rPr>
          <w:lang w:val="es-ES_tradnl"/>
        </w:rPr>
      </w:pPr>
      <w:r>
        <w:rPr>
          <w:lang w:val="es-ES_tradnl"/>
        </w:rPr>
        <w:tab/>
      </w:r>
      <w:r w:rsidR="00E16C43" w:rsidRPr="00B039DD">
        <w:rPr>
          <w:lang w:val="es-ES_tradnl"/>
        </w:rPr>
        <w:t>c)</w:t>
      </w:r>
      <w:r w:rsidR="00E16C43" w:rsidRPr="00B039DD">
        <w:rPr>
          <w:lang w:val="es-ES_tradnl"/>
        </w:rPr>
        <w:tab/>
        <w:t>Extensión del programa piloto de asistencia económica a las personas que huyen de la violencia y del proyecto piloto para titulares de visados temporales víctimas de la violencia hasta enero de 2025;</w:t>
      </w:r>
    </w:p>
    <w:p w14:paraId="31F3B74C" w14:textId="624310A3" w:rsidR="00E16C43" w:rsidRPr="00B039DD" w:rsidRDefault="0039023F" w:rsidP="00E16C43">
      <w:pPr>
        <w:pStyle w:val="SingleTxtG"/>
        <w:rPr>
          <w:lang w:val="es-ES_tradnl"/>
        </w:rPr>
      </w:pPr>
      <w:r>
        <w:rPr>
          <w:lang w:val="es-ES_tradnl"/>
        </w:rPr>
        <w:lastRenderedPageBreak/>
        <w:tab/>
      </w:r>
      <w:r w:rsidR="00E16C43" w:rsidRPr="00B039DD">
        <w:rPr>
          <w:lang w:val="es-ES_tradnl"/>
        </w:rPr>
        <w:t>d)</w:t>
      </w:r>
      <w:r w:rsidR="00E16C43" w:rsidRPr="00B039DD">
        <w:rPr>
          <w:lang w:val="es-ES_tradnl"/>
        </w:rPr>
        <w:tab/>
        <w:t>Extensión del servicio nacional de atención telefónica MensLine, para que los hombres que deseen mantener relaciones respetuosas sin recurrir a la violencia puedan seguir accediendo a asesoramiento telefónico personalizado con independencia de su ubicación.</w:t>
      </w:r>
    </w:p>
    <w:p w14:paraId="6DCBA843" w14:textId="32956BD7" w:rsidR="00E16C43" w:rsidRPr="00B039DD" w:rsidRDefault="00E16C43" w:rsidP="00E16C43">
      <w:pPr>
        <w:pStyle w:val="SingleTxtG"/>
        <w:rPr>
          <w:lang w:val="es-ES_tradnl"/>
        </w:rPr>
      </w:pPr>
      <w:r w:rsidRPr="00B039DD">
        <w:rPr>
          <w:lang w:val="es-ES_tradnl"/>
        </w:rPr>
        <w:t>168.</w:t>
      </w:r>
      <w:r w:rsidRPr="00B039DD">
        <w:rPr>
          <w:lang w:val="es-ES_tradnl"/>
        </w:rPr>
        <w:tab/>
        <w:t xml:space="preserve">Para seguir apoyando el </w:t>
      </w:r>
      <w:r w:rsidR="00C66F1B" w:rsidRPr="00B039DD">
        <w:rPr>
          <w:lang w:val="es-ES_tradnl"/>
        </w:rPr>
        <w:t>Plan</w:t>
      </w:r>
      <w:r w:rsidRPr="00B039DD">
        <w:rPr>
          <w:lang w:val="es-ES_tradnl"/>
        </w:rPr>
        <w:t>, el Gobierno australiano ha destinado 367 millones de dólares a la aplicación de las recomendaciones del informe Respect@Work. Las medidas clave son:</w:t>
      </w:r>
    </w:p>
    <w:p w14:paraId="39030162" w14:textId="41E23733" w:rsidR="00E16C43" w:rsidRPr="00B039DD" w:rsidRDefault="0039023F" w:rsidP="00E16C43">
      <w:pPr>
        <w:pStyle w:val="SingleTxtG"/>
        <w:rPr>
          <w:lang w:val="es-ES_tradnl"/>
        </w:rPr>
      </w:pPr>
      <w:r>
        <w:rPr>
          <w:lang w:val="es-ES_tradnl"/>
        </w:rPr>
        <w:tab/>
      </w:r>
      <w:r w:rsidR="00E16C43" w:rsidRPr="00B039DD">
        <w:rPr>
          <w:lang w:val="es-ES_tradnl"/>
        </w:rPr>
        <w:t>a)</w:t>
      </w:r>
      <w:r w:rsidR="00E16C43" w:rsidRPr="00B039DD">
        <w:rPr>
          <w:lang w:val="es-ES_tradnl"/>
        </w:rPr>
        <w:tab/>
        <w:t xml:space="preserve">Aprobación de la Ley sobre el Respeto en el Trabajo, que impone a los empleadores el deber positivo de adoptar medidas razonables y proporcionadas para eliminar determinadas formas ilegales de discriminación sexual, y mejora la protección de los trabajadores contra el acoso sexual en el trabajo, en particular, al convertir el acoso sexual en un motivo válido de despido; </w:t>
      </w:r>
    </w:p>
    <w:p w14:paraId="4358EDEF" w14:textId="1E6C6E48" w:rsidR="00E16C43" w:rsidRPr="00B039DD" w:rsidRDefault="0039023F" w:rsidP="00E16C43">
      <w:pPr>
        <w:pStyle w:val="SingleTxtG"/>
        <w:rPr>
          <w:lang w:val="es-ES_tradnl"/>
        </w:rPr>
      </w:pPr>
      <w:r>
        <w:rPr>
          <w:lang w:val="es-ES_tradnl"/>
        </w:rPr>
        <w:tab/>
      </w:r>
      <w:r w:rsidR="00E16C43" w:rsidRPr="00B039DD">
        <w:rPr>
          <w:lang w:val="es-ES_tradnl"/>
        </w:rPr>
        <w:t>b)</w:t>
      </w:r>
      <w:r w:rsidR="00E16C43" w:rsidRPr="00B039DD">
        <w:rPr>
          <w:lang w:val="es-ES_tradnl"/>
        </w:rPr>
        <w:tab/>
        <w:t>Elaboración de material orientativo y educativo destinado a espacios de trabajo y escuelas;</w:t>
      </w:r>
    </w:p>
    <w:p w14:paraId="45ACC1CA" w14:textId="3246BD0C" w:rsidR="00E16C43" w:rsidRPr="00C66F1B" w:rsidRDefault="0039023F" w:rsidP="00E16C43">
      <w:pPr>
        <w:pStyle w:val="SingleTxtG"/>
        <w:rPr>
          <w:lang w:val="es-ES_tradnl"/>
        </w:rPr>
      </w:pPr>
      <w:r w:rsidRPr="00C66F1B">
        <w:rPr>
          <w:lang w:val="es-ES_tradnl"/>
        </w:rPr>
        <w:tab/>
      </w:r>
      <w:r w:rsidR="00E16C43" w:rsidRPr="00C66F1B">
        <w:rPr>
          <w:lang w:val="es-ES_tradnl"/>
        </w:rPr>
        <w:t>c)</w:t>
      </w:r>
      <w:r w:rsidR="00E16C43" w:rsidRPr="00C66F1B">
        <w:rPr>
          <w:lang w:val="es-ES_tradnl"/>
        </w:rPr>
        <w:tab/>
        <w:t xml:space="preserve">Presentación del informe sobre la 5ª Encuesta </w:t>
      </w:r>
      <w:r w:rsidR="00C66F1B" w:rsidRPr="00C66F1B">
        <w:rPr>
          <w:lang w:val="es-ES_tradnl"/>
        </w:rPr>
        <w:t xml:space="preserve">Nacional </w:t>
      </w:r>
      <w:r w:rsidR="00E16C43" w:rsidRPr="00C66F1B">
        <w:rPr>
          <w:lang w:val="es-ES_tradnl"/>
        </w:rPr>
        <w:t xml:space="preserve">sobre el </w:t>
      </w:r>
      <w:r w:rsidR="00C66F1B" w:rsidRPr="00C66F1B">
        <w:rPr>
          <w:lang w:val="es-ES_tradnl"/>
        </w:rPr>
        <w:t>Acoso Sexual</w:t>
      </w:r>
      <w:r w:rsidR="00E16C43" w:rsidRPr="00C66F1B">
        <w:rPr>
          <w:lang w:val="es-ES_tradnl"/>
        </w:rPr>
        <w:t>, Time for Respect, el 30 de noviembre de 2022, para informar sobre la necesidad de adoptar reformas;</w:t>
      </w:r>
    </w:p>
    <w:p w14:paraId="0F9345AB" w14:textId="710705DC" w:rsidR="00E16C43" w:rsidRPr="00B039DD" w:rsidRDefault="0039023F" w:rsidP="00E16C43">
      <w:pPr>
        <w:pStyle w:val="SingleTxtG"/>
        <w:rPr>
          <w:lang w:val="es-ES_tradnl"/>
        </w:rPr>
      </w:pPr>
      <w:r>
        <w:rPr>
          <w:lang w:val="es-ES_tradnl"/>
        </w:rPr>
        <w:tab/>
      </w:r>
      <w:r w:rsidR="00E16C43" w:rsidRPr="00B039DD">
        <w:rPr>
          <w:lang w:val="es-ES_tradnl"/>
        </w:rPr>
        <w:t>d)</w:t>
      </w:r>
      <w:r w:rsidR="00E16C43" w:rsidRPr="00B039DD">
        <w:rPr>
          <w:lang w:val="es-ES_tradnl"/>
        </w:rPr>
        <w:tab/>
        <w:t>Encargo a la Universidad Nacional de Australia de una investigación sobre el pago de daños y perjuicios y las costas de las causas de acoso sexual con vistas a sentar las bases para la elaboración de un estudio sobre un modelo adecuado de protección financiera en asuntos de discriminación;</w:t>
      </w:r>
    </w:p>
    <w:p w14:paraId="1FE45816" w14:textId="28C85208" w:rsidR="00E16C43" w:rsidRPr="00B039DD" w:rsidRDefault="0039023F" w:rsidP="00E16C43">
      <w:pPr>
        <w:pStyle w:val="SingleTxtG"/>
        <w:rPr>
          <w:lang w:val="es-ES_tradnl"/>
        </w:rPr>
      </w:pPr>
      <w:r>
        <w:rPr>
          <w:lang w:val="es-ES_tradnl"/>
        </w:rPr>
        <w:tab/>
      </w:r>
      <w:r w:rsidR="00E16C43" w:rsidRPr="00B039DD">
        <w:rPr>
          <w:lang w:val="es-ES_tradnl"/>
        </w:rPr>
        <w:t>e)</w:t>
      </w:r>
      <w:r w:rsidR="00E16C43" w:rsidRPr="00B039DD">
        <w:rPr>
          <w:lang w:val="es-ES_tradnl"/>
        </w:rPr>
        <w:tab/>
        <w:t xml:space="preserve">Ratificación del Convenio sobre la </w:t>
      </w:r>
      <w:r w:rsidR="00C66F1B" w:rsidRPr="00B039DD">
        <w:rPr>
          <w:lang w:val="es-ES_tradnl"/>
        </w:rPr>
        <w:t xml:space="preserve">Violencia </w:t>
      </w:r>
      <w:r w:rsidR="00E16C43" w:rsidRPr="00B039DD">
        <w:rPr>
          <w:lang w:val="es-ES_tradnl"/>
        </w:rPr>
        <w:t xml:space="preserve">y el </w:t>
      </w:r>
      <w:r w:rsidR="00C66F1B" w:rsidRPr="00B039DD">
        <w:rPr>
          <w:lang w:val="es-ES_tradnl"/>
        </w:rPr>
        <w:t>Acoso</w:t>
      </w:r>
      <w:r w:rsidR="00E16C43" w:rsidRPr="00B039DD">
        <w:rPr>
          <w:lang w:val="es-ES_tradnl"/>
        </w:rPr>
        <w:t>, 2019 (núm. 190), de la Organización Internacional del Trabajo.</w:t>
      </w:r>
    </w:p>
    <w:p w14:paraId="161408DB" w14:textId="77777777" w:rsidR="00E16C43" w:rsidRPr="00B039DD" w:rsidRDefault="00E16C43" w:rsidP="00E16C43">
      <w:pPr>
        <w:pStyle w:val="SingleTxtG"/>
        <w:rPr>
          <w:lang w:val="es-ES_tradnl"/>
        </w:rPr>
      </w:pPr>
      <w:r w:rsidRPr="00B039DD">
        <w:rPr>
          <w:lang w:val="es-ES_tradnl"/>
        </w:rPr>
        <w:t>169.</w:t>
      </w:r>
      <w:r w:rsidRPr="00B039DD">
        <w:rPr>
          <w:lang w:val="es-ES_tradnl"/>
        </w:rPr>
        <w:tab/>
        <w:t xml:space="preserve">Por otro lado, la Ley de Enmienda de la Ley de Relaciones Laborales Justas (Licencia Remunerada por Violencia Familiar o Doméstica) de 2022 enmendó la Ley de Relaciones Laborales Justas para habilitar el acceso a diez días de licencia remunerada a las víctimas de violencia familiar o doméstica. </w:t>
      </w:r>
    </w:p>
    <w:p w14:paraId="19A46A44" w14:textId="717BB3D3"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 xml:space="preserve">Nuevas oportunidades de empleo </w:t>
      </w:r>
    </w:p>
    <w:p w14:paraId="538D68BA" w14:textId="77777777" w:rsidR="00E16C43" w:rsidRPr="00B039DD" w:rsidRDefault="00E16C43" w:rsidP="00E16C43">
      <w:pPr>
        <w:pStyle w:val="SingleTxtG"/>
        <w:rPr>
          <w:lang w:val="es-ES_tradnl"/>
        </w:rPr>
      </w:pPr>
      <w:r w:rsidRPr="00B039DD">
        <w:rPr>
          <w:lang w:val="es-ES_tradnl"/>
        </w:rPr>
        <w:t>170.</w:t>
      </w:r>
      <w:r w:rsidRPr="00B039DD">
        <w:rPr>
          <w:lang w:val="es-ES_tradnl"/>
        </w:rPr>
        <w:tab/>
        <w:t xml:space="preserve">A pesar de la solidez de la economía australiana y de su baja tasa de desempleo, determinados obstáculos dificultan la participación en la economía de ciertos grupos, como los miembros de las Primeras Naciones, los jóvenes y los desempleados de larga duración. Los gobiernos australianos aplican políticas y programas de capacitación para empoderar a los grupos que necesitan ayudas adicionales y adaptadas para conseguir trabajos provechosos. </w:t>
      </w:r>
    </w:p>
    <w:p w14:paraId="72F77FFC" w14:textId="77777777" w:rsidR="00E16C43" w:rsidRPr="00B039DD" w:rsidRDefault="00E16C43" w:rsidP="00E16C43">
      <w:pPr>
        <w:pStyle w:val="SingleTxtG"/>
        <w:rPr>
          <w:lang w:val="es-ES_tradnl"/>
        </w:rPr>
      </w:pPr>
      <w:r w:rsidRPr="00B039DD">
        <w:rPr>
          <w:lang w:val="es-ES_tradnl"/>
        </w:rPr>
        <w:t>171.</w:t>
      </w:r>
      <w:r w:rsidRPr="00B039DD">
        <w:rPr>
          <w:lang w:val="es-ES_tradnl"/>
        </w:rPr>
        <w:tab/>
        <w:t>Workforce Australia ayuda a los australianos a encontrar trabajo, a conservarlo, a cambiar de trabajo o a crear su propio trabajo. Pone en contacto a empresas con empleados potenciales e incluye una red de proveedores con vistas a llevar a cabo una gestión personalizada de casos, que incluye formación, orientación y apoyo. Los proveedores pueden ayudar a personas con necesidades complejas y prestar servicios personalizados e intensivos para garantizar el acceso de las personas desfavorecidas a sus servicios.</w:t>
      </w:r>
    </w:p>
    <w:p w14:paraId="1BF5CD47" w14:textId="77777777" w:rsidR="00E16C43" w:rsidRPr="00B039DD" w:rsidRDefault="00E16C43" w:rsidP="00E16C43">
      <w:pPr>
        <w:pStyle w:val="SingleTxtG"/>
        <w:rPr>
          <w:lang w:val="es-ES_tradnl"/>
        </w:rPr>
      </w:pPr>
      <w:r w:rsidRPr="00B039DD">
        <w:rPr>
          <w:lang w:val="es-ES_tradnl"/>
        </w:rPr>
        <w:t>172.</w:t>
      </w:r>
      <w:r w:rsidRPr="00B039DD">
        <w:rPr>
          <w:lang w:val="es-ES_tradnl"/>
        </w:rPr>
        <w:tab/>
        <w:t>El programa de empleo Transición hacia el Trabajo de Workforce Australia es un servicio público especializado en jóvenes. Se trata de un servicio específico de apoyo a los jóvenes desfavorecidos de entre 15 y 24 años que corren el riesgo de no transitar con éxito del ámbito escolar al laboral. Especialistas en la juventud prestan apoyo intensivo a los participantes para que terminen sus estudios, sigan estudiando o formándose, desarrollen competencias para conseguir trabajo, superen obstáculos laborales y entren en contacto con organizaciones comunitarias y otros organismos gubernamentales en busca de apoyo.</w:t>
      </w:r>
    </w:p>
    <w:p w14:paraId="3FD0D178" w14:textId="77777777" w:rsidR="00E16C43" w:rsidRPr="00B039DD" w:rsidRDefault="00E16C43" w:rsidP="00E16C43">
      <w:pPr>
        <w:pStyle w:val="SingleTxtG"/>
        <w:rPr>
          <w:lang w:val="es-ES_tradnl"/>
        </w:rPr>
      </w:pPr>
      <w:r w:rsidRPr="00B039DD">
        <w:rPr>
          <w:lang w:val="es-ES_tradnl"/>
        </w:rPr>
        <w:t>173.</w:t>
      </w:r>
      <w:r w:rsidRPr="00B039DD">
        <w:rPr>
          <w:lang w:val="es-ES_tradnl"/>
        </w:rPr>
        <w:tab/>
        <w:t xml:space="preserve">Los proveedores de servicios de empleo pueden ofrecer subvenciones salariales de hasta 10.000 dólares a través del Fondo de Empleo a los empleadores que contraten a personas a través de los servicios de empleo de Workforce Australia, y una subvención salarial de 10.000 dólares en concepto de prima juvenil para apoyar el empleo de jóvenes desfavorecidos. </w:t>
      </w:r>
    </w:p>
    <w:p w14:paraId="4900B6AB" w14:textId="11778275" w:rsidR="00E16C43" w:rsidRPr="00B039DD" w:rsidRDefault="00E16C43" w:rsidP="00E16C43">
      <w:pPr>
        <w:pStyle w:val="SingleTxtG"/>
        <w:rPr>
          <w:lang w:val="es-ES_tradnl"/>
        </w:rPr>
      </w:pPr>
      <w:r w:rsidRPr="00B039DD">
        <w:rPr>
          <w:lang w:val="es-ES_tradnl"/>
        </w:rPr>
        <w:lastRenderedPageBreak/>
        <w:t>174.</w:t>
      </w:r>
      <w:r w:rsidRPr="00B039DD">
        <w:rPr>
          <w:lang w:val="es-ES_tradnl"/>
        </w:rPr>
        <w:tab/>
        <w:t>Workforce Australia es consciente de la importancia de desarrollar la capacidad de las personas durante per</w:t>
      </w:r>
      <w:r w:rsidR="00E769E3">
        <w:rPr>
          <w:lang w:val="es-ES_tradnl"/>
        </w:rPr>
        <w:t>í</w:t>
      </w:r>
      <w:r w:rsidRPr="00B039DD">
        <w:rPr>
          <w:lang w:val="es-ES_tradnl"/>
        </w:rPr>
        <w:t xml:space="preserve">odos más largos y mejorar las oportunidades de los grupos desfavorecidos mediante bonificaciones por desempleo de muy larga duración. Esta bonificación se paga cuando un proveedor ayuda a trabajar a una persona que ha recibido asistencia durante más de 24 meses en el trabajo, y los pagos parciales se abonan cuando el proveedor ayuda a alguien a mejorar de forma demostrable sus perspectivas de empleo. </w:t>
      </w:r>
    </w:p>
    <w:p w14:paraId="3B6CA24D" w14:textId="77777777" w:rsidR="00E16C43" w:rsidRPr="00B039DD" w:rsidRDefault="00E16C43" w:rsidP="00E16C43">
      <w:pPr>
        <w:pStyle w:val="SingleTxtG"/>
        <w:rPr>
          <w:lang w:val="es-ES_tradnl"/>
        </w:rPr>
      </w:pPr>
      <w:r w:rsidRPr="00B039DD">
        <w:rPr>
          <w:lang w:val="es-ES_tradnl"/>
        </w:rPr>
        <w:t>175.</w:t>
      </w:r>
      <w:r w:rsidRPr="00B039DD">
        <w:rPr>
          <w:lang w:val="es-ES_tradnl"/>
        </w:rPr>
        <w:tab/>
        <w:t xml:space="preserve">Los Estados y territorios también cuentan con iniciativas destinadas a mejorar las oportunidades de empleo. El Plan de Aplicación Cerrar la Brecha de Tasmania incluye el desarrollo de alianzas locales con organizaciones y empresas de las Primeras Naciones con vistas a ofrecer mejores oportunidades de empleo local a los jóvenes de las Primeras Naciones. Victoria destinó 18,4 millones de dólares en el transcurso de dos años a partir de 2021-2022 a apoyar el </w:t>
      </w:r>
      <w:r w:rsidRPr="00C66F1B">
        <w:rPr>
          <w:lang w:val="es-ES_tradnl"/>
        </w:rPr>
        <w:t>programa Engaging and Supporting At-Risk Young People, que</w:t>
      </w:r>
      <w:r w:rsidRPr="00B039DD">
        <w:rPr>
          <w:lang w:val="es-ES_tradnl"/>
        </w:rPr>
        <w:t xml:space="preserve"> ayuda a los jóvenes de comunidades multiculturales que encuentran obstáculos para participar en la economía, los pone en contacto con oportunidades de empleo y les propone actividades de orientación y de desarrollo de competencias. </w:t>
      </w:r>
    </w:p>
    <w:p w14:paraId="519B3831" w14:textId="31AEAAE0"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 xml:space="preserve">Medidas de apoyo al empleo </w:t>
      </w:r>
    </w:p>
    <w:p w14:paraId="4AC78FEF" w14:textId="77777777" w:rsidR="00E16C43" w:rsidRPr="00B039DD" w:rsidRDefault="00E16C43" w:rsidP="00E16C43">
      <w:pPr>
        <w:pStyle w:val="SingleTxtG"/>
        <w:rPr>
          <w:lang w:val="es-ES_tradnl"/>
        </w:rPr>
      </w:pPr>
      <w:r w:rsidRPr="00B039DD">
        <w:rPr>
          <w:lang w:val="es-ES_tradnl"/>
        </w:rPr>
        <w:t>176.</w:t>
      </w:r>
      <w:r w:rsidRPr="00B039DD">
        <w:rPr>
          <w:lang w:val="es-ES_tradnl"/>
        </w:rPr>
        <w:tab/>
        <w:t xml:space="preserve">El Gobierno australiano reconoce las dificultades de muchos solicitantes de empleo de regiones remotas a la hora de conseguir trabajo y acceder a otras oportunidades económicas. Por esa razón, está sustituyendo el Programa de Desarrollo Comunitario por un nuevo programa de empleos remotos, desarrollado en colaboración con personas de las Primeras Naciones. </w:t>
      </w:r>
    </w:p>
    <w:p w14:paraId="64E99F62" w14:textId="77777777" w:rsidR="00E16C43" w:rsidRPr="00B039DD" w:rsidRDefault="00E16C43" w:rsidP="00E16C43">
      <w:pPr>
        <w:pStyle w:val="SingleTxtG"/>
        <w:rPr>
          <w:lang w:val="es-ES_tradnl"/>
        </w:rPr>
      </w:pPr>
      <w:r w:rsidRPr="00B039DD">
        <w:rPr>
          <w:lang w:val="es-ES_tradnl"/>
        </w:rPr>
        <w:t>177.</w:t>
      </w:r>
      <w:r w:rsidRPr="00B039DD">
        <w:rPr>
          <w:lang w:val="es-ES_tradnl"/>
        </w:rPr>
        <w:tab/>
        <w:t xml:space="preserve">Un aspecto importante del desarrollo del programa es probar nuevos enfoques para comprobar cuáles funcionan en entornos remotos y consultar a las partes interesadas, incluidos los participantes en el Programa de Desarrollo Comunitario, para que contribuyan a diseñar el nuevo programa. Aproximadamente el 86 % de los participantes son personas de las Primeras Naciones (en diciembre de 2022). </w:t>
      </w:r>
    </w:p>
    <w:p w14:paraId="71947174" w14:textId="77777777" w:rsidR="00E16C43" w:rsidRPr="00B039DD" w:rsidRDefault="00E16C43" w:rsidP="00E16C43">
      <w:pPr>
        <w:pStyle w:val="SingleTxtG"/>
        <w:rPr>
          <w:lang w:val="es-ES_tradnl"/>
        </w:rPr>
      </w:pPr>
      <w:r w:rsidRPr="00B039DD">
        <w:rPr>
          <w:lang w:val="es-ES_tradnl"/>
        </w:rPr>
        <w:t>178.</w:t>
      </w:r>
      <w:r w:rsidRPr="00B039DD">
        <w:rPr>
          <w:lang w:val="es-ES_tradnl"/>
        </w:rPr>
        <w:tab/>
        <w:t xml:space="preserve">El Gobierno también ha modificado los requisitos de obligación mutua del Programa de Desarrollo Comunitario. A partir del 12 de mayo de 2021, las actividades de trabajo a cambio de la prestación de desempleo, de formación y de prácticas pasaron a ser voluntarias para que los participantes pudieran centrarse en las oportunidades laborales. </w:t>
      </w:r>
    </w:p>
    <w:p w14:paraId="66D15CD5" w14:textId="77777777" w:rsidR="00E16C43" w:rsidRPr="00B039DD" w:rsidRDefault="00E16C43" w:rsidP="00E16C43">
      <w:pPr>
        <w:pStyle w:val="SingleTxtG"/>
        <w:rPr>
          <w:lang w:val="es-ES_tradnl"/>
        </w:rPr>
      </w:pPr>
      <w:r w:rsidRPr="00B039DD">
        <w:rPr>
          <w:lang w:val="es-ES_tradnl"/>
        </w:rPr>
        <w:t>179.</w:t>
      </w:r>
      <w:r w:rsidRPr="00B039DD">
        <w:rPr>
          <w:lang w:val="es-ES_tradnl"/>
        </w:rPr>
        <w:tab/>
        <w:t xml:space="preserve">El proyecto de ley de enmienda de la legislación sobre servicios sociales (empleo juvenil) de 2016 no siguió su curso y su examen fue retirado del orden del día del Parlamento el 10 de mayo de 2017. Sin embargo, la medida relativa al plazo de espera ordinario fue aprobada en el marco del proyecto de ley de enmienda de la legislación sobre servicios sociales de 2017. </w:t>
      </w:r>
    </w:p>
    <w:p w14:paraId="08E35496" w14:textId="14DE2BB8"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Formas atípicas de empleo</w:t>
      </w:r>
    </w:p>
    <w:p w14:paraId="1430C5FA" w14:textId="77777777" w:rsidR="00E16C43" w:rsidRPr="00B039DD" w:rsidRDefault="00E16C43" w:rsidP="00E16C43">
      <w:pPr>
        <w:pStyle w:val="SingleTxtG"/>
        <w:rPr>
          <w:lang w:val="es-ES_tradnl"/>
        </w:rPr>
      </w:pPr>
      <w:r w:rsidRPr="00B039DD">
        <w:rPr>
          <w:lang w:val="es-ES_tradnl"/>
        </w:rPr>
        <w:t>180.</w:t>
      </w:r>
      <w:r w:rsidRPr="00B039DD">
        <w:rPr>
          <w:lang w:val="es-ES_tradnl"/>
        </w:rPr>
        <w:tab/>
        <w:t>El Gobierno australiano se vale de la legislación australiana sobre relaciones laborales para promover salarios más altos, trabajos más seguros y sistemas más justos. Con ese fin se adoptan medidas que garantizan un uso lícito de las formas atípicas de empleo, incluido el empleo ocasional, la contratación de mano obra a través de empleadores interpuestos y la contratación independiente, y el trabajo realizado a través de plataformas digitales.</w:t>
      </w:r>
    </w:p>
    <w:p w14:paraId="2E27C63D" w14:textId="5A557BFD" w:rsidR="00E16C43" w:rsidRPr="00B039DD" w:rsidRDefault="00E16C43" w:rsidP="00E16C43">
      <w:pPr>
        <w:pStyle w:val="SingleTxtG"/>
        <w:rPr>
          <w:lang w:val="es-ES_tradnl"/>
        </w:rPr>
      </w:pPr>
      <w:r w:rsidRPr="00B039DD">
        <w:rPr>
          <w:lang w:val="es-ES_tradnl"/>
        </w:rPr>
        <w:t>181.</w:t>
      </w:r>
      <w:r w:rsidRPr="00B039DD">
        <w:rPr>
          <w:lang w:val="es-ES_tradnl"/>
        </w:rPr>
        <w:tab/>
        <w:t xml:space="preserve">En relación con el trabajo en plataformas digitales, el Gobierno se propone dotar a la Comisión de Relaciones Laborales Justas de competencias para fijar tarifas mínimas para los trabajadores </w:t>
      </w:r>
      <w:r w:rsidR="0039023F">
        <w:rPr>
          <w:lang w:val="es-ES_tradnl"/>
        </w:rPr>
        <w:t>“</w:t>
      </w:r>
      <w:r w:rsidRPr="00B039DD">
        <w:rPr>
          <w:lang w:val="es-ES_tradnl"/>
        </w:rPr>
        <w:t>asimilables a empleados</w:t>
      </w:r>
      <w:r w:rsidR="0039023F">
        <w:rPr>
          <w:lang w:val="es-ES_tradnl"/>
        </w:rPr>
        <w:t>”</w:t>
      </w:r>
      <w:r w:rsidRPr="00B039DD">
        <w:rPr>
          <w:lang w:val="es-ES_tradnl"/>
        </w:rPr>
        <w:t xml:space="preserve">, lo que le permitirá proteger mejor de la explotación a las personas que trabajan en el marco de las nuevas modalidades de trabajo. De este modo, la Comisión de Relaciones Laborales Justas quedaría habilitada para investigar estas modalidades laborales y determinar qué derechos y obligaciones deben llevar aparejadas. </w:t>
      </w:r>
    </w:p>
    <w:p w14:paraId="46ECD166" w14:textId="77777777" w:rsidR="00E16C43" w:rsidRPr="00B039DD" w:rsidRDefault="00E16C43" w:rsidP="00E16C43">
      <w:pPr>
        <w:pStyle w:val="SingleTxtG"/>
        <w:rPr>
          <w:lang w:val="es-ES_tradnl"/>
        </w:rPr>
      </w:pPr>
      <w:r w:rsidRPr="00B039DD">
        <w:rPr>
          <w:lang w:val="es-ES_tradnl"/>
        </w:rPr>
        <w:t>182.</w:t>
      </w:r>
      <w:r w:rsidRPr="00B039DD">
        <w:rPr>
          <w:lang w:val="es-ES_tradnl"/>
        </w:rPr>
        <w:tab/>
        <w:t>La Oficina Australiana de Estadística está elaborando un nuevo módulo de encuesta para recopilar datos nacionales sobre los trabajadores de las plataformas digitales. Estos datos permitirán conocer mejor la naturaleza del trabajo en plataformas en Australia y su evolución a lo largo del tiempo. Se espera que los datos estén disponibles a finales de 2024.</w:t>
      </w:r>
    </w:p>
    <w:p w14:paraId="062A1B96" w14:textId="1C82772C" w:rsidR="00E16C43" w:rsidRPr="00B039DD" w:rsidRDefault="0039023F" w:rsidP="0039023F">
      <w:pPr>
        <w:pStyle w:val="H1G"/>
        <w:rPr>
          <w:lang w:val="es-ES_tradnl"/>
        </w:rPr>
      </w:pPr>
      <w:r>
        <w:rPr>
          <w:lang w:val="es-ES_tradnl"/>
        </w:rPr>
        <w:lastRenderedPageBreak/>
        <w:tab/>
      </w:r>
      <w:r w:rsidR="00E16C43">
        <w:rPr>
          <w:lang w:val="es-ES_tradnl"/>
        </w:rPr>
        <w:tab/>
      </w:r>
      <w:r w:rsidR="00E16C43" w:rsidRPr="00B039DD">
        <w:rPr>
          <w:lang w:val="es-ES_tradnl"/>
        </w:rPr>
        <w:t>Planes nacionales de lucha contra la trata de personas</w:t>
      </w:r>
    </w:p>
    <w:p w14:paraId="187101B1" w14:textId="60A53C87" w:rsidR="00E16C43" w:rsidRPr="00B039DD" w:rsidRDefault="00E16C43" w:rsidP="00E16C43">
      <w:pPr>
        <w:pStyle w:val="SingleTxtG"/>
        <w:rPr>
          <w:lang w:val="es-ES_tradnl"/>
        </w:rPr>
      </w:pPr>
      <w:r w:rsidRPr="00B039DD">
        <w:rPr>
          <w:lang w:val="es-ES_tradnl"/>
        </w:rPr>
        <w:t>183.</w:t>
      </w:r>
      <w:r w:rsidRPr="00B039DD">
        <w:rPr>
          <w:lang w:val="es-ES_tradnl"/>
        </w:rPr>
        <w:tab/>
        <w:t>A lo largo del per</w:t>
      </w:r>
      <w:r w:rsidR="00E769E3">
        <w:rPr>
          <w:lang w:val="es-ES_tradnl"/>
        </w:rPr>
        <w:t>í</w:t>
      </w:r>
      <w:r w:rsidRPr="00B039DD">
        <w:rPr>
          <w:lang w:val="es-ES_tradnl"/>
        </w:rPr>
        <w:t>odo que abarca el informe, Australia puso en marcha dos planes de acción nacionales contra las formas contemporáneas de esclavitud: el Plan de Acción Nacional de Lucha contra la Trata de Personas y la Esclavitud 2015-2019 y el Plan de Acción Nacional de Lucha contra las Formas Contemporáneas de Esclavitud 2020-2025.</w:t>
      </w:r>
    </w:p>
    <w:p w14:paraId="425A9F9E" w14:textId="77777777" w:rsidR="00E16C43" w:rsidRPr="00B039DD" w:rsidRDefault="00E16C43" w:rsidP="00E16C43">
      <w:pPr>
        <w:pStyle w:val="SingleTxtG"/>
        <w:rPr>
          <w:lang w:val="es-ES_tradnl"/>
        </w:rPr>
      </w:pPr>
      <w:r w:rsidRPr="00B039DD">
        <w:rPr>
          <w:lang w:val="es-ES_tradnl"/>
        </w:rPr>
        <w:t>184.</w:t>
      </w:r>
      <w:r w:rsidRPr="00B039DD">
        <w:rPr>
          <w:lang w:val="es-ES_tradnl"/>
        </w:rPr>
        <w:tab/>
        <w:t xml:space="preserve">La Policía Federal Australiana dirige las investigaciones de presuntos casos de trabajo forzoso, de trata de personas y de esclavitud, y todos los servicios policiales australianos aplican un marco de lucha contra la trata de personas, en virtud del Protocolo de la Policía Nacional contra la Trata de Personas y la Esclavitud. </w:t>
      </w:r>
    </w:p>
    <w:p w14:paraId="29AA52B5" w14:textId="77777777" w:rsidR="00E16C43" w:rsidRPr="00B039DD" w:rsidRDefault="00E16C43" w:rsidP="00E16C43">
      <w:pPr>
        <w:pStyle w:val="SingleTxtG"/>
        <w:rPr>
          <w:lang w:val="es-ES_tradnl"/>
        </w:rPr>
      </w:pPr>
      <w:r w:rsidRPr="00B039DD">
        <w:rPr>
          <w:lang w:val="es-ES_tradnl"/>
        </w:rPr>
        <w:t>185.</w:t>
      </w:r>
      <w:r w:rsidRPr="00B039DD">
        <w:rPr>
          <w:lang w:val="es-ES_tradnl"/>
        </w:rPr>
        <w:tab/>
        <w:t xml:space="preserve">Desde 2018, la Policía Federal Australiana viene formando al personal de emergencia de primera línea sobre la detección de casos de trata de personas en el marco de su protocolo de </w:t>
      </w:r>
      <w:r w:rsidRPr="00C66F1B">
        <w:rPr>
          <w:lang w:val="es-ES_tradnl"/>
        </w:rPr>
        <w:t>sensibilización, Look a Little Deeper. De</w:t>
      </w:r>
      <w:r w:rsidRPr="00B039DD">
        <w:rPr>
          <w:lang w:val="es-ES_tradnl"/>
        </w:rPr>
        <w:t xml:space="preserve"> este modo se ha logrado elevar la tasa de detección. Entre 2015 y 2022 el número de notificaciones de casos de trata de personas y esclavitud aumentó en un 164 %.</w:t>
      </w:r>
    </w:p>
    <w:p w14:paraId="0633A939" w14:textId="77777777" w:rsidR="00E16C43" w:rsidRPr="00B039DD" w:rsidRDefault="00E16C43" w:rsidP="00E16C43">
      <w:pPr>
        <w:pStyle w:val="SingleTxtG"/>
        <w:rPr>
          <w:lang w:val="es-ES_tradnl"/>
        </w:rPr>
      </w:pPr>
      <w:r w:rsidRPr="00B039DD">
        <w:rPr>
          <w:lang w:val="es-ES_tradnl"/>
        </w:rPr>
        <w:t>186.</w:t>
      </w:r>
      <w:r w:rsidRPr="00B039DD">
        <w:rPr>
          <w:lang w:val="es-ES_tradnl"/>
        </w:rPr>
        <w:tab/>
        <w:t>Al 1 de junio de 2023, había 141 casos de trata de personas abiertos. El Ministerio del Interior de Australia y la Fuerza Fronteriza de Australia también notifican presuntos casos de trabajo forzoso a la Policía Federal Australiana. Entre el 1 de marzo de 2017 y el 1 de mayo de 2023, se notificaron 54 casos.</w:t>
      </w:r>
    </w:p>
    <w:p w14:paraId="06EF9D6B" w14:textId="0529EDA3" w:rsidR="00E16C43" w:rsidRPr="00B039DD" w:rsidRDefault="00E16C43" w:rsidP="00E16C43">
      <w:pPr>
        <w:pStyle w:val="SingleTxtG"/>
        <w:rPr>
          <w:lang w:val="es-ES_tradnl"/>
        </w:rPr>
      </w:pPr>
      <w:r w:rsidRPr="00B039DD">
        <w:rPr>
          <w:lang w:val="es-ES_tradnl"/>
        </w:rPr>
        <w:t>187.</w:t>
      </w:r>
      <w:r w:rsidRPr="00B039DD">
        <w:rPr>
          <w:lang w:val="es-ES_tradnl"/>
        </w:rPr>
        <w:tab/>
        <w:t>Los asuntos susceptibles de enjuiciamiento se remiten a la Dirección de la Fiscalía Pública del Commonwealth. Entre el 1 de julio de 2016 y el 30 de junio de 2022, la Dirección de la Fiscalía Pública del Commonwealth incoó nueve causas por delitos de trabajo forzoso, que propiciaron cinco condenas. Varios procesos seguían en curso al final del per</w:t>
      </w:r>
      <w:r w:rsidR="00E769E3">
        <w:rPr>
          <w:lang w:val="es-ES_tradnl"/>
        </w:rPr>
        <w:t>í</w:t>
      </w:r>
      <w:r w:rsidRPr="00B039DD">
        <w:rPr>
          <w:lang w:val="es-ES_tradnl"/>
        </w:rPr>
        <w:t xml:space="preserve">odo que abarca el informe. </w:t>
      </w:r>
    </w:p>
    <w:p w14:paraId="3176BDB5" w14:textId="77777777" w:rsidR="00E16C43" w:rsidRPr="00B039DD" w:rsidRDefault="00E16C43" w:rsidP="00E16C43">
      <w:pPr>
        <w:pStyle w:val="SingleTxtG"/>
        <w:rPr>
          <w:lang w:val="es-ES_tradnl"/>
        </w:rPr>
      </w:pPr>
      <w:r w:rsidRPr="00B039DD">
        <w:rPr>
          <w:lang w:val="es-ES_tradnl"/>
        </w:rPr>
        <w:t>188.</w:t>
      </w:r>
      <w:r w:rsidRPr="00B039DD">
        <w:rPr>
          <w:lang w:val="es-ES_tradnl"/>
        </w:rPr>
        <w:tab/>
        <w:t xml:space="preserve">Para evaluar el éxito de la lucha contra la trata de personas resulta absolutamente fundamental la labor de sensibilización con vistas a disuadir, prevenir y desbaratar tales prácticas. </w:t>
      </w:r>
    </w:p>
    <w:p w14:paraId="33588632" w14:textId="098A7F6F" w:rsidR="00E16C43" w:rsidRPr="00B039DD" w:rsidRDefault="00E16C43" w:rsidP="00E16C43">
      <w:pPr>
        <w:pStyle w:val="SingleTxtG"/>
        <w:rPr>
          <w:lang w:val="es-ES_tradnl"/>
        </w:rPr>
      </w:pPr>
      <w:r w:rsidRPr="00B039DD">
        <w:rPr>
          <w:lang w:val="es-ES_tradnl"/>
        </w:rPr>
        <w:t>189.</w:t>
      </w:r>
      <w:r w:rsidRPr="00B039DD">
        <w:rPr>
          <w:lang w:val="es-ES_tradnl"/>
        </w:rPr>
        <w:tab/>
        <w:t>Australia adopta un enfoque centrado en la víctima y en la minimización del daño con vistas a ayudar y empoderar a las víctimas supervivientes a través de servicios de apoyo como el Programa de Apoyo a las Víctimas de la Trata, que ofrece servicios de coordinación asistencial especializada, alojamiento, tratamiento médico, asesoramiento, apoyo social y remisión a servicios de orientación legal y en materia de migración. Si una víctima superviviente se identifica como persona con discapacidad, los coordinadores de la asistencia lo tienen en cuenta a la hora de determinar el tipo de apoyo más adecuado. Aproximadamente 142 víctimas de trabajo forzoso accedieron al programa entre el 1 de abril de 2017 y el 31 de marzo de 2023. El Gobierno australiano anunció la inversión, en el marco del presupuesto para 2023</w:t>
      </w:r>
      <w:r w:rsidR="00581426">
        <w:rPr>
          <w:lang w:val="es-ES_tradnl"/>
        </w:rPr>
        <w:t>/</w:t>
      </w:r>
      <w:r w:rsidRPr="00B039DD">
        <w:rPr>
          <w:lang w:val="es-ES_tradnl"/>
        </w:rPr>
        <w:t xml:space="preserve">24, de 24,3 millones de dólares adicionales, escalonados a lo largo de </w:t>
      </w:r>
      <w:r w:rsidR="00C66F1B">
        <w:rPr>
          <w:lang w:val="es-ES_tradnl"/>
        </w:rPr>
        <w:t>cuatro</w:t>
      </w:r>
      <w:r w:rsidRPr="00B039DD">
        <w:rPr>
          <w:lang w:val="es-ES_tradnl"/>
        </w:rPr>
        <w:t xml:space="preserve"> años, para poner en marcha, a modo de proyecto piloto, una vía de remisión adicional para el programa, llevar a cabo mejoras en el programa existente y responder a la creciente demanda.</w:t>
      </w:r>
    </w:p>
    <w:p w14:paraId="662103E7" w14:textId="77777777" w:rsidR="00E16C43" w:rsidRPr="00B039DD" w:rsidRDefault="00E16C43" w:rsidP="00E16C43">
      <w:pPr>
        <w:pStyle w:val="SingleTxtG"/>
        <w:rPr>
          <w:lang w:val="es-ES_tradnl"/>
        </w:rPr>
      </w:pPr>
      <w:r w:rsidRPr="00B039DD">
        <w:rPr>
          <w:lang w:val="es-ES_tradnl"/>
        </w:rPr>
        <w:t>190.</w:t>
      </w:r>
      <w:r w:rsidRPr="00B039DD">
        <w:rPr>
          <w:lang w:val="es-ES_tradnl"/>
        </w:rPr>
        <w:tab/>
        <w:t xml:space="preserve">En virtud del artículo 21B de la Ley Penal del Commonwealth de 1914, un tribunal puede ordenar a una persona condenada por un delito federal que indemnice a una víctima de la trata. Los estados y territorios también cuentan con sus propios planes de indemnización para las víctimas de la trata de personas o de delitos análogos a la esclavitud. </w:t>
      </w:r>
    </w:p>
    <w:p w14:paraId="1B9FA9A9" w14:textId="77777777" w:rsidR="00E16C43" w:rsidRPr="00B039DD" w:rsidRDefault="00E16C43" w:rsidP="00E16C43">
      <w:pPr>
        <w:pStyle w:val="SingleTxtG"/>
        <w:rPr>
          <w:lang w:val="es-ES_tradnl"/>
        </w:rPr>
      </w:pPr>
      <w:r w:rsidRPr="00B039DD">
        <w:rPr>
          <w:lang w:val="es-ES_tradnl"/>
        </w:rPr>
        <w:t>191.</w:t>
      </w:r>
      <w:r w:rsidRPr="00B039DD">
        <w:rPr>
          <w:lang w:val="es-ES_tradnl"/>
        </w:rPr>
        <w:tab/>
        <w:t>Las víctimas de las formas contemporáneas de esclavitud también pueden tomar medidas en virtud de la Ley de Relaciones Laborales Justas para recuperar la remuneración que les corresponda, y el Ombudsman para las Relaciones Laborales Justas provee materiales sobre los derechos en el trabajo en los idiomas pertinentes y ofrece un servicio de denuncia anónima para los trabajadores migrantes.</w:t>
      </w:r>
    </w:p>
    <w:p w14:paraId="573C6BB8" w14:textId="77777777" w:rsidR="00E16C43" w:rsidRPr="00B039DD" w:rsidRDefault="00E16C43" w:rsidP="00E16C43">
      <w:pPr>
        <w:pStyle w:val="SingleTxtG"/>
        <w:rPr>
          <w:lang w:val="es-ES_tradnl"/>
        </w:rPr>
      </w:pPr>
      <w:r w:rsidRPr="00B039DD">
        <w:rPr>
          <w:lang w:val="es-ES_tradnl"/>
        </w:rPr>
        <w:t>192.</w:t>
      </w:r>
      <w:r w:rsidRPr="00B039DD">
        <w:rPr>
          <w:lang w:val="es-ES_tradnl"/>
        </w:rPr>
        <w:tab/>
        <w:t xml:space="preserve">Australia participa activamente en foros multilaterales e iniciativas mundiales, y copreside, con Indonesia, el Proceso de Bali sobre el Tráfico Ilícito de Migrantes, la Trata de Personas y los Delitos Transnacionales Conexos, que promueve respuestas coordinadas a la trata de personas en la región de Asia y el Pacífico en el marco de la ley y la justicia. Australia también sigue prestando asistencia técnica entre pares y desarrollando capacidades para </w:t>
      </w:r>
      <w:r w:rsidRPr="00B039DD">
        <w:rPr>
          <w:lang w:val="es-ES_tradnl"/>
        </w:rPr>
        <w:lastRenderedPageBreak/>
        <w:t xml:space="preserve">ayudar a los países asociados de la región del Indo-Pacífico a reforzar las respuestas jurídicas, políticas y operativas a la trata de personas y otras formas contemporáneas de esclavitud. </w:t>
      </w:r>
    </w:p>
    <w:p w14:paraId="43FD5BF1" w14:textId="542299CA" w:rsidR="00E16C43" w:rsidRPr="00B039DD" w:rsidRDefault="0039023F" w:rsidP="0039023F">
      <w:pPr>
        <w:pStyle w:val="H1G"/>
        <w:rPr>
          <w:lang w:val="es-ES_tradnl"/>
        </w:rPr>
      </w:pPr>
      <w:r>
        <w:rPr>
          <w:lang w:val="es-ES_tradnl"/>
        </w:rPr>
        <w:tab/>
      </w:r>
      <w:r w:rsidR="00E16C43">
        <w:rPr>
          <w:lang w:val="es-ES_tradnl"/>
        </w:rPr>
        <w:tab/>
      </w:r>
      <w:r w:rsidR="00E16C43" w:rsidRPr="00B039DD">
        <w:rPr>
          <w:lang w:val="es-ES_tradnl"/>
        </w:rPr>
        <w:t>Eficacia de la Ley de Lucha contra la Esclavitud Contemporánea</w:t>
      </w:r>
    </w:p>
    <w:p w14:paraId="69BD0E2E" w14:textId="77777777" w:rsidR="00E16C43" w:rsidRPr="00B039DD" w:rsidRDefault="00E16C43" w:rsidP="00E16C43">
      <w:pPr>
        <w:pStyle w:val="SingleTxtG"/>
        <w:rPr>
          <w:lang w:val="es-ES_tradnl"/>
        </w:rPr>
      </w:pPr>
      <w:r w:rsidRPr="00B039DD">
        <w:rPr>
          <w:lang w:val="es-ES_tradnl"/>
        </w:rPr>
        <w:t>193.</w:t>
      </w:r>
      <w:r w:rsidRPr="00B039DD">
        <w:rPr>
          <w:lang w:val="es-ES_tradnl"/>
        </w:rPr>
        <w:tab/>
        <w:t>La Ley de Lucha contra la Esclavitud Contemporánea establece el requisito de presentar informes sobre las formas contemporáneas de esclavitud, que obliga a las entidades del mercado australiano con ingresos anuales totales superiores a 100 millones de dólares a informar anualmente sobre las actividades que llevan a cabo para hacer frente a los riesgos de esclavitud contemporánea en sus operaciones y cadenas de suministro mundiales. Esta Ley también exige al Gobierno australiano que cumpla los requisitos de presentación de información, lo que supone una novedad a escala mundial.</w:t>
      </w:r>
    </w:p>
    <w:p w14:paraId="14D5EE8E" w14:textId="77777777" w:rsidR="00E16C43" w:rsidRPr="00B039DD" w:rsidRDefault="00E16C43" w:rsidP="00E16C43">
      <w:pPr>
        <w:pStyle w:val="SingleTxtG"/>
        <w:rPr>
          <w:lang w:val="es-ES_tradnl"/>
        </w:rPr>
      </w:pPr>
      <w:r w:rsidRPr="00B039DD">
        <w:rPr>
          <w:lang w:val="es-ES_tradnl"/>
        </w:rPr>
        <w:t>194.</w:t>
      </w:r>
      <w:r w:rsidRPr="00B039DD">
        <w:rPr>
          <w:lang w:val="es-ES_tradnl"/>
        </w:rPr>
        <w:tab/>
        <w:t>En 2020 se puso en marcha un registro en línea para las declaraciones sobre las formas contemporáneas de esclavitud. El 30 de junio de 2023 habían sido publicadas más de 7.300 declaraciones</w:t>
      </w:r>
      <w:r w:rsidRPr="00B039DD">
        <w:rPr>
          <w:rStyle w:val="Refdenotaalpie"/>
          <w:lang w:val="es-ES_tradnl"/>
        </w:rPr>
        <w:footnoteReference w:id="13"/>
      </w:r>
      <w:r w:rsidRPr="00B039DD">
        <w:rPr>
          <w:lang w:val="es-ES_tradnl"/>
        </w:rPr>
        <w:t xml:space="preserve"> y se habían realizado más de 2,4 millones de búsquedas. </w:t>
      </w:r>
    </w:p>
    <w:p w14:paraId="6E2D6A04" w14:textId="4D25E58B" w:rsidR="00E16C43" w:rsidRPr="00B039DD" w:rsidRDefault="00E16C43" w:rsidP="00E16C43">
      <w:pPr>
        <w:pStyle w:val="SingleTxtG"/>
        <w:rPr>
          <w:lang w:val="es-ES_tradnl"/>
        </w:rPr>
      </w:pPr>
      <w:r w:rsidRPr="00B039DD">
        <w:rPr>
          <w:lang w:val="es-ES_tradnl"/>
        </w:rPr>
        <w:t>195.</w:t>
      </w:r>
      <w:r w:rsidRPr="00B039DD">
        <w:rPr>
          <w:lang w:val="es-ES_tradnl"/>
        </w:rPr>
        <w:tab/>
        <w:t>El Gobierno australiano elabora un informe anual sobre la aplicación de la Ley de Lucha contra la Esclavitud Contemporánea, que comprende una evaluación general del nivel de cumplimiento y de las mejores prácticas de presentación de informes sobre la esclavitud contemporánea. Durante el período correspondiente al primer informe (del 1 de julio de 2020 al 30 de junio de 2021), se evaluaron más de 2.300 declaraciones, y es probable que casi el 60 % se ajustara a lo dispuesto en la Ley de Lucha contra la Esclavitud Contemporánea. Durante el per</w:t>
      </w:r>
      <w:r w:rsidR="00E769E3">
        <w:rPr>
          <w:lang w:val="es-ES_tradnl"/>
        </w:rPr>
        <w:t>í</w:t>
      </w:r>
      <w:r w:rsidRPr="00B039DD">
        <w:rPr>
          <w:lang w:val="es-ES_tradnl"/>
        </w:rPr>
        <w:t>odo que abarca el segundo informe (del 1 de julio de 2021 al 30 de junio de</w:t>
      </w:r>
      <w:r w:rsidR="00A82F0F">
        <w:rPr>
          <w:lang w:val="es-ES_tradnl"/>
        </w:rPr>
        <w:t> </w:t>
      </w:r>
      <w:r w:rsidRPr="00B039DD">
        <w:rPr>
          <w:lang w:val="es-ES_tradnl"/>
        </w:rPr>
        <w:t xml:space="preserve">2022), se evaluaron más de 3.200 declaraciones y se calcula que el 71 % de ellas eran probablemente conformes. </w:t>
      </w:r>
    </w:p>
    <w:p w14:paraId="5F4910A4" w14:textId="77777777" w:rsidR="00E16C43" w:rsidRPr="00B039DD" w:rsidRDefault="00E16C43" w:rsidP="00E16C43">
      <w:pPr>
        <w:pStyle w:val="SingleTxtG"/>
        <w:rPr>
          <w:lang w:val="es-ES_tradnl"/>
        </w:rPr>
      </w:pPr>
      <w:r w:rsidRPr="00B039DD">
        <w:rPr>
          <w:lang w:val="es-ES_tradnl"/>
        </w:rPr>
        <w:t>196.</w:t>
      </w:r>
      <w:r w:rsidRPr="00B039DD">
        <w:rPr>
          <w:lang w:val="es-ES_tradnl"/>
        </w:rPr>
        <w:tab/>
        <w:t xml:space="preserve">En el tercer período se evaluaron más de 3.300 declaraciones (del 1 de julio de 2022 al 30 de junio de 2023) y se consideraron probablemente conformes alrededor del 74 %. El índice global de cumplimiento muestra una tendencia positiva. </w:t>
      </w:r>
    </w:p>
    <w:p w14:paraId="111040B8" w14:textId="77777777" w:rsidR="00E16C43" w:rsidRPr="00B039DD" w:rsidRDefault="00E16C43" w:rsidP="00E16C43">
      <w:pPr>
        <w:pStyle w:val="SingleTxtG"/>
        <w:rPr>
          <w:lang w:val="es-ES_tradnl"/>
        </w:rPr>
      </w:pPr>
      <w:r w:rsidRPr="00B039DD">
        <w:rPr>
          <w:lang w:val="es-ES_tradnl"/>
        </w:rPr>
        <w:t>197.</w:t>
      </w:r>
      <w:r w:rsidRPr="00B039DD">
        <w:rPr>
          <w:lang w:val="es-ES_tradnl"/>
        </w:rPr>
        <w:tab/>
        <w:t>En 2023 se completó una revisión reglamentaria de la Ley de Lucha contra la Esclavitud Contemporánea para evaluar su funcionamiento y cumplimiento en el transcurso de los primeros tres años y calibrar la necesidad de adoptar medidas adicionales. El informe de revisión fue presentado al Parlamento el 25 de mayo de 2023, con 30 recomendaciones, entre ellas:</w:t>
      </w:r>
    </w:p>
    <w:p w14:paraId="378F7DDA" w14:textId="598A7705" w:rsidR="00E16C43" w:rsidRPr="00B039DD" w:rsidRDefault="00A82F0F" w:rsidP="00E16C43">
      <w:pPr>
        <w:pStyle w:val="SingleTxtG"/>
        <w:rPr>
          <w:lang w:val="es-ES_tradnl"/>
        </w:rPr>
      </w:pPr>
      <w:r>
        <w:rPr>
          <w:lang w:val="es-ES_tradnl"/>
        </w:rPr>
        <w:tab/>
      </w:r>
      <w:r w:rsidR="00E16C43" w:rsidRPr="00B039DD">
        <w:rPr>
          <w:lang w:val="es-ES_tradnl"/>
        </w:rPr>
        <w:t>a)</w:t>
      </w:r>
      <w:r w:rsidR="00E16C43" w:rsidRPr="00B039DD">
        <w:rPr>
          <w:lang w:val="es-ES_tradnl"/>
        </w:rPr>
        <w:tab/>
        <w:t>Proponer modificaciones legislativas sobre el umbral y el alcance de la presentación de información por parte de las entidades;</w:t>
      </w:r>
    </w:p>
    <w:p w14:paraId="16DBF814" w14:textId="3004EFA2" w:rsidR="00E16C43" w:rsidRPr="00B039DD" w:rsidRDefault="00A82F0F" w:rsidP="00E16C43">
      <w:pPr>
        <w:pStyle w:val="SingleTxtG"/>
        <w:rPr>
          <w:lang w:val="es-ES_tradnl"/>
        </w:rPr>
      </w:pPr>
      <w:r>
        <w:rPr>
          <w:lang w:val="es-ES_tradnl"/>
        </w:rPr>
        <w:tab/>
      </w:r>
      <w:r w:rsidR="00E16C43" w:rsidRPr="00B039DD">
        <w:rPr>
          <w:lang w:val="es-ES_tradnl"/>
        </w:rPr>
        <w:t>b)</w:t>
      </w:r>
      <w:r w:rsidR="00E16C43" w:rsidRPr="00B039DD">
        <w:rPr>
          <w:lang w:val="es-ES_tradnl"/>
        </w:rPr>
        <w:tab/>
        <w:t xml:space="preserve">Establecer sanciones por incumplimientos específicos; </w:t>
      </w:r>
    </w:p>
    <w:p w14:paraId="0FC8CF9D" w14:textId="4869D425" w:rsidR="00E16C43" w:rsidRPr="00B039DD" w:rsidRDefault="00A82F0F" w:rsidP="00E16C43">
      <w:pPr>
        <w:pStyle w:val="SingleTxtG"/>
        <w:rPr>
          <w:lang w:val="es-ES_tradnl"/>
        </w:rPr>
      </w:pPr>
      <w:r>
        <w:rPr>
          <w:lang w:val="es-ES_tradnl"/>
        </w:rPr>
        <w:tab/>
      </w:r>
      <w:r w:rsidR="00E16C43" w:rsidRPr="00B039DD">
        <w:rPr>
          <w:lang w:val="es-ES_tradnl"/>
        </w:rPr>
        <w:t>c)</w:t>
      </w:r>
      <w:r w:rsidR="00E16C43" w:rsidRPr="00B039DD">
        <w:rPr>
          <w:lang w:val="es-ES_tradnl"/>
        </w:rPr>
        <w:tab/>
        <w:t>Ampliar los materiales de orientación.</w:t>
      </w:r>
    </w:p>
    <w:p w14:paraId="25D1844B" w14:textId="77777777" w:rsidR="00E16C43" w:rsidRPr="00B039DD" w:rsidRDefault="00E16C43" w:rsidP="00E16C43">
      <w:pPr>
        <w:pStyle w:val="SingleTxtG"/>
        <w:rPr>
          <w:lang w:val="es-ES_tradnl"/>
        </w:rPr>
      </w:pPr>
      <w:r w:rsidRPr="00B039DD">
        <w:rPr>
          <w:lang w:val="es-ES_tradnl"/>
        </w:rPr>
        <w:t>198.</w:t>
      </w:r>
      <w:r w:rsidRPr="00B039DD">
        <w:rPr>
          <w:lang w:val="es-ES_tradnl"/>
        </w:rPr>
        <w:tab/>
        <w:t xml:space="preserve">El 9 de mayo de 2023, el Gobierno australiano anunció que aportaría 8 millones de dólares, en el transcurso de cuatro años (a partir de 2023-2024), para establecer un Comisionado Federal de Lucha contra la Esclavitud, encargado de trabajar a todos los niveles gubernamentales, la economía y la sociedad civil para velar por el cumplimiento de la Ley de Lucha contra la Esclavitud Moderna y mejorar los niveles de transparencia en las cadenas de suministro. </w:t>
      </w:r>
    </w:p>
    <w:p w14:paraId="71CCE4F2" w14:textId="1EFC756C"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Protección de los trabajadores migrantes</w:t>
      </w:r>
    </w:p>
    <w:p w14:paraId="5C77FE7D" w14:textId="77777777" w:rsidR="00E16C43" w:rsidRPr="00B039DD" w:rsidRDefault="00E16C43" w:rsidP="00E16C43">
      <w:pPr>
        <w:pStyle w:val="SingleTxtG"/>
        <w:rPr>
          <w:lang w:val="es-ES_tradnl"/>
        </w:rPr>
      </w:pPr>
      <w:r w:rsidRPr="00B039DD">
        <w:rPr>
          <w:lang w:val="es-ES_tradnl"/>
        </w:rPr>
        <w:t>199.</w:t>
      </w:r>
      <w:r w:rsidRPr="00B039DD">
        <w:rPr>
          <w:lang w:val="es-ES_tradnl"/>
        </w:rPr>
        <w:tab/>
        <w:t xml:space="preserve">El Gobierno australiano no tolera la explotación de ningún trabajador en los lugares de trabajo del país. Los trabajadores migrantes están amparados por las mismas leyes, derechos y protecciones laborales que los ciudadanos australianos y los residentes permanentes. </w:t>
      </w:r>
    </w:p>
    <w:p w14:paraId="026AF4E1" w14:textId="77777777" w:rsidR="00E16C43" w:rsidRPr="00B039DD" w:rsidRDefault="00E16C43" w:rsidP="00E82A2E">
      <w:pPr>
        <w:pStyle w:val="SingleTxtG"/>
        <w:keepNext/>
        <w:keepLines/>
        <w:rPr>
          <w:lang w:val="es-ES_tradnl"/>
        </w:rPr>
      </w:pPr>
      <w:r w:rsidRPr="00B039DD">
        <w:rPr>
          <w:lang w:val="es-ES_tradnl"/>
        </w:rPr>
        <w:lastRenderedPageBreak/>
        <w:t>200.</w:t>
      </w:r>
      <w:r w:rsidRPr="00B039DD">
        <w:rPr>
          <w:lang w:val="es-ES_tradnl"/>
        </w:rPr>
        <w:tab/>
        <w:t xml:space="preserve">El Gobierno creó en 2016 un Grupo de Trabajo sobre Trabajadores Migrantes para identificar propuestas de mejora relativas a la legislación, la aplicación de la ley y la investigación, así como otras medidas prácticas para identificar y solventar más rápidamente los casos de explotación de trabajadores migrantes. </w:t>
      </w:r>
    </w:p>
    <w:p w14:paraId="5C410BB1" w14:textId="77777777" w:rsidR="00E16C43" w:rsidRPr="00B039DD" w:rsidRDefault="00E16C43" w:rsidP="00E16C43">
      <w:pPr>
        <w:pStyle w:val="SingleTxtG"/>
        <w:rPr>
          <w:lang w:val="es-ES_tradnl"/>
        </w:rPr>
      </w:pPr>
      <w:r w:rsidRPr="00B039DD">
        <w:rPr>
          <w:lang w:val="es-ES_tradnl"/>
        </w:rPr>
        <w:t>201.</w:t>
      </w:r>
      <w:r w:rsidRPr="00B039DD">
        <w:rPr>
          <w:lang w:val="es-ES_tradnl"/>
        </w:rPr>
        <w:tab/>
        <w:t>El Grupo de Trabajo publicó su informe en marzo de 2019 y el Gobierno se compromete a aplicar sus recomendaciones. A principios de junio de 2023, el Gobierno australiano anunció que presentaría un paquete de medidas para combatir la explotación de los trabajadores migrantes, centradas en particular en los empleadores que intentan explotar a los titulares de visados temporales. El 22 de junio de 2023, se promulgó una nueva legislación para:</w:t>
      </w:r>
    </w:p>
    <w:p w14:paraId="466A68BC" w14:textId="56316BE0" w:rsidR="00E16C43" w:rsidRPr="00B039DD" w:rsidRDefault="00A82F0F" w:rsidP="00E16C43">
      <w:pPr>
        <w:pStyle w:val="SingleTxtG"/>
        <w:rPr>
          <w:lang w:val="es-ES_tradnl"/>
        </w:rPr>
      </w:pPr>
      <w:r>
        <w:rPr>
          <w:lang w:val="es-ES_tradnl"/>
        </w:rPr>
        <w:tab/>
      </w:r>
      <w:r w:rsidR="00E16C43" w:rsidRPr="00B039DD">
        <w:rPr>
          <w:lang w:val="es-ES_tradnl"/>
        </w:rPr>
        <w:t>a)</w:t>
      </w:r>
      <w:r w:rsidR="00E16C43" w:rsidRPr="00B039DD">
        <w:rPr>
          <w:lang w:val="es-ES_tradnl"/>
        </w:rPr>
        <w:tab/>
        <w:t>Tipificar como delito el hecho de coaccionar a una persona para que incumpla las condiciones prescritas en su visado;</w:t>
      </w:r>
    </w:p>
    <w:p w14:paraId="7B40C032" w14:textId="410460B1" w:rsidR="00E16C43" w:rsidRPr="00B039DD" w:rsidRDefault="00A82F0F" w:rsidP="00E16C43">
      <w:pPr>
        <w:pStyle w:val="SingleTxtG"/>
        <w:rPr>
          <w:lang w:val="es-ES_tradnl"/>
        </w:rPr>
      </w:pPr>
      <w:r>
        <w:rPr>
          <w:lang w:val="es-ES_tradnl"/>
        </w:rPr>
        <w:tab/>
      </w:r>
      <w:r w:rsidR="00E16C43" w:rsidRPr="00B039DD">
        <w:rPr>
          <w:lang w:val="es-ES_tradnl"/>
        </w:rPr>
        <w:t>b)</w:t>
      </w:r>
      <w:r w:rsidR="00E16C43" w:rsidRPr="00B039DD">
        <w:rPr>
          <w:lang w:val="es-ES_tradnl"/>
        </w:rPr>
        <w:tab/>
        <w:t>Introducir notificaciones de prohibición que impidan la contratación de nuevos trabajadores con visados temporales a los empleadores que hayan explotado a migrantes;</w:t>
      </w:r>
    </w:p>
    <w:p w14:paraId="7E1A3E70" w14:textId="5FFE4ADA" w:rsidR="00E16C43" w:rsidRPr="00B039DD" w:rsidRDefault="00A82F0F" w:rsidP="00E16C43">
      <w:pPr>
        <w:pStyle w:val="SingleTxtG"/>
        <w:rPr>
          <w:lang w:val="es-ES_tradnl"/>
        </w:rPr>
      </w:pPr>
      <w:r>
        <w:rPr>
          <w:lang w:val="es-ES_tradnl"/>
        </w:rPr>
        <w:tab/>
      </w:r>
      <w:r w:rsidR="00E16C43" w:rsidRPr="00B039DD">
        <w:rPr>
          <w:lang w:val="es-ES_tradnl"/>
        </w:rPr>
        <w:t>c)</w:t>
      </w:r>
      <w:r w:rsidR="00E16C43" w:rsidRPr="00B039DD">
        <w:rPr>
          <w:lang w:val="es-ES_tradnl"/>
        </w:rPr>
        <w:tab/>
        <w:t>Incrementar las sanciones e introducir nuevos instrumentos para garantizar el cumplimiento de las normas y disuadir la explotación;</w:t>
      </w:r>
    </w:p>
    <w:p w14:paraId="4FDA4DB1" w14:textId="398A8442" w:rsidR="00E16C43" w:rsidRPr="00B039DD" w:rsidRDefault="00A82F0F" w:rsidP="00E16C43">
      <w:pPr>
        <w:pStyle w:val="SingleTxtG"/>
        <w:rPr>
          <w:lang w:val="es-ES_tradnl"/>
        </w:rPr>
      </w:pPr>
      <w:r>
        <w:rPr>
          <w:lang w:val="es-ES_tradnl"/>
        </w:rPr>
        <w:tab/>
      </w:r>
      <w:r w:rsidR="00E16C43" w:rsidRPr="00B039DD">
        <w:rPr>
          <w:lang w:val="es-ES_tradnl"/>
        </w:rPr>
        <w:t>d)</w:t>
      </w:r>
      <w:r w:rsidR="00E16C43" w:rsidRPr="00B039DD">
        <w:rPr>
          <w:lang w:val="es-ES_tradnl"/>
        </w:rPr>
        <w:tab/>
        <w:t>Derogar el artículo 235 de la Ley de Migración, que desalienta la presentación de denuncias por actividades de explotación.</w:t>
      </w:r>
    </w:p>
    <w:p w14:paraId="04E354A6" w14:textId="77777777" w:rsidR="00E16C43" w:rsidRPr="00B039DD" w:rsidRDefault="00E16C43" w:rsidP="00E16C43">
      <w:pPr>
        <w:pStyle w:val="SingleTxtG"/>
        <w:rPr>
          <w:lang w:val="es-ES_tradnl"/>
        </w:rPr>
      </w:pPr>
      <w:r w:rsidRPr="00B039DD">
        <w:rPr>
          <w:lang w:val="es-ES_tradnl"/>
        </w:rPr>
        <w:t>202.</w:t>
      </w:r>
      <w:r w:rsidRPr="00B039DD">
        <w:rPr>
          <w:lang w:val="es-ES_tradnl"/>
        </w:rPr>
        <w:tab/>
        <w:t xml:space="preserve">En 2017, se puso en marcha una iniciativa del Grupo de Trabajo sobre Trabajadores Migrantes: el Protocolo de Garantías entre el Ministerio del Interior y el Ombudsman para las Relaciones Laborales Justas. El Protocolo alienta a los trabajadores migrantes a que presenten denuncias relacionadas con su trabajo sin temor a la cancelación de sus visados. </w:t>
      </w:r>
    </w:p>
    <w:p w14:paraId="20331383" w14:textId="6653CC02" w:rsidR="00E16C43" w:rsidRPr="00B039DD" w:rsidRDefault="00E16C43" w:rsidP="00E16C43">
      <w:pPr>
        <w:pStyle w:val="SingleTxtG"/>
        <w:rPr>
          <w:lang w:val="es-ES_tradnl"/>
        </w:rPr>
      </w:pPr>
      <w:r w:rsidRPr="00B039DD">
        <w:rPr>
          <w:lang w:val="es-ES_tradnl"/>
        </w:rPr>
        <w:t>203.</w:t>
      </w:r>
      <w:r w:rsidRPr="00B039DD">
        <w:rPr>
          <w:lang w:val="es-ES_tradnl"/>
        </w:rPr>
        <w:tab/>
        <w:t xml:space="preserve">La Ley de Enmienda de la Ley de Relaciones Laborales Justas (Protección de los Trabajadores Vulnerables) de 2017 estableció penas más severas para sancionar </w:t>
      </w:r>
      <w:r w:rsidR="00A82F0F">
        <w:rPr>
          <w:lang w:val="es-ES_tradnl"/>
        </w:rPr>
        <w:t>“</w:t>
      </w:r>
      <w:r w:rsidRPr="00B039DD">
        <w:rPr>
          <w:lang w:val="es-ES_tradnl"/>
        </w:rPr>
        <w:t>infracciones graves</w:t>
      </w:r>
      <w:r w:rsidR="00A82F0F">
        <w:rPr>
          <w:lang w:val="es-ES_tradnl"/>
        </w:rPr>
        <w:t>”</w:t>
      </w:r>
      <w:r w:rsidRPr="00B039DD">
        <w:rPr>
          <w:lang w:val="es-ES_tradnl"/>
        </w:rPr>
        <w:t xml:space="preserve"> de determinadas disposiciones de la Ley de Relaciones Laborales Justas. Esta </w:t>
      </w:r>
      <w:r w:rsidR="00147DD8" w:rsidRPr="00B039DD">
        <w:rPr>
          <w:lang w:val="es-ES_tradnl"/>
        </w:rPr>
        <w:t xml:space="preserve">Ley </w:t>
      </w:r>
      <w:r w:rsidRPr="00B039DD">
        <w:rPr>
          <w:lang w:val="es-ES_tradnl"/>
        </w:rPr>
        <w:t xml:space="preserve">ofrece más protección a los trabajadores migrantes y prohíbe expresamente los sistemas de </w:t>
      </w:r>
      <w:r w:rsidR="00A82F0F">
        <w:rPr>
          <w:lang w:val="es-ES_tradnl"/>
        </w:rPr>
        <w:t>“</w:t>
      </w:r>
      <w:r w:rsidRPr="00B039DD">
        <w:rPr>
          <w:lang w:val="es-ES_tradnl"/>
        </w:rPr>
        <w:t>devolución de dinero</w:t>
      </w:r>
      <w:r w:rsidR="00A82F0F">
        <w:rPr>
          <w:lang w:val="es-ES_tradnl"/>
        </w:rPr>
        <w:t>”</w:t>
      </w:r>
      <w:r w:rsidRPr="00B039DD">
        <w:rPr>
          <w:lang w:val="es-ES_tradnl"/>
        </w:rPr>
        <w:t xml:space="preserve"> (que exigen a los empleados el rembolso parcial de su salario al empleador).</w:t>
      </w:r>
    </w:p>
    <w:p w14:paraId="62804CB3" w14:textId="5DE5FAAE" w:rsidR="00E16C43" w:rsidRPr="00B039DD" w:rsidRDefault="00E16C43" w:rsidP="00E16C43">
      <w:pPr>
        <w:pStyle w:val="SingleTxtG"/>
        <w:rPr>
          <w:lang w:val="es-ES_tradnl"/>
        </w:rPr>
      </w:pPr>
      <w:r w:rsidRPr="00B039DD">
        <w:rPr>
          <w:lang w:val="es-ES_tradnl"/>
        </w:rPr>
        <w:t>204.</w:t>
      </w:r>
      <w:r w:rsidRPr="00B039DD">
        <w:rPr>
          <w:lang w:val="es-ES_tradnl"/>
        </w:rPr>
        <w:tab/>
        <w:t>El Gobierno australiano ha aportado más de 220 millones de dólares de financiación adicional al Ombudsman para las Relaciones Laborales Justas desde 2017-2018. Durante el mismo período, los salarios no pagados que el Ombudsman para las Relaciones Laborales</w:t>
      </w:r>
      <w:r w:rsidR="00A82F0F">
        <w:rPr>
          <w:lang w:val="es-ES_tradnl"/>
        </w:rPr>
        <w:t> </w:t>
      </w:r>
      <w:r w:rsidRPr="00B039DD">
        <w:rPr>
          <w:lang w:val="es-ES_tradnl"/>
        </w:rPr>
        <w:t xml:space="preserve">Justas ha recuperado para los trabajadores han pasado de 29 millones de dólares en 2017-2018 a 532 millones de dólares en 2021-2022. </w:t>
      </w:r>
    </w:p>
    <w:p w14:paraId="6F0B4D22" w14:textId="77777777" w:rsidR="00E16C43" w:rsidRPr="00B039DD" w:rsidRDefault="00E16C43" w:rsidP="00E16C43">
      <w:pPr>
        <w:pStyle w:val="SingleTxtG"/>
        <w:rPr>
          <w:lang w:val="es-ES_tradnl"/>
        </w:rPr>
      </w:pPr>
      <w:r w:rsidRPr="00B039DD">
        <w:rPr>
          <w:lang w:val="es-ES_tradnl"/>
        </w:rPr>
        <w:t>205.</w:t>
      </w:r>
      <w:r w:rsidRPr="00B039DD">
        <w:rPr>
          <w:lang w:val="es-ES_tradnl"/>
        </w:rPr>
        <w:tab/>
        <w:t>Los trabajadores migrantes también están protegidos por los estados y los territorios. Por ejemplo, en el Territorio de la Capital Australiana, la Ley de Licencias de Contratación Indirecta de Mano de Obra de 2020 dispone medidas para mejorar la protección de los trabajadores migrantes y garantizar el cumplimiento de las obligaciones y responsabilidades de los proveedores de servicios de contratación indirecta de mano de obra. En 2018, Nueva Gales del Sur fue el primer estado en promulgar una legislación de lucha contra la esclavitud contemporánea, y en 2022 nombró a su primer Comisionado de Lucha contra la Esclavitud a tiempo completo en ese marco.</w:t>
      </w:r>
    </w:p>
    <w:p w14:paraId="1F9B16F3" w14:textId="5ACED634"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 xml:space="preserve">Igualdad de remuneración </w:t>
      </w:r>
    </w:p>
    <w:p w14:paraId="1BCC3D06" w14:textId="77777777" w:rsidR="00E16C43" w:rsidRPr="00B039DD" w:rsidRDefault="00E16C43" w:rsidP="00E16C43">
      <w:pPr>
        <w:pStyle w:val="SingleTxtG"/>
        <w:rPr>
          <w:lang w:val="es-ES_tradnl"/>
        </w:rPr>
      </w:pPr>
      <w:r w:rsidRPr="00B039DD">
        <w:rPr>
          <w:lang w:val="es-ES_tradnl"/>
        </w:rPr>
        <w:t>206.</w:t>
      </w:r>
      <w:r w:rsidRPr="00B039DD">
        <w:rPr>
          <w:lang w:val="es-ES_tradnl"/>
        </w:rPr>
        <w:tab/>
        <w:t xml:space="preserve">Como ya se ha explicado detalladamente en este informe, la Ley de Empleos Seguros y Mejores Salarios introdujo importantes enmiendas en la Ley de Relaciones Laborales Justas para impulsar igualdad de género. </w:t>
      </w:r>
    </w:p>
    <w:p w14:paraId="054DD35E" w14:textId="3441A384" w:rsidR="00E16C43" w:rsidRPr="00B039DD" w:rsidRDefault="00E16C43" w:rsidP="00E16C43">
      <w:pPr>
        <w:pStyle w:val="SingleTxtG"/>
        <w:rPr>
          <w:lang w:val="es-ES_tradnl"/>
        </w:rPr>
      </w:pPr>
      <w:r w:rsidRPr="00B039DD">
        <w:rPr>
          <w:lang w:val="es-ES_tradnl"/>
        </w:rPr>
        <w:t>207.</w:t>
      </w:r>
      <w:r w:rsidRPr="00B039DD">
        <w:rPr>
          <w:lang w:val="es-ES_tradnl"/>
        </w:rPr>
        <w:tab/>
        <w:t xml:space="preserve">En adelante, la Comisión de Relaciones Laborales Justas deberá tener en cuenta la igualdad de género y la seguridad en el empleo a la hora de modificar nuevas subvenciones o de revisar y fijar salarios mínimos. De este modo, se fortalece la capacidad de la Comisión de establecer aumentos salariales en sectores poco remunerados y dominados por las mujeres. Las enmiendas también modificaron las disposiciones sobre la igualdad de remuneración de la Ley de Relaciones Laborales Justas y habilitaron a la Comisión a determinar aumentos </w:t>
      </w:r>
      <w:r w:rsidRPr="00B039DD">
        <w:rPr>
          <w:lang w:val="es-ES_tradnl"/>
        </w:rPr>
        <w:lastRenderedPageBreak/>
        <w:t xml:space="preserve">salariales para combatir la desigualdad salarial y el trabajo infravalorado cuando considere que no existe igualdad de remuneración por un trabajo de </w:t>
      </w:r>
      <w:r w:rsidR="00147DD8" w:rsidRPr="00B039DD">
        <w:rPr>
          <w:lang w:val="es-ES_tradnl"/>
        </w:rPr>
        <w:t xml:space="preserve">igual </w:t>
      </w:r>
      <w:r w:rsidRPr="00B039DD">
        <w:rPr>
          <w:lang w:val="es-ES_tradnl"/>
        </w:rPr>
        <w:t xml:space="preserve">valor o comparable. </w:t>
      </w:r>
    </w:p>
    <w:p w14:paraId="15B27BDE" w14:textId="77777777" w:rsidR="00E16C43" w:rsidRPr="00B039DD" w:rsidRDefault="00E16C43" w:rsidP="00E16C43">
      <w:pPr>
        <w:pStyle w:val="SingleTxtG"/>
        <w:rPr>
          <w:lang w:val="es-ES_tradnl"/>
        </w:rPr>
      </w:pPr>
      <w:r w:rsidRPr="00B039DD">
        <w:rPr>
          <w:lang w:val="es-ES_tradnl"/>
        </w:rPr>
        <w:t>208.</w:t>
      </w:r>
      <w:r w:rsidRPr="00B039DD">
        <w:rPr>
          <w:lang w:val="es-ES_tradnl"/>
        </w:rPr>
        <w:tab/>
        <w:t>La Ley de Empleos Seguros y Mejores Salarios también propició el establecimiento de nuevos grupos de expertos, enmarcados en la Comisión de Relaciones Laborales Justas, que tratan asuntos relacionados con los salarios y contribuyen a abordar el problema de los bajos salarios y las difíciles condiciones laborales del sector asistencial y comunitario.</w:t>
      </w:r>
    </w:p>
    <w:p w14:paraId="7B46A865" w14:textId="77777777" w:rsidR="00E16C43" w:rsidRPr="00B039DD" w:rsidRDefault="00E16C43" w:rsidP="00147DD8">
      <w:pPr>
        <w:pStyle w:val="SingleTxtG"/>
        <w:keepNext/>
        <w:keepLines/>
        <w:rPr>
          <w:lang w:val="es-ES_tradnl"/>
        </w:rPr>
      </w:pPr>
      <w:r w:rsidRPr="00B039DD">
        <w:rPr>
          <w:lang w:val="es-ES_tradnl"/>
        </w:rPr>
        <w:t>209.</w:t>
      </w:r>
      <w:r w:rsidRPr="00B039DD">
        <w:rPr>
          <w:lang w:val="es-ES_tradnl"/>
        </w:rPr>
        <w:tab/>
        <w:t xml:space="preserve">En Australia, la mayoría de los empleadores y empleados forman parte del sistema nacional de relaciones laborales, y las salvaguardias establecidas en la Ley de Relaciones Laborales Justas se aplican de manera general a los empleados del sistema nacional. Si un empleado no forma parte del sistema nacional, queda cubierto por las salvaguardias aplicadas en virtud del sistema de relaciones laborales de los estados y los territorios. </w:t>
      </w:r>
    </w:p>
    <w:p w14:paraId="60B72619" w14:textId="4BFC5F6F"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 xml:space="preserve">Cobertura de la Ley de Salud y Seguridad en el Trabajo </w:t>
      </w:r>
    </w:p>
    <w:p w14:paraId="6D3D6D36" w14:textId="77777777" w:rsidR="00E16C43" w:rsidRPr="00B039DD" w:rsidRDefault="00E16C43" w:rsidP="00E16C43">
      <w:pPr>
        <w:pStyle w:val="SingleTxtG"/>
        <w:rPr>
          <w:lang w:val="es-ES_tradnl"/>
        </w:rPr>
      </w:pPr>
      <w:r w:rsidRPr="00B039DD">
        <w:rPr>
          <w:lang w:val="es-ES_tradnl"/>
        </w:rPr>
        <w:t>210.</w:t>
      </w:r>
      <w:r w:rsidRPr="00B039DD">
        <w:rPr>
          <w:lang w:val="es-ES_tradnl"/>
        </w:rPr>
        <w:tab/>
        <w:t xml:space="preserve">En Australia, la salud y la seguridad en el trabajo están legisladas y reguladas de manera independiente por las jurisdicciones del Commonwealth, los estados y los territorios. Una serie de leyes modelo homogéneas han permitido armonizar la legislación de seguridad y salud de todas las jurisdicciones. Estas leyes modelo son elaboradas y administradas por un organismo oficial independiente, Safe Work Australia, en el marco de un proceso que involucra a todas las jurisdicciones, así como a representantes de los empleadores y los trabajadores. </w:t>
      </w:r>
    </w:p>
    <w:p w14:paraId="6893B28A" w14:textId="4422EB06" w:rsidR="00E16C43" w:rsidRPr="00B039DD" w:rsidRDefault="00E16C43" w:rsidP="00E16C43">
      <w:pPr>
        <w:pStyle w:val="SingleTxtG"/>
        <w:rPr>
          <w:lang w:val="es-ES_tradnl"/>
        </w:rPr>
      </w:pPr>
      <w:r w:rsidRPr="00B039DD">
        <w:rPr>
          <w:lang w:val="es-ES_tradnl"/>
        </w:rPr>
        <w:t>211.</w:t>
      </w:r>
      <w:r w:rsidRPr="00B039DD">
        <w:rPr>
          <w:lang w:val="es-ES_tradnl"/>
        </w:rPr>
        <w:tab/>
        <w:t xml:space="preserve">Las leyes modelo imponen a la </w:t>
      </w:r>
      <w:r w:rsidR="00147DD8">
        <w:rPr>
          <w:lang w:val="es-ES_tradnl"/>
        </w:rPr>
        <w:t>“</w:t>
      </w:r>
      <w:r w:rsidRPr="00B039DD">
        <w:rPr>
          <w:lang w:val="es-ES_tradnl"/>
        </w:rPr>
        <w:t>persona responsable de un negocio o empresa</w:t>
      </w:r>
      <w:r w:rsidR="00147DD8">
        <w:rPr>
          <w:lang w:val="es-ES_tradnl"/>
        </w:rPr>
        <w:t>”</w:t>
      </w:r>
      <w:r w:rsidRPr="00B039DD">
        <w:rPr>
          <w:lang w:val="es-ES_tradnl"/>
        </w:rPr>
        <w:t xml:space="preserve"> un deber de diligencia primordial, a saber, evitar en la medida de lo razonablemente posible todo riesgo para la salud y la seguridad de las personas que se encuentren en el lugar de trabajo, incluidos voluntarios y visitantes. Las leyes modelo aplican un concepto amplio de </w:t>
      </w:r>
      <w:r w:rsidR="00A82F0F">
        <w:rPr>
          <w:lang w:val="es-ES_tradnl"/>
        </w:rPr>
        <w:t>“</w:t>
      </w:r>
      <w:r w:rsidRPr="00B039DD">
        <w:rPr>
          <w:lang w:val="es-ES_tradnl"/>
        </w:rPr>
        <w:t>trabajador</w:t>
      </w:r>
      <w:r w:rsidR="00A82F0F">
        <w:rPr>
          <w:lang w:val="es-ES_tradnl"/>
        </w:rPr>
        <w:t>”</w:t>
      </w:r>
      <w:r w:rsidRPr="00B039DD">
        <w:rPr>
          <w:lang w:val="es-ES_tradnl"/>
        </w:rPr>
        <w:t xml:space="preserve">, que engloba a cualquier persona que lleve a cabo un trabajo, ya se trate de trabajadores asalariados, contratistas independientes o empleados de contratistas. </w:t>
      </w:r>
    </w:p>
    <w:p w14:paraId="05355724" w14:textId="77777777" w:rsidR="00E16C43" w:rsidRPr="00B039DD" w:rsidRDefault="00E16C43" w:rsidP="00E16C43">
      <w:pPr>
        <w:pStyle w:val="SingleTxtG"/>
        <w:rPr>
          <w:lang w:val="es-ES_tradnl"/>
        </w:rPr>
      </w:pPr>
      <w:r w:rsidRPr="00B039DD">
        <w:rPr>
          <w:lang w:val="es-ES_tradnl"/>
        </w:rPr>
        <w:t>212.</w:t>
      </w:r>
      <w:r w:rsidRPr="00B039DD">
        <w:rPr>
          <w:lang w:val="es-ES_tradnl"/>
        </w:rPr>
        <w:tab/>
        <w:t>Todas las jurisdicciones australianas han adoptado las leyes modelo excepto Victoria, que mantiene obligaciones y responsabilidades similares en sus leyes estatales.</w:t>
      </w:r>
    </w:p>
    <w:p w14:paraId="6A5CAEFB" w14:textId="77777777" w:rsidR="00E16C43" w:rsidRPr="00B039DD" w:rsidRDefault="00E16C43" w:rsidP="00E16C43">
      <w:pPr>
        <w:pStyle w:val="SingleTxtG"/>
        <w:rPr>
          <w:lang w:val="es-ES_tradnl"/>
        </w:rPr>
      </w:pPr>
      <w:r w:rsidRPr="00B039DD">
        <w:rPr>
          <w:lang w:val="es-ES_tradnl"/>
        </w:rPr>
        <w:t>213.</w:t>
      </w:r>
      <w:r w:rsidRPr="00B039DD">
        <w:rPr>
          <w:lang w:val="es-ES_tradnl"/>
        </w:rPr>
        <w:tab/>
        <w:t xml:space="preserve">La Ley de Salud y Seguridad en el Trabajo de 2011 del Commonwealth abarca los lugares de trabajo de la jurisdicción del Commonwealth, las autoridades públicas del Commonwealth y varios titulares de licencia acreditados no pertenecientes al Commonwealth. </w:t>
      </w:r>
    </w:p>
    <w:p w14:paraId="00B1C827" w14:textId="667B6D10"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Accidentes y enfermedades laborales</w:t>
      </w:r>
    </w:p>
    <w:p w14:paraId="3F582209" w14:textId="77777777" w:rsidR="00E16C43" w:rsidRPr="00B039DD" w:rsidRDefault="00E16C43" w:rsidP="00E16C43">
      <w:pPr>
        <w:pStyle w:val="SingleTxtG"/>
        <w:rPr>
          <w:lang w:val="es-ES_tradnl"/>
        </w:rPr>
      </w:pPr>
      <w:r w:rsidRPr="00B039DD">
        <w:rPr>
          <w:lang w:val="es-ES_tradnl"/>
        </w:rPr>
        <w:t>214.</w:t>
      </w:r>
      <w:r w:rsidRPr="00B039DD">
        <w:rPr>
          <w:lang w:val="es-ES_tradnl"/>
        </w:rPr>
        <w:tab/>
        <w:t xml:space="preserve">Safe Work Australia recopila datos estadísticos de todas las jurisdicciones sobre lesiones y enfermedades relacionadas con la actividad laboral que hayan motivado demandas de indemnización o acarreado la muerte de trabajadores. </w:t>
      </w:r>
    </w:p>
    <w:p w14:paraId="331E9102" w14:textId="154216D2" w:rsidR="00E16C43" w:rsidRPr="00B039DD" w:rsidRDefault="00E16C43" w:rsidP="00E16C43">
      <w:pPr>
        <w:pStyle w:val="SingleTxtG"/>
        <w:rPr>
          <w:lang w:val="es-ES_tradnl"/>
        </w:rPr>
      </w:pPr>
      <w:r w:rsidRPr="00B039DD">
        <w:rPr>
          <w:lang w:val="es-ES_tradnl"/>
        </w:rPr>
        <w:t>215.</w:t>
      </w:r>
      <w:r w:rsidRPr="00B039DD">
        <w:rPr>
          <w:lang w:val="es-ES_tradnl"/>
        </w:rPr>
        <w:tab/>
        <w:t>Safe Work Australia financia la encuesta sobre lesiones relacionadas con el trabajo, que lleva a cabo la Oficina Australiana de Estadística. La encuesta más reciente indica una tendencia a la baja de las lesiones relacionadas con el trabajo. En 2021-2022, un total de</w:t>
      </w:r>
      <w:r w:rsidR="00147DD8">
        <w:rPr>
          <w:lang w:val="es-ES_tradnl"/>
        </w:rPr>
        <w:t> </w:t>
      </w:r>
      <w:r w:rsidRPr="00B039DD">
        <w:rPr>
          <w:lang w:val="es-ES_tradnl"/>
        </w:rPr>
        <w:t>497.300 personas sufrieron lesiones o enfermedades relacionadas con el trabajo, lo que equivale a una tasa del 3,5 %, por debajo del 4,2 % de 2017-2018 y del 6,4 % de 2005-2006.</w:t>
      </w:r>
    </w:p>
    <w:p w14:paraId="36ADC195" w14:textId="0F61C8CE" w:rsidR="00E16C43" w:rsidRPr="00B039DD" w:rsidRDefault="00E16C43" w:rsidP="00E16C43">
      <w:pPr>
        <w:pStyle w:val="SingleTxtG"/>
        <w:rPr>
          <w:lang w:val="es-ES_tradnl"/>
        </w:rPr>
      </w:pPr>
      <w:r w:rsidRPr="00B039DD">
        <w:rPr>
          <w:lang w:val="es-ES_tradnl"/>
        </w:rPr>
        <w:t>216.</w:t>
      </w:r>
      <w:r w:rsidRPr="00B039DD">
        <w:rPr>
          <w:lang w:val="es-ES_tradnl"/>
        </w:rPr>
        <w:tab/>
        <w:t>Las estadísticas de Safe Work Australia sobre las indemnizaciones percibidas por los trabajadores australianos en 2020-2021 aportan datos detallados sobre las solicitudes</w:t>
      </w:r>
      <w:r w:rsidR="00147DD8">
        <w:rPr>
          <w:lang w:val="es-ES_tradnl"/>
        </w:rPr>
        <w:t xml:space="preserve"> </w:t>
      </w:r>
      <w:r w:rsidRPr="00B039DD">
        <w:rPr>
          <w:lang w:val="es-ES_tradnl"/>
        </w:rPr>
        <w:t>de</w:t>
      </w:r>
      <w:r w:rsidR="00147DD8">
        <w:rPr>
          <w:lang w:val="es-ES_tradnl"/>
        </w:rPr>
        <w:t xml:space="preserve"> </w:t>
      </w:r>
      <w:r w:rsidRPr="00B039DD">
        <w:rPr>
          <w:lang w:val="es-ES_tradnl"/>
        </w:rPr>
        <w:t>indemnización por accidente laboral presentadas por trabajadores en Australia entre 2000</w:t>
      </w:r>
      <w:r w:rsidR="00147DD8">
        <w:rPr>
          <w:lang w:val="es-ES_tradnl"/>
        </w:rPr>
        <w:noBreakHyphen/>
      </w:r>
      <w:r w:rsidRPr="00B039DD">
        <w:rPr>
          <w:lang w:val="es-ES_tradnl"/>
        </w:rPr>
        <w:t>2001 y 2020-2021, e incluyen datos preliminares de 2020-2021 y análisis de tendencias hasta 2019-2020. Estas estadísticas proporcionan una indicación del desempeño de Australia en relación con la seguridad y la salud en el trabajo e incluyen datos desglosados por factores como sexo, edad, ocupación, sector y naturaleza de la lesión o de la enfermedad. Los cuadros que exponen estos datos figuran en el anexo 1.</w:t>
      </w:r>
    </w:p>
    <w:p w14:paraId="42E85263" w14:textId="1CCEAD18" w:rsidR="00E16C43" w:rsidRPr="00B039DD" w:rsidRDefault="00A82F0F" w:rsidP="00A82F0F">
      <w:pPr>
        <w:pStyle w:val="H1G"/>
        <w:rPr>
          <w:lang w:val="es-ES_tradnl"/>
        </w:rPr>
      </w:pPr>
      <w:r>
        <w:rPr>
          <w:lang w:val="es-ES_tradnl"/>
        </w:rPr>
        <w:lastRenderedPageBreak/>
        <w:tab/>
      </w:r>
      <w:r w:rsidR="00E16C43">
        <w:rPr>
          <w:lang w:val="es-ES_tradnl"/>
        </w:rPr>
        <w:tab/>
      </w:r>
      <w:r w:rsidR="00E16C43" w:rsidRPr="00B039DD">
        <w:rPr>
          <w:lang w:val="es-ES_tradnl"/>
        </w:rPr>
        <w:t>Medidas de fortalecimiento de la aplicación de las leyes</w:t>
      </w:r>
      <w:r>
        <w:rPr>
          <w:lang w:val="es-ES_tradnl"/>
        </w:rPr>
        <w:br/>
      </w:r>
      <w:r w:rsidR="00E16C43" w:rsidRPr="00B039DD">
        <w:rPr>
          <w:lang w:val="es-ES_tradnl"/>
        </w:rPr>
        <w:t xml:space="preserve">y los reglamentos </w:t>
      </w:r>
    </w:p>
    <w:p w14:paraId="65AD70F6" w14:textId="75E49CC4" w:rsidR="00E16C43" w:rsidRPr="00B039DD" w:rsidRDefault="00E16C43" w:rsidP="00E16C43">
      <w:pPr>
        <w:pStyle w:val="SingleTxtG"/>
        <w:rPr>
          <w:lang w:val="es-ES_tradnl"/>
        </w:rPr>
      </w:pPr>
      <w:r w:rsidRPr="00B039DD">
        <w:rPr>
          <w:lang w:val="es-ES_tradnl"/>
        </w:rPr>
        <w:t>217.</w:t>
      </w:r>
      <w:r w:rsidRPr="00B039DD">
        <w:rPr>
          <w:lang w:val="es-ES_tradnl"/>
        </w:rPr>
        <w:tab/>
        <w:t xml:space="preserve">En 2018, los ministros responsables de la salud y la seguridad en el trabajo de todos los niveles gubernamentales pidieron a Safe Work Australia que revisara el contenido y el funcionamiento de las leyes modelo de salud y seguridad en el trabajo. Safe Work Australia encargó la revisión a un </w:t>
      </w:r>
      <w:r w:rsidR="00147DD8" w:rsidRPr="00B039DD">
        <w:rPr>
          <w:lang w:val="es-ES_tradnl"/>
        </w:rPr>
        <w:t>Experto Independiente</w:t>
      </w:r>
      <w:r w:rsidRPr="00B039DD">
        <w:rPr>
          <w:lang w:val="es-ES_tradnl"/>
        </w:rPr>
        <w:t xml:space="preserve">. </w:t>
      </w:r>
    </w:p>
    <w:p w14:paraId="49D374C5" w14:textId="77777777" w:rsidR="00E16C43" w:rsidRPr="00B039DD" w:rsidRDefault="00E16C43" w:rsidP="00E16C43">
      <w:pPr>
        <w:pStyle w:val="SingleTxtG"/>
        <w:rPr>
          <w:lang w:val="es-ES_tradnl"/>
        </w:rPr>
      </w:pPr>
      <w:r w:rsidRPr="00B039DD">
        <w:rPr>
          <w:lang w:val="es-ES_tradnl"/>
        </w:rPr>
        <w:t>218.</w:t>
      </w:r>
      <w:r w:rsidRPr="00B039DD">
        <w:rPr>
          <w:lang w:val="es-ES_tradnl"/>
        </w:rPr>
        <w:tab/>
        <w:t>El informe final de la revisión, dado a conocer en diciembre de 2018, concluyó que las leyes de salud y seguridad en el trabajo se aplicaban en buena medida conforme a lo previsto, y que los datos no indicaban una brecha significativa en relación con las herramientas de aplicación previstas por las leyes modelo de salud y seguridad en el trabajo. Se formularon 34 recomendaciones para mejorar la claridad y la coherencia en el marco de la revisión.</w:t>
      </w:r>
    </w:p>
    <w:p w14:paraId="50337684" w14:textId="77777777" w:rsidR="00E16C43" w:rsidRPr="00B039DD" w:rsidRDefault="00E16C43" w:rsidP="00E16C43">
      <w:pPr>
        <w:pStyle w:val="SingleTxtG"/>
        <w:rPr>
          <w:lang w:val="es-ES_tradnl"/>
        </w:rPr>
      </w:pPr>
      <w:r w:rsidRPr="00B039DD">
        <w:rPr>
          <w:lang w:val="es-ES_tradnl"/>
        </w:rPr>
        <w:t>219.</w:t>
      </w:r>
      <w:r w:rsidRPr="00B039DD">
        <w:rPr>
          <w:lang w:val="es-ES_tradnl"/>
        </w:rPr>
        <w:tab/>
        <w:t xml:space="preserve">En respuesta a las recomendaciones de la revisión, Safe Work Australia publicó en junio de 2022 un proyecto de enmiendas a la ley modelo vigente en materia de seguridad y salud en el trabajo. </w:t>
      </w:r>
    </w:p>
    <w:p w14:paraId="615694B2" w14:textId="77777777" w:rsidR="00E16C43" w:rsidRPr="00B039DD" w:rsidRDefault="00E16C43" w:rsidP="00E16C43">
      <w:pPr>
        <w:pStyle w:val="SingleTxtG"/>
        <w:rPr>
          <w:lang w:val="es-ES_tradnl"/>
        </w:rPr>
      </w:pPr>
      <w:r w:rsidRPr="00B039DD">
        <w:rPr>
          <w:lang w:val="es-ES_tradnl"/>
        </w:rPr>
        <w:t>220.</w:t>
      </w:r>
      <w:r w:rsidRPr="00B039DD">
        <w:rPr>
          <w:lang w:val="es-ES_tradnl"/>
        </w:rPr>
        <w:tab/>
        <w:t xml:space="preserve">Las enmiendas otorgan mayores competencias a los inspectores de sanidad pública para que puedan solicitar la presentación de documentos o de respuestas a preguntas, así como impulsar un mayor intercambio transfronterizo de información entre los reguladores de salud y seguridad en el trabajo. Otra enmienda importante es la que dispone que un titular de obligaciones comete un delito de categoría 1 si incurre en negligencia grave al exponer a una persona al riesgo de sufrir daños graves o de morir. </w:t>
      </w:r>
    </w:p>
    <w:p w14:paraId="51935C56" w14:textId="3CABE475"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Medidas destinadas a ofrecer a las víctimas vías de recurso e indemnizaciones proporcionadas</w:t>
      </w:r>
    </w:p>
    <w:p w14:paraId="1D4A29C2" w14:textId="77777777" w:rsidR="00E16C43" w:rsidRPr="00B039DD" w:rsidRDefault="00E16C43" w:rsidP="00E16C43">
      <w:pPr>
        <w:pStyle w:val="SingleTxtG"/>
        <w:rPr>
          <w:lang w:val="es-ES_tradnl"/>
        </w:rPr>
      </w:pPr>
      <w:r w:rsidRPr="00B039DD">
        <w:rPr>
          <w:lang w:val="es-ES_tradnl"/>
        </w:rPr>
        <w:t>221.</w:t>
      </w:r>
      <w:r w:rsidRPr="00B039DD">
        <w:rPr>
          <w:lang w:val="es-ES_tradnl"/>
        </w:rPr>
        <w:tab/>
        <w:t>Según la legislación australiana, los empleadores deben contratar seguros de indemnización por accidentes laborales que cubran a sus trabajadores en caso de enfermedades o lesiones causadas por su actividad laboral.</w:t>
      </w:r>
    </w:p>
    <w:p w14:paraId="4130BB23" w14:textId="77777777" w:rsidR="00E16C43" w:rsidRPr="00B039DD" w:rsidRDefault="00E16C43" w:rsidP="00E16C43">
      <w:pPr>
        <w:pStyle w:val="SingleTxtG"/>
        <w:rPr>
          <w:lang w:val="es-ES_tradnl"/>
        </w:rPr>
      </w:pPr>
      <w:r w:rsidRPr="00B039DD">
        <w:rPr>
          <w:lang w:val="es-ES_tradnl"/>
        </w:rPr>
        <w:t>222.</w:t>
      </w:r>
      <w:r w:rsidRPr="00B039DD">
        <w:rPr>
          <w:lang w:val="es-ES_tradnl"/>
        </w:rPr>
        <w:tab/>
        <w:t xml:space="preserve">Los gobiernos de Australia, los estados y los territorios son responsables de regular y hacer cumplir las leyes de indemnización por accidente laboral dentro de sus jurisdicciones. Cada régimen jurisdiccional de indemnización por accidente laboral establece los derechos, las prestaciones y las obligaciones de los empleadores y los trabajadores cubiertos por el régimen. Si bien hay diferencias entre los regímenes, todos tienen por objeto ayudar a los trabajadores que sufren lesiones o enfermedades relacionadas con el trabajo. </w:t>
      </w:r>
    </w:p>
    <w:p w14:paraId="05880862" w14:textId="3FD32B57"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 xml:space="preserve">Reforma legislativa </w:t>
      </w:r>
    </w:p>
    <w:p w14:paraId="4EB642D6" w14:textId="77777777" w:rsidR="00E16C43" w:rsidRPr="00B039DD" w:rsidRDefault="00E16C43" w:rsidP="00E16C43">
      <w:pPr>
        <w:pStyle w:val="SingleTxtG"/>
        <w:rPr>
          <w:lang w:val="es-ES_tradnl"/>
        </w:rPr>
      </w:pPr>
      <w:r w:rsidRPr="00B039DD">
        <w:rPr>
          <w:lang w:val="es-ES_tradnl"/>
        </w:rPr>
        <w:t>223.</w:t>
      </w:r>
      <w:r w:rsidRPr="00B039DD">
        <w:rPr>
          <w:lang w:val="es-ES_tradnl"/>
        </w:rPr>
        <w:tab/>
        <w:t>Australia tiene la determinación de defender el derecho a la libertad de asociación. Además del Pacto Internacional de Derechos Económicos, Sociales y Culturales y del Pacto International de Derechos Civiles y Políticos, Australia ha ratificado el Convenio sobre la Libertad Sindical y la Protección del Derecho de Sindicación, 1948 (núm. 87) y el Convenio sobre el Derecho de Sindicación y de Negociación Colectiva, 1949 (núm. 98) de la Organización Internacional del Trabajo.</w:t>
      </w:r>
    </w:p>
    <w:p w14:paraId="412EDE2A" w14:textId="77777777" w:rsidR="00E16C43" w:rsidRPr="00B039DD" w:rsidRDefault="00E16C43" w:rsidP="00E16C43">
      <w:pPr>
        <w:pStyle w:val="SingleTxtG"/>
        <w:rPr>
          <w:lang w:val="es-ES_tradnl"/>
        </w:rPr>
      </w:pPr>
      <w:r w:rsidRPr="00B039DD">
        <w:rPr>
          <w:lang w:val="es-ES_tradnl"/>
        </w:rPr>
        <w:t>224.</w:t>
      </w:r>
      <w:r w:rsidRPr="00B039DD">
        <w:rPr>
          <w:lang w:val="es-ES_tradnl"/>
        </w:rPr>
        <w:tab/>
        <w:t>En marzo de 2023, la Ley de Empleos Seguros y Mejores Salarios suprimió la Comisión de Organizaciones Registradas y transfirió las competencias y funciones regulatorias de su comisionado a la Dirección General de la Comisión de Relaciones Laborales Justas. Así pues, hay una única entidad con responsabilidades regulatorias en relación con las organizaciones registradas. La Ley también suprimió la Comisión de Edificación y Construcción de Australia, lo que supuso la derogación de determinadas leyes laborales relativas a los piquetes, la coacción y las restricciones al contenido de los acuerdos empresariales en virtud del Código de Edificación en el sector de la edificación y la construcción.</w:t>
      </w:r>
    </w:p>
    <w:p w14:paraId="3E0DC39B" w14:textId="77777777" w:rsidR="00E16C43" w:rsidRPr="00B039DD" w:rsidRDefault="00E16C43" w:rsidP="00E16C43">
      <w:pPr>
        <w:pStyle w:val="SingleTxtG"/>
        <w:rPr>
          <w:lang w:val="es-ES_tradnl"/>
        </w:rPr>
      </w:pPr>
      <w:r w:rsidRPr="00B039DD">
        <w:rPr>
          <w:lang w:val="es-ES_tradnl"/>
        </w:rPr>
        <w:lastRenderedPageBreak/>
        <w:t>225.</w:t>
      </w:r>
      <w:r w:rsidRPr="00B039DD">
        <w:rPr>
          <w:lang w:val="es-ES_tradnl"/>
        </w:rPr>
        <w:tab/>
        <w:t>Hasta entonces, la Comisión de Edificación y Construcción de Australia había sido el ente regulador independiente del sector de la edificación y la construcción comerciales en virtud de la Ley de Relaciones Laborales Justas. Esta función fue transferida al Ombudsman para las Relaciones Laborales Justas en noviembre de 2022. Como consecuencia de ello, todos los empleados del sector de la construcción, los empleadores y sus representantes (incluidos los sindicatos) estarán sujetos a la misma normativa y sanciones, y podrán solicitar asistencia y asesoramiento en el ámbito de las relaciones laborales al Ombudsman para las Relaciones Laborales Justas.</w:t>
      </w:r>
    </w:p>
    <w:p w14:paraId="3115DCB0" w14:textId="2332763C"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Protección de los trabajadores</w:t>
      </w:r>
    </w:p>
    <w:p w14:paraId="2EC01B70" w14:textId="77777777" w:rsidR="00E16C43" w:rsidRPr="00B039DD" w:rsidRDefault="00E16C43" w:rsidP="00E16C43">
      <w:pPr>
        <w:pStyle w:val="SingleTxtG"/>
        <w:rPr>
          <w:lang w:val="es-ES_tradnl"/>
        </w:rPr>
      </w:pPr>
      <w:r w:rsidRPr="00B039DD">
        <w:rPr>
          <w:lang w:val="es-ES_tradnl"/>
        </w:rPr>
        <w:t>226.</w:t>
      </w:r>
      <w:r w:rsidRPr="00B039DD">
        <w:rPr>
          <w:lang w:val="es-ES_tradnl"/>
        </w:rPr>
        <w:tab/>
        <w:t>En virtud de las disposiciones generales de protección incluidas en la Ley de Relaciones Laborales Justas, es ilegal adoptar medidas adversas, como despedir, negarse a emplear o degradar a una persona por formar parte de un sindicato o por participar en actividades sindicales legales. También están prohibidas la coacción y la tergiversación relacionadas con la decisión de una persona de participar en actividades sindicales.</w:t>
      </w:r>
    </w:p>
    <w:p w14:paraId="1AE966D0" w14:textId="77777777" w:rsidR="00E16C43" w:rsidRPr="00B039DD" w:rsidRDefault="00E16C43" w:rsidP="00E16C43">
      <w:pPr>
        <w:pStyle w:val="SingleTxtG"/>
        <w:rPr>
          <w:lang w:val="es-ES_tradnl"/>
        </w:rPr>
      </w:pPr>
      <w:r w:rsidRPr="00B039DD">
        <w:rPr>
          <w:lang w:val="es-ES_tradnl"/>
        </w:rPr>
        <w:t>227.</w:t>
      </w:r>
      <w:r w:rsidRPr="00B039DD">
        <w:rPr>
          <w:lang w:val="es-ES_tradnl"/>
        </w:rPr>
        <w:tab/>
        <w:t>Los recursos disponibles en caso de incumplimiento de las disposiciones generales de protección incluyen órdenes no monetarias, como medidas cautelares, declaraciones y medidas de reposición, así como órdenes monetarias, como indemnizaciones y sanciones pecuniarias. Las sanciones máximas son de 60 unidades de sanción para una persona física o de 300 unidades de sanción para una persona jurídica. La sanción civil máxima de 60 unidades de sanción equivale a 165.000 dólares indizados anualmente.</w:t>
      </w:r>
    </w:p>
    <w:p w14:paraId="071A0C36" w14:textId="77777777" w:rsidR="00E16C43" w:rsidRPr="00B039DD" w:rsidRDefault="00E16C43" w:rsidP="00E16C43">
      <w:pPr>
        <w:pStyle w:val="SingleTxtG"/>
        <w:rPr>
          <w:lang w:val="es-ES_tradnl"/>
        </w:rPr>
      </w:pPr>
      <w:r w:rsidRPr="00B039DD">
        <w:rPr>
          <w:lang w:val="es-ES_tradnl"/>
        </w:rPr>
        <w:t>228.</w:t>
      </w:r>
      <w:r w:rsidRPr="00B039DD">
        <w:rPr>
          <w:lang w:val="es-ES_tradnl"/>
        </w:rPr>
        <w:tab/>
        <w:t xml:space="preserve">Los Estados y territorios cuentan asimismo con legislaciones laborales pertinentes. Así, por ejemplo, en Australia Occidental, la Ley de Relaciones Laborales de 1979 permite a los representantes autorizados de los sindicatos registrados en el estado entrar en lugares de trabajo con determinados fines y ejercer ciertas funciones, como investigar presuntas infracciones de una ley laboral o de salud y seguridad en el trabajo. Las leyes de relaciones laborales (2016), lucha contra la discriminación (1991) y derechos humanos (2019) de Queensland protegen los derechos de sus habitantes a fundar sindicatos y afiliarse a ellos, así como el derecho de huelga. </w:t>
      </w:r>
    </w:p>
    <w:p w14:paraId="0D533482" w14:textId="61EE962A"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Cobertura de las prestaciones de la seguridad social</w:t>
      </w:r>
    </w:p>
    <w:p w14:paraId="4C121E3E" w14:textId="77777777" w:rsidR="00E16C43" w:rsidRPr="00B039DD" w:rsidRDefault="00E16C43" w:rsidP="00E16C43">
      <w:pPr>
        <w:pStyle w:val="SingleTxtG"/>
        <w:rPr>
          <w:lang w:val="es-ES_tradnl"/>
        </w:rPr>
      </w:pPr>
      <w:r w:rsidRPr="00B039DD">
        <w:rPr>
          <w:lang w:val="es-ES_tradnl"/>
        </w:rPr>
        <w:t>229.</w:t>
      </w:r>
      <w:r w:rsidRPr="00B039DD">
        <w:rPr>
          <w:lang w:val="es-ES_tradnl"/>
        </w:rPr>
        <w:tab/>
        <w:t xml:space="preserve">El régimen de seguridad social australiano es un régimen no contributivo, financiado con cargo a los impuestos, cuya finalidad es sustentar el nivel de vida básico de todos los australianos y mejorar su participación social y económica. </w:t>
      </w:r>
    </w:p>
    <w:p w14:paraId="6E1F0125" w14:textId="77777777" w:rsidR="00E16C43" w:rsidRPr="00B039DD" w:rsidRDefault="00E16C43" w:rsidP="00E16C43">
      <w:pPr>
        <w:pStyle w:val="SingleTxtG"/>
        <w:rPr>
          <w:lang w:val="es-ES_tradnl"/>
        </w:rPr>
      </w:pPr>
      <w:r w:rsidRPr="00B039DD">
        <w:rPr>
          <w:lang w:val="es-ES_tradnl"/>
        </w:rPr>
        <w:t>230.</w:t>
      </w:r>
      <w:r w:rsidRPr="00B039DD">
        <w:rPr>
          <w:lang w:val="es-ES_tradnl"/>
        </w:rPr>
        <w:tab/>
        <w:t xml:space="preserve">Los pagos por concepto de apoyo a los ingresos, incluida la ayuda a la búsqueda de empleo, están destinados a ayudar a los australianos que no puedan mantenerse mientras buscan trabajo o sufren una lesión o incapacidad temporal. Por otro lado, todos los beneficiarios de la ayuda a la búsqueda de empleo tienen derecho, al menos, a una ayuda complementaria adicional. </w:t>
      </w:r>
    </w:p>
    <w:p w14:paraId="367BD35D" w14:textId="77777777" w:rsidR="00E16C43" w:rsidRPr="00B039DD" w:rsidRDefault="00E16C43" w:rsidP="00E16C43">
      <w:pPr>
        <w:pStyle w:val="SingleTxtG"/>
        <w:rPr>
          <w:lang w:val="es-ES_tradnl"/>
        </w:rPr>
      </w:pPr>
      <w:bookmarkStart w:id="7" w:name="_Hlk143786205"/>
      <w:r w:rsidRPr="00B039DD">
        <w:rPr>
          <w:lang w:val="es-ES_tradnl"/>
        </w:rPr>
        <w:t>231.</w:t>
      </w:r>
      <w:r w:rsidRPr="00B039DD">
        <w:rPr>
          <w:lang w:val="es-ES_tradnl"/>
        </w:rPr>
        <w:tab/>
        <w:t xml:space="preserve">La pensión de apoyo a la discapacidad es un pago de apoyo a los ingresos concedido a las personas que no pueden trabajar al menos 15 horas semanales en un horizonte de dos años debido a una deficiencia física, intelectual o psiquiátrica. </w:t>
      </w:r>
      <w:bookmarkEnd w:id="7"/>
    </w:p>
    <w:p w14:paraId="4768786B" w14:textId="420B3C53" w:rsidR="00E16C43" w:rsidRPr="00B039DD" w:rsidRDefault="00E16C43" w:rsidP="00E16C43">
      <w:pPr>
        <w:pStyle w:val="SingleTxtG"/>
        <w:rPr>
          <w:lang w:val="es-ES_tradnl"/>
        </w:rPr>
      </w:pPr>
      <w:r w:rsidRPr="00B039DD">
        <w:rPr>
          <w:lang w:val="es-ES_tradnl"/>
        </w:rPr>
        <w:t>232.</w:t>
      </w:r>
      <w:r w:rsidRPr="00B039DD">
        <w:rPr>
          <w:lang w:val="es-ES_tradnl"/>
        </w:rPr>
        <w:tab/>
        <w:t>En el marco del paquete de 14.600 millones de dólares del presupuesto 2023</w:t>
      </w:r>
      <w:r w:rsidR="00581426">
        <w:rPr>
          <w:lang w:val="es-ES_tradnl"/>
        </w:rPr>
        <w:t>/</w:t>
      </w:r>
      <w:r w:rsidRPr="00B039DD">
        <w:rPr>
          <w:lang w:val="es-ES_tradnl"/>
        </w:rPr>
        <w:t>24 destinado a hacer frente al costo de la vida, el Gobierno aumentará las ayudas a personas en edad de trabajar y a estudiantes con vistas a proporcionar asistencia adicional a cerca de 1,1 millones de beneficiarios de ayudas a los ingresos. Los cambios entrarán en vigor a partir del</w:t>
      </w:r>
      <w:r w:rsidR="00147DD8">
        <w:rPr>
          <w:lang w:val="es-ES_tradnl"/>
        </w:rPr>
        <w:t> </w:t>
      </w:r>
      <w:r w:rsidRPr="00B039DD">
        <w:rPr>
          <w:lang w:val="es-ES_tradnl"/>
        </w:rPr>
        <w:t>20 de septiembre de 2023, a reserva de la aprobación de la ley correspondiente.</w:t>
      </w:r>
    </w:p>
    <w:p w14:paraId="0DE06E5A" w14:textId="59ECD09A" w:rsidR="00E16C43" w:rsidRPr="00B039DD" w:rsidRDefault="00E16C43" w:rsidP="00E16C43">
      <w:pPr>
        <w:pStyle w:val="SingleTxtG"/>
        <w:rPr>
          <w:lang w:val="es-ES_tradnl"/>
        </w:rPr>
      </w:pPr>
      <w:r w:rsidRPr="00B039DD">
        <w:rPr>
          <w:lang w:val="es-ES_tradnl"/>
        </w:rPr>
        <w:t>233.</w:t>
      </w:r>
      <w:r w:rsidRPr="00B039DD">
        <w:rPr>
          <w:lang w:val="es-ES_tradnl"/>
        </w:rPr>
        <w:tab/>
        <w:t>A los beneficiarios con hijos a cargo se les abona una suma básica más elevada de la prestación por búsqueda de empleo, en reconocimiento de los costos asociados a la educación de una familia. La ayuda para la crianza de los hijos proporciona asistencia financiera a los cuidadores principales con responsabilidades de crianza de niños pequeños. Tal y como se anunció en relación con los presupuestos de 2023</w:t>
      </w:r>
      <w:r w:rsidR="00581426">
        <w:rPr>
          <w:lang w:val="es-ES_tradnl"/>
        </w:rPr>
        <w:t>/</w:t>
      </w:r>
      <w:r w:rsidRPr="00B039DD">
        <w:rPr>
          <w:lang w:val="es-ES_tradnl"/>
        </w:rPr>
        <w:t xml:space="preserve">24, a reserva de la aprobación de la ley correspondiente, a partir del 20 de septiembre de 2023 los cuidadores principales solteros </w:t>
      </w:r>
      <w:r w:rsidRPr="00B039DD">
        <w:rPr>
          <w:lang w:val="es-ES_tradnl"/>
        </w:rPr>
        <w:lastRenderedPageBreak/>
        <w:t xml:space="preserve">recibirán la ayuda hasta que su hijo menor cumpla 14 años (a partir de 8), momento en el que podrán acceder a otro tipo de pago de ayuda a los ingresos, en función de sus circunstancias. Los cuidadores que vivan en pareja perciben ayuda parental hasta que su hijo menor cumple </w:t>
      </w:r>
      <w:r w:rsidR="00147DD8">
        <w:rPr>
          <w:lang w:val="es-ES_tradnl"/>
        </w:rPr>
        <w:t>6</w:t>
      </w:r>
      <w:r w:rsidRPr="00B039DD">
        <w:rPr>
          <w:lang w:val="es-ES_tradnl"/>
        </w:rPr>
        <w:t xml:space="preserve"> años. Los cuidadores principales solteros que perciben una ayuda para la crianza de los hijos reciben una suma básica más elevada y también tienen derecho al complemento de la pensión básica. Los cuidadores, ya estén solteros o en pareja, también pueden acceder a la prestación fiscal familiar, el subsidio de guardería, el suplemento energético, la prestación farmacéutica y la ayuda al alquiler, en función de sus circunstancias.</w:t>
      </w:r>
    </w:p>
    <w:p w14:paraId="75F61F20" w14:textId="124B5B35" w:rsidR="00E16C43" w:rsidRPr="00B039DD" w:rsidRDefault="00E16C43" w:rsidP="00E16C43">
      <w:pPr>
        <w:pStyle w:val="SingleTxtG"/>
        <w:rPr>
          <w:lang w:val="es-ES_tradnl"/>
        </w:rPr>
      </w:pPr>
      <w:r w:rsidRPr="00B039DD">
        <w:rPr>
          <w:lang w:val="es-ES_tradnl"/>
        </w:rPr>
        <w:t>234.</w:t>
      </w:r>
      <w:r w:rsidRPr="00B039DD">
        <w:rPr>
          <w:lang w:val="es-ES_tradnl"/>
        </w:rPr>
        <w:tab/>
        <w:t xml:space="preserve">El 27 de noviembre de 2022, el Gobierno anunció la creación del nuevo Comité Consultivo de Inclusión Económica para asesorar sobre la inclusión económica, incluida la adecuación, eficacia y sostenibilidad de los pagos de apoyo a los ingresos con anterioridad a la aprobación de cada presupuesto federal. El Comité informará al Gobierno anualmente, antes de la elaboración de cada presupuesto. Su informe relativo </w:t>
      </w:r>
      <w:r w:rsidRPr="00581426">
        <w:rPr>
          <w:lang w:val="es-ES_tradnl"/>
        </w:rPr>
        <w:t>al presupuesto de 2023</w:t>
      </w:r>
      <w:r w:rsidR="00581426" w:rsidRPr="00581426">
        <w:rPr>
          <w:lang w:val="es-ES_tradnl"/>
        </w:rPr>
        <w:t>/</w:t>
      </w:r>
      <w:r w:rsidRPr="00581426">
        <w:rPr>
          <w:lang w:val="es-ES_tradnl"/>
        </w:rPr>
        <w:t>24 será publicado en abril de 2023.</w:t>
      </w:r>
      <w:r w:rsidRPr="00B039DD">
        <w:rPr>
          <w:lang w:val="es-ES_tradnl"/>
        </w:rPr>
        <w:t xml:space="preserve"> </w:t>
      </w:r>
    </w:p>
    <w:p w14:paraId="7E1503CF" w14:textId="1903B635"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 xml:space="preserve">Gestión voluntaria de los ingresos </w:t>
      </w:r>
    </w:p>
    <w:p w14:paraId="07401FB4" w14:textId="77777777" w:rsidR="00E16C43" w:rsidRPr="00B039DD" w:rsidRDefault="00E16C43" w:rsidP="00E16C43">
      <w:pPr>
        <w:pStyle w:val="SingleTxtG"/>
        <w:rPr>
          <w:lang w:val="es-ES_tradnl"/>
        </w:rPr>
      </w:pPr>
      <w:r w:rsidRPr="00B039DD">
        <w:rPr>
          <w:lang w:val="es-ES_tradnl"/>
        </w:rPr>
        <w:t>235.</w:t>
      </w:r>
      <w:r w:rsidRPr="00B039DD">
        <w:rPr>
          <w:lang w:val="es-ES_tradnl"/>
        </w:rPr>
        <w:tab/>
        <w:t xml:space="preserve">El Gobierno australiano ha suprimido la gestión obligatoria de los ingresos, ha eliminado el programa de tarjetas de débito que no permiten retirar dinero en efectivo y ha convertido en voluntario el programa de gestión de los ingresos para las personas o comunidades que deseen mantener un tipo de gestión de los ingresos. </w:t>
      </w:r>
    </w:p>
    <w:p w14:paraId="420CE779" w14:textId="77777777" w:rsidR="00E16C43" w:rsidRPr="00B039DD" w:rsidRDefault="00E16C43" w:rsidP="00E16C43">
      <w:pPr>
        <w:pStyle w:val="SingleTxtG"/>
        <w:rPr>
          <w:lang w:val="es-ES_tradnl"/>
        </w:rPr>
      </w:pPr>
      <w:r w:rsidRPr="00B039DD">
        <w:rPr>
          <w:lang w:val="es-ES_tradnl"/>
        </w:rPr>
        <w:t>236.</w:t>
      </w:r>
      <w:r w:rsidRPr="00B039DD">
        <w:rPr>
          <w:lang w:val="es-ES_tradnl"/>
        </w:rPr>
        <w:tab/>
        <w:t xml:space="preserve">Los participantes del programa de tarjetas de débito sin efectivo han podido optar por abandonar el programa desde octubre de 2022, y todos los participantes restantes pasaron a una fórmula de gestión de ingresos perfeccionada el 6 de marzo de 2023. </w:t>
      </w:r>
    </w:p>
    <w:p w14:paraId="0418F7CF" w14:textId="77777777" w:rsidR="00E16C43" w:rsidRPr="00B039DD" w:rsidRDefault="00E16C43" w:rsidP="00E16C43">
      <w:pPr>
        <w:pStyle w:val="SingleTxtG"/>
        <w:rPr>
          <w:lang w:val="es-ES_tradnl"/>
        </w:rPr>
      </w:pPr>
      <w:r w:rsidRPr="00B039DD">
        <w:rPr>
          <w:lang w:val="es-ES_tradnl"/>
        </w:rPr>
        <w:t>237.</w:t>
      </w:r>
      <w:r w:rsidRPr="00B039DD">
        <w:rPr>
          <w:lang w:val="es-ES_tradnl"/>
        </w:rPr>
        <w:tab/>
        <w:t>A finales de 2022, el Departamento de Servicios Sociales del Gobierno australiano y el Ministro de Servicios Sociales iniciaron consultas sobre el futuro de la gestión de ingresos con los gobiernos de los estados y los territorios. El Gobierno decidirá cómo reformar la gestión de los ingresos al término de esas consultas.</w:t>
      </w:r>
    </w:p>
    <w:p w14:paraId="4CE7746C" w14:textId="77777777" w:rsidR="00E16C43" w:rsidRPr="00B039DD" w:rsidRDefault="00E16C43" w:rsidP="00E16C43">
      <w:pPr>
        <w:pStyle w:val="SingleTxtG"/>
        <w:rPr>
          <w:lang w:val="es-ES_tradnl"/>
        </w:rPr>
      </w:pPr>
      <w:r w:rsidRPr="00B039DD">
        <w:rPr>
          <w:lang w:val="es-ES_tradnl"/>
        </w:rPr>
        <w:t>238.</w:t>
      </w:r>
      <w:r w:rsidRPr="00B039DD">
        <w:rPr>
          <w:lang w:val="es-ES_tradnl"/>
        </w:rPr>
        <w:tab/>
        <w:t>El Gobierno ha proporcionado un importante paquete de ayudas a las antiguas comunidades del programa de tarjetas de débito sin efectivo con vistas a seguir prestando los actuales servicios de apoyo comunitario, establecer nuevos servicios y abordar las prioridades de la comunidad.</w:t>
      </w:r>
    </w:p>
    <w:p w14:paraId="666A4439" w14:textId="3E71C6C7"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 xml:space="preserve">Medidas de apoyo relacionadas con la COVID-19 </w:t>
      </w:r>
    </w:p>
    <w:p w14:paraId="15C83B9E" w14:textId="77777777" w:rsidR="00E16C43" w:rsidRPr="00B039DD" w:rsidRDefault="00E16C43" w:rsidP="00E16C43">
      <w:pPr>
        <w:pStyle w:val="SingleTxtG"/>
        <w:rPr>
          <w:lang w:val="es-ES_tradnl"/>
        </w:rPr>
      </w:pPr>
      <w:r w:rsidRPr="00B039DD">
        <w:rPr>
          <w:lang w:val="es-ES_tradnl"/>
        </w:rPr>
        <w:t>239.</w:t>
      </w:r>
      <w:r w:rsidRPr="00B039DD">
        <w:rPr>
          <w:lang w:val="es-ES_tradnl"/>
        </w:rPr>
        <w:tab/>
        <w:t xml:space="preserve">En respuesta a la pandemia de COVID-19, el Gobierno adoptó medidas para impulsar el bienestar de la comunidad australiana, incluidas las personas en situación más vulnerable y los beneficiarios de ayudas a los ingresos. Entre estas medidas figuraban: </w:t>
      </w:r>
    </w:p>
    <w:p w14:paraId="3DA3C802" w14:textId="2DE38AA0" w:rsidR="00E16C43" w:rsidRPr="00B039DD" w:rsidRDefault="00A82F0F" w:rsidP="00E16C43">
      <w:pPr>
        <w:pStyle w:val="SingleTxtG"/>
        <w:rPr>
          <w:lang w:val="es-ES_tradnl"/>
        </w:rPr>
      </w:pPr>
      <w:r>
        <w:rPr>
          <w:lang w:val="es-ES_tradnl"/>
        </w:rPr>
        <w:tab/>
      </w:r>
      <w:r w:rsidR="00E16C43" w:rsidRPr="00B039DD">
        <w:rPr>
          <w:lang w:val="es-ES_tradnl"/>
        </w:rPr>
        <w:t>a)</w:t>
      </w:r>
      <w:r w:rsidR="00E16C43" w:rsidRPr="00B039DD">
        <w:rPr>
          <w:lang w:val="es-ES_tradnl"/>
        </w:rPr>
        <w:tab/>
        <w:t>Ampliación de la admisibilidad de las ayudas para facilitar el acceso de los trabajadores por cuenta propia, los empleados permanentes que hubieran renunciado o perdido su empleo y las personas que cuidaban de un afectado por la COVID-19 a dichas ayudas;</w:t>
      </w:r>
    </w:p>
    <w:p w14:paraId="4F3CC3A0" w14:textId="0D49D6CC" w:rsidR="00E16C43" w:rsidRPr="00B039DD" w:rsidRDefault="00A82F0F" w:rsidP="00E16C43">
      <w:pPr>
        <w:pStyle w:val="SingleTxtG"/>
        <w:rPr>
          <w:lang w:val="es-ES_tradnl"/>
        </w:rPr>
      </w:pPr>
      <w:r>
        <w:rPr>
          <w:lang w:val="es-ES_tradnl"/>
        </w:rPr>
        <w:tab/>
      </w:r>
      <w:r w:rsidR="00E16C43" w:rsidRPr="00B039DD">
        <w:rPr>
          <w:lang w:val="es-ES_tradnl"/>
        </w:rPr>
        <w:t>b)</w:t>
      </w:r>
      <w:r w:rsidR="00E16C43" w:rsidRPr="00B039DD">
        <w:rPr>
          <w:lang w:val="es-ES_tradnl"/>
        </w:rPr>
        <w:tab/>
        <w:t>Suspensión de la evaluación de bienes con vistas a garantizar el acceso de las personas con bienes a los pagos de apoyo a los ingresos entre el 25 de marzo de 2020 y el 24 de septiembre de 2020;</w:t>
      </w:r>
    </w:p>
    <w:p w14:paraId="6929B53A" w14:textId="60461D88" w:rsidR="00E16C43" w:rsidRPr="00B039DD" w:rsidRDefault="00A82F0F" w:rsidP="00E16C43">
      <w:pPr>
        <w:pStyle w:val="SingleTxtG"/>
        <w:rPr>
          <w:lang w:val="es-ES_tradnl"/>
        </w:rPr>
      </w:pPr>
      <w:r>
        <w:rPr>
          <w:lang w:val="es-ES_tradnl"/>
        </w:rPr>
        <w:tab/>
      </w:r>
      <w:r w:rsidR="00E16C43" w:rsidRPr="00B039DD">
        <w:rPr>
          <w:lang w:val="es-ES_tradnl"/>
        </w:rPr>
        <w:t>c)</w:t>
      </w:r>
      <w:r w:rsidR="00E16C43" w:rsidRPr="00B039DD">
        <w:rPr>
          <w:lang w:val="es-ES_tradnl"/>
        </w:rPr>
        <w:tab/>
        <w:t>Exoneración del per</w:t>
      </w:r>
      <w:r w:rsidR="00E769E3">
        <w:rPr>
          <w:lang w:val="es-ES_tradnl"/>
        </w:rPr>
        <w:t>í</w:t>
      </w:r>
      <w:r w:rsidR="00E16C43" w:rsidRPr="00B039DD">
        <w:rPr>
          <w:lang w:val="es-ES_tradnl"/>
        </w:rPr>
        <w:t>odo de espera impuesto a los residentes recién llegados y a las personas que realizan trabajos de temporada para acceder a los pagos;</w:t>
      </w:r>
    </w:p>
    <w:p w14:paraId="001A65B0" w14:textId="035AF44C" w:rsidR="00E16C43" w:rsidRPr="00B039DD" w:rsidRDefault="00A82F0F" w:rsidP="00E16C43">
      <w:pPr>
        <w:pStyle w:val="SingleTxtG"/>
        <w:rPr>
          <w:lang w:val="es-ES_tradnl"/>
        </w:rPr>
      </w:pPr>
      <w:r>
        <w:rPr>
          <w:lang w:val="es-ES_tradnl"/>
        </w:rPr>
        <w:tab/>
      </w:r>
      <w:r w:rsidR="00E16C43" w:rsidRPr="00B039DD">
        <w:rPr>
          <w:lang w:val="es-ES_tradnl"/>
        </w:rPr>
        <w:t>d)</w:t>
      </w:r>
      <w:r w:rsidR="00E16C43" w:rsidRPr="00B039DD">
        <w:rPr>
          <w:lang w:val="es-ES_tradnl"/>
        </w:rPr>
        <w:tab/>
        <w:t>Elevación del umbral de ingresos quincenales que puede percibir un beneficiario de la ayuda a la búsqueda de empleo o del subsidio juvenil sin ver reducido el importe de sus pagos;</w:t>
      </w:r>
    </w:p>
    <w:p w14:paraId="0FBBCED5" w14:textId="535AAD13" w:rsidR="00E16C43" w:rsidRPr="00B039DD" w:rsidRDefault="00A82F0F" w:rsidP="00E16C43">
      <w:pPr>
        <w:pStyle w:val="SingleTxtG"/>
        <w:rPr>
          <w:lang w:val="es-ES_tradnl"/>
        </w:rPr>
      </w:pPr>
      <w:r>
        <w:rPr>
          <w:lang w:val="es-ES_tradnl"/>
        </w:rPr>
        <w:tab/>
      </w:r>
      <w:r w:rsidR="00E16C43" w:rsidRPr="00B039DD">
        <w:rPr>
          <w:lang w:val="es-ES_tradnl"/>
        </w:rPr>
        <w:t>e)</w:t>
      </w:r>
      <w:r w:rsidR="00E16C43" w:rsidRPr="00B039DD">
        <w:rPr>
          <w:lang w:val="es-ES_tradnl"/>
        </w:rPr>
        <w:tab/>
        <w:t>Reducción del impacto de los ingresos de la pareja en la suma percibida por una persona;</w:t>
      </w:r>
    </w:p>
    <w:p w14:paraId="32FA7635" w14:textId="58AE84D9" w:rsidR="00E16C43" w:rsidRPr="00B039DD" w:rsidRDefault="00A82F0F" w:rsidP="00E16C43">
      <w:pPr>
        <w:pStyle w:val="SingleTxtG"/>
        <w:rPr>
          <w:lang w:val="es-ES_tradnl"/>
        </w:rPr>
      </w:pPr>
      <w:r>
        <w:rPr>
          <w:lang w:val="es-ES_tradnl"/>
        </w:rPr>
        <w:lastRenderedPageBreak/>
        <w:tab/>
      </w:r>
      <w:r w:rsidR="00E16C43" w:rsidRPr="00B039DD">
        <w:rPr>
          <w:lang w:val="es-ES_tradnl"/>
        </w:rPr>
        <w:t>f)</w:t>
      </w:r>
      <w:r w:rsidR="00E16C43" w:rsidRPr="00B039DD">
        <w:rPr>
          <w:lang w:val="es-ES_tradnl"/>
        </w:rPr>
        <w:tab/>
        <w:t xml:space="preserve">Ampliación del espectro de beneficiarios de los pagos previstos para situaciones de crisis para abarcar a los beneficiarios de ayudas a los ingresos que atraviesen dificultades económicas y apoyar a los beneficiaros abocados al autoaislamiento o al cuidado de personas en situación de aislamiento. </w:t>
      </w:r>
    </w:p>
    <w:p w14:paraId="4D959345" w14:textId="4F646184" w:rsidR="00E16C43" w:rsidRPr="00B039DD" w:rsidRDefault="00E16C43" w:rsidP="00E16C43">
      <w:pPr>
        <w:pStyle w:val="SingleTxtG"/>
        <w:rPr>
          <w:lang w:val="es-ES_tradnl"/>
        </w:rPr>
      </w:pPr>
      <w:r w:rsidRPr="00B039DD">
        <w:rPr>
          <w:lang w:val="es-ES_tradnl"/>
        </w:rPr>
        <w:t>240.</w:t>
      </w:r>
      <w:r w:rsidRPr="00B039DD">
        <w:rPr>
          <w:lang w:val="es-ES_tradnl"/>
        </w:rPr>
        <w:tab/>
        <w:t xml:space="preserve">A partir del 27 de abril de 2020, el Gobierno también estableció un suplemento </w:t>
      </w:r>
      <w:r w:rsidR="00A82F0F">
        <w:rPr>
          <w:lang w:val="es-ES_tradnl"/>
        </w:rPr>
        <w:t>“</w:t>
      </w:r>
      <w:r w:rsidRPr="00B039DD">
        <w:rPr>
          <w:lang w:val="es-ES_tradnl"/>
        </w:rPr>
        <w:t>Coronavirus</w:t>
      </w:r>
      <w:r w:rsidR="00A82F0F">
        <w:rPr>
          <w:lang w:val="es-ES_tradnl"/>
        </w:rPr>
        <w:t>”</w:t>
      </w:r>
      <w:r w:rsidRPr="00B039DD">
        <w:rPr>
          <w:lang w:val="es-ES_tradnl"/>
        </w:rPr>
        <w:t xml:space="preserve"> para los beneficiarios nuevos o existentes de la ayuda a la búsqueda de empleo, la ayuda a la crianza de los hijos, el subsidio juvenil, Austudy, el subsidio de viudedad, el subsidio para parejas, el subsidio de subsistencia ABSTUDY, el subsidio familiar agrícola y la prestación especial. El suplemento coronavirus finalizó el 31 de marzo de 2021. </w:t>
      </w:r>
    </w:p>
    <w:p w14:paraId="7E3F9D12" w14:textId="77777777" w:rsidR="00E16C43" w:rsidRPr="00B039DD" w:rsidRDefault="00E16C43" w:rsidP="00E16C43">
      <w:pPr>
        <w:pStyle w:val="SingleTxtG"/>
        <w:rPr>
          <w:lang w:val="es-ES_tradnl"/>
        </w:rPr>
      </w:pPr>
      <w:r w:rsidRPr="00B039DD">
        <w:rPr>
          <w:lang w:val="es-ES_tradnl"/>
        </w:rPr>
        <w:t>241.</w:t>
      </w:r>
      <w:r w:rsidRPr="00B039DD">
        <w:rPr>
          <w:lang w:val="es-ES_tradnl"/>
        </w:rPr>
        <w:tab/>
        <w:t>A medida que mejoraban las condiciones económicas, fue cesando la ayuda adicional temporal, con un retorno gradual a los niveles habituales. La última medida restante, los pagos previstos para situaciones de crisis, finalizó oficialmente el 1 de octubre de 2022.</w:t>
      </w:r>
    </w:p>
    <w:p w14:paraId="6979C807" w14:textId="58FDE4B6"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La pobreza en Australia</w:t>
      </w:r>
    </w:p>
    <w:p w14:paraId="7FFBA48F" w14:textId="77777777" w:rsidR="00E16C43" w:rsidRPr="00B039DD" w:rsidRDefault="00E16C43" w:rsidP="00E16C43">
      <w:pPr>
        <w:pStyle w:val="SingleTxtG"/>
        <w:rPr>
          <w:lang w:val="es-ES_tradnl"/>
        </w:rPr>
      </w:pPr>
      <w:bookmarkStart w:id="8" w:name="_Hlk143089263"/>
      <w:r w:rsidRPr="00B039DD">
        <w:rPr>
          <w:lang w:val="es-ES_tradnl"/>
        </w:rPr>
        <w:t>242.</w:t>
      </w:r>
      <w:r w:rsidRPr="00B039DD">
        <w:rPr>
          <w:lang w:val="es-ES_tradnl"/>
        </w:rPr>
        <w:tab/>
        <w:t>El Gobierno utiliza diversas fuentes para evaluar la pobreza, la desventaja y los niveles de vida en Australia: el censo nacional, la encuesta sobre los ingresos y la vivienda de la Oficina Australiana de Estadística, estudios longitudinales como la encuesta de hogares, ingresos y dinámica laboral y conjuntos de datos administrativos integrados.</w:t>
      </w:r>
    </w:p>
    <w:bookmarkEnd w:id="8"/>
    <w:p w14:paraId="73E4F0FD" w14:textId="77777777" w:rsidR="00E16C43" w:rsidRPr="00B039DD" w:rsidRDefault="00E16C43" w:rsidP="00E16C43">
      <w:pPr>
        <w:pStyle w:val="SingleTxtG"/>
        <w:rPr>
          <w:lang w:val="es-ES_tradnl"/>
        </w:rPr>
      </w:pPr>
      <w:r w:rsidRPr="00B039DD">
        <w:rPr>
          <w:lang w:val="es-ES_tradnl"/>
        </w:rPr>
        <w:t>243.</w:t>
      </w:r>
      <w:r w:rsidRPr="00B039DD">
        <w:rPr>
          <w:lang w:val="es-ES_tradnl"/>
        </w:rPr>
        <w:tab/>
        <w:t xml:space="preserve">La Comisión de Productividad ha señalado que los hogares sin empleo, sobre todo los que tienen hijos, son los que registran las tasas de pobreza más elevadas. También ha descubierto que los niños, las familias monoparentales, las personas con discapacidad, los desempleados y los australianos de las Primeras Naciones son los grupos que corren más riesgo de sufrir privaciones múltiples. Asimismo, el análisis del informe estadístico de la encuesta de hogares, ingresos y dinámica laboral de 2022 revela que la pobreza económica es notablemente más frecuente entre los niños de familias monoparentales que entre los niños de familias formadas por parejas. </w:t>
      </w:r>
    </w:p>
    <w:p w14:paraId="30FE219B" w14:textId="77777777" w:rsidR="00E16C43" w:rsidRPr="00B039DD" w:rsidRDefault="00E16C43" w:rsidP="00E16C43">
      <w:pPr>
        <w:pStyle w:val="SingleTxtG"/>
        <w:rPr>
          <w:lang w:val="es-ES_tradnl"/>
        </w:rPr>
      </w:pPr>
      <w:r w:rsidRPr="00B039DD">
        <w:rPr>
          <w:lang w:val="es-ES_tradnl"/>
        </w:rPr>
        <w:t>244.</w:t>
      </w:r>
      <w:r w:rsidRPr="00B039DD">
        <w:rPr>
          <w:lang w:val="es-ES_tradnl"/>
        </w:rPr>
        <w:tab/>
        <w:t xml:space="preserve">En todos los indicadores de pobreza y desventaja, las personas de las Primeras Naciones sufren las mayores privaciones sociales y económicas. La pobreza sigue profundamente arraigada debido a los índices históricos y prevalentes de discriminación y trauma intergeneracional, combinados con otros factores complejos que caracterizan la pobreza de otros australianos. </w:t>
      </w:r>
    </w:p>
    <w:p w14:paraId="205C0F5A" w14:textId="77777777" w:rsidR="00E16C43" w:rsidRPr="00B039DD" w:rsidRDefault="00E16C43" w:rsidP="00E16C43">
      <w:pPr>
        <w:pStyle w:val="SingleTxtG"/>
        <w:rPr>
          <w:lang w:val="es-ES_tradnl"/>
        </w:rPr>
      </w:pPr>
      <w:r w:rsidRPr="00B039DD">
        <w:rPr>
          <w:lang w:val="es-ES_tradnl"/>
        </w:rPr>
        <w:t>245.</w:t>
      </w:r>
      <w:r w:rsidRPr="00B039DD">
        <w:rPr>
          <w:lang w:val="es-ES_tradnl"/>
        </w:rPr>
        <w:tab/>
        <w:t xml:space="preserve">El Enfoque de Inversión Prioritaria de Australia privilegia la inversión en aquellos grupos que vayan a acarrear mayores costos en el futuro y presenten mayor capacidad de alcanzar la autosuficiencia. Este enfoque se sustenta en una serie de datos longitudinales específicos de la seguridad social y recurre al análisis actuarial para estimar las trayectorias futuras de la población australiana en términos de asistencia social. Pone de relieve vías de entrada y salida de los grupos de riesgo en situaciones de desventaja y permite identificar los puntos críticos de intervención a lo largo de la vida. </w:t>
      </w:r>
    </w:p>
    <w:p w14:paraId="06C5B396" w14:textId="1F3BF934"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 xml:space="preserve">Medidas contra la pobreza </w:t>
      </w:r>
    </w:p>
    <w:p w14:paraId="69872455" w14:textId="77777777" w:rsidR="00E16C43" w:rsidRPr="00B039DD" w:rsidRDefault="00E16C43" w:rsidP="00E16C43">
      <w:pPr>
        <w:pStyle w:val="SingleTxtG"/>
        <w:rPr>
          <w:lang w:val="es-ES_tradnl"/>
        </w:rPr>
      </w:pPr>
      <w:r w:rsidRPr="00B039DD">
        <w:rPr>
          <w:lang w:val="es-ES_tradnl"/>
        </w:rPr>
        <w:t>246.</w:t>
      </w:r>
      <w:r w:rsidRPr="00B039DD">
        <w:rPr>
          <w:lang w:val="es-ES_tradnl"/>
        </w:rPr>
        <w:tab/>
        <w:t xml:space="preserve">Mejorar los resultados económicos y las oportunidades de empleo es una parte importante de la lucha contra la pobreza y la desventaja. A diciembre de 2022, numerosos indicadores del mercado laboral estaban al borde de batir máximos históricos, situación que ofrecía importantes oportunidades a los australianos desfavorecidos en el mercado laboral. </w:t>
      </w:r>
    </w:p>
    <w:p w14:paraId="0089BC7B" w14:textId="77777777" w:rsidR="00E16C43" w:rsidRPr="00581426" w:rsidRDefault="00E16C43" w:rsidP="00E16C43">
      <w:pPr>
        <w:pStyle w:val="SingleTxtG"/>
        <w:rPr>
          <w:lang w:val="es-ES_tradnl"/>
        </w:rPr>
      </w:pPr>
      <w:r w:rsidRPr="00B039DD">
        <w:rPr>
          <w:lang w:val="es-ES_tradnl"/>
        </w:rPr>
        <w:t>247.</w:t>
      </w:r>
      <w:r w:rsidRPr="00B039DD">
        <w:rPr>
          <w:lang w:val="es-ES_tradnl"/>
        </w:rPr>
        <w:tab/>
        <w:t xml:space="preserve">El régimen de seguridad social australiano desempeña un importante papel en la reducción y mitigación de la pobreza apoyando a las personas momentáneamente inactivas </w:t>
      </w:r>
      <w:r w:rsidRPr="00581426">
        <w:rPr>
          <w:lang w:val="es-ES_tradnl"/>
        </w:rPr>
        <w:t xml:space="preserve">en el mercado laboral. </w:t>
      </w:r>
    </w:p>
    <w:p w14:paraId="3F1067DE" w14:textId="357AA740" w:rsidR="00E16C43" w:rsidRPr="00B039DD" w:rsidRDefault="00E16C43" w:rsidP="00E16C43">
      <w:pPr>
        <w:pStyle w:val="SingleTxtG"/>
        <w:rPr>
          <w:lang w:val="es-ES_tradnl"/>
        </w:rPr>
      </w:pPr>
      <w:r w:rsidRPr="00581426">
        <w:rPr>
          <w:lang w:val="es-ES_tradnl"/>
        </w:rPr>
        <w:t>248.</w:t>
      </w:r>
      <w:r w:rsidRPr="00581426">
        <w:rPr>
          <w:lang w:val="es-ES_tradnl"/>
        </w:rPr>
        <w:tab/>
        <w:t>En el presupuesto de 2023</w:t>
      </w:r>
      <w:r w:rsidR="00581426" w:rsidRPr="00581426">
        <w:rPr>
          <w:lang w:val="es-ES_tradnl"/>
        </w:rPr>
        <w:t>/</w:t>
      </w:r>
      <w:r w:rsidRPr="00581426">
        <w:rPr>
          <w:lang w:val="es-ES_tradnl"/>
        </w:rPr>
        <w:t>24, el Gobierno</w:t>
      </w:r>
      <w:r w:rsidRPr="00B039DD">
        <w:rPr>
          <w:lang w:val="es-ES_tradnl"/>
        </w:rPr>
        <w:t xml:space="preserve"> presenta medidas de consolidación de la red de seguridad, incluidos 4.900 millones de dólares adicionales en ayudas a las personas en edad de trabajar y los estudiantes, y 2.700 millones de dólares adicionales del Commonwealth en ayudas al alquiler. Otros 1.900 millones a lo largo de </w:t>
      </w:r>
      <w:r w:rsidR="00147DD8">
        <w:rPr>
          <w:lang w:val="es-ES_tradnl"/>
        </w:rPr>
        <w:t>cinco</w:t>
      </w:r>
      <w:r w:rsidRPr="00B039DD">
        <w:rPr>
          <w:lang w:val="es-ES_tradnl"/>
        </w:rPr>
        <w:t xml:space="preserve"> años, a partir de 2022-2023, </w:t>
      </w:r>
      <w:r w:rsidRPr="00B039DD">
        <w:rPr>
          <w:lang w:val="es-ES_tradnl"/>
        </w:rPr>
        <w:lastRenderedPageBreak/>
        <w:t>servirán para ampliar el alcance de la ayuda de crianza de los hijos (para solteros) y abarcar a los cuidadores principales solteros. De este modo, unas 57.000 familias monoparentales (52.000 mujeres) pasarán de percibir la ayuda de búsqueda de empleo a la ayuda de crianza de los hijos (para solteros), más elevada.</w:t>
      </w:r>
    </w:p>
    <w:p w14:paraId="736D776E" w14:textId="77777777" w:rsidR="00E16C43" w:rsidRPr="00B039DD" w:rsidRDefault="00E16C43" w:rsidP="00E16C43">
      <w:pPr>
        <w:pStyle w:val="SingleTxtG"/>
        <w:rPr>
          <w:lang w:val="es-ES_tradnl"/>
        </w:rPr>
      </w:pPr>
      <w:r w:rsidRPr="00B039DD">
        <w:rPr>
          <w:lang w:val="es-ES_tradnl"/>
        </w:rPr>
        <w:t>249.</w:t>
      </w:r>
      <w:r w:rsidRPr="00B039DD">
        <w:rPr>
          <w:lang w:val="es-ES_tradnl"/>
        </w:rPr>
        <w:tab/>
        <w:t xml:space="preserve">El Gobierno invierte 100 millones de dólares en obras urgentes de vivienda e infraestructuras esenciales en las tierras de los pueblos originarios del Territorio del Norte, y 200 millones de dólares en la reparación, mantenimiento y mejora de las viviendas de comunidades remotas de las Primeras Naciones. El Gobierno ha destinado 20 millones de dólares adicionales, en el transcurso de dos años (2023-2025), a Aboriginal Hostels Limited para apoyar y mejorar sus operaciones, y aportar alojamiento temporal en condiciones de seguridad cultural a las personas de las Primeras Naciones que viajan para acceder a servicios vitales como la salud y la educación. </w:t>
      </w:r>
    </w:p>
    <w:p w14:paraId="498B9CB7" w14:textId="77777777" w:rsidR="00E16C43" w:rsidRPr="00B039DD" w:rsidRDefault="00E16C43" w:rsidP="00E16C43">
      <w:pPr>
        <w:pStyle w:val="SingleTxtG"/>
        <w:rPr>
          <w:lang w:val="es-ES_tradnl"/>
        </w:rPr>
      </w:pPr>
      <w:r w:rsidRPr="00B039DD">
        <w:rPr>
          <w:lang w:val="es-ES_tradnl"/>
        </w:rPr>
        <w:t>250.</w:t>
      </w:r>
      <w:r w:rsidRPr="00B039DD">
        <w:rPr>
          <w:lang w:val="es-ES_tradnl"/>
        </w:rPr>
        <w:tab/>
        <w:t>Con respecto a los niños, el Gobierno australiano apoya a las familias con un subsidio de guardería infantil (descrita anteriormente en este informe) y está elaborando una nueva Estrategia para la Primera Infancia destinada a apoyar a los niños en sus primeros años de vida y a sus familias, que presta una atención especial a los niños de las Primeras Naciones. El Gobierno también cuenta con programas y niveles de subsidio específicos para las familias que se enfrentan a obstáculos para acceder a la atención y educación de la primera infancia. En virtud de los arreglos de financiación de las escuelas del Gobierno, se brinda financiación suplementaria a las escuelas, concretamente asignaciones adicionales en función de las necesidades, con vistas a ayudar a alumnos pertenecientes a grupos prioritarios a alcanzar su pleno potencial.</w:t>
      </w:r>
    </w:p>
    <w:p w14:paraId="0C07E5BC" w14:textId="4EE2FB81" w:rsidR="00E16C43" w:rsidRPr="00B039DD" w:rsidRDefault="00E16C43" w:rsidP="00E16C43">
      <w:pPr>
        <w:pStyle w:val="SingleTxtG"/>
        <w:rPr>
          <w:lang w:val="es-ES_tradnl"/>
        </w:rPr>
      </w:pPr>
      <w:r w:rsidRPr="00B039DD">
        <w:rPr>
          <w:lang w:val="es-ES_tradnl"/>
        </w:rPr>
        <w:t>251.</w:t>
      </w:r>
      <w:r w:rsidRPr="00B039DD">
        <w:rPr>
          <w:lang w:val="es-ES_tradnl"/>
        </w:rPr>
        <w:tab/>
        <w:t xml:space="preserve">El Gobierno australiano está invirtiendo 35 millones de dólares, repartidos a lo largo de cinco años, a partir de 2019-2020 en la iniciativa </w:t>
      </w:r>
      <w:r w:rsidRPr="00B039DD">
        <w:rPr>
          <w:iCs/>
          <w:lang w:val="es-ES_tradnl"/>
        </w:rPr>
        <w:t>Stronger Places, Stronger People</w:t>
      </w:r>
      <w:r w:rsidRPr="00B039DD">
        <w:rPr>
          <w:lang w:val="es-ES_tradnl"/>
        </w:rPr>
        <w:t xml:space="preserve"> [</w:t>
      </w:r>
      <w:r w:rsidR="00A82F0F">
        <w:rPr>
          <w:lang w:val="es-ES_tradnl"/>
        </w:rPr>
        <w:t>“</w:t>
      </w:r>
      <w:r w:rsidRPr="00B039DD">
        <w:rPr>
          <w:lang w:val="es-ES_tradnl"/>
        </w:rPr>
        <w:t>Lugares más fuertes, gente más fuerte</w:t>
      </w:r>
      <w:r w:rsidR="00A82F0F">
        <w:rPr>
          <w:lang w:val="es-ES_tradnl"/>
        </w:rPr>
        <w:t>”</w:t>
      </w:r>
      <w:r w:rsidRPr="00B039DD">
        <w:rPr>
          <w:lang w:val="es-ES_tradnl"/>
        </w:rPr>
        <w:t xml:space="preserve">], que también recibe apoyo y financiación de los gobiernos de los estados y los territorios. El objetivo de esta iniciativa es acabar con la desventaja mediante soluciones adaptadas a los problemas locales, en colaboración con la población local de diez comunidades australianas. Otro paquete integral de 199,8 millones de dólares destinado a combatir la desventaja de las comunidades ha supuesto la extensión del </w:t>
      </w:r>
      <w:r w:rsidRPr="00147DD8">
        <w:rPr>
          <w:lang w:val="es-ES_tradnl"/>
        </w:rPr>
        <w:t>programa Stronger Places, Stronger People</w:t>
      </w:r>
      <w:r w:rsidRPr="00B039DD">
        <w:rPr>
          <w:lang w:val="es-ES_tradnl"/>
        </w:rPr>
        <w:t xml:space="preserve"> hasta el 30 de junio de 2029.</w:t>
      </w:r>
    </w:p>
    <w:p w14:paraId="26051B31" w14:textId="77777777" w:rsidR="00E16C43" w:rsidRPr="00B039DD" w:rsidRDefault="00E16C43" w:rsidP="00E16C43">
      <w:pPr>
        <w:pStyle w:val="SingleTxtG"/>
        <w:rPr>
          <w:lang w:val="es-ES_tradnl"/>
        </w:rPr>
      </w:pPr>
      <w:r w:rsidRPr="00B039DD">
        <w:rPr>
          <w:lang w:val="es-ES_tradnl"/>
        </w:rPr>
        <w:t>252.</w:t>
      </w:r>
      <w:r w:rsidRPr="00B039DD">
        <w:rPr>
          <w:lang w:val="es-ES_tradnl"/>
        </w:rPr>
        <w:tab/>
        <w:t>Los estados y territorios disponen asimismo de marcos de apoyo a los grupos vulnerables en sus respectivas jurisdicciones. En Tasmania, por ejemplo, las personas de bajos ingresos tienen acceso a un plan de préstamos sin intereses financiado por el estado para ayudarles a comprar bienes y servicios domésticos esenciales para el bienestar y la seguridad. El plan también ofrece préstamos a microempresas. La Oficina de Vivienda para los Aborígenes de Nueva Gales del Sur ha desarrollado el Programa de Ahorro para el Comprador de Vivienda Aborigen, cuyo objetivo es crear riqueza intergeneracional, promover la estabilidad y la seguridad de la vivienda, mejorar las condiciones de salud y de bienestar generales y hacer realidad los sueños de los habitantes de las Primeras Naciones de llegar a ser dueños de sus viviendas.</w:t>
      </w:r>
    </w:p>
    <w:p w14:paraId="2CF0DBA0" w14:textId="74D752CC"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Vivienda asequible y mejora de las condiciones de alojamiento</w:t>
      </w:r>
    </w:p>
    <w:p w14:paraId="2F266523" w14:textId="77777777" w:rsidR="00E16C43" w:rsidRPr="00B039DD" w:rsidRDefault="00E16C43" w:rsidP="00E16C43">
      <w:pPr>
        <w:pStyle w:val="SingleTxtG"/>
        <w:rPr>
          <w:lang w:val="es-ES_tradnl"/>
        </w:rPr>
      </w:pPr>
      <w:r w:rsidRPr="00B039DD">
        <w:rPr>
          <w:lang w:val="es-ES_tradnl"/>
        </w:rPr>
        <w:t>253.</w:t>
      </w:r>
      <w:r w:rsidRPr="00B039DD">
        <w:rPr>
          <w:lang w:val="es-ES_tradnl"/>
        </w:rPr>
        <w:tab/>
        <w:t>El Gobierno australiano presta un apoyo sustancial, a través de la Corporación Nacional de Inversión y Financiación de la Vivienda, con vistas a mejorar la oferta de viviendas sociales asequibles. Entre esos mecanismos figuran:</w:t>
      </w:r>
    </w:p>
    <w:p w14:paraId="6F02CBA6" w14:textId="55F9960B" w:rsidR="00E16C43" w:rsidRPr="00B039DD" w:rsidRDefault="00A82F0F" w:rsidP="00E16C43">
      <w:pPr>
        <w:pStyle w:val="SingleTxtG"/>
        <w:rPr>
          <w:lang w:val="es-ES_tradnl"/>
        </w:rPr>
      </w:pPr>
      <w:r>
        <w:rPr>
          <w:lang w:val="es-ES_tradnl"/>
        </w:rPr>
        <w:tab/>
      </w:r>
      <w:r w:rsidR="00E16C43" w:rsidRPr="00B039DD">
        <w:rPr>
          <w:lang w:val="es-ES_tradnl"/>
        </w:rPr>
        <w:t>a)</w:t>
      </w:r>
      <w:r w:rsidR="00E16C43" w:rsidRPr="00B039DD">
        <w:rPr>
          <w:lang w:val="es-ES_tradnl"/>
        </w:rPr>
        <w:tab/>
        <w:t>El Plan de Crédito para la Compra de Vivienda Asequible, que ofrece préstamos de largo plazo a bajo costo a proveedores de viviendas comunitarias, financiados mediante la emisión de bonos en el mercado mayorista, con el respaldo de una garantía del Commonwealth</w:t>
      </w:r>
      <w:r w:rsidR="00147DD8">
        <w:rPr>
          <w:lang w:val="es-ES_tradnl"/>
        </w:rPr>
        <w:t>;</w:t>
      </w:r>
    </w:p>
    <w:p w14:paraId="594B9AA3" w14:textId="37F880C3" w:rsidR="00E16C43" w:rsidRPr="00B039DD" w:rsidRDefault="00A82F0F" w:rsidP="00E16C43">
      <w:pPr>
        <w:pStyle w:val="SingleTxtG"/>
        <w:rPr>
          <w:lang w:val="es-ES_tradnl"/>
        </w:rPr>
      </w:pPr>
      <w:r>
        <w:rPr>
          <w:lang w:val="es-ES_tradnl"/>
        </w:rPr>
        <w:tab/>
      </w:r>
      <w:r w:rsidR="00E16C43" w:rsidRPr="00B039DD">
        <w:rPr>
          <w:lang w:val="es-ES_tradnl"/>
        </w:rPr>
        <w:t>b)</w:t>
      </w:r>
      <w:r w:rsidR="00E16C43" w:rsidRPr="00B039DD">
        <w:rPr>
          <w:lang w:val="es-ES_tradnl"/>
        </w:rPr>
        <w:tab/>
        <w:t xml:space="preserve">El Fondo Nacional de Construcción de Infraestructura para Viviendas, que concede subvenciones y préstamos en condiciones favorables con vistas a apoyar la infraestructura de la vivienda, en particular de la vivienda social y asequible. </w:t>
      </w:r>
    </w:p>
    <w:p w14:paraId="44783874" w14:textId="489BA470" w:rsidR="00E16C43" w:rsidRPr="00B039DD" w:rsidRDefault="00E16C43" w:rsidP="00E82A2E">
      <w:pPr>
        <w:pStyle w:val="SingleTxtG"/>
        <w:keepNext/>
        <w:keepLines/>
        <w:rPr>
          <w:lang w:val="es-ES_tradnl"/>
        </w:rPr>
      </w:pPr>
      <w:r w:rsidRPr="00B039DD">
        <w:rPr>
          <w:lang w:val="es-ES_tradnl"/>
        </w:rPr>
        <w:lastRenderedPageBreak/>
        <w:t>254.</w:t>
      </w:r>
      <w:r w:rsidRPr="00B039DD">
        <w:rPr>
          <w:lang w:val="es-ES_tradnl"/>
        </w:rPr>
        <w:tab/>
        <w:t xml:space="preserve">El Gobierno australiano ha presentado una ley destinada a crear un Fondo para el Futuro de la Vivienda en Australia, dotado con 10.000 millones de dólares para apoyar la construcción de 30.000 viviendas sociales y asequibles. El Gobierno también ha aportado 350 millones de dólares en el marco del Acuerdo Nacional de la Vivienda con miras a apoyar la construcción de 10.000 viviendas asequibles adicionales, en el marco de la ambición compartida con los estados y los territorios, las administraciones locales y el sector privado, de construir </w:t>
      </w:r>
      <w:r w:rsidR="00147DD8">
        <w:rPr>
          <w:lang w:val="es-ES_tradnl"/>
        </w:rPr>
        <w:t>1</w:t>
      </w:r>
      <w:r w:rsidRPr="00B039DD">
        <w:rPr>
          <w:lang w:val="es-ES_tradnl"/>
        </w:rPr>
        <w:t xml:space="preserve"> millón de viviendas nuevas y bien situadas en un plazo de cinco años a partir de 2024. Asimismo, en </w:t>
      </w:r>
      <w:r w:rsidRPr="00581426">
        <w:rPr>
          <w:lang w:val="es-ES_tradnl"/>
        </w:rPr>
        <w:t>los presupuestos de 2023</w:t>
      </w:r>
      <w:r w:rsidR="00581426" w:rsidRPr="00581426">
        <w:rPr>
          <w:lang w:val="es-ES_tradnl"/>
        </w:rPr>
        <w:t>/</w:t>
      </w:r>
      <w:r w:rsidRPr="00581426">
        <w:rPr>
          <w:lang w:val="es-ES_tradnl"/>
        </w:rPr>
        <w:t>24, el Gobierno</w:t>
      </w:r>
      <w:r w:rsidRPr="00B039DD">
        <w:rPr>
          <w:lang w:val="es-ES_tradnl"/>
        </w:rPr>
        <w:t xml:space="preserve"> anunció incentivos fiscales para fomentar más promociones inmobiliarias destinadas al alquiler con el fin de impulsar una nueva oferta en el mercado privado de alquiler. </w:t>
      </w:r>
    </w:p>
    <w:p w14:paraId="531AA0CB" w14:textId="77777777" w:rsidR="00E16C43" w:rsidRPr="00B039DD" w:rsidRDefault="00E16C43" w:rsidP="00E16C43">
      <w:pPr>
        <w:pStyle w:val="SingleTxtG"/>
        <w:rPr>
          <w:lang w:val="es-ES_tradnl"/>
        </w:rPr>
      </w:pPr>
      <w:r w:rsidRPr="00B039DD">
        <w:rPr>
          <w:lang w:val="es-ES_tradnl"/>
        </w:rPr>
        <w:t>255.</w:t>
      </w:r>
      <w:r w:rsidRPr="00B039DD">
        <w:rPr>
          <w:lang w:val="es-ES_tradnl"/>
        </w:rPr>
        <w:tab/>
        <w:t xml:space="preserve">El Gobierno ofrece ayudas a los compradores de primera vivienda que cumplen los requisitos pertinentes para acelerar su entrada en el mercado. A través del Plan de Garantías para la Viviendas, gestionado por la Corporación Nacional de Inversión y Financiación de la Vivienda, el Gobierno brinda garantías, por un porcentaje del valor de la propiedad adquirida, a los financistas de compras inmobiliarias que cumplan determinas condiciones. En 2022, el plan pasó de ofrecer 10.000 a 35.000 garantías anuales para la adquisición de primera vivienda. El Gobierno también introdujo la garantía regional para la compra de la primera vivienda, que proporcionará 10.000 garantías anuales hasta el 30 de junio de 2025 a los solicitantes que cumplan los requisitos y vivan en zonas regionales. </w:t>
      </w:r>
    </w:p>
    <w:p w14:paraId="3F975FBE" w14:textId="77777777" w:rsidR="00E16C43" w:rsidRPr="00B039DD" w:rsidRDefault="00E16C43" w:rsidP="00E16C43">
      <w:pPr>
        <w:pStyle w:val="SingleTxtG"/>
        <w:rPr>
          <w:lang w:val="es-ES_tradnl"/>
        </w:rPr>
      </w:pPr>
      <w:r w:rsidRPr="00B039DD">
        <w:rPr>
          <w:lang w:val="es-ES_tradnl"/>
        </w:rPr>
        <w:t>256.</w:t>
      </w:r>
      <w:r w:rsidRPr="00B039DD">
        <w:rPr>
          <w:lang w:val="es-ES_tradnl"/>
        </w:rPr>
        <w:tab/>
        <w:t xml:space="preserve">Los estados y los territorios también han introducido planes para incrementar el número de viviendas asequibles. Así, por ejemplo, el Gobierno de Queensland está invirtiendo 2.900 millones de dólares a través del Plan de Acción de Vivienda y Personas sin Hogar de Queensland 2021-2025 con el objetivo de contribuir a incrementar el número de viviendas sociales y asequibles. Para contrarrestar el aumento de los precios de los alquileres y las dificultades derivadas del aumento del costo de la vida, el Gobierno del Territorio de la Capital Australiana creó en febrero de 2023 un Fondo de Compensación para los Alquileres destinado a aportar ayudas específicas de corto plazo a los hogares de bajos ingresos en el sector privado del alquiler que estén teniendo dificultades para alquilar o están atravesando graves dificultades financieras. También en 2023, el Gobierno de Nueva Gales del Sur creó el cargo de Comisionado del Alquiler para que trabajara con el Gobierno, los responsables de la protección del consumidor, las partes interesadas y los arrendatarios, y pusiera en marcha y supervisara las reformas del régimen de alquiler de vivienda con vistas a mejorar la protección de los inquilinos. </w:t>
      </w:r>
    </w:p>
    <w:p w14:paraId="2D40C741" w14:textId="20397493" w:rsidR="00E16C43" w:rsidRPr="00B039DD" w:rsidRDefault="00A82F0F" w:rsidP="00A82F0F">
      <w:pPr>
        <w:pStyle w:val="H1G"/>
        <w:rPr>
          <w:lang w:val="es-ES_tradnl"/>
        </w:rPr>
      </w:pPr>
      <w:r>
        <w:rPr>
          <w:lang w:val="es-ES_tradnl"/>
        </w:rPr>
        <w:tab/>
      </w:r>
      <w:r>
        <w:rPr>
          <w:lang w:val="es-ES_tradnl"/>
        </w:rPr>
        <w:tab/>
      </w:r>
      <w:r w:rsidR="00E16C43">
        <w:rPr>
          <w:lang w:val="es-ES_tradnl"/>
        </w:rPr>
        <w:tab/>
      </w:r>
      <w:r w:rsidR="00E16C43" w:rsidRPr="00B039DD">
        <w:rPr>
          <w:lang w:val="es-ES_tradnl"/>
        </w:rPr>
        <w:t xml:space="preserve">Condiciones de vivienda en zonas remotas </w:t>
      </w:r>
    </w:p>
    <w:p w14:paraId="2928CA2D" w14:textId="77777777" w:rsidR="00E16C43" w:rsidRPr="00B039DD" w:rsidRDefault="00E16C43" w:rsidP="00E16C43">
      <w:pPr>
        <w:pStyle w:val="SingleTxtG"/>
        <w:rPr>
          <w:lang w:val="es-ES_tradnl"/>
        </w:rPr>
      </w:pPr>
      <w:r w:rsidRPr="00B039DD">
        <w:rPr>
          <w:lang w:val="es-ES_tradnl"/>
        </w:rPr>
        <w:t>257.</w:t>
      </w:r>
      <w:r w:rsidRPr="00B039DD">
        <w:rPr>
          <w:lang w:val="es-ES_tradnl"/>
        </w:rPr>
        <w:tab/>
        <w:t xml:space="preserve">El Gobierno australiano está prestando ayuda inmediata en las zonas más necesitadas de algunas de las regiones más remotas del país, incluido el remoto Territorio del Norte, que registra los mayores índices de hacinamiento en las viviendas. </w:t>
      </w:r>
    </w:p>
    <w:p w14:paraId="1CE0F7B7" w14:textId="77777777" w:rsidR="00E16C43" w:rsidRPr="00B039DD" w:rsidRDefault="00E16C43" w:rsidP="00E16C43">
      <w:pPr>
        <w:pStyle w:val="SingleTxtG"/>
        <w:rPr>
          <w:lang w:val="es-ES_tradnl"/>
        </w:rPr>
      </w:pPr>
      <w:r w:rsidRPr="00B039DD">
        <w:rPr>
          <w:lang w:val="es-ES_tradnl"/>
        </w:rPr>
        <w:t>258.</w:t>
      </w:r>
      <w:r w:rsidRPr="00B039DD">
        <w:rPr>
          <w:lang w:val="es-ES_tradnl"/>
        </w:rPr>
        <w:tab/>
        <w:t xml:space="preserve">La Asociación Nacional para la Vivienda en Zonas Remotas del Territorio del Norte invierte hasta 550 millones de dólares, al igual que el gobierno del Territorio del Norte, lo que suma una inversión total de 1.100 millones de dólares, escalonada entre 2018 y 2023, destinada a ofrecer viviendas a las comunidades remotas del Territorio del Norte. Como ya se ha mencionado en este informe, el Gobierno australiano destina asimismo 100 millones de dólares a obras urgentes de vivienda e infraestructuras en las tierras de los pueblos originarios del Territorio del Norte y 200 millones de dólares a viviendas en comunidades remotas de las Primeras Naciones. </w:t>
      </w:r>
    </w:p>
    <w:p w14:paraId="7D8BF960" w14:textId="77777777" w:rsidR="00E16C43" w:rsidRPr="00B039DD" w:rsidRDefault="00E16C43" w:rsidP="00E16C43">
      <w:pPr>
        <w:pStyle w:val="SingleTxtG"/>
        <w:rPr>
          <w:lang w:val="es-ES_tradnl"/>
        </w:rPr>
      </w:pPr>
      <w:r w:rsidRPr="00B039DD">
        <w:rPr>
          <w:lang w:val="es-ES_tradnl"/>
        </w:rPr>
        <w:t>259.</w:t>
      </w:r>
      <w:r w:rsidRPr="00B039DD">
        <w:rPr>
          <w:lang w:val="es-ES_tradnl"/>
        </w:rPr>
        <w:tab/>
        <w:t xml:space="preserve">En Queensland, el </w:t>
      </w:r>
      <w:r w:rsidRPr="00147DD8">
        <w:rPr>
          <w:lang w:val="es-ES_tradnl"/>
        </w:rPr>
        <w:t xml:space="preserve">Plan de Acción de Viviendas para los aborígenes e isleños del </w:t>
      </w:r>
      <w:r w:rsidRPr="00581426">
        <w:rPr>
          <w:lang w:val="es-ES_tradnl"/>
        </w:rPr>
        <w:t>estrecho de Torres (2019</w:t>
      </w:r>
      <w:r w:rsidRPr="00147DD8">
        <w:rPr>
          <w:lang w:val="es-ES_tradnl"/>
        </w:rPr>
        <w:t>-2023) i</w:t>
      </w:r>
      <w:r w:rsidRPr="00B039DD">
        <w:rPr>
          <w:lang w:val="es-ES_tradnl"/>
        </w:rPr>
        <w:t>ncluye un importante programa de financiación de nuevas viviendas en determinadas comunidades remotas de las Primeras Naciones. El Gobierno de Australia Meridional está mejorando las condiciones de vivienda de las zonas remotas construyendo viviendas temporales en comunidades remotas, creando oportunidades de aprendizaje para los habitantes de las Primeras Naciones e invirtiendo en el mantenimiento de las zonas remotas.</w:t>
      </w:r>
    </w:p>
    <w:p w14:paraId="7DEAC62A" w14:textId="5739FA4D" w:rsidR="00E16C43" w:rsidRPr="00B039DD" w:rsidRDefault="00A82F0F" w:rsidP="00A82F0F">
      <w:pPr>
        <w:pStyle w:val="H1G"/>
        <w:rPr>
          <w:lang w:val="es-ES_tradnl"/>
        </w:rPr>
      </w:pPr>
      <w:r>
        <w:rPr>
          <w:lang w:val="es-ES_tradnl"/>
        </w:rPr>
        <w:lastRenderedPageBreak/>
        <w:tab/>
      </w:r>
      <w:r w:rsidR="00E16C43">
        <w:rPr>
          <w:lang w:val="es-ES_tradnl"/>
        </w:rPr>
        <w:tab/>
      </w:r>
      <w:r w:rsidR="00E16C43" w:rsidRPr="00B039DD">
        <w:rPr>
          <w:lang w:val="es-ES_tradnl"/>
        </w:rPr>
        <w:t>Personas sin hogar</w:t>
      </w:r>
    </w:p>
    <w:p w14:paraId="32C147D9" w14:textId="77777777" w:rsidR="00E16C43" w:rsidRPr="00B039DD" w:rsidRDefault="00E16C43" w:rsidP="00E16C43">
      <w:pPr>
        <w:pStyle w:val="SingleTxtG"/>
        <w:rPr>
          <w:lang w:val="es-ES_tradnl"/>
        </w:rPr>
      </w:pPr>
      <w:r w:rsidRPr="00B039DD">
        <w:rPr>
          <w:lang w:val="es-ES_tradnl"/>
        </w:rPr>
        <w:t>260.</w:t>
      </w:r>
      <w:r w:rsidRPr="00B039DD">
        <w:rPr>
          <w:lang w:val="es-ES_tradnl"/>
        </w:rPr>
        <w:tab/>
        <w:t>El Gobierno considera que la falta de hogar constituye un problema importante que afecta a muchos australianos y está trabajando con todas las administraciones y partes interesadas para resolverlo. Se calcula que en el momento de elaborarse el censo de 2021 había 122.494 personas sin hogar.</w:t>
      </w:r>
    </w:p>
    <w:p w14:paraId="3BEE1CC9" w14:textId="77777777" w:rsidR="00E16C43" w:rsidRPr="00B039DD" w:rsidRDefault="00E16C43" w:rsidP="00E16C43">
      <w:pPr>
        <w:pStyle w:val="SingleTxtG"/>
        <w:rPr>
          <w:lang w:val="es-ES_tradnl"/>
        </w:rPr>
      </w:pPr>
      <w:r w:rsidRPr="00B039DD">
        <w:rPr>
          <w:lang w:val="es-ES_tradnl"/>
        </w:rPr>
        <w:t>261.</w:t>
      </w:r>
      <w:r w:rsidRPr="00B039DD">
        <w:rPr>
          <w:lang w:val="es-ES_tradnl"/>
        </w:rPr>
        <w:tab/>
        <w:t xml:space="preserve">En 2023-2024, el Gobierno australiano prevé gastar aproximadamente 5.500 millones de dólares en ayudas al alquiler del Commonwealth con vistas a aliviar a los australianos que reúnan los requisitos pertinentes para recibir pagos de apoyo a los ingresos. </w:t>
      </w:r>
    </w:p>
    <w:p w14:paraId="38D31367" w14:textId="2A94FEF4" w:rsidR="00E16C43" w:rsidRPr="00B039DD" w:rsidRDefault="00E16C43" w:rsidP="00E16C43">
      <w:pPr>
        <w:pStyle w:val="SingleTxtG"/>
        <w:rPr>
          <w:lang w:val="es-ES_tradnl"/>
        </w:rPr>
      </w:pPr>
      <w:r w:rsidRPr="00B039DD">
        <w:rPr>
          <w:lang w:val="es-ES_tradnl"/>
        </w:rPr>
        <w:t>262.</w:t>
      </w:r>
      <w:r w:rsidRPr="00B039DD">
        <w:rPr>
          <w:lang w:val="es-ES_tradnl"/>
        </w:rPr>
        <w:tab/>
        <w:t xml:space="preserve">El Gobierno también ha ofrecido a los estados unos 1.700 millones de dólares para prolongar un año más </w:t>
      </w:r>
      <w:r w:rsidR="00147DD8">
        <w:rPr>
          <w:lang w:val="es-ES_tradnl"/>
        </w:rPr>
        <w:t>—</w:t>
      </w:r>
      <w:r w:rsidRPr="00B039DD">
        <w:rPr>
          <w:lang w:val="es-ES_tradnl"/>
        </w:rPr>
        <w:t>hasta el 30 de junio de 2024</w:t>
      </w:r>
      <w:r w:rsidR="00147DD8">
        <w:rPr>
          <w:lang w:val="es-ES_tradnl"/>
        </w:rPr>
        <w:t>—</w:t>
      </w:r>
      <w:r w:rsidRPr="00B039DD">
        <w:rPr>
          <w:lang w:val="es-ES_tradnl"/>
        </w:rPr>
        <w:t xml:space="preserve"> el Acuerdo Nacional de Vivienda y Personas sin Hogar con vistas a apoyar los servicios y programas de fomento de la vivienda y de asistencia a las personas sin hogar de los gobiernos de los estados y los territorios. En virtud del Acuerdo Nacional de Vivienda y Personas sin Hogar, el Gobierno australiano destinará unos 128 millones de dólares a servicios para personas sin hogar en el transcurso de 2023-2024. A los Estados y territorios les corresponde igualar esta financiación y determinar el tipo y la ubicación de los servicios prestados a las personas sin hogar.</w:t>
      </w:r>
    </w:p>
    <w:p w14:paraId="149C1BBB" w14:textId="428C8DA4" w:rsidR="00E16C43" w:rsidRPr="00B039DD" w:rsidRDefault="00E16C43" w:rsidP="00E16C43">
      <w:pPr>
        <w:pStyle w:val="SingleTxtG"/>
        <w:rPr>
          <w:lang w:val="es-ES_tradnl"/>
        </w:rPr>
      </w:pPr>
      <w:r w:rsidRPr="00B039DD">
        <w:rPr>
          <w:lang w:val="es-ES_tradnl"/>
        </w:rPr>
        <w:t>263.</w:t>
      </w:r>
      <w:r w:rsidRPr="00B039DD">
        <w:rPr>
          <w:lang w:val="es-ES_tradnl"/>
        </w:rPr>
        <w:tab/>
        <w:t xml:space="preserve">El </w:t>
      </w:r>
      <w:r w:rsidR="00147DD8" w:rsidRPr="00B039DD">
        <w:rPr>
          <w:lang w:val="es-ES_tradnl"/>
        </w:rPr>
        <w:t xml:space="preserve">Gobierno </w:t>
      </w:r>
      <w:r w:rsidRPr="00B039DD">
        <w:rPr>
          <w:lang w:val="es-ES_tradnl"/>
        </w:rPr>
        <w:t xml:space="preserve">está invirtiendo 172,6 millones de dólares en alojamientos de emergencia en el marco del Programa de Alojamiento de Emergencia Lugares Seguros. Se trata de un programa de subvenciones destinado a la construcción, renovación o adquisición de alojamientos de emergencia para mujeres y niños víctimas de violencia familiar y doméstica. </w:t>
      </w:r>
    </w:p>
    <w:p w14:paraId="43E08915" w14:textId="615FF780" w:rsidR="00E16C43" w:rsidRPr="00B039DD" w:rsidRDefault="00E16C43" w:rsidP="00E16C43">
      <w:pPr>
        <w:pStyle w:val="SingleTxtG"/>
        <w:rPr>
          <w:lang w:val="es-ES_tradnl"/>
        </w:rPr>
      </w:pPr>
      <w:r w:rsidRPr="00B039DD">
        <w:rPr>
          <w:lang w:val="es-ES_tradnl"/>
        </w:rPr>
        <w:t>264.</w:t>
      </w:r>
      <w:r w:rsidRPr="00B039DD">
        <w:rPr>
          <w:lang w:val="es-ES_tradnl"/>
        </w:rPr>
        <w:tab/>
        <w:t>El Gobierno está invirtiendo 91,7 millones de dólares en el programa trianual Reconectar (1 de julio de 2023</w:t>
      </w:r>
      <w:r w:rsidR="00147DD8">
        <w:rPr>
          <w:lang w:val="es-ES_tradnl"/>
        </w:rPr>
        <w:t xml:space="preserve"> al </w:t>
      </w:r>
      <w:r w:rsidRPr="00B039DD">
        <w:rPr>
          <w:lang w:val="es-ES_tradnl"/>
        </w:rPr>
        <w:t xml:space="preserve">30 de junio de 2026), una iniciativa de intervención y prevención destinada a ayudar a jóvenes sin hogar o en riesgo de quedarse sin hogar y a sus familias. </w:t>
      </w:r>
    </w:p>
    <w:p w14:paraId="17F7D4A8" w14:textId="77777777" w:rsidR="00E16C43" w:rsidRPr="00B039DD" w:rsidRDefault="00E16C43" w:rsidP="00E16C43">
      <w:pPr>
        <w:pStyle w:val="SingleTxtG"/>
        <w:rPr>
          <w:lang w:val="es-ES_tradnl"/>
        </w:rPr>
      </w:pPr>
      <w:r w:rsidRPr="00B039DD">
        <w:rPr>
          <w:lang w:val="es-ES_tradnl"/>
        </w:rPr>
        <w:t>265.</w:t>
      </w:r>
      <w:r w:rsidRPr="00B039DD">
        <w:rPr>
          <w:lang w:val="es-ES_tradnl"/>
        </w:rPr>
        <w:tab/>
        <w:t>El Gobierno australiano también está elaborando un Plan Nacional de Vivienda y Personas sin Hogar, en consulta con un amplio abanico de partes interesadas. El plan contará con el asesoramiento del recién creado Consejo Nacional de Oferta y Asequibilidad de la Vivienda y determinará las reformas necesarias a corto, medio y largo plazo para mejorar los resultados en todo el espectro, lo que incluye facilitar la compra de viviendas, facilitar los alquileres y reducir el número de personas sin hogar.</w:t>
      </w:r>
    </w:p>
    <w:p w14:paraId="19A5E555" w14:textId="49415E75" w:rsidR="00E16C43" w:rsidRPr="00B039DD" w:rsidRDefault="00E16C43" w:rsidP="00E16C43">
      <w:pPr>
        <w:pStyle w:val="SingleTxtG"/>
        <w:rPr>
          <w:lang w:val="es-ES_tradnl"/>
        </w:rPr>
      </w:pPr>
      <w:r w:rsidRPr="00B039DD">
        <w:rPr>
          <w:lang w:val="es-ES_tradnl"/>
        </w:rPr>
        <w:t>266.</w:t>
      </w:r>
      <w:r w:rsidRPr="00B039DD">
        <w:rPr>
          <w:lang w:val="es-ES_tradnl"/>
        </w:rPr>
        <w:tab/>
        <w:t>Los estados y territorios también cuentan con políticas y marcos destinados</w:t>
      </w:r>
      <w:r w:rsidR="00E82A2E">
        <w:rPr>
          <w:lang w:val="es-ES_tradnl"/>
        </w:rPr>
        <w:t> </w:t>
      </w:r>
      <w:r w:rsidRPr="00B039DD">
        <w:rPr>
          <w:lang w:val="es-ES_tradnl"/>
        </w:rPr>
        <w:t>a</w:t>
      </w:r>
      <w:r w:rsidR="00E82A2E">
        <w:rPr>
          <w:lang w:val="es-ES_tradnl"/>
        </w:rPr>
        <w:t> </w:t>
      </w:r>
      <w:r w:rsidRPr="00B039DD">
        <w:rPr>
          <w:lang w:val="es-ES_tradnl"/>
        </w:rPr>
        <w:t>reducir</w:t>
      </w:r>
      <w:r w:rsidR="00E82A2E">
        <w:rPr>
          <w:lang w:val="es-ES_tradnl"/>
        </w:rPr>
        <w:t> </w:t>
      </w:r>
      <w:r w:rsidRPr="00B039DD">
        <w:rPr>
          <w:lang w:val="es-ES_tradnl"/>
        </w:rPr>
        <w:t>el número de personas sin hogar. La Estrategia sobre Personas sin Hogar</w:t>
      </w:r>
      <w:r w:rsidR="00E82A2E">
        <w:rPr>
          <w:lang w:val="es-ES_tradnl"/>
        </w:rPr>
        <w:t> </w:t>
      </w:r>
      <w:r w:rsidRPr="00B039DD">
        <w:rPr>
          <w:lang w:val="es-ES_tradnl"/>
        </w:rPr>
        <w:t>2020-2030 de Australia Occidental incluye medidas como añadir al mercado más opciones</w:t>
      </w:r>
      <w:r w:rsidR="00E82A2E">
        <w:rPr>
          <w:lang w:val="es-ES_tradnl"/>
        </w:rPr>
        <w:t xml:space="preserve"> </w:t>
      </w:r>
      <w:r w:rsidR="00147DD8">
        <w:rPr>
          <w:lang w:val="es-ES_tradnl"/>
        </w:rPr>
        <w:t>—</w:t>
      </w:r>
      <w:r w:rsidRPr="00B039DD">
        <w:rPr>
          <w:lang w:val="es-ES_tradnl"/>
        </w:rPr>
        <w:t>caracterizadas por escasas barreras y umbrales bajos</w:t>
      </w:r>
      <w:r w:rsidR="00147DD8">
        <w:rPr>
          <w:lang w:val="es-ES_tradnl"/>
        </w:rPr>
        <w:t>—</w:t>
      </w:r>
      <w:r w:rsidRPr="00B039DD">
        <w:rPr>
          <w:lang w:val="es-ES_tradnl"/>
        </w:rPr>
        <w:t xml:space="preserve"> de alojamiento y vivienda, centralizar la asignación de opciones de alojamiento a las personas que enfrentan situaciones crónicas de falta de hogar o duermen a la intemperie, e identificar y garantizar apoyos integrales adecuados para las personas sin hogar. Del mismo modo, el programa Orientaciones Futuras para la Vivienda Social en Nueva Gales del Sur expone la visión estratégica adoptada por el estado a diez años vista (hasta 2026) para reducir el número de personas sin hogar, proporcionar más viviendas y apoyos a las personas que necesitan vivienda social, e intensificar el apoyo ofrecido a las personas interesadas en evitar el sistema de vivienda social o en salir de él con éxito.</w:t>
      </w:r>
    </w:p>
    <w:p w14:paraId="0C5BBF7B" w14:textId="66444013"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 xml:space="preserve">Vivienda y COVID-19 </w:t>
      </w:r>
    </w:p>
    <w:p w14:paraId="36CD7DBE" w14:textId="77777777" w:rsidR="00E16C43" w:rsidRPr="00B039DD" w:rsidRDefault="00E16C43" w:rsidP="00E16C43">
      <w:pPr>
        <w:pStyle w:val="SingleTxtG"/>
        <w:rPr>
          <w:lang w:val="es-ES_tradnl"/>
        </w:rPr>
      </w:pPr>
      <w:r w:rsidRPr="00B039DD">
        <w:rPr>
          <w:lang w:val="es-ES_tradnl"/>
        </w:rPr>
        <w:t>267.</w:t>
      </w:r>
      <w:r w:rsidRPr="00B039DD">
        <w:rPr>
          <w:lang w:val="es-ES_tradnl"/>
        </w:rPr>
        <w:tab/>
        <w:t xml:space="preserve">Las dificultades económicas provocadas por la pandemia de COVID-19 generaron el riesgo de una oleada de impagos de alquiler y desahucios. Tras una decisión del Gabinete Nacional anunciada el 29 de marzo de 2020, la mayoría de los estados y territorios aprobaron una moratoria que restringía las circunstancias en las que se permitía el desahucio de inquilinos afectados por dificultades relacionadas con el COVID. </w:t>
      </w:r>
    </w:p>
    <w:p w14:paraId="045DB460" w14:textId="77777777" w:rsidR="00E16C43" w:rsidRPr="00B039DD" w:rsidRDefault="00E16C43" w:rsidP="00E16C43">
      <w:pPr>
        <w:pStyle w:val="SingleTxtG"/>
        <w:rPr>
          <w:lang w:val="es-ES_tradnl"/>
        </w:rPr>
      </w:pPr>
      <w:r w:rsidRPr="00B039DD">
        <w:rPr>
          <w:lang w:val="es-ES_tradnl"/>
        </w:rPr>
        <w:t>268.</w:t>
      </w:r>
      <w:r w:rsidRPr="00B039DD">
        <w:rPr>
          <w:lang w:val="es-ES_tradnl"/>
        </w:rPr>
        <w:tab/>
        <w:t xml:space="preserve">Los detalles difieren de una jurisdicción a otra. Tasmania suspendió todos los desahucios de inquilinos, salvo por motivos de venta, reformas importantes o utilización de la propiedad como vivienda del propietario. Las moratorias de Victoria, Queensland, </w:t>
      </w:r>
      <w:r w:rsidRPr="00B039DD">
        <w:rPr>
          <w:lang w:val="es-ES_tradnl"/>
        </w:rPr>
        <w:lastRenderedPageBreak/>
        <w:t>Australia Meridional, Australia Occidental y el Territorio de la Capital Australiana pusieron fin a los desahucios por impago de alquiler.</w:t>
      </w:r>
    </w:p>
    <w:p w14:paraId="19DD6BE4" w14:textId="77777777" w:rsidR="00E16C43" w:rsidRPr="00B039DD" w:rsidRDefault="00E16C43" w:rsidP="00E16C43">
      <w:pPr>
        <w:pStyle w:val="SingleTxtG"/>
        <w:rPr>
          <w:lang w:val="es-ES_tradnl"/>
        </w:rPr>
      </w:pPr>
      <w:r w:rsidRPr="00B039DD">
        <w:rPr>
          <w:lang w:val="es-ES_tradnl"/>
        </w:rPr>
        <w:t>269.</w:t>
      </w:r>
      <w:r w:rsidRPr="00B039DD">
        <w:rPr>
          <w:lang w:val="es-ES_tradnl"/>
        </w:rPr>
        <w:tab/>
        <w:t>Nueva Gales del Sur siguió permitiendo los desahucios por impago de alquiler, pero prolongó los plazos de preaviso y exigió negociaciones de buena fe y razones de mayor peso para justificar el desahucio de inquilinos afectados por la COVID. El Territorio del Norte introdujo plazos de preaviso más largos y otorgó al tribunal más discrecionalidad para denegar la rescisión de los contratos de arrendamiento firmados después de la declaración de emergencia.</w:t>
      </w:r>
    </w:p>
    <w:p w14:paraId="5E80D953" w14:textId="77777777" w:rsidR="00E16C43" w:rsidRPr="00B039DD" w:rsidRDefault="00E16C43" w:rsidP="00E16C43">
      <w:pPr>
        <w:pStyle w:val="SingleTxtG"/>
        <w:rPr>
          <w:lang w:val="es-ES_tradnl"/>
        </w:rPr>
      </w:pPr>
      <w:r w:rsidRPr="00B039DD">
        <w:rPr>
          <w:lang w:val="es-ES_tradnl"/>
        </w:rPr>
        <w:t>270.</w:t>
      </w:r>
      <w:r w:rsidRPr="00B039DD">
        <w:rPr>
          <w:lang w:val="es-ES_tradnl"/>
        </w:rPr>
        <w:tab/>
        <w:t>Ya se han suprimido todas las medidas de ayuda al arrendamiento para uso residencial dictadas en respuesta a la COVID-19.</w:t>
      </w:r>
    </w:p>
    <w:p w14:paraId="101E3AA5" w14:textId="635B0C84"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Reparación de las desigualdades de acceso y resultados</w:t>
      </w:r>
    </w:p>
    <w:p w14:paraId="72BC7839" w14:textId="77777777" w:rsidR="00E16C43" w:rsidRPr="00B039DD" w:rsidRDefault="00E16C43" w:rsidP="00E16C43">
      <w:pPr>
        <w:pStyle w:val="SingleTxtG"/>
        <w:rPr>
          <w:lang w:val="es-ES_tradnl"/>
        </w:rPr>
      </w:pPr>
      <w:r w:rsidRPr="00B039DD">
        <w:rPr>
          <w:lang w:val="es-ES_tradnl"/>
        </w:rPr>
        <w:t>271.</w:t>
      </w:r>
      <w:r w:rsidRPr="00B039DD">
        <w:rPr>
          <w:lang w:val="es-ES_tradnl"/>
        </w:rPr>
        <w:tab/>
      </w:r>
      <w:r w:rsidRPr="00581426">
        <w:rPr>
          <w:lang w:val="es-ES_tradnl"/>
        </w:rPr>
        <w:t>El Plan Nacional de Salud para los Aborígenes y los Isleños del Estrecho de Torres</w:t>
      </w:r>
      <w:r w:rsidRPr="00B039DD">
        <w:rPr>
          <w:lang w:val="es-ES_tradnl"/>
        </w:rPr>
        <w:t xml:space="preserve"> 2021-2031 establece un marco político concertado a escala nacional con vistas a mejorar los resultados de salud y bienestar de la población de las Primeras Naciones. El Gobierno australiano financia una red nacional de unos 145 servicios de salud controlados por la comunidad aborigen, mientras que otros 40 proveedores prestan atención primaria gratuita, completa y culturalmente apropiada a la población de las Primeras Naciones. Los servicios de salud controlados por la comunidad aborigen se esfuerzan por atender necesidades locales específicas, en estrecha colaboración con otras organizaciones de aborígenes e isleños del </w:t>
      </w:r>
      <w:r w:rsidRPr="00581426">
        <w:rPr>
          <w:lang w:val="es-ES_tradnl"/>
        </w:rPr>
        <w:t>estrecho de Torres, en</w:t>
      </w:r>
      <w:r w:rsidRPr="00B039DD">
        <w:rPr>
          <w:lang w:val="es-ES_tradnl"/>
        </w:rPr>
        <w:t xml:space="preserve"> cuestiones como la salud mental, la discapacidad y la atención a las personas de edad.</w:t>
      </w:r>
    </w:p>
    <w:p w14:paraId="435D09F5" w14:textId="77777777" w:rsidR="00E16C43" w:rsidRPr="00B039DD" w:rsidRDefault="00E16C43" w:rsidP="00E16C43">
      <w:pPr>
        <w:pStyle w:val="SingleTxtG"/>
        <w:rPr>
          <w:lang w:val="es-ES_tradnl"/>
        </w:rPr>
      </w:pPr>
      <w:r w:rsidRPr="00B039DD">
        <w:rPr>
          <w:lang w:val="es-ES_tradnl"/>
        </w:rPr>
        <w:t>272.</w:t>
      </w:r>
      <w:r w:rsidRPr="00B039DD">
        <w:rPr>
          <w:lang w:val="es-ES_tradnl"/>
        </w:rPr>
        <w:tab/>
        <w:t xml:space="preserve">La Estrategia Nacional de Salud de la Mujer 2020-2030 establece las grandes líneas de un enfoque nacional para mejorar los resultados sanitarios de todas las mujeres y niñas de Australia. La Estrategia reconoce y aborda las desigualdades y necesidades sanitarias singulares de las poblaciones prioritarias, incluidas las mujeres y niñas de las Primeras Naciones, de entornos rurales y remotos, de nivel socioeconómico bajo y de orígenes cultural y lingüísticamente diversos. </w:t>
      </w:r>
    </w:p>
    <w:p w14:paraId="6353E188" w14:textId="77777777" w:rsidR="00E16C43" w:rsidRPr="00B039DD" w:rsidRDefault="00E16C43" w:rsidP="00E16C43">
      <w:pPr>
        <w:pStyle w:val="SingleTxtG"/>
        <w:rPr>
          <w:lang w:val="es-ES_tradnl"/>
        </w:rPr>
      </w:pPr>
      <w:r w:rsidRPr="00B039DD">
        <w:rPr>
          <w:lang w:val="es-ES_tradnl"/>
        </w:rPr>
        <w:t>273.</w:t>
      </w:r>
      <w:r w:rsidRPr="00B039DD">
        <w:rPr>
          <w:lang w:val="es-ES_tradnl"/>
        </w:rPr>
        <w:tab/>
        <w:t>El Gobierno financia el Centro Multicultural de la Salud de la Mujer, que brinda información sobre planificación familiar y salud reproductiva a mujeres y niñas de orígenes cultural y lingüísticamente diversos, observando criterios de pertinencia cultural.</w:t>
      </w:r>
    </w:p>
    <w:p w14:paraId="23FFFCF8" w14:textId="6F31471B" w:rsidR="00E16C43" w:rsidRPr="00B039DD" w:rsidRDefault="00E16C43" w:rsidP="00E16C43">
      <w:pPr>
        <w:pStyle w:val="SingleTxtG"/>
        <w:rPr>
          <w:lang w:val="es-ES_tradnl"/>
        </w:rPr>
      </w:pPr>
      <w:r w:rsidRPr="00B039DD">
        <w:rPr>
          <w:lang w:val="es-ES_tradnl"/>
        </w:rPr>
        <w:t>274.</w:t>
      </w:r>
      <w:r w:rsidRPr="00B039DD">
        <w:rPr>
          <w:lang w:val="es-ES_tradnl"/>
        </w:rPr>
        <w:tab/>
        <w:t>Para mejorar el acceso de las mujeres y niñas migrantes y refugiadas a la información sanitaria, el Gobierno puso en marcha el proyecto Horizontes de Salud, que proporciona dicha información en inglés, mandarín y árabe. El Gobierno también ha destinado 10,6</w:t>
      </w:r>
      <w:r w:rsidR="005E0BCB">
        <w:rPr>
          <w:lang w:val="es-ES_tradnl"/>
        </w:rPr>
        <w:t> </w:t>
      </w:r>
      <w:r w:rsidRPr="00B039DD">
        <w:rPr>
          <w:lang w:val="es-ES_tradnl"/>
        </w:rPr>
        <w:t>millones de dólares (2022-</w:t>
      </w:r>
      <w:r w:rsidR="005E0BCB">
        <w:rPr>
          <w:lang w:val="es-ES_tradnl"/>
        </w:rPr>
        <w:t>20</w:t>
      </w:r>
      <w:r w:rsidRPr="00B039DD">
        <w:rPr>
          <w:lang w:val="es-ES_tradnl"/>
        </w:rPr>
        <w:t>23 a 2023-</w:t>
      </w:r>
      <w:r w:rsidR="005E0BCB">
        <w:rPr>
          <w:lang w:val="es-ES_tradnl"/>
        </w:rPr>
        <w:t>20</w:t>
      </w:r>
      <w:r w:rsidRPr="00B039DD">
        <w:rPr>
          <w:lang w:val="es-ES_tradnl"/>
        </w:rPr>
        <w:t xml:space="preserve">24) a una campaña de fomento de la comunicación con las comunidades cultural y lingüísticamente diversas y de prevención y gestión de enfermedades crónicas, destinada a contribuir al desarrollo de una estrategia de comunicación de salud pública adaptada a las comunidades cultural y lingüísticamente diversas. </w:t>
      </w:r>
    </w:p>
    <w:p w14:paraId="2E98726A" w14:textId="77777777" w:rsidR="00E16C43" w:rsidRPr="00B039DD" w:rsidRDefault="00E16C43" w:rsidP="00E16C43">
      <w:pPr>
        <w:pStyle w:val="SingleTxtG"/>
        <w:rPr>
          <w:lang w:val="es-ES_tradnl"/>
        </w:rPr>
      </w:pPr>
      <w:r w:rsidRPr="00B039DD">
        <w:rPr>
          <w:lang w:val="es-ES_tradnl"/>
        </w:rPr>
        <w:t>275.</w:t>
      </w:r>
      <w:r w:rsidRPr="00B039DD">
        <w:rPr>
          <w:lang w:val="es-ES_tradnl"/>
        </w:rPr>
        <w:tab/>
        <w:t xml:space="preserve">Desde octubre de 2022, el personal paramédico de contratación privada que cumple los requisitos pertinentes ha tenido acceso a los Servicios de Interpretación Gratuitos del Gobierno de Australia, lo cual le permite atender a poblaciones destinatarias con escaso dominio del inglés, incluidos refugiados, solicitantes de asilo y migrantes con tarjeta de Medicare. </w:t>
      </w:r>
    </w:p>
    <w:p w14:paraId="296A0874" w14:textId="11AD43AD" w:rsidR="00E16C43" w:rsidRPr="00B039DD" w:rsidRDefault="00E16C43" w:rsidP="00E16C43">
      <w:pPr>
        <w:pStyle w:val="SingleTxtG"/>
        <w:rPr>
          <w:lang w:val="es-ES_tradnl"/>
        </w:rPr>
      </w:pPr>
      <w:r w:rsidRPr="00B039DD">
        <w:rPr>
          <w:lang w:val="es-ES_tradnl"/>
        </w:rPr>
        <w:t>276.</w:t>
      </w:r>
      <w:r w:rsidRPr="00B039DD">
        <w:rPr>
          <w:lang w:val="es-ES_tradnl"/>
        </w:rPr>
        <w:tab/>
        <w:t xml:space="preserve">La nueva </w:t>
      </w:r>
      <w:r w:rsidRPr="005E0BCB">
        <w:rPr>
          <w:lang w:val="es-ES_tradnl"/>
        </w:rPr>
        <w:t>Estrategia Nacional sobre el Tabaco</w:t>
      </w:r>
      <w:r w:rsidRPr="00B039DD">
        <w:rPr>
          <w:lang w:val="es-ES_tradnl"/>
        </w:rPr>
        <w:t xml:space="preserve"> 2023-2030 aspira a reducir la prevalencia del consumo de tabaco y las desigualdades que provoca. La </w:t>
      </w:r>
      <w:r w:rsidR="005E0BCB" w:rsidRPr="00B039DD">
        <w:rPr>
          <w:lang w:val="es-ES_tradnl"/>
        </w:rPr>
        <w:t xml:space="preserve">Estrategia </w:t>
      </w:r>
      <w:r w:rsidRPr="00B039DD">
        <w:rPr>
          <w:lang w:val="es-ES_tradnl"/>
        </w:rPr>
        <w:t xml:space="preserve">incluye iniciativas destinadas a reducir el consumo de tabaco entre la población de las Primeras Naciones y otras poblaciones con elevada prevalencia de consumo de tabaco o mayor riesgo de sufrir daños derivados del mismo. El Gobierno financia asimismo una campaña nacional sobre los riesgos del consumo de alcohol durante el embarazo, que incluye una línea de promoción de la salud indígena y recursos a medida para 72 organizaciones sanitarias controladas por comunidades aborígenes de zonas remotas, en las que a menudo se sabe poco del trastorno del espectro alcohólico fetal. </w:t>
      </w:r>
    </w:p>
    <w:p w14:paraId="63D3099A" w14:textId="77777777" w:rsidR="00E16C43" w:rsidRPr="00B039DD" w:rsidRDefault="00E16C43" w:rsidP="00E16C43">
      <w:pPr>
        <w:pStyle w:val="SingleTxtG"/>
        <w:rPr>
          <w:lang w:val="es-ES_tradnl"/>
        </w:rPr>
      </w:pPr>
      <w:r w:rsidRPr="00B039DD">
        <w:rPr>
          <w:lang w:val="es-ES_tradnl"/>
        </w:rPr>
        <w:lastRenderedPageBreak/>
        <w:t>277.</w:t>
      </w:r>
      <w:r w:rsidRPr="00B039DD">
        <w:rPr>
          <w:lang w:val="es-ES_tradnl"/>
        </w:rPr>
        <w:tab/>
        <w:t xml:space="preserve">Las jurisdicciones estatales y territoriales disponen de políticas y medidas para ayudar a los grupos desfavorecidos y vulnerables a acceder a la atención sanitaria. En Victoria, por ejemplo, los migrantes, refugiados y solicitantes de asilo pueden acceder a una serie de programas específicos para mejorar su salud y bienestar, como el Programa de Salud para Refugiados y la Red de Salud para Refugiados de Victoria. </w:t>
      </w:r>
    </w:p>
    <w:p w14:paraId="32245361" w14:textId="076DAD01" w:rsidR="00E16C43" w:rsidRPr="00B039DD" w:rsidRDefault="00E16C43" w:rsidP="00E16C43">
      <w:pPr>
        <w:pStyle w:val="SingleTxtG"/>
        <w:rPr>
          <w:lang w:val="es-ES_tradnl"/>
        </w:rPr>
      </w:pPr>
      <w:r w:rsidRPr="00B039DD">
        <w:rPr>
          <w:lang w:val="es-ES_tradnl"/>
        </w:rPr>
        <w:t>278.</w:t>
      </w:r>
      <w:r w:rsidRPr="00B039DD">
        <w:rPr>
          <w:lang w:val="es-ES_tradnl"/>
        </w:rPr>
        <w:tab/>
        <w:t xml:space="preserve">El Gobierno de Queensland ha destinado 27,8 millones de dólares al establecimiento de espacios adicionales de tratamiento de diálisis renal en todas las zonas regionales, rurales y remotas de Queensland. En junio de 2022, suscribió un nuevo acuerdo de asociación de </w:t>
      </w:r>
      <w:r w:rsidR="005E0BCB">
        <w:rPr>
          <w:lang w:val="es-ES_tradnl"/>
        </w:rPr>
        <w:t>diez</w:t>
      </w:r>
      <w:r w:rsidRPr="00B039DD">
        <w:rPr>
          <w:lang w:val="es-ES_tradnl"/>
        </w:rPr>
        <w:t xml:space="preserve"> años con el Royal Flying Doctors Service. El Territorio del Norte garantiza servicios de atención primaria y pública y de atención de urgencia en centros de salud especializados sobre el terreno a las comunidades de zonas remotas, junto con el servicio de telesalud 24/7 del servicio médico del distrito y equipos especializados de visitadores médicos. El Territorio del Norte emplea y ofrece formación continua a los profesionales de la salud para que presten asistencia médica en condiciones de seguridad cultural.</w:t>
      </w:r>
    </w:p>
    <w:p w14:paraId="369F826F" w14:textId="36FC0835"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Ampliación de los servicios de salud de Medicare</w:t>
      </w:r>
    </w:p>
    <w:p w14:paraId="205BC022" w14:textId="77777777" w:rsidR="00E16C43" w:rsidRPr="00B039DD" w:rsidRDefault="00E16C43" w:rsidP="00E16C43">
      <w:pPr>
        <w:pStyle w:val="SingleTxtG"/>
        <w:rPr>
          <w:lang w:val="es-ES_tradnl"/>
        </w:rPr>
      </w:pPr>
      <w:r w:rsidRPr="00B039DD">
        <w:rPr>
          <w:lang w:val="es-ES_tradnl"/>
        </w:rPr>
        <w:t>279.</w:t>
      </w:r>
      <w:r w:rsidRPr="00B039DD">
        <w:rPr>
          <w:lang w:val="es-ES_tradnl"/>
        </w:rPr>
        <w:tab/>
        <w:t xml:space="preserve">Medicare, el régimen de seguro médico universal de Australia, permite a sus beneficiarios acceder a una amplia gama de servicios de salud y hospitalarios gratuitos o de bajo costo. </w:t>
      </w:r>
    </w:p>
    <w:p w14:paraId="7AE689BA" w14:textId="77777777" w:rsidR="00E16C43" w:rsidRPr="00B039DD" w:rsidRDefault="00E16C43" w:rsidP="00E16C43">
      <w:pPr>
        <w:pStyle w:val="SingleTxtG"/>
        <w:rPr>
          <w:lang w:val="es-ES_tradnl"/>
        </w:rPr>
      </w:pPr>
      <w:r w:rsidRPr="00B039DD">
        <w:rPr>
          <w:lang w:val="es-ES_tradnl"/>
        </w:rPr>
        <w:t>280.</w:t>
      </w:r>
      <w:r w:rsidRPr="00B039DD">
        <w:rPr>
          <w:lang w:val="es-ES_tradnl"/>
        </w:rPr>
        <w:tab/>
        <w:t xml:space="preserve">En marzo de 2020, el Gobierno australiano incorporó nuevos servicios temporales de telesalud a la lista de prestaciones de Medicare en el marco de la respuesta a la COVID-19. Esta medida resultó fundamental para seguir prestando servicios de salud de calidad durante la pandemia, sobre todo a la población de zonas remotas y a la población confinada. A partir del 1 de enero de 2022, Medicare amplió sus servicios permanentes para incluir más de 200 de los servicios temporales de telesalud COVID-19. </w:t>
      </w:r>
    </w:p>
    <w:p w14:paraId="793E994E" w14:textId="77777777" w:rsidR="00E16C43" w:rsidRPr="00B039DD" w:rsidRDefault="00E16C43" w:rsidP="00E16C43">
      <w:pPr>
        <w:pStyle w:val="SingleTxtG"/>
        <w:rPr>
          <w:lang w:val="es-ES_tradnl"/>
        </w:rPr>
      </w:pPr>
      <w:r w:rsidRPr="00B039DD">
        <w:rPr>
          <w:lang w:val="es-ES_tradnl"/>
        </w:rPr>
        <w:t>281.</w:t>
      </w:r>
      <w:r w:rsidRPr="00B039DD">
        <w:rPr>
          <w:lang w:val="es-ES_tradnl"/>
        </w:rPr>
        <w:tab/>
        <w:t xml:space="preserve">A partir de julio de 2021, el Gobierno incorporó a Medicare prestaciones para los servicios relacionados con los virus de transmisión sanguínea y la salud sexual y reproductiva, exentos del requisito de relación clínica establecida. De este modo, facilitó el acceso a la atención sanitaria, sobre todo para las personas radicadas en zonas rurales y remotas o que preferían no acudir a su médico generalista habitual por motivos de privacidad. A partir de noviembre de 2023, se aumentará la prestación por visita al médico generalista de más de 60 minutos. De este modo se mejorará el acceso y la asequibilidad de los servicios para pacientes con enfermedades crónicas y necesidades complejas que necesitan más tiempo con su médico generalista. </w:t>
      </w:r>
    </w:p>
    <w:p w14:paraId="718C4589" w14:textId="201AEDC9" w:rsidR="00E16C43" w:rsidRPr="00B039DD" w:rsidRDefault="00E16C43" w:rsidP="00E16C43">
      <w:pPr>
        <w:pStyle w:val="SingleTxtG"/>
        <w:rPr>
          <w:lang w:val="es-ES_tradnl"/>
        </w:rPr>
      </w:pPr>
      <w:r w:rsidRPr="00B039DD">
        <w:rPr>
          <w:lang w:val="es-ES_tradnl"/>
        </w:rPr>
        <w:t>282.</w:t>
      </w:r>
      <w:r w:rsidRPr="00B039DD">
        <w:rPr>
          <w:lang w:val="es-ES_tradnl"/>
        </w:rPr>
        <w:tab/>
        <w:t>El Gobierno australiano ha destinado 2,5 millones de dólares a lo largo de cuatro años (2023-</w:t>
      </w:r>
      <w:r w:rsidR="005E0BCB">
        <w:rPr>
          <w:lang w:val="es-ES_tradnl"/>
        </w:rPr>
        <w:t>20</w:t>
      </w:r>
      <w:r w:rsidRPr="00B039DD">
        <w:rPr>
          <w:lang w:val="es-ES_tradnl"/>
        </w:rPr>
        <w:t>24 a 2026-</w:t>
      </w:r>
      <w:r w:rsidR="005E0BCB">
        <w:rPr>
          <w:lang w:val="es-ES_tradnl"/>
        </w:rPr>
        <w:t>20</w:t>
      </w:r>
      <w:r w:rsidRPr="00B039DD">
        <w:rPr>
          <w:lang w:val="es-ES_tradnl"/>
        </w:rPr>
        <w:t xml:space="preserve">27) al establecimiento del Consorcio de Salud Multicultural Australiano, encargado de garantizar que las comunidades cultural y lingüísticamente diversas tengan voz en el diseño y la aplicación del programa público de reforma </w:t>
      </w:r>
      <w:r w:rsidRPr="005E0BCB">
        <w:rPr>
          <w:lang w:val="es-ES_tradnl"/>
        </w:rPr>
        <w:t>Strengthening Medicare (</w:t>
      </w:r>
      <w:r w:rsidR="00A82F0F" w:rsidRPr="005E0BCB">
        <w:rPr>
          <w:lang w:val="es-ES_tradnl"/>
        </w:rPr>
        <w:t>“</w:t>
      </w:r>
      <w:r w:rsidRPr="005E0BCB">
        <w:rPr>
          <w:lang w:val="es-ES_tradnl"/>
        </w:rPr>
        <w:t>Fortalecimiento</w:t>
      </w:r>
      <w:r w:rsidRPr="00B039DD">
        <w:rPr>
          <w:lang w:val="es-ES_tradnl"/>
        </w:rPr>
        <w:t xml:space="preserve"> de Medicare</w:t>
      </w:r>
      <w:r w:rsidR="00A82F0F">
        <w:rPr>
          <w:lang w:val="es-ES_tradnl"/>
        </w:rPr>
        <w:t>”</w:t>
      </w:r>
      <w:r w:rsidRPr="00B039DD">
        <w:rPr>
          <w:lang w:val="es-ES_tradnl"/>
        </w:rPr>
        <w:t>).</w:t>
      </w:r>
    </w:p>
    <w:p w14:paraId="2D5490E2" w14:textId="112ACEE2"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Medidas destinadas a aliviar la presión sobre el sistema sanitario</w:t>
      </w:r>
    </w:p>
    <w:p w14:paraId="2046E82C" w14:textId="77777777" w:rsidR="00E16C43" w:rsidRPr="00B039DD" w:rsidRDefault="00E16C43" w:rsidP="00E16C43">
      <w:pPr>
        <w:pStyle w:val="SingleTxtG"/>
        <w:rPr>
          <w:lang w:val="es-ES_tradnl"/>
        </w:rPr>
      </w:pPr>
      <w:r w:rsidRPr="00B039DD">
        <w:rPr>
          <w:lang w:val="es-ES_tradnl"/>
        </w:rPr>
        <w:t>283.</w:t>
      </w:r>
      <w:r w:rsidRPr="00B039DD">
        <w:rPr>
          <w:lang w:val="es-ES_tradnl"/>
        </w:rPr>
        <w:tab/>
        <w:t>A petición del Oficial Jefe del Servicio Médico del Commonwealth, el Comité Consultivo Nacional de Salud e Investigación sobre la COVID-19 elaboró un informe sobre las opciones de reorientar o reforzar los servicios sanitarios australianos tras la COVID-19. El informe concluyó que innovaciones como la prescripción electrónica y los servicios de telesalud habían aliviado parte de la presión sistémica, y que seguir apoyando un sistema de atención primaria sólido reduciría la presión sobre el sistema de salud.</w:t>
      </w:r>
    </w:p>
    <w:p w14:paraId="5B45B10E" w14:textId="77777777" w:rsidR="00E16C43" w:rsidRPr="00B039DD" w:rsidRDefault="00E16C43" w:rsidP="00E16C43">
      <w:pPr>
        <w:pStyle w:val="SingleTxtG"/>
        <w:rPr>
          <w:lang w:val="es-ES_tradnl"/>
        </w:rPr>
      </w:pPr>
      <w:r w:rsidRPr="00B039DD">
        <w:rPr>
          <w:lang w:val="es-ES_tradnl"/>
        </w:rPr>
        <w:t>284.</w:t>
      </w:r>
      <w:r w:rsidRPr="00B039DD">
        <w:rPr>
          <w:lang w:val="es-ES_tradnl"/>
        </w:rPr>
        <w:tab/>
        <w:t xml:space="preserve">El Gobierno australiano reconoce que la medicina general es la piedra angular del sistema de salud de atención primaria, y que los médicos de cabecera sufrieron importantes presiones durante la pandemia. </w:t>
      </w:r>
    </w:p>
    <w:p w14:paraId="1BA65475" w14:textId="3437FCE7" w:rsidR="00E16C43" w:rsidRPr="00B039DD" w:rsidRDefault="00E16C43" w:rsidP="002D588B">
      <w:pPr>
        <w:pStyle w:val="SingleTxtG"/>
        <w:keepNext/>
        <w:keepLines/>
        <w:rPr>
          <w:lang w:val="es-ES_tradnl"/>
        </w:rPr>
      </w:pPr>
      <w:r w:rsidRPr="00B039DD">
        <w:rPr>
          <w:lang w:val="es-ES_tradnl"/>
        </w:rPr>
        <w:lastRenderedPageBreak/>
        <w:t>285.</w:t>
      </w:r>
      <w:r w:rsidRPr="00B039DD">
        <w:rPr>
          <w:lang w:val="es-ES_tradnl"/>
        </w:rPr>
        <w:tab/>
        <w:t xml:space="preserve">El </w:t>
      </w:r>
      <w:r w:rsidRPr="00581426">
        <w:rPr>
          <w:lang w:val="es-ES_tradnl"/>
        </w:rPr>
        <w:t>presupuesto de 2022</w:t>
      </w:r>
      <w:r w:rsidR="00581426" w:rsidRPr="00581426">
        <w:rPr>
          <w:lang w:val="es-ES_tradnl"/>
        </w:rPr>
        <w:t>/</w:t>
      </w:r>
      <w:r w:rsidRPr="00581426">
        <w:rPr>
          <w:lang w:val="es-ES_tradnl"/>
        </w:rPr>
        <w:t>23 asignó 220</w:t>
      </w:r>
      <w:r w:rsidRPr="00B039DD">
        <w:rPr>
          <w:lang w:val="es-ES_tradnl"/>
        </w:rPr>
        <w:t xml:space="preserve"> millones de dólares a subvenciones concedidas a través de un programa de fortalecimiento de Medicare y de subsidios a los médicos generalistas con el objetivo de apoyar las prácticas generales de Medicare y los servicios de salud controlados por la comunidad aborigen, y de ampliar así el acceso de los pacientes a una atención primaria mejor, segura y accesible. En el marco de este programa, se concederán subvenciones únicas de hasta 50.000 dólares para inversiones en innovación, formación, equipamiento y obras de infraestructura menores destinadas a:</w:t>
      </w:r>
    </w:p>
    <w:p w14:paraId="5702D555" w14:textId="324F67F4" w:rsidR="00E16C43" w:rsidRPr="00B039DD" w:rsidRDefault="00A82F0F" w:rsidP="00E16C43">
      <w:pPr>
        <w:pStyle w:val="SingleTxtG"/>
        <w:rPr>
          <w:lang w:val="es-ES_tradnl"/>
        </w:rPr>
      </w:pPr>
      <w:r>
        <w:rPr>
          <w:lang w:val="es-ES_tradnl"/>
        </w:rPr>
        <w:tab/>
      </w:r>
      <w:r w:rsidR="00E16C43" w:rsidRPr="00B039DD">
        <w:rPr>
          <w:lang w:val="es-ES_tradnl"/>
        </w:rPr>
        <w:t>a)</w:t>
      </w:r>
      <w:r w:rsidR="00E16C43" w:rsidRPr="00B039DD">
        <w:rPr>
          <w:lang w:val="es-ES_tradnl"/>
        </w:rPr>
        <w:tab/>
        <w:t>Mejorar las capacidades en salud digital: acelerar la obtención de los beneficios asociados a un sistema de salud mejor interconectado y apto para responder a los desafíos del futuro;</w:t>
      </w:r>
    </w:p>
    <w:p w14:paraId="22BF0D00" w14:textId="2B53C9CB" w:rsidR="00E16C43" w:rsidRPr="00B039DD" w:rsidRDefault="00A82F0F" w:rsidP="00E16C43">
      <w:pPr>
        <w:pStyle w:val="SingleTxtG"/>
        <w:rPr>
          <w:lang w:val="es-ES_tradnl"/>
        </w:rPr>
      </w:pPr>
      <w:r>
        <w:rPr>
          <w:lang w:val="es-ES_tradnl"/>
        </w:rPr>
        <w:tab/>
      </w:r>
      <w:r w:rsidR="00E16C43" w:rsidRPr="00B039DD">
        <w:rPr>
          <w:lang w:val="es-ES_tradnl"/>
        </w:rPr>
        <w:t>b)</w:t>
      </w:r>
      <w:r w:rsidR="00E16C43" w:rsidRPr="00B039DD">
        <w:rPr>
          <w:lang w:val="es-ES_tradnl"/>
        </w:rPr>
        <w:tab/>
        <w:t>Modernizar las medidas de prevención y control de infecciones para garantizar que los pacientes con enfermedades respiratorias infecciosas (por ejemplo, la COVID-19) puedan ser atendidos de manera personalizada en condiciones de seguridad;</w:t>
      </w:r>
    </w:p>
    <w:p w14:paraId="16627ACA" w14:textId="48713588" w:rsidR="00E16C43" w:rsidRPr="00B039DD" w:rsidRDefault="00A82F0F" w:rsidP="00E16C43">
      <w:pPr>
        <w:pStyle w:val="SingleTxtG"/>
        <w:rPr>
          <w:lang w:val="es-ES_tradnl"/>
        </w:rPr>
      </w:pPr>
      <w:r>
        <w:rPr>
          <w:lang w:val="es-ES_tradnl"/>
        </w:rPr>
        <w:tab/>
      </w:r>
      <w:r w:rsidR="00E16C43" w:rsidRPr="00B039DD">
        <w:rPr>
          <w:lang w:val="es-ES_tradnl"/>
        </w:rPr>
        <w:t>c)</w:t>
      </w:r>
      <w:r w:rsidR="00E16C43" w:rsidRPr="00B039DD">
        <w:rPr>
          <w:lang w:val="es-ES_tradnl"/>
        </w:rPr>
        <w:tab/>
        <w:t xml:space="preserve">Apoyar a los profesionales de la salud para que mantengan u obtengan la acreditación del Real Colegio Australiano de Médicos Generalistas en materia de cumplimiento de las normas de la medicina generalista, en el marco del Programa de Acreditación de Médicos Generalistas. </w:t>
      </w:r>
    </w:p>
    <w:p w14:paraId="5B0D5D4A" w14:textId="77777777" w:rsidR="00E16C43" w:rsidRPr="00B039DD" w:rsidRDefault="00E16C43" w:rsidP="00E16C43">
      <w:pPr>
        <w:pStyle w:val="SingleTxtG"/>
        <w:rPr>
          <w:lang w:val="es-ES_tradnl"/>
        </w:rPr>
      </w:pPr>
      <w:r w:rsidRPr="00B039DD">
        <w:rPr>
          <w:lang w:val="es-ES_tradnl"/>
        </w:rPr>
        <w:t>286.</w:t>
      </w:r>
      <w:r w:rsidRPr="00B039DD">
        <w:rPr>
          <w:lang w:val="es-ES_tradnl"/>
        </w:rPr>
        <w:tab/>
        <w:t xml:space="preserve">La pandemia también puso de manifiesto las presiones sobre el sistema de salud mental. Australia está invirtiendo en la salud mental de niños y adultos, como se expone a continuación. </w:t>
      </w:r>
    </w:p>
    <w:p w14:paraId="2AC0CBC8" w14:textId="3A1F7281"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Mejora de los servicios de salud mental</w:t>
      </w:r>
    </w:p>
    <w:p w14:paraId="415680B6" w14:textId="77777777" w:rsidR="00E16C43" w:rsidRPr="00B039DD" w:rsidRDefault="00E16C43" w:rsidP="00E16C43">
      <w:pPr>
        <w:pStyle w:val="SingleTxtG"/>
        <w:rPr>
          <w:lang w:val="es-ES_tradnl"/>
        </w:rPr>
      </w:pPr>
      <w:r w:rsidRPr="00B039DD">
        <w:rPr>
          <w:lang w:val="es-ES_tradnl"/>
        </w:rPr>
        <w:t>287.</w:t>
      </w:r>
      <w:r w:rsidRPr="00B039DD">
        <w:rPr>
          <w:lang w:val="es-ES_tradnl"/>
        </w:rPr>
        <w:tab/>
        <w:t xml:space="preserve">El Acuerdo Nacional sobre Salud Mental y Prevención del Suicidio, que entró en vigor en marzo de 2022, se articula en torno al objetivo compartido por todos los gobiernos australianos de reforzar el marco de salud mental del país. </w:t>
      </w:r>
    </w:p>
    <w:p w14:paraId="2E94A3C7" w14:textId="77777777" w:rsidR="00E16C43" w:rsidRPr="00B039DD" w:rsidRDefault="00E16C43" w:rsidP="00E16C43">
      <w:pPr>
        <w:pStyle w:val="SingleTxtG"/>
        <w:rPr>
          <w:lang w:val="es-ES_tradnl"/>
        </w:rPr>
      </w:pPr>
      <w:r w:rsidRPr="00B039DD">
        <w:rPr>
          <w:lang w:val="es-ES_tradnl"/>
        </w:rPr>
        <w:t>288.</w:t>
      </w:r>
      <w:r w:rsidRPr="00B039DD">
        <w:rPr>
          <w:lang w:val="es-ES_tradnl"/>
        </w:rPr>
        <w:tab/>
        <w:t xml:space="preserve">El acuerdo incrementa la asistencia de salud mental a los progenitores recientes, establece nuevos centros infantiles, de salud mental y bienestar, amplía la red nacional de centros de salud mental para adultos </w:t>
      </w:r>
      <w:r w:rsidRPr="00B039DD">
        <w:rPr>
          <w:iCs/>
          <w:lang w:val="es-ES_tradnl"/>
        </w:rPr>
        <w:t>Head to Health</w:t>
      </w:r>
      <w:r w:rsidRPr="00B039DD">
        <w:rPr>
          <w:lang w:val="es-ES_tradnl"/>
        </w:rPr>
        <w:t xml:space="preserve">, potencia la capacidad clínica de la red </w:t>
      </w:r>
      <w:r w:rsidRPr="00B039DD">
        <w:rPr>
          <w:iCs/>
          <w:lang w:val="es-ES_tradnl"/>
        </w:rPr>
        <w:t>Headspace</w:t>
      </w:r>
      <w:r w:rsidRPr="00B039DD">
        <w:rPr>
          <w:i/>
          <w:iCs/>
          <w:lang w:val="es-ES_tradnl"/>
        </w:rPr>
        <w:t>,</w:t>
      </w:r>
      <w:r w:rsidRPr="00B039DD">
        <w:rPr>
          <w:lang w:val="es-ES_tradnl"/>
        </w:rPr>
        <w:t xml:space="preserve"> centrada en los jóvenes, promueve la concienciación sobre salud mental en escuelas y empresas, y amplía el acceso a servicios y formación en prevención del suicidio.</w:t>
      </w:r>
    </w:p>
    <w:p w14:paraId="175BE515" w14:textId="77777777" w:rsidR="00E16C43" w:rsidRPr="00B039DD" w:rsidRDefault="00E16C43" w:rsidP="00E16C43">
      <w:pPr>
        <w:pStyle w:val="SingleTxtG"/>
        <w:rPr>
          <w:lang w:val="es-ES_tradnl"/>
        </w:rPr>
      </w:pPr>
      <w:r w:rsidRPr="00B039DD">
        <w:rPr>
          <w:lang w:val="es-ES_tradnl"/>
        </w:rPr>
        <w:t>289.</w:t>
      </w:r>
      <w:r w:rsidRPr="00B039DD">
        <w:rPr>
          <w:lang w:val="es-ES_tradnl"/>
        </w:rPr>
        <w:tab/>
        <w:t>Paralelamente a las iniciativas de salud mental juvenil previstas en el acuerdo, se está extendiendo el Programa de Servicios para Jóvenes con Psicosis Temprana a todas las jurisdicciones. El programa ofrece tratamientos de intervención precoz y apoyo a jóvenes de entre 12 y 25 años que presentan un riesgo muy elevado de sufrir un primer episodio de psicosis o ya lo están padeciendo. Su objetivo es reducir el riesgo de que desarrollen enfermedades mentales de larga duración mediante prevención, detección precoz y prestación coordinada de atención de la salud.</w:t>
      </w:r>
    </w:p>
    <w:p w14:paraId="3B701DA9" w14:textId="1251C27B" w:rsidR="00E16C43" w:rsidRPr="00B039DD" w:rsidRDefault="00E16C43" w:rsidP="00E16C43">
      <w:pPr>
        <w:pStyle w:val="SingleTxtG"/>
        <w:rPr>
          <w:lang w:val="es-ES_tradnl"/>
        </w:rPr>
      </w:pPr>
      <w:r w:rsidRPr="00B039DD">
        <w:rPr>
          <w:lang w:val="es-ES_tradnl"/>
        </w:rPr>
        <w:t>290.</w:t>
      </w:r>
      <w:r w:rsidRPr="00B039DD">
        <w:rPr>
          <w:lang w:val="es-ES_tradnl"/>
        </w:rPr>
        <w:tab/>
        <w:t xml:space="preserve">En 2021, Australia puso en marcha su primera Estrategia Nacional de Salud Mental y Bienestar Infantil. Esta </w:t>
      </w:r>
      <w:r w:rsidR="00107D4A" w:rsidRPr="00B039DD">
        <w:rPr>
          <w:lang w:val="es-ES_tradnl"/>
        </w:rPr>
        <w:t xml:space="preserve">Estrategia </w:t>
      </w:r>
      <w:r w:rsidRPr="00B039DD">
        <w:rPr>
          <w:lang w:val="es-ES_tradnl"/>
        </w:rPr>
        <w:t xml:space="preserve">guía la inversión crítica en salud mental y bienestar de los niños desde su nacimiento hasta los 12 años, así como de sus familias y comunidades. </w:t>
      </w:r>
    </w:p>
    <w:p w14:paraId="572EBDBA" w14:textId="77777777" w:rsidR="00E16C43" w:rsidRPr="00B039DD" w:rsidRDefault="00E16C43" w:rsidP="00E16C43">
      <w:pPr>
        <w:pStyle w:val="SingleTxtG"/>
        <w:rPr>
          <w:lang w:val="es-ES_tradnl"/>
        </w:rPr>
      </w:pPr>
      <w:r w:rsidRPr="00B039DD">
        <w:rPr>
          <w:lang w:val="es-ES_tradnl"/>
        </w:rPr>
        <w:t>291.</w:t>
      </w:r>
      <w:r w:rsidRPr="00B039DD">
        <w:rPr>
          <w:lang w:val="es-ES_tradnl"/>
        </w:rPr>
        <w:tab/>
        <w:t xml:space="preserve">Headspace es la principal plataforma nacional australiana de servicios gratuitos o baratos para jóvenes de entre 12 y 25 años que padecen, o corren el riesgo de padecer, enfermedades mentales leves o moderadas. La red de servicios Headspace ofrece atención holística en los campos de la salud mental, la salud física y sexual, el consumo de alcohol y otras drogas, y los servicios profesionales. Al 31 de enero de 2023, había 154 servicios Headspace en todo el país, 84 de ellos en zonas regionales. La red también ofrece servicios a jóvenes de las Primeras Naciones y de entornos cultural y lingüísticamente diversos. </w:t>
      </w:r>
    </w:p>
    <w:p w14:paraId="37316089" w14:textId="77777777" w:rsidR="00E16C43" w:rsidRPr="00B039DD" w:rsidRDefault="00E16C43" w:rsidP="00E16C43">
      <w:pPr>
        <w:pStyle w:val="SingleTxtG"/>
        <w:rPr>
          <w:lang w:val="es-ES_tradnl"/>
        </w:rPr>
      </w:pPr>
      <w:r w:rsidRPr="00B039DD">
        <w:rPr>
          <w:lang w:val="es-ES_tradnl"/>
        </w:rPr>
        <w:t>292.</w:t>
      </w:r>
      <w:r w:rsidRPr="00B039DD">
        <w:rPr>
          <w:lang w:val="es-ES_tradnl"/>
        </w:rPr>
        <w:tab/>
        <w:t>Australia invierte en servicios comunitarios de salud mental para adultos, ampliando la red nacional de centros de salud mental para adultos Head to Health, que ofrecen información, servicios y apoyo de salud mental gratuitos y sin necesidad de cita previa. En virtud del Acuerdo Nacional de Salud Mental, se crearán 61 centros Head to Health en todo el país.</w:t>
      </w:r>
    </w:p>
    <w:p w14:paraId="7C514B0C" w14:textId="77777777" w:rsidR="00E16C43" w:rsidRPr="00B039DD" w:rsidRDefault="00E16C43" w:rsidP="00E16C43">
      <w:pPr>
        <w:pStyle w:val="SingleTxtG"/>
        <w:rPr>
          <w:lang w:val="es-ES_tradnl"/>
        </w:rPr>
      </w:pPr>
      <w:r w:rsidRPr="00B039DD">
        <w:rPr>
          <w:lang w:val="es-ES_tradnl"/>
        </w:rPr>
        <w:lastRenderedPageBreak/>
        <w:t>293.</w:t>
      </w:r>
      <w:r w:rsidRPr="00B039DD">
        <w:rPr>
          <w:lang w:val="es-ES_tradnl"/>
        </w:rPr>
        <w:tab/>
        <w:t xml:space="preserve">Australia también financia el proyecto </w:t>
      </w:r>
      <w:r w:rsidRPr="00B039DD">
        <w:rPr>
          <w:iCs/>
          <w:lang w:val="es-ES_tradnl"/>
        </w:rPr>
        <w:t>Embrace Multicultural Mental Health</w:t>
      </w:r>
      <w:r w:rsidRPr="00B039DD">
        <w:rPr>
          <w:lang w:val="es-ES_tradnl"/>
        </w:rPr>
        <w:t xml:space="preserve">, que ofrece una plataforma nacional en línea para los servicios de salud mental australianos y acceso a recursos, servicios e información sobre salud mental a las comunidades multiculturales en un formato cultural y lingüísticamente accesible. El Programa de Asistencia a los Supervivientes de Torturas y Traumas ofrece asesoramiento y apoyo a los supervivientes de torturas y traumas previos a la migración. Los servicios de salud mental designados por las Redes de Atención Primaria de la Salud cuentan con servicios de traducción e interpretación. </w:t>
      </w:r>
    </w:p>
    <w:p w14:paraId="55B8FF0C" w14:textId="63789F5E"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 xml:space="preserve">Medidas de salud mental de respuesta a la COVID-19 </w:t>
      </w:r>
    </w:p>
    <w:p w14:paraId="351D5A95" w14:textId="77777777" w:rsidR="00E16C43" w:rsidRPr="00B039DD" w:rsidRDefault="00E16C43" w:rsidP="00E16C43">
      <w:pPr>
        <w:pStyle w:val="SingleTxtG"/>
        <w:rPr>
          <w:lang w:val="es-ES_tradnl"/>
        </w:rPr>
      </w:pPr>
      <w:r w:rsidRPr="00B039DD">
        <w:rPr>
          <w:lang w:val="es-ES_tradnl"/>
        </w:rPr>
        <w:t>294.</w:t>
      </w:r>
      <w:r w:rsidRPr="00B039DD">
        <w:rPr>
          <w:lang w:val="es-ES_tradnl"/>
        </w:rPr>
        <w:tab/>
        <w:t xml:space="preserve">Australia fue uno de los primeros países en elaborar un Plan Nacional de Salud Mental y Bienestar en Respuesta a la Pandemia, debido a los importantes efectos adversos de la pandemia de COVID-19 sobre la salud mental. Australia amplió significativamente su gama de prestaciones de salud mental, adaptando rápidamente la escala de sus servicios de asesoramiento, atención y tratamiento médico a la dimensión inédita de la pandemia, y brindando apoyo de salud mental a todos los australianos que lo necesitaran. </w:t>
      </w:r>
    </w:p>
    <w:p w14:paraId="4228DD32" w14:textId="5799B799" w:rsidR="00E16C43" w:rsidRPr="00B039DD" w:rsidRDefault="00E16C43" w:rsidP="00E16C43">
      <w:pPr>
        <w:pStyle w:val="SingleTxtG"/>
        <w:rPr>
          <w:lang w:val="es-ES_tradnl"/>
        </w:rPr>
      </w:pPr>
      <w:r w:rsidRPr="00B039DD">
        <w:rPr>
          <w:lang w:val="es-ES_tradnl"/>
        </w:rPr>
        <w:t>295.</w:t>
      </w:r>
      <w:r w:rsidRPr="00B039DD">
        <w:rPr>
          <w:lang w:val="es-ES_tradnl"/>
        </w:rPr>
        <w:tab/>
        <w:t>Los estados y territorios también intensificaron el apoyo a la salud mental en respuesta al impacto de la COVID-19. Todas las administraciones incrementaron la financiación de los servicios de atención de la salud mental y de trastornos relacionados con el consumo de alcohol u otras drogas. Por ejemplo, Queensland destinó en 2020 46,5 millones de dólares a apoyar durante dos años el Paquete Comunitario de Salud Mental y Bienestar para la prestación de servicios comunitarios locales de tratamiento y apoyo en materia de salud mental y consumo de alcohol u otras drogas. En 2021, Nueva Gales del Sur destinó 35</w:t>
      </w:r>
      <w:r w:rsidR="00107D4A">
        <w:rPr>
          <w:lang w:val="es-ES_tradnl"/>
        </w:rPr>
        <w:t> </w:t>
      </w:r>
      <w:r w:rsidRPr="00B039DD">
        <w:rPr>
          <w:lang w:val="es-ES_tradnl"/>
        </w:rPr>
        <w:t xml:space="preserve">millones de dólares a potenciar, a lo largo de </w:t>
      </w:r>
      <w:r w:rsidR="00107D4A">
        <w:rPr>
          <w:lang w:val="es-ES_tradnl"/>
        </w:rPr>
        <w:t>dos</w:t>
      </w:r>
      <w:r w:rsidRPr="00B039DD">
        <w:rPr>
          <w:lang w:val="es-ES_tradnl"/>
        </w:rPr>
        <w:t xml:space="preserve"> años, la capacidad de refuerzo del personal clínico de salud mental en respuesta a la COVID-19.</w:t>
      </w:r>
    </w:p>
    <w:p w14:paraId="34BAA38D" w14:textId="77777777" w:rsidR="00E16C43" w:rsidRPr="00B039DD" w:rsidRDefault="00E16C43" w:rsidP="00E16C43">
      <w:pPr>
        <w:pStyle w:val="SingleTxtG"/>
        <w:rPr>
          <w:lang w:val="es-ES_tradnl"/>
        </w:rPr>
      </w:pPr>
      <w:r w:rsidRPr="00B039DD">
        <w:rPr>
          <w:lang w:val="es-ES_tradnl"/>
        </w:rPr>
        <w:t>296.</w:t>
      </w:r>
      <w:r w:rsidRPr="00B039DD">
        <w:rPr>
          <w:lang w:val="es-ES_tradnl"/>
        </w:rPr>
        <w:tab/>
        <w:t xml:space="preserve">Victoria invirtió 246 millones de dólares en ayudas a la salud mental durante la pandemia y puso en marcha medidas de apoyo a la salud mental de los jóvenes aislados en centros de justicia juvenil. Australia Meridional puso en marcha </w:t>
      </w:r>
      <w:r w:rsidRPr="00B039DD">
        <w:rPr>
          <w:iCs/>
          <w:lang w:val="es-ES_tradnl"/>
        </w:rPr>
        <w:t>Strong Futures</w:t>
      </w:r>
      <w:r w:rsidRPr="00B039DD">
        <w:rPr>
          <w:lang w:val="es-ES_tradnl"/>
        </w:rPr>
        <w:t xml:space="preserve">, el Plan de Acción para la Juventud 2020-2022 del estado, que incluía financiación de programas y proyectos de apoyo a la recuperación de los jóvenes de las repercusiones de la COVID-19. </w:t>
      </w:r>
    </w:p>
    <w:p w14:paraId="772130A3" w14:textId="2586D78E"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Medidas de prevención del suicidio</w:t>
      </w:r>
    </w:p>
    <w:p w14:paraId="4F53C3F1" w14:textId="77777777" w:rsidR="00E16C43" w:rsidRPr="00B039DD" w:rsidRDefault="00E16C43" w:rsidP="00E16C43">
      <w:pPr>
        <w:pStyle w:val="SingleTxtG"/>
        <w:rPr>
          <w:lang w:val="es-ES_tradnl"/>
        </w:rPr>
      </w:pPr>
      <w:r w:rsidRPr="00B039DD">
        <w:rPr>
          <w:lang w:val="es-ES_tradnl"/>
        </w:rPr>
        <w:t>297.</w:t>
      </w:r>
      <w:r w:rsidRPr="00B039DD">
        <w:rPr>
          <w:lang w:val="es-ES_tradnl"/>
        </w:rPr>
        <w:tab/>
        <w:t>Australia reconoce que determinados grupos presentan necesidades sanitarias complejas y se ven afectados de forma desproporcionada por las enfermedades mentales y el suicidio, y tiene la determinación de reducir las muertes por suicidio:</w:t>
      </w:r>
    </w:p>
    <w:p w14:paraId="5B90CF96" w14:textId="41082679" w:rsidR="00E16C43" w:rsidRPr="00B039DD" w:rsidRDefault="00A82F0F" w:rsidP="00E16C43">
      <w:pPr>
        <w:pStyle w:val="SingleTxtG"/>
        <w:rPr>
          <w:lang w:val="es-ES_tradnl"/>
        </w:rPr>
      </w:pPr>
      <w:r>
        <w:rPr>
          <w:lang w:val="es-ES_tradnl"/>
        </w:rPr>
        <w:tab/>
      </w:r>
      <w:r w:rsidR="00E16C43" w:rsidRPr="00B039DD">
        <w:rPr>
          <w:lang w:val="es-ES_tradnl"/>
        </w:rPr>
        <w:t>a)</w:t>
      </w:r>
      <w:r w:rsidR="00E16C43" w:rsidRPr="00B039DD">
        <w:rPr>
          <w:lang w:val="es-ES_tradnl"/>
        </w:rPr>
        <w:tab/>
        <w:t>Prestando servicios esenciales de prevención del suicidio específicamente destinados a poblaciones prioritarias en el marco del Programa Nacional de Liderazgo y Apoyo para la Prevención del Suicidio;</w:t>
      </w:r>
    </w:p>
    <w:p w14:paraId="5D78A1EE" w14:textId="70B8B929" w:rsidR="00E16C43" w:rsidRPr="00B039DD" w:rsidRDefault="00A82F0F" w:rsidP="00E16C43">
      <w:pPr>
        <w:pStyle w:val="SingleTxtG"/>
        <w:rPr>
          <w:lang w:val="es-ES_tradnl"/>
        </w:rPr>
      </w:pPr>
      <w:r>
        <w:rPr>
          <w:lang w:val="es-ES_tradnl"/>
        </w:rPr>
        <w:tab/>
      </w:r>
      <w:r w:rsidR="00E16C43" w:rsidRPr="00B039DD">
        <w:rPr>
          <w:lang w:val="es-ES_tradnl"/>
        </w:rPr>
        <w:t>b)</w:t>
      </w:r>
      <w:r w:rsidR="00E16C43" w:rsidRPr="00B039DD">
        <w:rPr>
          <w:lang w:val="es-ES_tradnl"/>
        </w:rPr>
        <w:tab/>
        <w:t>Aportando financiación para prolongar las actividades del Sistema Nacional de Vigilancia de Suicidios y Conductas Autolesivas;</w:t>
      </w:r>
    </w:p>
    <w:p w14:paraId="77E90BA3" w14:textId="79A4457D" w:rsidR="00E16C43" w:rsidRPr="00B039DD" w:rsidRDefault="00A82F0F" w:rsidP="00E16C43">
      <w:pPr>
        <w:pStyle w:val="SingleTxtG"/>
        <w:rPr>
          <w:lang w:val="es-ES_tradnl"/>
        </w:rPr>
      </w:pPr>
      <w:r>
        <w:rPr>
          <w:lang w:val="es-ES_tradnl"/>
        </w:rPr>
        <w:tab/>
      </w:r>
      <w:r w:rsidR="00E16C43" w:rsidRPr="00B039DD">
        <w:rPr>
          <w:lang w:val="es-ES_tradnl"/>
        </w:rPr>
        <w:t>c)</w:t>
      </w:r>
      <w:r w:rsidR="00E16C43" w:rsidRPr="00B039DD">
        <w:rPr>
          <w:lang w:val="es-ES_tradnl"/>
        </w:rPr>
        <w:tab/>
        <w:t>Estableciendo y financiando la Oficina Nacional de Prevención del Suicidio con vistas a supervisar un enfoque nacional coordinado de la prevención del suicidio;</w:t>
      </w:r>
    </w:p>
    <w:p w14:paraId="427066CC" w14:textId="2E0AC652" w:rsidR="00E16C43" w:rsidRPr="00B039DD" w:rsidRDefault="00A82F0F" w:rsidP="00E16C43">
      <w:pPr>
        <w:pStyle w:val="SingleTxtG"/>
        <w:rPr>
          <w:lang w:val="es-ES_tradnl"/>
        </w:rPr>
      </w:pPr>
      <w:r>
        <w:rPr>
          <w:lang w:val="es-ES_tradnl"/>
        </w:rPr>
        <w:tab/>
      </w:r>
      <w:r w:rsidR="00E16C43" w:rsidRPr="00B039DD">
        <w:rPr>
          <w:lang w:val="es-ES_tradnl"/>
        </w:rPr>
        <w:t>d)</w:t>
      </w:r>
      <w:r w:rsidR="00E16C43" w:rsidRPr="00B039DD">
        <w:rPr>
          <w:lang w:val="es-ES_tradnl"/>
        </w:rPr>
        <w:tab/>
        <w:t>Financiando a las Redes de Atención Primaria de la Salud para garantizar la labor de coordinadores dedicados a la prevención del suicidio y la inversión en la prevención del suicidio a escala regional y comunitaria;</w:t>
      </w:r>
    </w:p>
    <w:p w14:paraId="6D24803D" w14:textId="6E66FFA5" w:rsidR="00E16C43" w:rsidRPr="00B039DD" w:rsidRDefault="00A82F0F" w:rsidP="00E16C43">
      <w:pPr>
        <w:pStyle w:val="SingleTxtG"/>
        <w:rPr>
          <w:lang w:val="es-ES_tradnl"/>
        </w:rPr>
      </w:pPr>
      <w:r>
        <w:rPr>
          <w:lang w:val="es-ES_tradnl"/>
        </w:rPr>
        <w:tab/>
      </w:r>
      <w:r w:rsidR="00E16C43" w:rsidRPr="00B039DD">
        <w:rPr>
          <w:lang w:val="es-ES_tradnl"/>
        </w:rPr>
        <w:t>e)</w:t>
      </w:r>
      <w:r w:rsidR="00E16C43" w:rsidRPr="00B039DD">
        <w:rPr>
          <w:lang w:val="es-ES_tradnl"/>
        </w:rPr>
        <w:tab/>
        <w:t>Comprometiéndose con la labor emprendida en el marco del Acuerdo Nacional sobre el Plan Cerrar la Brecha.</w:t>
      </w:r>
    </w:p>
    <w:p w14:paraId="2C58A616" w14:textId="77777777" w:rsidR="00E16C43" w:rsidRPr="00B039DD" w:rsidRDefault="00E16C43" w:rsidP="00E16C43">
      <w:pPr>
        <w:pStyle w:val="SingleTxtG"/>
        <w:rPr>
          <w:lang w:val="es-ES_tradnl"/>
        </w:rPr>
      </w:pPr>
      <w:r w:rsidRPr="00B039DD">
        <w:rPr>
          <w:lang w:val="es-ES_tradnl"/>
        </w:rPr>
        <w:t>298.</w:t>
      </w:r>
      <w:r w:rsidRPr="00B039DD">
        <w:rPr>
          <w:lang w:val="es-ES_tradnl"/>
        </w:rPr>
        <w:tab/>
        <w:t xml:space="preserve">Australia también está invirtiendo en la recopilación de datos sobre salud mental para establecer una base empírica exhaustiva que sirva de apoyo para la utilización de datos y la supervisión en tiempo real en el marco de los sistemas de salud mental y de prevención del suicidio. Entre las recopilaciones de datos en curso figuran un estudio sobre salud mental y </w:t>
      </w:r>
      <w:r w:rsidRPr="00B039DD">
        <w:rPr>
          <w:lang w:val="es-ES_tradnl"/>
        </w:rPr>
        <w:lastRenderedPageBreak/>
        <w:t xml:space="preserve">bienestar infantil, y otro que evalúa por primera vez las tendencias de la salud mental en las poblaciones de las Primeras Naciones. </w:t>
      </w:r>
    </w:p>
    <w:p w14:paraId="5FE872A1" w14:textId="77777777" w:rsidR="00E16C43" w:rsidRPr="00B039DD" w:rsidRDefault="00E16C43" w:rsidP="00E16C43">
      <w:pPr>
        <w:pStyle w:val="SingleTxtG"/>
        <w:rPr>
          <w:lang w:val="es-ES_tradnl"/>
        </w:rPr>
      </w:pPr>
      <w:r w:rsidRPr="00B039DD">
        <w:rPr>
          <w:lang w:val="es-ES_tradnl"/>
        </w:rPr>
        <w:t>299.</w:t>
      </w:r>
      <w:r w:rsidRPr="00B039DD">
        <w:rPr>
          <w:lang w:val="es-ES_tradnl"/>
        </w:rPr>
        <w:tab/>
        <w:t xml:space="preserve">Australia ha hecho una inversión significativa en servicios de atención posterior y ha destinado fondos adicionales a los servicios de atención a las personas que reciben el alta hospitalaria tras una crisis o un intento de suicidio y a proyectos piloto de ampliación de los canales de remisión. </w:t>
      </w:r>
    </w:p>
    <w:p w14:paraId="7382861E" w14:textId="021C2A51" w:rsidR="00E16C43" w:rsidRPr="00B039DD" w:rsidRDefault="00E16C43" w:rsidP="00E16C43">
      <w:pPr>
        <w:pStyle w:val="SingleTxtG"/>
        <w:rPr>
          <w:lang w:val="es-ES_tradnl"/>
        </w:rPr>
      </w:pPr>
      <w:r w:rsidRPr="00B039DD">
        <w:rPr>
          <w:lang w:val="es-ES_tradnl"/>
        </w:rPr>
        <w:t>300.</w:t>
      </w:r>
      <w:r w:rsidRPr="00B039DD">
        <w:rPr>
          <w:lang w:val="es-ES_tradnl"/>
        </w:rPr>
        <w:tab/>
        <w:t xml:space="preserve">Los Estados y territorios </w:t>
      </w:r>
      <w:r w:rsidRPr="00581426">
        <w:rPr>
          <w:lang w:val="es-ES_tradnl"/>
        </w:rPr>
        <w:t>también han desarrollado iniciativas específicas de prevención del suicidio. Por ejemplo, el presupuesto del estado de Queensland para 2022</w:t>
      </w:r>
      <w:r w:rsidR="00581426" w:rsidRPr="00581426">
        <w:rPr>
          <w:lang w:val="es-ES_tradnl"/>
        </w:rPr>
        <w:t>/</w:t>
      </w:r>
      <w:r w:rsidRPr="00581426">
        <w:rPr>
          <w:lang w:val="es-ES_tradnl"/>
        </w:rPr>
        <w:t>23 invirtió 1.645 millones de dólares en un plan quinquenal de mejora de los servicios de salud mental y los servicios para alcohólicos y toxicómanos, así como en una serie de iniciativas de apoyo a la prevención del suicidio. Victoria destinó 17,7 millones de dólares de su presupuesto estatal para 2023</w:t>
      </w:r>
      <w:r w:rsidR="00581426" w:rsidRPr="00581426">
        <w:rPr>
          <w:lang w:val="es-ES_tradnl"/>
        </w:rPr>
        <w:t>/</w:t>
      </w:r>
      <w:r w:rsidRPr="00581426">
        <w:rPr>
          <w:lang w:val="es-ES_tradnl"/>
        </w:rPr>
        <w:t>24 a apoyar</w:t>
      </w:r>
      <w:r w:rsidRPr="00B039DD">
        <w:rPr>
          <w:lang w:val="es-ES_tradnl"/>
        </w:rPr>
        <w:t xml:space="preserve"> los esfuerzos de prevención y respuesta al suicidio, incluida la financiación de programas de prevención del suicidio para jóvenes aborígenes. A este gasto se suman los 21 millones de dólares de 2022-2023 y los 173,4 millones de dólares de 2021-2022, destinados a aplicar las recomendaciones de la Comisión Real sobre el Sistema de Salud Mental de Victoria. </w:t>
      </w:r>
    </w:p>
    <w:p w14:paraId="716021DC" w14:textId="1E6E1D09" w:rsidR="00E16C43" w:rsidRPr="00B039DD" w:rsidRDefault="00E16C43" w:rsidP="00E16C43">
      <w:pPr>
        <w:pStyle w:val="SingleTxtG"/>
        <w:rPr>
          <w:lang w:val="es-ES_tradnl"/>
        </w:rPr>
      </w:pPr>
      <w:r w:rsidRPr="00B039DD">
        <w:rPr>
          <w:lang w:val="es-ES_tradnl"/>
        </w:rPr>
        <w:t>301.</w:t>
      </w:r>
      <w:r w:rsidRPr="00B039DD">
        <w:rPr>
          <w:lang w:val="es-ES_tradnl"/>
        </w:rPr>
        <w:tab/>
        <w:t xml:space="preserve">El Gobierno de Nueva Gales del Sur está invirtiendo 143,4 millones de dólares, a partir de 2022-2023, en un horizonte de cuatro años, en iniciativas que aplican el enfoque </w:t>
      </w:r>
      <w:r w:rsidR="00A82F0F">
        <w:rPr>
          <w:lang w:val="es-ES_tradnl"/>
        </w:rPr>
        <w:t>“</w:t>
      </w:r>
      <w:r w:rsidRPr="00B039DD">
        <w:rPr>
          <w:lang w:val="es-ES_tradnl"/>
        </w:rPr>
        <w:t>Hacia cero suicidios</w:t>
      </w:r>
      <w:r w:rsidR="00A82F0F">
        <w:rPr>
          <w:lang w:val="es-ES_tradnl"/>
        </w:rPr>
        <w:t>”</w:t>
      </w:r>
      <w:r w:rsidRPr="00B039DD">
        <w:rPr>
          <w:lang w:val="es-ES_tradnl"/>
        </w:rPr>
        <w:t xml:space="preserve"> y abordan las prioridades del Marco Estratégico de Prevención del Suicidio. A este gasto se suman los 87 millones invertidos en Hacia cero suicidios entre 2019</w:t>
      </w:r>
      <w:r w:rsidR="00107D4A">
        <w:rPr>
          <w:lang w:val="es-ES_tradnl"/>
        </w:rPr>
        <w:noBreakHyphen/>
      </w:r>
      <w:r w:rsidRPr="00B039DD">
        <w:rPr>
          <w:lang w:val="es-ES_tradnl"/>
        </w:rPr>
        <w:t xml:space="preserve">2020 y 2021-2022. </w:t>
      </w:r>
    </w:p>
    <w:p w14:paraId="0FFFE398" w14:textId="38D79D35"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Primeras Naciones</w:t>
      </w:r>
    </w:p>
    <w:p w14:paraId="66CAFCA2" w14:textId="77777777" w:rsidR="00E16C43" w:rsidRPr="00B039DD" w:rsidRDefault="00E16C43" w:rsidP="00E16C43">
      <w:pPr>
        <w:pStyle w:val="SingleTxtG"/>
        <w:rPr>
          <w:lang w:val="es-ES_tradnl"/>
        </w:rPr>
      </w:pPr>
      <w:r w:rsidRPr="00B039DD">
        <w:rPr>
          <w:lang w:val="es-ES_tradnl"/>
        </w:rPr>
        <w:t>302.</w:t>
      </w:r>
      <w:r w:rsidRPr="00B039DD">
        <w:rPr>
          <w:lang w:val="es-ES_tradnl"/>
        </w:rPr>
        <w:tab/>
        <w:t xml:space="preserve">La prevención de los problemas de salud mental y el suicidio constituyen una prioridad nacional, sobre todo para los habitantes de las Primeras Naciones, cuya tasa de suicidio duplica con creces la de los australianos no indígenas. Entre los objetivos y resultados revisados del Acuerdo Nacional sobre el Plan Cerrar la Brecha figura un objetivo específico de reducción del suicidio. </w:t>
      </w:r>
    </w:p>
    <w:p w14:paraId="144AB875" w14:textId="77777777" w:rsidR="00E16C43" w:rsidRPr="00B039DD" w:rsidRDefault="00E16C43" w:rsidP="00A82F0F">
      <w:pPr>
        <w:pStyle w:val="SingleTxtG"/>
        <w:keepNext/>
        <w:keepLines/>
        <w:rPr>
          <w:lang w:val="es-ES_tradnl"/>
        </w:rPr>
      </w:pPr>
      <w:r w:rsidRPr="00B039DD">
        <w:rPr>
          <w:lang w:val="es-ES_tradnl"/>
        </w:rPr>
        <w:t>303.</w:t>
      </w:r>
      <w:r w:rsidRPr="00B039DD">
        <w:rPr>
          <w:lang w:val="es-ES_tradnl"/>
        </w:rPr>
        <w:tab/>
        <w:t>Australia invierte en la prevención del suicidio, la salud mental y el bienestar de las Primeras Naciones, impulsando determinadas iniciativas nacionales, a saber:</w:t>
      </w:r>
    </w:p>
    <w:p w14:paraId="11931FAC" w14:textId="42B6DD62" w:rsidR="00E16C43" w:rsidRPr="00B039DD" w:rsidRDefault="00A82F0F" w:rsidP="00A82F0F">
      <w:pPr>
        <w:pStyle w:val="SingleTxtG"/>
        <w:keepNext/>
        <w:keepLines/>
        <w:rPr>
          <w:lang w:val="es-ES_tradnl"/>
        </w:rPr>
      </w:pPr>
      <w:r>
        <w:rPr>
          <w:lang w:val="es-ES_tradnl"/>
        </w:rPr>
        <w:tab/>
      </w:r>
      <w:r w:rsidR="00E16C43" w:rsidRPr="00B039DD">
        <w:rPr>
          <w:lang w:val="es-ES_tradnl"/>
        </w:rPr>
        <w:t>a)</w:t>
      </w:r>
      <w:r w:rsidR="00E16C43" w:rsidRPr="00B039DD">
        <w:rPr>
          <w:lang w:val="es-ES_tradnl"/>
        </w:rPr>
        <w:tab/>
        <w:t>Fondos destinados a las Redes de Atención Primaria de la Salud para garantizar la prestación de servicios de salud mental y de prevención del suicidio específicamente centrados en las Primeras Naciones;</w:t>
      </w:r>
    </w:p>
    <w:p w14:paraId="5432C1AE" w14:textId="29F19C76" w:rsidR="00E16C43" w:rsidRPr="00B039DD" w:rsidRDefault="00A82F0F" w:rsidP="00E16C43">
      <w:pPr>
        <w:pStyle w:val="SingleTxtG"/>
        <w:rPr>
          <w:lang w:val="es-ES_tradnl"/>
        </w:rPr>
      </w:pPr>
      <w:r>
        <w:rPr>
          <w:lang w:val="es-ES_tradnl"/>
        </w:rPr>
        <w:tab/>
      </w:r>
      <w:r w:rsidR="00E16C43" w:rsidRPr="00B039DD">
        <w:rPr>
          <w:lang w:val="es-ES_tradnl"/>
        </w:rPr>
        <w:t>b)</w:t>
      </w:r>
      <w:r w:rsidR="00E16C43" w:rsidRPr="00B039DD">
        <w:rPr>
          <w:lang w:val="es-ES_tradnl"/>
        </w:rPr>
        <w:tab/>
        <w:t>Fondos destinados a la Organización Nacional de Salud Controlada por la Comunidad Aborigen para la implementación del programa “Culture Care Connect</w:t>
      </w:r>
      <w:r w:rsidR="00107D4A">
        <w:rPr>
          <w:lang w:val="es-ES_tradnl"/>
        </w:rPr>
        <w:t>”</w:t>
      </w:r>
      <w:r w:rsidR="00E16C43" w:rsidRPr="00B039DD">
        <w:rPr>
          <w:lang w:val="es-ES_tradnl"/>
        </w:rPr>
        <w:t xml:space="preserve">, una red comunitaria de servicios de prevención del suicidio y atención posterior, que también imparte formación en primeros auxilios de salud mental a aborígenes e isleños </w:t>
      </w:r>
      <w:r w:rsidR="00E16C43" w:rsidRPr="00581426">
        <w:rPr>
          <w:lang w:val="es-ES_tradnl"/>
        </w:rPr>
        <w:t>del estrecho de Torres;</w:t>
      </w:r>
    </w:p>
    <w:p w14:paraId="3A3D12E4" w14:textId="51FA1629" w:rsidR="00E16C43" w:rsidRPr="00B039DD" w:rsidRDefault="00A82F0F" w:rsidP="00E16C43">
      <w:pPr>
        <w:pStyle w:val="SingleTxtG"/>
        <w:rPr>
          <w:lang w:val="es-ES_tradnl"/>
        </w:rPr>
      </w:pPr>
      <w:r>
        <w:rPr>
          <w:lang w:val="es-ES_tradnl"/>
        </w:rPr>
        <w:tab/>
      </w:r>
      <w:r w:rsidR="00E16C43" w:rsidRPr="00B039DD">
        <w:rPr>
          <w:lang w:val="es-ES_tradnl"/>
        </w:rPr>
        <w:t>c)</w:t>
      </w:r>
      <w:r w:rsidR="00E16C43" w:rsidRPr="00B039DD">
        <w:rPr>
          <w:lang w:val="es-ES_tradnl"/>
        </w:rPr>
        <w:tab/>
        <w:t xml:space="preserve">Fondos adicionales a la Organización Nacional de Salud Controlada por la Comunidad Aborigen para impulsar el apoyo a la salud mental de los pueblos de las Primeras Naciones antes, durante y </w:t>
      </w:r>
      <w:r w:rsidR="00E16C43" w:rsidRPr="00581426">
        <w:rPr>
          <w:lang w:val="es-ES_tradnl"/>
        </w:rPr>
        <w:t>después del referéndum sobre la voz de los aborígenes e isleños del estrecho de Torres;</w:t>
      </w:r>
    </w:p>
    <w:p w14:paraId="540A9722" w14:textId="0230F94A" w:rsidR="00E16C43" w:rsidRPr="00B039DD" w:rsidRDefault="00A82F0F" w:rsidP="00E16C43">
      <w:pPr>
        <w:pStyle w:val="SingleTxtG"/>
        <w:rPr>
          <w:lang w:val="es-ES_tradnl"/>
        </w:rPr>
      </w:pPr>
      <w:r>
        <w:rPr>
          <w:lang w:val="es-ES_tradnl"/>
        </w:rPr>
        <w:tab/>
      </w:r>
      <w:r w:rsidR="00E16C43" w:rsidRPr="00B039DD">
        <w:rPr>
          <w:lang w:val="es-ES_tradnl"/>
        </w:rPr>
        <w:t>d)</w:t>
      </w:r>
      <w:r w:rsidR="00E16C43" w:rsidRPr="00B039DD">
        <w:rPr>
          <w:lang w:val="es-ES_tradnl"/>
        </w:rPr>
        <w:tab/>
        <w:t>Establecimiento de 13YARN, el primer servicio telefónico de ayuda para situaciones de crisis 24/7, basado en conceptos culturales apropiados, y concebido y ejecutado por personas de las Primeras Naciones;</w:t>
      </w:r>
    </w:p>
    <w:p w14:paraId="3554D92E" w14:textId="650722D7" w:rsidR="00E16C43" w:rsidRPr="00B039DD" w:rsidRDefault="00A82F0F" w:rsidP="00E16C43">
      <w:pPr>
        <w:pStyle w:val="SingleTxtG"/>
        <w:rPr>
          <w:lang w:val="es-ES_tradnl"/>
        </w:rPr>
      </w:pPr>
      <w:r>
        <w:rPr>
          <w:lang w:val="es-ES_tradnl"/>
        </w:rPr>
        <w:tab/>
      </w:r>
      <w:r w:rsidR="00E16C43" w:rsidRPr="00B039DD">
        <w:rPr>
          <w:lang w:val="es-ES_tradnl"/>
        </w:rPr>
        <w:t>e)</w:t>
      </w:r>
      <w:r w:rsidR="00E16C43" w:rsidRPr="00B039DD">
        <w:rPr>
          <w:lang w:val="es-ES_tradnl"/>
        </w:rPr>
        <w:tab/>
        <w:t>Apoyo a iniciativas específicas de las Primeras Naciones en el marco del Programa Nacional de Liderazgo y Apoyo para la Prevención del Suicidio;</w:t>
      </w:r>
    </w:p>
    <w:p w14:paraId="131C8DC9" w14:textId="5DD082A5" w:rsidR="00E16C43" w:rsidRPr="00B039DD" w:rsidRDefault="00A82F0F" w:rsidP="00E16C43">
      <w:pPr>
        <w:pStyle w:val="SingleTxtG"/>
        <w:rPr>
          <w:lang w:val="es-ES_tradnl"/>
        </w:rPr>
      </w:pPr>
      <w:r>
        <w:rPr>
          <w:lang w:val="es-ES_tradnl"/>
        </w:rPr>
        <w:tab/>
      </w:r>
      <w:r w:rsidR="00E16C43" w:rsidRPr="00B039DD">
        <w:rPr>
          <w:lang w:val="es-ES_tradnl"/>
        </w:rPr>
        <w:t>f)</w:t>
      </w:r>
      <w:r w:rsidR="00E16C43" w:rsidRPr="00B039DD">
        <w:rPr>
          <w:lang w:val="es-ES_tradnl"/>
        </w:rPr>
        <w:tab/>
        <w:t>Financiación de la Estrategia de Promoción Indígena para impulsar el bienestar social y emocional de los australianos de las Primeras Naciones.</w:t>
      </w:r>
    </w:p>
    <w:p w14:paraId="497803DA" w14:textId="375D54C4" w:rsidR="00E16C43" w:rsidRPr="00B039DD" w:rsidRDefault="00A82F0F" w:rsidP="00A82F0F">
      <w:pPr>
        <w:pStyle w:val="H1G"/>
        <w:rPr>
          <w:lang w:val="es-ES_tradnl"/>
        </w:rPr>
      </w:pPr>
      <w:r>
        <w:rPr>
          <w:lang w:val="es-ES_tradnl"/>
        </w:rPr>
        <w:lastRenderedPageBreak/>
        <w:tab/>
      </w:r>
      <w:r w:rsidR="00E16C43">
        <w:rPr>
          <w:lang w:val="es-ES_tradnl"/>
        </w:rPr>
        <w:tab/>
      </w:r>
      <w:r w:rsidR="00E16C43" w:rsidRPr="00B039DD">
        <w:rPr>
          <w:lang w:val="es-ES_tradnl"/>
        </w:rPr>
        <w:t>Personas lesbianas, gais, bisexuales, transgénero, intersexuales,</w:t>
      </w:r>
      <w:r>
        <w:rPr>
          <w:lang w:val="es-ES_tradnl"/>
        </w:rPr>
        <w:br/>
      </w:r>
      <w:r w:rsidR="00E16C43" w:rsidRPr="00A82F0F">
        <w:rPr>
          <w:i/>
          <w:lang w:val="es-ES_tradnl"/>
        </w:rPr>
        <w:t>queer</w:t>
      </w:r>
      <w:r w:rsidR="00E16C43" w:rsidRPr="00B039DD">
        <w:rPr>
          <w:lang w:val="es-ES_tradnl"/>
        </w:rPr>
        <w:t xml:space="preserve"> y asexuales </w:t>
      </w:r>
    </w:p>
    <w:p w14:paraId="1C38A601" w14:textId="77777777" w:rsidR="00E16C43" w:rsidRPr="00B039DD" w:rsidRDefault="00E16C43" w:rsidP="00E16C43">
      <w:pPr>
        <w:pStyle w:val="SingleTxtG"/>
        <w:rPr>
          <w:lang w:val="es-ES_tradnl"/>
        </w:rPr>
      </w:pPr>
      <w:r w:rsidRPr="00B039DD">
        <w:rPr>
          <w:lang w:val="es-ES_tradnl"/>
        </w:rPr>
        <w:t>304.</w:t>
      </w:r>
      <w:r w:rsidRPr="00B039DD">
        <w:rPr>
          <w:lang w:val="es-ES_tradnl"/>
        </w:rPr>
        <w:tab/>
        <w:t>El Gobierno australiano reconoce que las personas y comunidades LGBTIQA+ se ven afectadas de manera desproporcionada por las enfermedades mentales y el suicidio, y está organizando una consulta nacional con vistas a la elaboración de un Plan de Acción Nacional de Salud y Bienestar de las Personas LGBTIQA+ de diez años de duración.</w:t>
      </w:r>
    </w:p>
    <w:p w14:paraId="444525BE" w14:textId="77777777" w:rsidR="00E16C43" w:rsidRPr="00B039DD" w:rsidRDefault="00E16C43" w:rsidP="00E16C43">
      <w:pPr>
        <w:pStyle w:val="SingleTxtG"/>
        <w:rPr>
          <w:lang w:val="es-ES_tradnl"/>
        </w:rPr>
      </w:pPr>
      <w:r w:rsidRPr="00B039DD">
        <w:rPr>
          <w:lang w:val="es-ES_tradnl"/>
        </w:rPr>
        <w:t>305.</w:t>
      </w:r>
      <w:r w:rsidRPr="00B039DD">
        <w:rPr>
          <w:lang w:val="es-ES_tradnl"/>
        </w:rPr>
        <w:tab/>
        <w:t>Australia financia diferentes iniciativas a escala nacional de apoyo a la salud mental y el bienestar de las comunidades LGBTIQA+, entre las que cabe mencionar:</w:t>
      </w:r>
    </w:p>
    <w:p w14:paraId="2BC5B866" w14:textId="1289B614" w:rsidR="00E16C43" w:rsidRPr="00B039DD" w:rsidRDefault="00A82F0F" w:rsidP="00E16C43">
      <w:pPr>
        <w:pStyle w:val="SingleTxtG"/>
        <w:rPr>
          <w:lang w:val="es-ES_tradnl"/>
        </w:rPr>
      </w:pPr>
      <w:r>
        <w:rPr>
          <w:lang w:val="es-ES_tradnl"/>
        </w:rPr>
        <w:tab/>
      </w:r>
      <w:r w:rsidR="00E16C43" w:rsidRPr="00B039DD">
        <w:rPr>
          <w:lang w:val="es-ES_tradnl"/>
        </w:rPr>
        <w:t>a)</w:t>
      </w:r>
      <w:r w:rsidR="00E16C43" w:rsidRPr="00B039DD">
        <w:rPr>
          <w:lang w:val="es-ES_tradnl"/>
        </w:rPr>
        <w:tab/>
        <w:t>Qlife: servicio australiano anónimo de derivación y de apoyo entre pares de personas LGBTIQA+, que ofrece apoyo telefónico y por webchat todos los días de 15.00 a 24.00 horas;</w:t>
      </w:r>
    </w:p>
    <w:p w14:paraId="5B3FFABE" w14:textId="481ACCB2" w:rsidR="00E16C43" w:rsidRPr="00B039DD" w:rsidRDefault="00A82F0F" w:rsidP="00E16C43">
      <w:pPr>
        <w:pStyle w:val="SingleTxtG"/>
        <w:rPr>
          <w:lang w:val="es-ES_tradnl"/>
        </w:rPr>
      </w:pPr>
      <w:r>
        <w:rPr>
          <w:lang w:val="es-ES_tradnl"/>
        </w:rPr>
        <w:tab/>
      </w:r>
      <w:r w:rsidR="00E16C43" w:rsidRPr="00B039DD">
        <w:rPr>
          <w:lang w:val="es-ES_tradnl"/>
        </w:rPr>
        <w:t>b)</w:t>
      </w:r>
      <w:r w:rsidR="00E16C43" w:rsidRPr="00B039DD">
        <w:rPr>
          <w:lang w:val="es-ES_tradnl"/>
        </w:rPr>
        <w:tab/>
        <w:t>Qheadspace: parte de la plataforma digital Eheadspace, donde jóvenes diversos desde una perspectiva sexual y de género pueden comunicarse y buscar apoyo en una comunidad en línea moderada entre pares;</w:t>
      </w:r>
    </w:p>
    <w:p w14:paraId="4083351F" w14:textId="472BA1AE" w:rsidR="00E16C43" w:rsidRPr="00B039DD" w:rsidRDefault="00A82F0F" w:rsidP="00E16C43">
      <w:pPr>
        <w:pStyle w:val="SingleTxtG"/>
        <w:rPr>
          <w:lang w:val="es-ES_tradnl"/>
        </w:rPr>
      </w:pPr>
      <w:r>
        <w:rPr>
          <w:lang w:val="es-ES_tradnl"/>
        </w:rPr>
        <w:tab/>
      </w:r>
      <w:r w:rsidR="00E16C43" w:rsidRPr="00B039DD">
        <w:rPr>
          <w:lang w:val="es-ES_tradnl"/>
        </w:rPr>
        <w:t>c)</w:t>
      </w:r>
      <w:r w:rsidR="00E16C43" w:rsidRPr="00B039DD">
        <w:rPr>
          <w:lang w:val="es-ES_tradnl"/>
        </w:rPr>
        <w:tab/>
        <w:t xml:space="preserve">Actividades de concienciación, desarrollo de recursos, foros de debate en línea y apoyo entre pares en el marco del Programa Nacional de Liderazgo y Apoyo para la Prevención del Suicidio. </w:t>
      </w:r>
    </w:p>
    <w:p w14:paraId="0499C7E6" w14:textId="6FE661F5"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 xml:space="preserve">Niños y jóvenes </w:t>
      </w:r>
    </w:p>
    <w:p w14:paraId="1A9669AB" w14:textId="77777777" w:rsidR="00E16C43" w:rsidRPr="00B039DD" w:rsidRDefault="00E16C43" w:rsidP="00E16C43">
      <w:pPr>
        <w:pStyle w:val="SingleTxtG"/>
        <w:rPr>
          <w:lang w:val="es-ES_tradnl"/>
        </w:rPr>
      </w:pPr>
      <w:r w:rsidRPr="00B039DD">
        <w:rPr>
          <w:lang w:val="es-ES_tradnl"/>
        </w:rPr>
        <w:t>306.</w:t>
      </w:r>
      <w:r w:rsidRPr="00B039DD">
        <w:rPr>
          <w:lang w:val="es-ES_tradnl"/>
        </w:rPr>
        <w:tab/>
        <w:t xml:space="preserve">La salud mental y la prevención de los comportamientos de riesgo constituyen un área prioritaria del Plan de Acción Nacional de Salud de los Niños y los Jóvenes 2020-2030. El Gobierno australiano financia el Centro Nacional de Trabajadores de la Salud Mental de los Niños, una iniciativa de Emerging Minds. Esta iniciativa ayuda a los profesionales que trabajan con niños, a los padres y a las familias a adquirir las competencias necesarias para identificar, evaluar y apoyar a los niños en riesgo de padecer trastornos mentales. </w:t>
      </w:r>
    </w:p>
    <w:p w14:paraId="176097EB" w14:textId="77777777" w:rsidR="00E16C43" w:rsidRPr="00B039DD" w:rsidRDefault="00E16C43" w:rsidP="00E16C43">
      <w:pPr>
        <w:pStyle w:val="SingleTxtG"/>
        <w:rPr>
          <w:lang w:val="es-ES_tradnl"/>
        </w:rPr>
      </w:pPr>
      <w:r w:rsidRPr="00B039DD">
        <w:rPr>
          <w:lang w:val="es-ES_tradnl"/>
        </w:rPr>
        <w:t>307.</w:t>
      </w:r>
      <w:r w:rsidRPr="00B039DD">
        <w:rPr>
          <w:lang w:val="es-ES_tradnl"/>
        </w:rPr>
        <w:tab/>
        <w:t xml:space="preserve">Australia financia las Redes de Atención Primaria de la Salud para que planifiquen y pongan en macha servicios de salud mental y prevención del suicidio juvenil teniendo en cuenta las necesidades locales, como el programa Youth Enhanced Services. </w:t>
      </w:r>
    </w:p>
    <w:p w14:paraId="6FB0E131" w14:textId="7448D45C"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 xml:space="preserve">Hombres y población rural </w:t>
      </w:r>
    </w:p>
    <w:p w14:paraId="6FBC184C" w14:textId="54113C13" w:rsidR="00E16C43" w:rsidRPr="00B039DD" w:rsidRDefault="00E16C43" w:rsidP="00E16C43">
      <w:pPr>
        <w:pStyle w:val="SingleTxtG"/>
        <w:rPr>
          <w:lang w:val="es-ES_tradnl"/>
        </w:rPr>
      </w:pPr>
      <w:r w:rsidRPr="00B039DD">
        <w:rPr>
          <w:lang w:val="es-ES_tradnl"/>
        </w:rPr>
        <w:t>308.</w:t>
      </w:r>
      <w:r w:rsidRPr="00B039DD">
        <w:rPr>
          <w:lang w:val="es-ES_tradnl"/>
        </w:rPr>
        <w:tab/>
        <w:t>La salud mental es una prioridad en la Estrategia Nacional de Salud Masculina 2020</w:t>
      </w:r>
      <w:r w:rsidR="00A82F0F">
        <w:rPr>
          <w:lang w:val="es-ES_tradnl"/>
        </w:rPr>
        <w:noBreakHyphen/>
      </w:r>
      <w:r w:rsidRPr="00B039DD">
        <w:rPr>
          <w:lang w:val="es-ES_tradnl"/>
        </w:rPr>
        <w:t>2030 y Australia está invirtiendo en iniciativas para promover la salud mental masculina y la prevención del suicidio. Entre estas inversiones figuran los 17,5 millones de dólares destinados entre 2022 y 2025 a prestar asistencia a los hombres con elevado riesgo de suicidio, en particular la financiación de MATES in Construction, OzHelp, Men</w:t>
      </w:r>
      <w:r w:rsidR="00107D4A">
        <w:rPr>
          <w:lang w:val="es-ES_tradnl"/>
        </w:rPr>
        <w:t>’</w:t>
      </w:r>
      <w:r w:rsidRPr="00B039DD">
        <w:rPr>
          <w:lang w:val="es-ES_tradnl"/>
        </w:rPr>
        <w:t xml:space="preserve">s Table y Parents Beyond Breakup. </w:t>
      </w:r>
    </w:p>
    <w:p w14:paraId="1DFD136C" w14:textId="77777777" w:rsidR="00E16C43" w:rsidRPr="00B039DD" w:rsidRDefault="00E16C43" w:rsidP="00E16C43">
      <w:pPr>
        <w:pStyle w:val="SingleTxtG"/>
        <w:rPr>
          <w:lang w:val="es-ES_tradnl"/>
        </w:rPr>
      </w:pPr>
      <w:r w:rsidRPr="00B039DD">
        <w:rPr>
          <w:lang w:val="es-ES_tradnl"/>
        </w:rPr>
        <w:t>309.</w:t>
      </w:r>
      <w:r w:rsidRPr="00B039DD">
        <w:rPr>
          <w:lang w:val="es-ES_tradnl"/>
        </w:rPr>
        <w:tab/>
        <w:t>También se ofrece apoyo a todos los adultos a través de la red de centros de salud mental Head to Health.</w:t>
      </w:r>
    </w:p>
    <w:p w14:paraId="10DEDACC" w14:textId="40F0F61D"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Servicios de reducción de daños</w:t>
      </w:r>
    </w:p>
    <w:p w14:paraId="507C7F4D" w14:textId="77777777" w:rsidR="00E16C43" w:rsidRPr="00B039DD" w:rsidRDefault="00E16C43" w:rsidP="00E16C43">
      <w:pPr>
        <w:pStyle w:val="SingleTxtG"/>
        <w:rPr>
          <w:lang w:val="es-ES_tradnl"/>
        </w:rPr>
      </w:pPr>
      <w:r w:rsidRPr="00B039DD">
        <w:rPr>
          <w:lang w:val="es-ES_tradnl"/>
        </w:rPr>
        <w:t>310.</w:t>
      </w:r>
      <w:r w:rsidRPr="00B039DD">
        <w:rPr>
          <w:lang w:val="es-ES_tradnl"/>
        </w:rPr>
        <w:tab/>
        <w:t xml:space="preserve">Australia aboga por un enfoque equilibrado y basado en datos empíricos de la política de drogas, que incluya enfoques y estrategias tanto de corte sanitario como policial. Los esfuerzos jurisdiccionales se basan en la Estrategia Nacional sobre las Drogas 2017-2026, que articula una política nacional de minimización de daños. La Estrategia reconoce que determinados grupos presentan un mayor riesgo de sufrir daños asociados con el alcohol, el tabaco y otras drogas. La implementación de la Estrategia, incluida la financiación, la legislación y los programas de reducción de daños, es responsabilidad de los organismos pertinentes de cada jurisdicción. Esto permite a los gobiernos adoptar medidas adaptadas a sus respectivas jurisdicciones, tomando en consideración las circunstancias locales y abordando los problemas más acuciantes. </w:t>
      </w:r>
    </w:p>
    <w:p w14:paraId="532C99D8" w14:textId="77777777" w:rsidR="00E16C43" w:rsidRPr="00B039DD" w:rsidRDefault="00E16C43" w:rsidP="00E16C43">
      <w:pPr>
        <w:pStyle w:val="SingleTxtG"/>
        <w:rPr>
          <w:lang w:val="es-ES_tradnl"/>
        </w:rPr>
      </w:pPr>
      <w:r w:rsidRPr="00B039DD">
        <w:rPr>
          <w:lang w:val="es-ES_tradnl"/>
        </w:rPr>
        <w:lastRenderedPageBreak/>
        <w:t>311.</w:t>
      </w:r>
      <w:r w:rsidRPr="00B039DD">
        <w:rPr>
          <w:lang w:val="es-ES_tradnl"/>
        </w:rPr>
        <w:tab/>
        <w:t>Todos los estados y territorios siguen desarrollando programas de medidas extrajudiciales en materia de drogas con vistas a extraer a las personas que reúnen determinados requisitos del sistema de justicia penal y remitirlas a servicios sanitarios y educativos. Así, por ejemplo, el Territorio de la Capital Australiana fue la primera jurisdicción australiana en despenalizar la posesión de pequeñas cantidades de drogas ilícitas. Nuevas leyes entrarán en vigor en octubre de 2023. En abril de 2023, Queensland aprobó una ley que ampliaba su programa de medidas extrajudiciales en materia de cannabis e incluía otras drogas. En virtud de este programa, las personas descubiertas en posesión de pequeñas cantidades de sustancias ilícitas para consumo personal reciben una advertencia y son invitadas a participar en un programa de medidas extrajudiciales las primeras tres veces, en tanto que una cuarta ocasión entraña una citación judicial.</w:t>
      </w:r>
    </w:p>
    <w:p w14:paraId="7116CA62" w14:textId="5A28FCA9" w:rsidR="00E16C43" w:rsidRPr="00B039DD" w:rsidRDefault="00E16C43" w:rsidP="00E16C43">
      <w:pPr>
        <w:pStyle w:val="SingleTxtG"/>
        <w:rPr>
          <w:lang w:val="es-ES_tradnl"/>
        </w:rPr>
      </w:pPr>
      <w:r w:rsidRPr="00B039DD">
        <w:rPr>
          <w:lang w:val="es-ES_tradnl"/>
        </w:rPr>
        <w:t>312.</w:t>
      </w:r>
      <w:r w:rsidRPr="00B039DD">
        <w:rPr>
          <w:lang w:val="es-ES_tradnl"/>
        </w:rPr>
        <w:tab/>
        <w:t>El Gobierno australiano ha invertido en el programa Take Home Naxolone</w:t>
      </w:r>
      <w:r w:rsidRPr="00B039DD">
        <w:rPr>
          <w:i/>
          <w:iCs/>
          <w:lang w:val="es-ES_tradnl"/>
        </w:rPr>
        <w:t xml:space="preserve"> </w:t>
      </w:r>
      <w:r w:rsidRPr="00B039DD">
        <w:rPr>
          <w:lang w:val="es-ES_tradnl"/>
        </w:rPr>
        <w:t>[</w:t>
      </w:r>
      <w:r w:rsidR="00A82F0F">
        <w:rPr>
          <w:lang w:val="es-ES_tradnl"/>
        </w:rPr>
        <w:t>“</w:t>
      </w:r>
      <w:r w:rsidRPr="00B039DD">
        <w:rPr>
          <w:lang w:val="es-ES_tradnl"/>
        </w:rPr>
        <w:t>Llévate naxolona a casa</w:t>
      </w:r>
      <w:r w:rsidR="00A82F0F">
        <w:rPr>
          <w:lang w:val="es-ES_tradnl"/>
        </w:rPr>
        <w:t>”</w:t>
      </w:r>
      <w:r w:rsidRPr="00B039DD">
        <w:rPr>
          <w:lang w:val="es-ES_tradnl"/>
        </w:rPr>
        <w:t>] con el fin de prevenir o reducir el impacto y los daños causados por el consumo de opiáceos y las sobredosis de opiáceos. Este programa nacional pone la naloxona gratuitamente, sin receta, a disposición de cualquier persona que pueda sufrir o presenciar una sobredosis de opiáceos o una reacción adversa.</w:t>
      </w:r>
    </w:p>
    <w:p w14:paraId="125F066B" w14:textId="0D92451E" w:rsidR="00E16C43" w:rsidRPr="00B039DD" w:rsidRDefault="00E16C43" w:rsidP="00E16C43">
      <w:pPr>
        <w:pStyle w:val="SingleTxtG"/>
        <w:rPr>
          <w:lang w:val="es-ES_tradnl"/>
        </w:rPr>
      </w:pPr>
      <w:r w:rsidRPr="00B039DD">
        <w:rPr>
          <w:lang w:val="es-ES_tradnl"/>
        </w:rPr>
        <w:t>313.</w:t>
      </w:r>
      <w:r w:rsidRPr="00B039DD">
        <w:rPr>
          <w:lang w:val="es-ES_tradnl"/>
        </w:rPr>
        <w:tab/>
        <w:t xml:space="preserve">Tras llevar a cabo una revisión de los medicamentos que generan dependencia a los opiáceos con vistas a tratarla y celebrar amplias consultas, el Gobierno australiano ha reformado recientemente las disposiciones relativas al tratamiento de la dependencia de opiáceos para garantizar un acceso más asequible y equitativo a los medicamentos. Como consecuencia de ello, desde el 1 de julio de 2023, los pacientes adictos a los opiáceos solo pagan por sus medicamentos la parte que les corresponde en función del sistema de copago del Plan de Prestaciones Farmacéuticas, es decir que los pacientes que acceden al tratamiento en farmacias comunitarias han dejado de pagar gastos no regulados de su bolsillo. Por otro lado, el Gobierno ha invertido 377,3 millones de dólares, repartidos en </w:t>
      </w:r>
      <w:r w:rsidR="00107D4A">
        <w:rPr>
          <w:lang w:val="es-ES_tradnl"/>
        </w:rPr>
        <w:t>cuatro</w:t>
      </w:r>
      <w:r w:rsidRPr="00B039DD">
        <w:rPr>
          <w:lang w:val="es-ES_tradnl"/>
        </w:rPr>
        <w:t xml:space="preserve"> años a partir de 2023-2024, para establecer un nuevo programa de farmacia comunitaria sobre la adicción a los opiáceos. </w:t>
      </w:r>
    </w:p>
    <w:p w14:paraId="6285F13D" w14:textId="68EFAAD8" w:rsidR="00E16C43" w:rsidRPr="00B039DD" w:rsidRDefault="00E16C43" w:rsidP="00E16C43">
      <w:pPr>
        <w:pStyle w:val="SingleTxtG"/>
        <w:rPr>
          <w:lang w:val="es-ES_tradnl"/>
        </w:rPr>
      </w:pPr>
      <w:r w:rsidRPr="00B039DD">
        <w:rPr>
          <w:lang w:val="es-ES_tradnl"/>
        </w:rPr>
        <w:t>314.</w:t>
      </w:r>
      <w:r w:rsidRPr="00B039DD">
        <w:rPr>
          <w:lang w:val="es-ES_tradnl"/>
        </w:rPr>
        <w:tab/>
        <w:t xml:space="preserve">El Gobierno australiano está invirtiendo 19,8 millones de dólares en </w:t>
      </w:r>
      <w:r w:rsidR="00107D4A">
        <w:rPr>
          <w:lang w:val="es-ES_tradnl"/>
        </w:rPr>
        <w:t>cuatro</w:t>
      </w:r>
      <w:r w:rsidRPr="00B039DD">
        <w:rPr>
          <w:lang w:val="es-ES_tradnl"/>
        </w:rPr>
        <w:t xml:space="preserve"> años a partir de 2023-</w:t>
      </w:r>
      <w:r w:rsidR="00107D4A">
        <w:rPr>
          <w:lang w:val="es-ES_tradnl"/>
        </w:rPr>
        <w:t>20</w:t>
      </w:r>
      <w:r w:rsidRPr="00B039DD">
        <w:rPr>
          <w:lang w:val="es-ES_tradnl"/>
        </w:rPr>
        <w:t>24 para ampliar las actividades de apoyo a la prevención, la intervención y el tratamiento de los virus de transmisión sanguínea y las infecciones de transmisión sexual. Esta inversión incluye 6,6 millones de dólares en 2023-</w:t>
      </w:r>
      <w:r w:rsidR="00107D4A">
        <w:rPr>
          <w:lang w:val="es-ES_tradnl"/>
        </w:rPr>
        <w:t>20</w:t>
      </w:r>
      <w:r w:rsidRPr="00B039DD">
        <w:rPr>
          <w:lang w:val="es-ES_tradnl"/>
        </w:rPr>
        <w:t xml:space="preserve">24 para la prolongación de actividades puestas en marcha en el marco de las Estrategias Nacionales sobre los Virus de Transmisión Sanguínea y las Infecciones de Transmisión Sexual. </w:t>
      </w:r>
    </w:p>
    <w:p w14:paraId="47849E1B" w14:textId="77777777" w:rsidR="00E16C43" w:rsidRPr="00B039DD" w:rsidRDefault="00E16C43" w:rsidP="00E16C43">
      <w:pPr>
        <w:pStyle w:val="SingleTxtG"/>
        <w:rPr>
          <w:lang w:val="es-ES_tradnl"/>
        </w:rPr>
      </w:pPr>
      <w:r w:rsidRPr="00B039DD">
        <w:rPr>
          <w:lang w:val="es-ES_tradnl"/>
        </w:rPr>
        <w:t>315.</w:t>
      </w:r>
      <w:r w:rsidRPr="00B039DD">
        <w:rPr>
          <w:lang w:val="es-ES_tradnl"/>
        </w:rPr>
        <w:tab/>
        <w:t xml:space="preserve">El proyecto de la Sexta Estrategia Nacional contra la Hepatitis C (2023-2030) de Australia apoya el objetivo mundial de erradicación de la enfermedad para 2030 ofreciendo un marco de acción contra la hepatitis C a todos los asociados. </w:t>
      </w:r>
    </w:p>
    <w:p w14:paraId="45B24FB2" w14:textId="77777777" w:rsidR="00E16C43" w:rsidRPr="00B039DD" w:rsidRDefault="00E16C43" w:rsidP="00E16C43">
      <w:pPr>
        <w:pStyle w:val="SingleTxtG"/>
        <w:rPr>
          <w:lang w:val="es-ES_tradnl"/>
        </w:rPr>
      </w:pPr>
      <w:r w:rsidRPr="00B039DD">
        <w:rPr>
          <w:lang w:val="es-ES_tradnl"/>
        </w:rPr>
        <w:t>316.</w:t>
      </w:r>
      <w:r w:rsidRPr="00B039DD">
        <w:rPr>
          <w:lang w:val="es-ES_tradnl"/>
        </w:rPr>
        <w:tab/>
        <w:t xml:space="preserve">Los gobiernos de los estados y los territorios gestionan programas de intercambio de agujas y jeringuillas y salas de inyección con supervisión médica, así como otros servicios de reducción de daños. </w:t>
      </w:r>
    </w:p>
    <w:p w14:paraId="64A829FE" w14:textId="7171B2A3"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 xml:space="preserve">Cuidados paliativos </w:t>
      </w:r>
    </w:p>
    <w:p w14:paraId="225FD64F" w14:textId="77777777" w:rsidR="00E16C43" w:rsidRPr="00B039DD" w:rsidRDefault="00E16C43" w:rsidP="00E16C43">
      <w:pPr>
        <w:pStyle w:val="SingleTxtG"/>
        <w:rPr>
          <w:lang w:val="es-ES_tradnl"/>
        </w:rPr>
      </w:pPr>
      <w:r w:rsidRPr="00B039DD">
        <w:rPr>
          <w:lang w:val="es-ES_tradnl"/>
        </w:rPr>
        <w:t>317.</w:t>
      </w:r>
      <w:r w:rsidRPr="00B039DD">
        <w:rPr>
          <w:lang w:val="es-ES_tradnl"/>
        </w:rPr>
        <w:tab/>
        <w:t xml:space="preserve">Los principios del tratamiento del dolor en cuidados paliativos son fundamentalmente los mismos para todos los pacientes que lo necesitan. Los servicios especializados de medicina paliativa subvencionados por Medicare son prestados por especialistas en medicina paliativa y cubren las consultas de los pacientes. Los medicamentos relacionados con los cuidados paliativos están enumerados en el cuadro de cuidados paliativos del Plan de Prestaciones Farmacéuticas. Con ello se pretende mejorar el acceso a medicamentos esenciales y asequibles a los pacientes que reciben cuidados paliativos, con el fin de aliviar el dolor u otros síntomas angustiosos. </w:t>
      </w:r>
    </w:p>
    <w:p w14:paraId="51AD50CA" w14:textId="77777777" w:rsidR="00E16C43" w:rsidRPr="00B039DD" w:rsidRDefault="00E16C43" w:rsidP="00E16C43">
      <w:pPr>
        <w:pStyle w:val="SingleTxtG"/>
        <w:rPr>
          <w:lang w:val="es-ES_tradnl"/>
        </w:rPr>
      </w:pPr>
      <w:r w:rsidRPr="00B039DD">
        <w:rPr>
          <w:lang w:val="es-ES_tradnl"/>
        </w:rPr>
        <w:t>318.</w:t>
      </w:r>
      <w:r w:rsidRPr="00B039DD">
        <w:rPr>
          <w:lang w:val="es-ES_tradnl"/>
        </w:rPr>
        <w:tab/>
        <w:t>Los Estados y territorios han puesto en marcha políticas que persiguen la equidad en el acceso a los servicios de cuidados paliativos, incluidas estrategias específicas para las Primeras Naciones.</w:t>
      </w:r>
    </w:p>
    <w:p w14:paraId="01014927" w14:textId="31DF0FDA" w:rsidR="00E16C43" w:rsidRPr="00B039DD" w:rsidRDefault="00A82F0F" w:rsidP="00A82F0F">
      <w:pPr>
        <w:pStyle w:val="H1G"/>
        <w:rPr>
          <w:lang w:val="es-ES_tradnl"/>
        </w:rPr>
      </w:pPr>
      <w:r>
        <w:rPr>
          <w:lang w:val="es-ES_tradnl"/>
        </w:rPr>
        <w:lastRenderedPageBreak/>
        <w:tab/>
      </w:r>
      <w:r w:rsidR="00E16C43">
        <w:rPr>
          <w:lang w:val="es-ES_tradnl"/>
        </w:rPr>
        <w:tab/>
      </w:r>
      <w:r w:rsidR="00E16C43" w:rsidRPr="00B039DD">
        <w:rPr>
          <w:lang w:val="es-ES_tradnl"/>
        </w:rPr>
        <w:t>Educación equitativa y recomendaciones del Examen Gonski</w:t>
      </w:r>
    </w:p>
    <w:p w14:paraId="296002A2" w14:textId="77777777" w:rsidR="00E16C43" w:rsidRPr="00B039DD" w:rsidRDefault="00E16C43" w:rsidP="00E16C43">
      <w:pPr>
        <w:pStyle w:val="SingleTxtG"/>
        <w:rPr>
          <w:lang w:val="es-ES_tradnl"/>
        </w:rPr>
      </w:pPr>
      <w:r w:rsidRPr="00B039DD">
        <w:rPr>
          <w:lang w:val="es-ES_tradnl"/>
        </w:rPr>
        <w:t>319.</w:t>
      </w:r>
      <w:r w:rsidRPr="00B039DD">
        <w:rPr>
          <w:lang w:val="es-ES_tradnl"/>
        </w:rPr>
        <w:tab/>
        <w:t>Las escuelas australianas se financian con una combinación de fondos del Estado, fondos de los gobiernos de los estados y territorios y fondos procedentes de contribuciones parentales o privadas.</w:t>
      </w:r>
    </w:p>
    <w:p w14:paraId="6351D3CC" w14:textId="77777777" w:rsidR="00E16C43" w:rsidRPr="00B039DD" w:rsidRDefault="00E16C43" w:rsidP="00E16C43">
      <w:pPr>
        <w:pStyle w:val="SingleTxtG"/>
        <w:rPr>
          <w:lang w:val="es-ES_tradnl"/>
        </w:rPr>
      </w:pPr>
      <w:r w:rsidRPr="00B039DD">
        <w:rPr>
          <w:lang w:val="es-ES_tradnl"/>
        </w:rPr>
        <w:t>320.</w:t>
      </w:r>
      <w:r w:rsidRPr="00B039DD">
        <w:rPr>
          <w:lang w:val="es-ES_tradnl"/>
        </w:rPr>
        <w:tab/>
        <w:t xml:space="preserve">El Gobierno australiano aporta financiación recurrente por cada alumno escolarizado. Entre 2018 y 2029, la financiación recurrente de las escuelas ascenderá a 323.900 millones de dólares. </w:t>
      </w:r>
    </w:p>
    <w:p w14:paraId="5537215F" w14:textId="77777777" w:rsidR="00E16C43" w:rsidRPr="00B039DD" w:rsidRDefault="00E16C43" w:rsidP="00E16C43">
      <w:pPr>
        <w:pStyle w:val="SingleTxtG"/>
        <w:rPr>
          <w:lang w:val="es-ES_tradnl"/>
        </w:rPr>
      </w:pPr>
      <w:r w:rsidRPr="00B039DD">
        <w:rPr>
          <w:lang w:val="es-ES_tradnl"/>
        </w:rPr>
        <w:t>321.</w:t>
      </w:r>
      <w:r w:rsidRPr="00B039DD">
        <w:rPr>
          <w:lang w:val="es-ES_tradnl"/>
        </w:rPr>
        <w:tab/>
        <w:t>La pauta de recursos de escolarización es una estimación de la financiación pública total que necesita una escuela para atender las necesidades educativas de sus alumnos. Se basa en las recomendaciones formuladas por el Sr. David Gonski en el examen de la financiación de la escolarización de 2011. En 2023, la pauta estimada de recursos escolares era de 13.060 dólares por alumno de enseñanza primaria y de 16.413 dólares por alumno de enseñanza secundaria.</w:t>
      </w:r>
    </w:p>
    <w:p w14:paraId="3F081D04" w14:textId="77777777" w:rsidR="00E16C43" w:rsidRPr="00B039DD" w:rsidRDefault="00E16C43" w:rsidP="00E16C43">
      <w:pPr>
        <w:pStyle w:val="SingleTxtG"/>
        <w:rPr>
          <w:lang w:val="es-ES_tradnl"/>
        </w:rPr>
      </w:pPr>
      <w:r w:rsidRPr="00B039DD">
        <w:rPr>
          <w:lang w:val="es-ES_tradnl"/>
        </w:rPr>
        <w:t>322.</w:t>
      </w:r>
      <w:r w:rsidRPr="00B039DD">
        <w:rPr>
          <w:lang w:val="es-ES_tradnl"/>
        </w:rPr>
        <w:tab/>
        <w:t xml:space="preserve">Las cargas de la pauta de recursos de escolarización acarrean fondos adicionales a los grupos prioritarios de alumnos y las escuelas desfavorecidas, y se componen de una carga básica y hasta seis cargas en función en las necesidades. Un alumno puede atraer fondos en virtud de más de una carga. El Departamento de Educación del Gobierno de Australia calcula anualmente la pauta de recursos de escolarización de cada centro escolar. </w:t>
      </w:r>
    </w:p>
    <w:p w14:paraId="354E04AF" w14:textId="77777777" w:rsidR="00E16C43" w:rsidRPr="00B039DD" w:rsidRDefault="00E16C43" w:rsidP="00E16C43">
      <w:pPr>
        <w:pStyle w:val="SingleTxtG"/>
        <w:rPr>
          <w:lang w:val="es-ES_tradnl"/>
        </w:rPr>
      </w:pPr>
      <w:r w:rsidRPr="00B039DD">
        <w:rPr>
          <w:lang w:val="es-ES_tradnl"/>
        </w:rPr>
        <w:t>323.</w:t>
      </w:r>
      <w:r w:rsidRPr="00B039DD">
        <w:rPr>
          <w:lang w:val="es-ES_tradnl"/>
        </w:rPr>
        <w:tab/>
        <w:t>En 2023, el Estado financia al menos el 20 % de la pauta de recursos de escolarización de cada escuela pública y el 80 % de la pauta de recursos de escolarización de cada escuela no pública. Los gobiernos de los estados y los territorios también financian las escuelas públicas y privadas de sus jurisdicciones. Los niveles de contribución a la financiación recurrente de las escuelas gubernamentales y no gubernamentales quedan estipulados en el Acuerdo Nacional de Reforma Escolar concertado entre los gobiernos de Australia, los estados y los territorios.</w:t>
      </w:r>
    </w:p>
    <w:p w14:paraId="0D168C70" w14:textId="77777777" w:rsidR="00E16C43" w:rsidRPr="00B039DD" w:rsidRDefault="00E16C43" w:rsidP="00E16C43">
      <w:pPr>
        <w:pStyle w:val="SingleTxtG"/>
        <w:rPr>
          <w:lang w:val="es-ES_tradnl"/>
        </w:rPr>
      </w:pPr>
      <w:r w:rsidRPr="00B039DD">
        <w:rPr>
          <w:lang w:val="es-ES_tradnl"/>
        </w:rPr>
        <w:t>324.</w:t>
      </w:r>
      <w:r w:rsidRPr="00B039DD">
        <w:rPr>
          <w:lang w:val="es-ES_tradnl"/>
        </w:rPr>
        <w:tab/>
        <w:t>El Gobierno australiano ha designado a un grupo para que examine los objetivos y las reformas que deberían vincularse a la financiación en el próximo Acuerdo Nacional de Reforma Escolar, y asesore a los ministros de educación de los estados y los territorios a ese respecto. El objetivo es impulsar mejoras reales y cuantificables para los alumnos, prestando especial atención a los alumnos de bajo nivel socioeconómico, los alumnos radicados en zonas regionales, rurales o remotas, los alumnos con discapacidad, los alumnos de las Primeras Naciones y los alumnos de orígenes lingüísticos distintos del inglés. Se prevé que el próximo Acuerdo Nacional de Reforma Escolar entre en vigor en 2025.</w:t>
      </w:r>
    </w:p>
    <w:p w14:paraId="35165684" w14:textId="556FE2C1"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Educación culturalmente apropiada</w:t>
      </w:r>
    </w:p>
    <w:p w14:paraId="3501D7C7" w14:textId="77777777" w:rsidR="00E16C43" w:rsidRPr="00B039DD" w:rsidRDefault="00E16C43" w:rsidP="00E16C43">
      <w:pPr>
        <w:pStyle w:val="SingleTxtG"/>
        <w:rPr>
          <w:lang w:val="es-ES_tradnl"/>
        </w:rPr>
      </w:pPr>
      <w:r w:rsidRPr="00B039DD">
        <w:rPr>
          <w:lang w:val="es-ES_tradnl"/>
        </w:rPr>
        <w:t>325.</w:t>
      </w:r>
      <w:r w:rsidRPr="00B039DD">
        <w:rPr>
          <w:lang w:val="es-ES_tradnl"/>
        </w:rPr>
        <w:tab/>
        <w:t xml:space="preserve">Varios programas y estrategias están mejorando la oferta de educación temprana culturalmente apropiada destinada a los niños de las Primeras Naciones. </w:t>
      </w:r>
    </w:p>
    <w:p w14:paraId="22BFAE42" w14:textId="504AF67A" w:rsidR="00E16C43" w:rsidRPr="00B039DD" w:rsidRDefault="00E16C43" w:rsidP="00E16C43">
      <w:pPr>
        <w:pStyle w:val="SingleTxtG"/>
        <w:rPr>
          <w:lang w:val="es-ES_tradnl"/>
        </w:rPr>
      </w:pPr>
      <w:r w:rsidRPr="00B039DD">
        <w:rPr>
          <w:lang w:val="es-ES_tradnl"/>
        </w:rPr>
        <w:t>326.</w:t>
      </w:r>
      <w:r w:rsidRPr="00B039DD">
        <w:rPr>
          <w:lang w:val="es-ES_tradnl"/>
        </w:rPr>
        <w:tab/>
        <w:t xml:space="preserve">La Alianza sobre la Política de Atención y Desarrollo de la Primera Infancia, establecida en agosto de 2022, permite a los pueblos de las Primeras Naciones colaborar con los gobiernos australianos y establecer un asesoramiento formal sobre medidas y reformas que contribuyan al buen desarrollo de los niños de las Primeras Naciones en sus primeros años de vida. De este modo se integrarán las reformas prioritarias del Plan </w:t>
      </w:r>
      <w:r w:rsidR="008B7C09">
        <w:rPr>
          <w:lang w:val="es-ES_tradnl"/>
        </w:rPr>
        <w:t>“</w:t>
      </w:r>
      <w:r w:rsidRPr="00B039DD">
        <w:rPr>
          <w:lang w:val="es-ES_tradnl"/>
        </w:rPr>
        <w:t xml:space="preserve">Cerrar la </w:t>
      </w:r>
      <w:r w:rsidR="008B7C09">
        <w:rPr>
          <w:lang w:val="es-ES_tradnl"/>
        </w:rPr>
        <w:t>B</w:t>
      </w:r>
      <w:r w:rsidRPr="00B039DD">
        <w:rPr>
          <w:lang w:val="es-ES_tradnl"/>
        </w:rPr>
        <w:t>recha</w:t>
      </w:r>
      <w:r w:rsidR="008B7C09">
        <w:rPr>
          <w:lang w:val="es-ES_tradnl"/>
        </w:rPr>
        <w:t>”</w:t>
      </w:r>
      <w:r w:rsidRPr="00B039DD">
        <w:rPr>
          <w:lang w:val="es-ES_tradnl"/>
        </w:rPr>
        <w:t xml:space="preserve"> y se incrementará el acceso a una educación y una atención de la primera infancia culturalmente apropiadas. </w:t>
      </w:r>
    </w:p>
    <w:p w14:paraId="2E8CDFF6" w14:textId="5EC05520" w:rsidR="00E16C43" w:rsidRPr="00B039DD" w:rsidRDefault="00E16C43" w:rsidP="00E16C43">
      <w:pPr>
        <w:pStyle w:val="SingleTxtG"/>
        <w:rPr>
          <w:lang w:val="es-ES_tradnl"/>
        </w:rPr>
      </w:pPr>
      <w:r w:rsidRPr="00B039DD">
        <w:rPr>
          <w:lang w:val="es-ES_tradnl"/>
        </w:rPr>
        <w:t>327.</w:t>
      </w:r>
      <w:r w:rsidRPr="00B039DD">
        <w:rPr>
          <w:lang w:val="es-ES_tradnl"/>
        </w:rPr>
        <w:tab/>
        <w:t xml:space="preserve">El programa restringido del Fondo Comunitario de Atención a la Infancia ayuda a los servicios a superar los obstáculos a la participación en la educación y la atención de la primera infancia. El programa </w:t>
      </w:r>
      <w:r w:rsidR="00A82F0F">
        <w:rPr>
          <w:lang w:val="es-ES_tradnl"/>
        </w:rPr>
        <w:t>“</w:t>
      </w:r>
      <w:r w:rsidRPr="00B039DD">
        <w:rPr>
          <w:lang w:val="es-ES_tradnl"/>
        </w:rPr>
        <w:t>Connected Beginnings</w:t>
      </w:r>
      <w:r w:rsidR="00A82F0F">
        <w:rPr>
          <w:lang w:val="es-ES_tradnl"/>
        </w:rPr>
        <w:t>”</w:t>
      </w:r>
      <w:r w:rsidRPr="00B039DD">
        <w:rPr>
          <w:lang w:val="es-ES_tradnl"/>
        </w:rPr>
        <w:t xml:space="preserve"> integra la educación de la primera infancia, la salud maternoinfantil y los servicios de apoyo familiar en las escuelas de determinadas comunidades de las Primeras Naciones con vistas a garantizar que los niños de las Primeras Naciones estén sanos y preparados para desarrollarse en la escuela a los </w:t>
      </w:r>
      <w:r w:rsidR="00107D4A">
        <w:rPr>
          <w:lang w:val="es-ES_tradnl"/>
        </w:rPr>
        <w:t>5</w:t>
      </w:r>
      <w:r w:rsidRPr="00B039DD">
        <w:rPr>
          <w:lang w:val="es-ES_tradnl"/>
        </w:rPr>
        <w:t xml:space="preserve"> años. </w:t>
      </w:r>
    </w:p>
    <w:p w14:paraId="6D78ACDE" w14:textId="42401628" w:rsidR="00E16C43" w:rsidRPr="00B039DD" w:rsidRDefault="00E16C43" w:rsidP="00E16C43">
      <w:pPr>
        <w:pStyle w:val="SingleTxtG"/>
        <w:rPr>
          <w:lang w:val="es-ES_tradnl"/>
        </w:rPr>
      </w:pPr>
      <w:r w:rsidRPr="00B039DD">
        <w:rPr>
          <w:lang w:val="es-ES_tradnl"/>
        </w:rPr>
        <w:t>328.</w:t>
      </w:r>
      <w:r w:rsidRPr="00B039DD">
        <w:rPr>
          <w:lang w:val="es-ES_tradnl"/>
        </w:rPr>
        <w:tab/>
        <w:t xml:space="preserve">El proyecto </w:t>
      </w:r>
      <w:r w:rsidR="00A82F0F">
        <w:rPr>
          <w:lang w:val="es-ES_tradnl"/>
        </w:rPr>
        <w:t>“</w:t>
      </w:r>
      <w:r w:rsidRPr="00B039DD">
        <w:rPr>
          <w:lang w:val="es-ES_tradnl"/>
        </w:rPr>
        <w:t>Competencia cultural indígena en el personal docente australiano</w:t>
      </w:r>
      <w:r w:rsidR="00A82F0F">
        <w:rPr>
          <w:lang w:val="es-ES_tradnl"/>
        </w:rPr>
        <w:t>”</w:t>
      </w:r>
      <w:r w:rsidRPr="00B039DD">
        <w:rPr>
          <w:lang w:val="es-ES_tradnl"/>
        </w:rPr>
        <w:t xml:space="preserve"> del Instituto Australiano de Enseñanza y Dirección Escolar está centrado en los procesos que los </w:t>
      </w:r>
      <w:r w:rsidRPr="00B039DD">
        <w:rPr>
          <w:lang w:val="es-ES_tradnl"/>
        </w:rPr>
        <w:lastRenderedPageBreak/>
        <w:t xml:space="preserve">docentes y los dirigentes escolares pueden utilizar para desarrollar y poner en práctica de manera continuada su capacidad de respuesta cultural, valiéndose de una serie de recursos y herramientas de apoyo. </w:t>
      </w:r>
    </w:p>
    <w:p w14:paraId="498CABF2" w14:textId="0375A495" w:rsidR="00E16C43" w:rsidRPr="00B039DD" w:rsidRDefault="00E16C43" w:rsidP="00E16C43">
      <w:pPr>
        <w:pStyle w:val="SingleTxtG"/>
        <w:rPr>
          <w:lang w:val="es-ES_tradnl"/>
        </w:rPr>
      </w:pPr>
      <w:r w:rsidRPr="00B039DD">
        <w:rPr>
          <w:lang w:val="es-ES_tradnl"/>
        </w:rPr>
        <w:t>329.</w:t>
      </w:r>
      <w:r w:rsidRPr="00B039DD">
        <w:rPr>
          <w:lang w:val="es-ES_tradnl"/>
        </w:rPr>
        <w:tab/>
        <w:t xml:space="preserve">Los estados y territorios también cuentan iniciativas destinadas a incorporar una educación culturalmente apropiada. El Gobierno de Victoria ha destinado fondos a la aplicación del Plan de Educación Aborigen </w:t>
      </w:r>
      <w:r w:rsidR="00D74E7F">
        <w:rPr>
          <w:lang w:val="es-ES_tradnl"/>
        </w:rPr>
        <w:t>“</w:t>
      </w:r>
      <w:r w:rsidRPr="00B039DD">
        <w:rPr>
          <w:lang w:val="es-ES_tradnl"/>
        </w:rPr>
        <w:t>Marrung</w:t>
      </w:r>
      <w:r w:rsidR="00D74E7F">
        <w:rPr>
          <w:lang w:val="es-ES_tradnl"/>
        </w:rPr>
        <w:t>”</w:t>
      </w:r>
      <w:r w:rsidRPr="00B039DD">
        <w:rPr>
          <w:lang w:val="es-ES_tradnl"/>
        </w:rPr>
        <w:t xml:space="preserve"> (2016-2026), incluida la prolongación del programa de alfabetización y conocimientos aritméticos koorie y de la asistencia prestada por el personal docente koorie a los servicios y escuelas de educación infantil de Victoria. Los oficiales de apoyo a la integración koorie prestan asistencia a los niños, las familias y las escuelas para mejorar los resultados educativos de los alumnos de las Primeras Naciones y potenciar la inclusión cultural de las Primeras Naciones en las escuelas. </w:t>
      </w:r>
    </w:p>
    <w:p w14:paraId="34AD40F3" w14:textId="0331DC30" w:rsidR="00E16C43" w:rsidRPr="00B039DD" w:rsidRDefault="00E16C43" w:rsidP="00E16C43">
      <w:pPr>
        <w:pStyle w:val="SingleTxtG"/>
        <w:rPr>
          <w:lang w:val="es-ES_tradnl"/>
        </w:rPr>
      </w:pPr>
      <w:r w:rsidRPr="00B039DD">
        <w:rPr>
          <w:lang w:val="es-ES_tradnl"/>
        </w:rPr>
        <w:t>330.</w:t>
      </w:r>
      <w:r w:rsidRPr="00B039DD">
        <w:rPr>
          <w:lang w:val="es-ES_tradnl"/>
        </w:rPr>
        <w:tab/>
        <w:t xml:space="preserve">El Territorio del Norte presta servicios integrados en el marco de los centros para la infancia y la familia, que brindan asistencia en materia de aprendizaje temprano a niños y familias vulnerables, desfavorecidos y de las Primeras Naciones. Con arreglo al Plan de Aplicación </w:t>
      </w:r>
      <w:r w:rsidR="008B7C09">
        <w:rPr>
          <w:lang w:val="es-ES_tradnl"/>
        </w:rPr>
        <w:t>“</w:t>
      </w:r>
      <w:r w:rsidRPr="00B039DD">
        <w:rPr>
          <w:lang w:val="es-ES_tradnl"/>
        </w:rPr>
        <w:t xml:space="preserve">Cerrar la </w:t>
      </w:r>
      <w:r w:rsidR="008B7C09">
        <w:rPr>
          <w:lang w:val="es-ES_tradnl"/>
        </w:rPr>
        <w:t>B</w:t>
      </w:r>
      <w:r w:rsidRPr="00B039DD">
        <w:rPr>
          <w:lang w:val="es-ES_tradnl"/>
        </w:rPr>
        <w:t>recha</w:t>
      </w:r>
      <w:r w:rsidR="008B7C09">
        <w:rPr>
          <w:lang w:val="es-ES_tradnl"/>
        </w:rPr>
        <w:t>”</w:t>
      </w:r>
      <w:r w:rsidRPr="00B039DD">
        <w:rPr>
          <w:lang w:val="es-ES_tradnl"/>
        </w:rPr>
        <w:t xml:space="preserve"> de Tasmania, todos los alumnos de las Primeras Naciones disponen de planes de aprendizaje personalizados, que son elaborados en colaboración con el alumno, su familia y sus profesores. Australia Meridional colabora con las comunidades, los educadores y las instituciones culturales de las Primeras Naciones para integrar elementos contextuales de las Primeras Naciones en las unidades de trabajo de todas las áreas curriculares pertinentes.</w:t>
      </w:r>
    </w:p>
    <w:p w14:paraId="75A1828A" w14:textId="2F9EC2D1"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Niños refugiados y niños solicitantes de asilo</w:t>
      </w:r>
    </w:p>
    <w:p w14:paraId="5019E749" w14:textId="77777777" w:rsidR="00E16C43" w:rsidRPr="00B039DD" w:rsidRDefault="00E16C43" w:rsidP="00E16C43">
      <w:pPr>
        <w:pStyle w:val="SingleTxtG"/>
        <w:rPr>
          <w:lang w:val="es-ES_tradnl"/>
        </w:rPr>
      </w:pPr>
      <w:r w:rsidRPr="00B039DD">
        <w:rPr>
          <w:lang w:val="es-ES_tradnl"/>
        </w:rPr>
        <w:t>331.</w:t>
      </w:r>
      <w:r w:rsidRPr="00B039DD">
        <w:rPr>
          <w:lang w:val="es-ES_tradnl"/>
        </w:rPr>
        <w:tab/>
        <w:t>Australia apoya la igualdad de oportunidades educativas de niños y jóvenes.</w:t>
      </w:r>
    </w:p>
    <w:p w14:paraId="0CCABECE" w14:textId="77777777" w:rsidR="00E16C43" w:rsidRPr="00B039DD" w:rsidRDefault="00E16C43" w:rsidP="00E16C43">
      <w:pPr>
        <w:pStyle w:val="SingleTxtG"/>
        <w:rPr>
          <w:lang w:val="es-ES_tradnl"/>
        </w:rPr>
      </w:pPr>
      <w:r w:rsidRPr="00B039DD">
        <w:rPr>
          <w:lang w:val="es-ES_tradnl"/>
        </w:rPr>
        <w:t>332.</w:t>
      </w:r>
      <w:r w:rsidRPr="00B039DD">
        <w:rPr>
          <w:lang w:val="es-ES_tradnl"/>
        </w:rPr>
        <w:tab/>
        <w:t>Las distintas cargas de la pauta de recursos de escolarización están diseñadas para ayudar a las escuelas a cubrir los costos adicionales que entraña la educación de los alumnos de grupos prioritarios. La carga del dominio de la lengua inglesa contribuye a sufragar los gastos de matrícula y apoyo lingüístico de los alumnos que necesitan ayuda para adquirir el dominio de la lengua inglesa. Incluye a los migrantes y refugiados recientemente llegados al país.</w:t>
      </w:r>
    </w:p>
    <w:p w14:paraId="59068BCC" w14:textId="691DD4C2" w:rsidR="00E16C43" w:rsidRPr="00B039DD" w:rsidRDefault="00E16C43" w:rsidP="00E16C43">
      <w:pPr>
        <w:pStyle w:val="SingleTxtG"/>
        <w:rPr>
          <w:lang w:val="es-ES_tradnl"/>
        </w:rPr>
      </w:pPr>
      <w:r w:rsidRPr="00B039DD">
        <w:rPr>
          <w:lang w:val="es-ES_tradnl"/>
        </w:rPr>
        <w:t>333.</w:t>
      </w:r>
      <w:r w:rsidRPr="00B039DD">
        <w:rPr>
          <w:lang w:val="es-ES_tradnl"/>
        </w:rPr>
        <w:tab/>
        <w:t>Las opciones educativas ofrecidas a los niños refugiados y solicitantes de asilo dependen del visado que posean y de las condiciones que se apliquen a dicho visado. Los alumnos matriculados que proceden de entornos de refugiados o solicitantes de asilo suelen tener derecho a ser contabilizados en el censo escolar anual del Gobierno australiano y pueden recibir financiación recurrente gubernamental en virtud de la Ley de Educación de</w:t>
      </w:r>
      <w:r w:rsidR="00D74E7F">
        <w:rPr>
          <w:lang w:val="es-ES_tradnl"/>
        </w:rPr>
        <w:t> </w:t>
      </w:r>
      <w:r w:rsidRPr="00B039DD">
        <w:rPr>
          <w:lang w:val="es-ES_tradnl"/>
        </w:rPr>
        <w:t>2013.</w:t>
      </w:r>
    </w:p>
    <w:p w14:paraId="6B2DFC54" w14:textId="19842206" w:rsidR="00E16C43" w:rsidRPr="00B039DD" w:rsidRDefault="00E16C43" w:rsidP="00E16C43">
      <w:pPr>
        <w:pStyle w:val="SingleTxtG"/>
        <w:rPr>
          <w:lang w:val="es-ES_tradnl"/>
        </w:rPr>
      </w:pPr>
      <w:r w:rsidRPr="00B039DD">
        <w:rPr>
          <w:lang w:val="es-ES_tradnl"/>
        </w:rPr>
        <w:t>334.</w:t>
      </w:r>
      <w:r w:rsidRPr="00B039DD">
        <w:rPr>
          <w:lang w:val="es-ES_tradnl"/>
        </w:rPr>
        <w:tab/>
        <w:t>Los gobiernos de lo</w:t>
      </w:r>
      <w:r w:rsidR="00D74E7F">
        <w:rPr>
          <w:lang w:val="es-ES_tradnl"/>
        </w:rPr>
        <w:t>s</w:t>
      </w:r>
      <w:r w:rsidRPr="00B039DD">
        <w:rPr>
          <w:lang w:val="es-ES_tradnl"/>
        </w:rPr>
        <w:t xml:space="preserve"> estados y los territorios gestionan el funcionamiento cotidiano de las escuelas, como el apoyo al acceso de todos los niños, incluidos los niños refugiados o migrantes recientemente llegados, a las oportunidades educativas y a la vida escolar. </w:t>
      </w:r>
    </w:p>
    <w:p w14:paraId="5E361FF2" w14:textId="78A48DEF"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 xml:space="preserve">Educación inclusiva para los alumnos con discapacidad </w:t>
      </w:r>
    </w:p>
    <w:p w14:paraId="5D746373" w14:textId="77777777" w:rsidR="00E16C43" w:rsidRPr="00B039DD" w:rsidRDefault="00E16C43" w:rsidP="00E16C43">
      <w:pPr>
        <w:pStyle w:val="SingleTxtG"/>
        <w:rPr>
          <w:lang w:val="es-ES_tradnl"/>
        </w:rPr>
      </w:pPr>
      <w:r w:rsidRPr="00B039DD">
        <w:rPr>
          <w:lang w:val="es-ES_tradnl"/>
        </w:rPr>
        <w:t>335.</w:t>
      </w:r>
      <w:r w:rsidRPr="00B039DD">
        <w:rPr>
          <w:lang w:val="es-ES_tradnl"/>
        </w:rPr>
        <w:tab/>
        <w:t xml:space="preserve">En virtud de la Ley contra la Discriminación por Discapacidad y de las Normas sobre la Educación de las Personas con Discapacidad de 2005, todos los centros escolares deben realizar ajustes razonables para que los alumnos con discapacidad puedan acceder a la educación y cursar la enseñanza en igualdad de condiciones con sus compañeros. </w:t>
      </w:r>
    </w:p>
    <w:p w14:paraId="55181921" w14:textId="77777777" w:rsidR="00E16C43" w:rsidRPr="00B039DD" w:rsidRDefault="00E16C43" w:rsidP="00E16C43">
      <w:pPr>
        <w:pStyle w:val="SingleTxtG"/>
        <w:rPr>
          <w:lang w:val="es-ES_tradnl"/>
        </w:rPr>
      </w:pPr>
      <w:r w:rsidRPr="00B039DD">
        <w:rPr>
          <w:lang w:val="es-ES_tradnl"/>
        </w:rPr>
        <w:t>336.</w:t>
      </w:r>
      <w:r w:rsidRPr="00B039DD">
        <w:rPr>
          <w:lang w:val="es-ES_tradnl"/>
        </w:rPr>
        <w:tab/>
        <w:t>El Gobierno australiano está aplicando las recomendaciones realizadas en el marco de la revisión de las Normas sobre la Educación de las Personas con Discapacidad, llevada a cabo en 2020, que respaldan los objetivos de la estrategia de fortalecimiento del diseño inclusivo y elaboración de sistemas y políticas oficiales. Esto incluye el desarrollo de recursos que ayuden a los dirigentes y docentes escolares a comprender mejor cómo pueden aplicar las normas en los centros escolares.</w:t>
      </w:r>
    </w:p>
    <w:p w14:paraId="1888E57A" w14:textId="77777777" w:rsidR="00E16C43" w:rsidRPr="00B039DD" w:rsidRDefault="00E16C43" w:rsidP="00E16C43">
      <w:pPr>
        <w:pStyle w:val="SingleTxtG"/>
        <w:rPr>
          <w:lang w:val="es-ES_tradnl"/>
        </w:rPr>
      </w:pPr>
      <w:r w:rsidRPr="00B039DD">
        <w:rPr>
          <w:lang w:val="es-ES_tradnl"/>
        </w:rPr>
        <w:t>337.</w:t>
      </w:r>
      <w:r w:rsidRPr="00B039DD">
        <w:rPr>
          <w:lang w:val="es-ES_tradnl"/>
        </w:rPr>
        <w:tab/>
        <w:t xml:space="preserve">La adopción de las Normas Profesionales para Maestros en 2011 asentó a nivel nacional la expectativa de que los docentes atiendan las necesidades específicas de </w:t>
      </w:r>
      <w:r w:rsidRPr="00B039DD">
        <w:rPr>
          <w:lang w:val="es-ES_tradnl"/>
        </w:rPr>
        <w:lastRenderedPageBreak/>
        <w:t xml:space="preserve">aprendizaje de todos los alumnos y comprendan las disposiciones legislativas y las estrategias educativas orientadas a garantizar la participación y el aprendizaje de los alumnos con discapacidad. </w:t>
      </w:r>
    </w:p>
    <w:p w14:paraId="56D82EAB" w14:textId="77777777" w:rsidR="00E16C43" w:rsidRPr="00B039DD" w:rsidRDefault="00E16C43" w:rsidP="00E16C43">
      <w:pPr>
        <w:pStyle w:val="SingleTxtG"/>
        <w:rPr>
          <w:lang w:val="es-ES_tradnl"/>
        </w:rPr>
      </w:pPr>
      <w:r w:rsidRPr="00B039DD">
        <w:rPr>
          <w:lang w:val="es-ES_tradnl"/>
        </w:rPr>
        <w:t>338.</w:t>
      </w:r>
      <w:r w:rsidRPr="00B039DD">
        <w:rPr>
          <w:lang w:val="es-ES_tradnl"/>
        </w:rPr>
        <w:tab/>
        <w:t xml:space="preserve">En 2023, el Gobierno australiano asignó unos 3.100 millones de dólares a las escuelas australianas en virtud de la carga correspondiente a los alumnos con discapacidad de la pauta de recursos de escolarización. </w:t>
      </w:r>
    </w:p>
    <w:p w14:paraId="3E833C8C" w14:textId="77777777" w:rsidR="00E16C43" w:rsidRPr="00B039DD" w:rsidRDefault="00E16C43" w:rsidP="00E16C43">
      <w:pPr>
        <w:pStyle w:val="SingleTxtG"/>
        <w:rPr>
          <w:lang w:val="es-ES_tradnl"/>
        </w:rPr>
      </w:pPr>
      <w:r w:rsidRPr="00B039DD">
        <w:rPr>
          <w:lang w:val="es-ES_tradnl"/>
        </w:rPr>
        <w:t>339.</w:t>
      </w:r>
      <w:r w:rsidRPr="00B039DD">
        <w:rPr>
          <w:lang w:val="es-ES_tradnl"/>
        </w:rPr>
        <w:tab/>
        <w:t xml:space="preserve">El Gobierno también ha invertido 91 millones de dólares en el Programa de Asociaciones Positivas, puesto en marcha en 2008, que brinda apoyo a los alumnos en edad escolar con trastorno del espectro autista, así como a sus padres, cuidadores y maestros. </w:t>
      </w:r>
    </w:p>
    <w:p w14:paraId="4BB6AC50" w14:textId="77777777" w:rsidR="00E16C43" w:rsidRPr="00B039DD" w:rsidRDefault="00E16C43" w:rsidP="00E16C43">
      <w:pPr>
        <w:pStyle w:val="SingleTxtG"/>
        <w:rPr>
          <w:lang w:val="es-ES_tradnl"/>
        </w:rPr>
      </w:pPr>
      <w:r w:rsidRPr="00B039DD">
        <w:rPr>
          <w:lang w:val="es-ES_tradnl"/>
        </w:rPr>
        <w:t>340.</w:t>
      </w:r>
      <w:r w:rsidRPr="00B039DD">
        <w:rPr>
          <w:lang w:val="es-ES_tradnl"/>
        </w:rPr>
        <w:tab/>
        <w:t>Por otro lado, el Programa de Apoyo a la Inclusión del Gobierno australiano ofrece financiación para ayudar a los servicios homologados de atención y educación de la primera infancia a incluir a niños con necesidades adicionales. Este programa desempeña un papel fundamental para incluir a los niños con necesidades adicionales, comportamientos problemáticos y traumáticos, y enfermedades o dolencias graves, en los servicios de atención y educación de la primera infancia junto a los niños que presentan un patrón de desarrollo normal.</w:t>
      </w:r>
    </w:p>
    <w:p w14:paraId="39FD50A8" w14:textId="42BAC419" w:rsidR="00E16C43" w:rsidRPr="00B039DD" w:rsidRDefault="00E16C43" w:rsidP="00E16C43">
      <w:pPr>
        <w:pStyle w:val="SingleTxtG"/>
        <w:rPr>
          <w:lang w:val="es-ES_tradnl"/>
        </w:rPr>
      </w:pPr>
      <w:r w:rsidRPr="00B039DD">
        <w:rPr>
          <w:lang w:val="es-ES_tradnl"/>
        </w:rPr>
        <w:t>341.</w:t>
      </w:r>
      <w:r w:rsidRPr="00B039DD">
        <w:rPr>
          <w:lang w:val="es-ES_tradnl"/>
        </w:rPr>
        <w:tab/>
        <w:t>Los estados y territorios disponen asimismo de marcos de apoyo a los alumnos con discapacidad. Por ejemp</w:t>
      </w:r>
      <w:r w:rsidRPr="00581426">
        <w:rPr>
          <w:lang w:val="es-ES_tradnl"/>
        </w:rPr>
        <w:t>lo, el presupuesto del estado de Victoria para 2023</w:t>
      </w:r>
      <w:r w:rsidR="00581426" w:rsidRPr="00581426">
        <w:rPr>
          <w:lang w:val="es-ES_tradnl"/>
        </w:rPr>
        <w:t>/</w:t>
      </w:r>
      <w:r w:rsidRPr="00581426">
        <w:rPr>
          <w:lang w:val="es-ES_tradnl"/>
        </w:rPr>
        <w:t>24</w:t>
      </w:r>
      <w:r w:rsidRPr="00B039DD">
        <w:rPr>
          <w:lang w:val="es-ES_tradnl"/>
        </w:rPr>
        <w:t xml:space="preserve"> asignó 235 millones de dólares a atender las necesidades educativas y sociales de los niños y jóvenes con discapacidad, así como a las necesidades adicionales de las escuelas. Previamente, Victoria había invertido 1.600 millones de dólares en el programa de reforma de la inclusión de la discapacidad en las escuelas públicas. </w:t>
      </w:r>
    </w:p>
    <w:p w14:paraId="460BFD78" w14:textId="5BE60B00"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Preservación, promoción y enseñanza de las lenguas indígenas</w:t>
      </w:r>
    </w:p>
    <w:p w14:paraId="5507C686" w14:textId="62CDB1A4" w:rsidR="00E16C43" w:rsidRPr="00B039DD" w:rsidRDefault="00E16C43" w:rsidP="00E16C43">
      <w:pPr>
        <w:pStyle w:val="SingleTxtG"/>
        <w:rPr>
          <w:lang w:val="es-ES_tradnl"/>
        </w:rPr>
      </w:pPr>
      <w:r w:rsidRPr="00B039DD">
        <w:rPr>
          <w:lang w:val="es-ES_tradnl"/>
        </w:rPr>
        <w:t>342.</w:t>
      </w:r>
      <w:r w:rsidRPr="00B039DD">
        <w:rPr>
          <w:lang w:val="es-ES_tradnl"/>
        </w:rPr>
        <w:tab/>
        <w:t>El Gobierno australiano reconoce el valor intrínseco de las culturas, las lenguas y el arte de las Primeras Naciones, y proclama el per</w:t>
      </w:r>
      <w:r w:rsidR="00E769E3">
        <w:rPr>
          <w:lang w:val="es-ES_tradnl"/>
        </w:rPr>
        <w:t>í</w:t>
      </w:r>
      <w:r w:rsidRPr="00B039DD">
        <w:rPr>
          <w:lang w:val="es-ES_tradnl"/>
        </w:rPr>
        <w:t xml:space="preserve">odo comprendido entre 2022 y 2032 como Decenio Internacional de las Lenguas Indígenas. </w:t>
      </w:r>
    </w:p>
    <w:p w14:paraId="2657EC08" w14:textId="75DB1438" w:rsidR="00E16C43" w:rsidRPr="00B039DD" w:rsidRDefault="00E16C43" w:rsidP="00E16C43">
      <w:pPr>
        <w:pStyle w:val="SingleTxtG"/>
        <w:rPr>
          <w:lang w:val="es-ES_tradnl"/>
        </w:rPr>
      </w:pPr>
      <w:r w:rsidRPr="00B039DD">
        <w:rPr>
          <w:lang w:val="es-ES_tradnl"/>
        </w:rPr>
        <w:t>343.</w:t>
      </w:r>
      <w:r w:rsidRPr="00B039DD">
        <w:rPr>
          <w:lang w:val="es-ES_tradnl"/>
        </w:rPr>
        <w:tab/>
        <w:t xml:space="preserve">El programa de Lenguas y Artes Indígenas destina más de 30 millones de dólares anuales a organizaciones comunitarias que ayudan a los pueblos de las Primeras Naciones a expresar, preservar y mantener sus culturas a través de las lenguas y las actividades artísticas. Incluye 22,8 millones adicionales, escalonados a lo largo de </w:t>
      </w:r>
      <w:r w:rsidR="00D74E7F">
        <w:rPr>
          <w:lang w:val="es-ES_tradnl"/>
        </w:rPr>
        <w:t xml:space="preserve">cuatro </w:t>
      </w:r>
      <w:r w:rsidRPr="00B039DD">
        <w:rPr>
          <w:lang w:val="es-ES_tradnl"/>
        </w:rPr>
        <w:t xml:space="preserve">años a partir de 2022, destinados a salvaguardar y reforzar las lenguas de las Primeras Naciones. </w:t>
      </w:r>
    </w:p>
    <w:p w14:paraId="1606B138" w14:textId="77777777" w:rsidR="00E16C43" w:rsidRPr="00B039DD" w:rsidRDefault="00E16C43" w:rsidP="00E16C43">
      <w:pPr>
        <w:pStyle w:val="SingleTxtG"/>
        <w:rPr>
          <w:lang w:val="es-ES_tradnl"/>
        </w:rPr>
      </w:pPr>
      <w:r w:rsidRPr="00B039DD">
        <w:rPr>
          <w:lang w:val="es-ES_tradnl"/>
        </w:rPr>
        <w:t>344.</w:t>
      </w:r>
      <w:r w:rsidRPr="00B039DD">
        <w:rPr>
          <w:lang w:val="es-ES_tradnl"/>
        </w:rPr>
        <w:tab/>
        <w:t xml:space="preserve">El Instituto Australiano de Estudios de los Aborígenes y los Isleños del Estrecho de Torres es el principal instituto nacional del país dedicado a contar la historia de los conocimientos, las sociedades y las culturas de los pueblos aborígenes e isleños del </w:t>
      </w:r>
      <w:r w:rsidRPr="00581426">
        <w:rPr>
          <w:lang w:val="es-ES_tradnl"/>
        </w:rPr>
        <w:t>estrecho de Torres. Mantiene y promueve el patrimonio cultural y lingüístico de los pueblos de las</w:t>
      </w:r>
      <w:r w:rsidRPr="00B039DD">
        <w:rPr>
          <w:lang w:val="es-ES_tradnl"/>
        </w:rPr>
        <w:t xml:space="preserve"> Primeras Naciones a través de sus colecciones, archivos, publicaciones de investigación y actividades de proyectos, que apoyan y refuerzan directamente las lenguas indígenas. </w:t>
      </w:r>
    </w:p>
    <w:p w14:paraId="19C981AB" w14:textId="77777777" w:rsidR="00E16C43" w:rsidRPr="00B039DD" w:rsidRDefault="00E16C43" w:rsidP="00E16C43">
      <w:pPr>
        <w:pStyle w:val="SingleTxtG"/>
        <w:rPr>
          <w:lang w:val="es-ES_tradnl"/>
        </w:rPr>
      </w:pPr>
      <w:r w:rsidRPr="00B039DD">
        <w:rPr>
          <w:lang w:val="es-ES_tradnl"/>
        </w:rPr>
        <w:t>345.</w:t>
      </w:r>
      <w:r w:rsidRPr="00B039DD">
        <w:rPr>
          <w:lang w:val="es-ES_tradnl"/>
        </w:rPr>
        <w:tab/>
        <w:t>El Gobierno australiano ha destinado 11 millones de dólares, a partir de 2022-2023, al establecimiento de una asociación oficial de los gobiernos y los pueblos de las Primeras Naciones sobre la cuestión de las lenguas, así como al financiamiento de la próxima encuesta nacional sobre lenguas indígenas, cuyos resultados servirán para orientar inversiones eficaces y específicas. El Instituto Australiano de Estudios de los Aborígenes y los Isleños del Estrecho de Torres presentará el informe sobre la encuesta nacional sobre lenguas indígenas a mediados de 2025.</w:t>
      </w:r>
    </w:p>
    <w:p w14:paraId="62804C2B" w14:textId="77777777" w:rsidR="00E16C43" w:rsidRPr="00B039DD" w:rsidRDefault="00E16C43" w:rsidP="00E16C43">
      <w:pPr>
        <w:pStyle w:val="SingleTxtG"/>
        <w:rPr>
          <w:lang w:val="es-ES_tradnl"/>
        </w:rPr>
      </w:pPr>
      <w:r w:rsidRPr="00B039DD">
        <w:rPr>
          <w:lang w:val="es-ES_tradnl"/>
        </w:rPr>
        <w:t>346.</w:t>
      </w:r>
      <w:r w:rsidRPr="00B039DD">
        <w:rPr>
          <w:lang w:val="es-ES_tradnl"/>
        </w:rPr>
        <w:tab/>
        <w:t xml:space="preserve">El componente de cultura y capacitación de la Estrategia de Promoción Indígena también financia el mantenimiento y fortalecimiento de las culturas indígenas australianas. Financia programas como Digital Living First Languages, el Proyecto de Diccionarios y Preservación de Lenguas Indígenas del Instituto Australiano de Estudios de los Aborígenes y los Isleños del Estrecho de Torres, los Servicios Transfronterizos de Interpretación Jurídica del Gobierno del Territorio del Norte, así como los Servicios de Acreditación, Certificación e Interpretación. </w:t>
      </w:r>
    </w:p>
    <w:p w14:paraId="6EF6FFA9" w14:textId="77777777" w:rsidR="00E16C43" w:rsidRPr="00B039DD" w:rsidRDefault="00E16C43" w:rsidP="00E16C43">
      <w:pPr>
        <w:pStyle w:val="SingleTxtG"/>
        <w:rPr>
          <w:lang w:val="es-ES_tradnl"/>
        </w:rPr>
      </w:pPr>
      <w:r w:rsidRPr="00B039DD">
        <w:rPr>
          <w:lang w:val="es-ES_tradnl"/>
        </w:rPr>
        <w:lastRenderedPageBreak/>
        <w:t>347.</w:t>
      </w:r>
      <w:r w:rsidRPr="00B039DD">
        <w:rPr>
          <w:lang w:val="es-ES_tradnl"/>
        </w:rPr>
        <w:tab/>
        <w:t xml:space="preserve">El Gobierno australiano contribuye a la enseñanza de las lenguas de las Primeras Naciones en las escuelas desde el Marco Nacional para las Lenguas de los Aborígenes y los Isleños del Estrecho de Torres del plan de estudios australiano (que abarca desde la educación básica hasta el décimo año). Dicho marco orienta a las escuelas australianas en la enseñanza de las lenguas </w:t>
      </w:r>
      <w:r w:rsidRPr="00581426">
        <w:rPr>
          <w:lang w:val="es-ES_tradnl"/>
        </w:rPr>
        <w:t>aborígenes e isleñas del estrecho de Torres.</w:t>
      </w:r>
      <w:r w:rsidRPr="00B039DD">
        <w:rPr>
          <w:lang w:val="es-ES_tradnl"/>
        </w:rPr>
        <w:t xml:space="preserve"> </w:t>
      </w:r>
    </w:p>
    <w:p w14:paraId="14BAE1C5" w14:textId="4186B795" w:rsidR="00E16C43" w:rsidRPr="00B039DD" w:rsidRDefault="00E16C43" w:rsidP="00E16C43">
      <w:pPr>
        <w:pStyle w:val="SingleTxtG"/>
        <w:rPr>
          <w:lang w:val="es-ES_tradnl"/>
        </w:rPr>
      </w:pPr>
      <w:r w:rsidRPr="00B039DD">
        <w:rPr>
          <w:lang w:val="es-ES_tradnl"/>
        </w:rPr>
        <w:t>348.</w:t>
      </w:r>
      <w:r w:rsidRPr="00B039DD">
        <w:rPr>
          <w:lang w:val="es-ES_tradnl"/>
        </w:rPr>
        <w:tab/>
        <w:t>El Gobierno australiano ha impulsado a un plan de 14,1 millones de dólares (de</w:t>
      </w:r>
      <w:r w:rsidR="00D74E7F">
        <w:rPr>
          <w:lang w:val="es-ES_tradnl"/>
        </w:rPr>
        <w:t> </w:t>
      </w:r>
      <w:r w:rsidRPr="00B039DD">
        <w:rPr>
          <w:lang w:val="es-ES_tradnl"/>
        </w:rPr>
        <w:t>2022</w:t>
      </w:r>
      <w:r w:rsidR="00D74E7F">
        <w:rPr>
          <w:lang w:val="es-ES_tradnl"/>
        </w:rPr>
        <w:noBreakHyphen/>
      </w:r>
      <w:r w:rsidRPr="00B039DD">
        <w:rPr>
          <w:lang w:val="es-ES_tradnl"/>
        </w:rPr>
        <w:t>2023 a 2025-2026) para apoyar a las asociaciones locales de comunidades y escuelas de las Primeras Naciones en pos de la enseñanza de las lenguas de las Primeras Naciones. La financiación apoya la formación y la colocación de educadores de las Primeras Naciones en escuelas primarias con el objetivo de potenciar el aprendizaje de las lenguas de las Primeras Naciones.</w:t>
      </w:r>
    </w:p>
    <w:p w14:paraId="60740148" w14:textId="4D1CC4E9" w:rsidR="00E16C43" w:rsidRPr="00B039DD" w:rsidRDefault="00E16C43" w:rsidP="00E16C43">
      <w:pPr>
        <w:pStyle w:val="SingleTxtG"/>
        <w:rPr>
          <w:lang w:val="es-ES_tradnl"/>
        </w:rPr>
      </w:pPr>
      <w:r w:rsidRPr="00B039DD">
        <w:rPr>
          <w:lang w:val="es-ES_tradnl"/>
        </w:rPr>
        <w:t>349.</w:t>
      </w:r>
      <w:r w:rsidRPr="00B039DD">
        <w:rPr>
          <w:lang w:val="es-ES_tradnl"/>
        </w:rPr>
        <w:tab/>
        <w:t xml:space="preserve">Los estados y los territorios también desempeñan un papel importante en la conservación y enseñanza de las lenguas de las Primeras Naciones. En Nueva Gales del Sur, la Ley de Lenguas Aborígenes de 2017 promueve las lenguas indígenas y ha propiciado el establecimiento de un Fondo Fiduciario de Lenguas Aborígenes destinado a apoyar la revitalización lingüística. En junio de 2022, el Gobierno de Nueva Gales del Sur destinó más de 138 millones de dólares en </w:t>
      </w:r>
      <w:r w:rsidR="00D74E7F">
        <w:rPr>
          <w:lang w:val="es-ES_tradnl"/>
        </w:rPr>
        <w:t xml:space="preserve">diez </w:t>
      </w:r>
      <w:r w:rsidRPr="00B039DD">
        <w:rPr>
          <w:lang w:val="es-ES_tradnl"/>
        </w:rPr>
        <w:t xml:space="preserve">años a apoyar la labor del fondo. </w:t>
      </w:r>
    </w:p>
    <w:p w14:paraId="5D620245" w14:textId="194862C9" w:rsidR="00E16C43" w:rsidRPr="00B039DD" w:rsidRDefault="00E16C43" w:rsidP="00E16C43">
      <w:pPr>
        <w:pStyle w:val="SingleTxtG"/>
        <w:rPr>
          <w:lang w:val="es-ES_tradnl"/>
        </w:rPr>
      </w:pPr>
      <w:r w:rsidRPr="00B039DD">
        <w:rPr>
          <w:lang w:val="es-ES_tradnl"/>
        </w:rPr>
        <w:t>350.</w:t>
      </w:r>
      <w:r w:rsidRPr="00B039DD">
        <w:rPr>
          <w:lang w:val="es-ES_tradnl"/>
        </w:rPr>
        <w:tab/>
        <w:t>Australia Occidental hace especial hincapié en la creación de aulas públicas, con sensibilidad a las cuestiones culturales, y el fomento de la enseñanza de las lenguas de las Primeras Naciones. En 2022 se enseñaban 24 lenguas de las Primeras Naciones a 12.795</w:t>
      </w:r>
      <w:r w:rsidR="00D74E7F">
        <w:rPr>
          <w:lang w:val="es-ES_tradnl"/>
        </w:rPr>
        <w:t> </w:t>
      </w:r>
      <w:r w:rsidRPr="00B039DD">
        <w:rPr>
          <w:lang w:val="es-ES_tradnl"/>
        </w:rPr>
        <w:t>alumnos de 92 escuelas públicas.</w:t>
      </w:r>
    </w:p>
    <w:p w14:paraId="13FDE61D" w14:textId="77777777" w:rsidR="00E16C43" w:rsidRPr="00B039DD" w:rsidRDefault="00E16C43" w:rsidP="00E16C43">
      <w:pPr>
        <w:pStyle w:val="SingleTxtG"/>
        <w:rPr>
          <w:lang w:val="es-ES_tradnl"/>
        </w:rPr>
      </w:pPr>
      <w:r w:rsidRPr="00B039DD">
        <w:rPr>
          <w:lang w:val="es-ES_tradnl"/>
        </w:rPr>
        <w:t>351.</w:t>
      </w:r>
      <w:r w:rsidRPr="00B039DD">
        <w:rPr>
          <w:lang w:val="es-ES_tradnl"/>
        </w:rPr>
        <w:tab/>
        <w:t xml:space="preserve">Australia Meridional apoya la promoción y preservación de las lenguas y culturas de las Primeras Naciones a través de la elaboración de textos y recursos, y la impartición de formación profesional. Seis grupos de posesores de lenguas de Australia Meridional colaboran con el Gobierno de este estado en la elaboración de contenidos lingüísticos y culturales del Marco Nacional para las Lenguas Aborígenes y las Lenguas de los Isleños del Estrecho de Torres. </w:t>
      </w:r>
    </w:p>
    <w:p w14:paraId="0E71A03C" w14:textId="2340DE89"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Desfiladero de Juukan</w:t>
      </w:r>
    </w:p>
    <w:p w14:paraId="381CCC07" w14:textId="7B681479" w:rsidR="00E16C43" w:rsidRPr="00B039DD" w:rsidRDefault="00E16C43" w:rsidP="00E16C43">
      <w:pPr>
        <w:pStyle w:val="SingleTxtG"/>
        <w:rPr>
          <w:lang w:val="es-ES_tradnl"/>
        </w:rPr>
      </w:pPr>
      <w:r w:rsidRPr="00B039DD">
        <w:rPr>
          <w:lang w:val="es-ES_tradnl"/>
        </w:rPr>
        <w:t>352.</w:t>
      </w:r>
      <w:r w:rsidRPr="00B039DD">
        <w:rPr>
          <w:lang w:val="es-ES_tradnl"/>
        </w:rPr>
        <w:tab/>
        <w:t xml:space="preserve">Las conclusiones de la investigación llevada a cabo por la Comisión Mixta Permanente sobre Australia Septentrional acerca de la destrucción de sitios del patrimonio cultural de 46.000 años </w:t>
      </w:r>
      <w:r w:rsidRPr="00D74E7F">
        <w:rPr>
          <w:lang w:val="es-ES_tradnl"/>
        </w:rPr>
        <w:t>de antigüedad en el desfiladero de Juukan (Australia Occidental) figuran en el informe A Way Forward: Final report into the destruction of Indigenous heritage sites at Juukan Gorge [</w:t>
      </w:r>
      <w:r w:rsidR="00A82F0F" w:rsidRPr="00D74E7F">
        <w:rPr>
          <w:lang w:val="es-ES_tradnl"/>
        </w:rPr>
        <w:t>“</w:t>
      </w:r>
      <w:r w:rsidRPr="00D74E7F">
        <w:rPr>
          <w:lang w:val="es-ES_tradnl"/>
        </w:rPr>
        <w:t>Avanzar: informe final sobre la destrucción del patrimonio indígena del desfiladero de Juukan</w:t>
      </w:r>
      <w:r w:rsidR="00A82F0F" w:rsidRPr="00D74E7F">
        <w:rPr>
          <w:lang w:val="es-ES_tradnl"/>
        </w:rPr>
        <w:t>”</w:t>
      </w:r>
      <w:r w:rsidRPr="00D74E7F">
        <w:rPr>
          <w:lang w:val="es-ES_tradnl"/>
        </w:rPr>
        <w:t>]. La Comisión formuló ocho recomendaciones con vistas a reformar la protección del patrimonio</w:t>
      </w:r>
      <w:r w:rsidRPr="00B039DD">
        <w:rPr>
          <w:lang w:val="es-ES_tradnl"/>
        </w:rPr>
        <w:t xml:space="preserve"> cultural de las Primeras Naciones de Australia. </w:t>
      </w:r>
    </w:p>
    <w:p w14:paraId="43CC0528" w14:textId="77777777" w:rsidR="00E16C43" w:rsidRPr="00B039DD" w:rsidRDefault="00E16C43" w:rsidP="00E16C43">
      <w:pPr>
        <w:pStyle w:val="SingleTxtG"/>
        <w:rPr>
          <w:lang w:val="es-ES_tradnl"/>
        </w:rPr>
      </w:pPr>
      <w:r w:rsidRPr="00B039DD">
        <w:rPr>
          <w:lang w:val="es-ES_tradnl"/>
        </w:rPr>
        <w:t>353.</w:t>
      </w:r>
      <w:r w:rsidRPr="00B039DD">
        <w:rPr>
          <w:lang w:val="es-ES_tradnl"/>
        </w:rPr>
        <w:tab/>
        <w:t xml:space="preserve">En su respuesta de noviembre de 2022 a los informes provisional y final de la Comisión, el Gobierno de Australia aceptó siete de las recomendaciones de la Comisión y tomó nota de la recomendación de hacer responsable de todos los asuntos relacionados con el patrimonio cultural de las Primeras Naciones al Ministerio de los Australianos Indígenas. </w:t>
      </w:r>
    </w:p>
    <w:p w14:paraId="04EE967E" w14:textId="77777777" w:rsidR="00E16C43" w:rsidRPr="00B039DD" w:rsidRDefault="00E16C43" w:rsidP="00E16C43">
      <w:pPr>
        <w:pStyle w:val="SingleTxtG"/>
        <w:rPr>
          <w:lang w:val="es-ES_tradnl"/>
        </w:rPr>
      </w:pPr>
      <w:r w:rsidRPr="00B039DD">
        <w:rPr>
          <w:lang w:val="es-ES_tradnl"/>
        </w:rPr>
        <w:t>354.</w:t>
      </w:r>
      <w:r w:rsidRPr="00B039DD">
        <w:rPr>
          <w:lang w:val="es-ES_tradnl"/>
        </w:rPr>
        <w:tab/>
        <w:t>El Gobierno australiano colabora con la Alianza de Protección del Patrimonio de las Primeras Naciones en la preparación conjunta de una reforma legislativa del patrimonio cultural en respuesta a los informes de la Comisión.</w:t>
      </w:r>
    </w:p>
    <w:p w14:paraId="501013C6" w14:textId="62E66928"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 xml:space="preserve">Inteligencia artificial </w:t>
      </w:r>
    </w:p>
    <w:p w14:paraId="13D36F05" w14:textId="77777777" w:rsidR="00E16C43" w:rsidRPr="00B039DD" w:rsidRDefault="00E16C43" w:rsidP="00E16C43">
      <w:pPr>
        <w:pStyle w:val="SingleTxtG"/>
        <w:rPr>
          <w:lang w:val="es-ES_tradnl"/>
        </w:rPr>
      </w:pPr>
      <w:r w:rsidRPr="00B039DD">
        <w:rPr>
          <w:lang w:val="es-ES_tradnl"/>
        </w:rPr>
        <w:t>355.</w:t>
      </w:r>
      <w:r w:rsidRPr="00B039DD">
        <w:rPr>
          <w:lang w:val="es-ES_tradnl"/>
        </w:rPr>
        <w:tab/>
        <w:t>El Gobierno australiano se ha comprometido a desarrollar y adoptar una inteligencia artificial (IA) fiable, segura y responsable, y a colaborar estrechamente con la comunidad internacional y el sector.</w:t>
      </w:r>
    </w:p>
    <w:p w14:paraId="3156CF5C" w14:textId="77777777" w:rsidR="00E16C43" w:rsidRPr="00B039DD" w:rsidRDefault="00E16C43" w:rsidP="002D588B">
      <w:pPr>
        <w:pStyle w:val="SingleTxtG"/>
        <w:keepNext/>
        <w:keepLines/>
        <w:rPr>
          <w:lang w:val="es-ES_tradnl"/>
        </w:rPr>
      </w:pPr>
      <w:r w:rsidRPr="00B039DD">
        <w:rPr>
          <w:lang w:val="es-ES_tradnl"/>
        </w:rPr>
        <w:lastRenderedPageBreak/>
        <w:t>356.</w:t>
      </w:r>
      <w:r w:rsidRPr="00B039DD">
        <w:rPr>
          <w:lang w:val="es-ES_tradnl"/>
        </w:rPr>
        <w:tab/>
        <w:t>El uso de la IA está sujeto a la legislación australiana, por ejemplo, en materia de privacidad, seguridad en línea, productos terapéuticos, lucha contra la discriminación y derecho administrativo. La Guía de mejores prácticas de adopción automatizada de decisiones del Ombudsman del Commonwealth ofrece orientación a los organismos públicos para garantizar el cumplimiento de las disposiciones del derecho administrativo y las mejores prácticas en la toma de decisiones.</w:t>
      </w:r>
      <w:bookmarkStart w:id="9" w:name="_Hlk143695764"/>
      <w:bookmarkEnd w:id="9"/>
    </w:p>
    <w:p w14:paraId="6A5DCD44" w14:textId="77777777" w:rsidR="00E16C43" w:rsidRPr="00B039DD" w:rsidRDefault="00E16C43" w:rsidP="00E16C43">
      <w:pPr>
        <w:pStyle w:val="SingleTxtG"/>
        <w:rPr>
          <w:lang w:val="es-ES_tradnl"/>
        </w:rPr>
      </w:pPr>
      <w:r w:rsidRPr="00B039DD">
        <w:rPr>
          <w:lang w:val="es-ES_tradnl"/>
        </w:rPr>
        <w:t>357.</w:t>
      </w:r>
      <w:r w:rsidRPr="00B039DD">
        <w:rPr>
          <w:lang w:val="es-ES_tradnl"/>
        </w:rPr>
        <w:tab/>
        <w:t>Las leyes australianas se revisan y ajustan a medida que surgen nuevas tecnologías. Entre las iniciativas emprendidas en todo el Commonwealth para garantizar la idoneidad de la legislación y las directrices sobre el uso de las tecnologías de la IA figuran las siguientes:</w:t>
      </w:r>
    </w:p>
    <w:p w14:paraId="2B98A988" w14:textId="4A459B55" w:rsidR="00E16C43" w:rsidRPr="00B039DD" w:rsidRDefault="00A82F0F" w:rsidP="00E16C43">
      <w:pPr>
        <w:pStyle w:val="SingleTxtG"/>
        <w:rPr>
          <w:lang w:val="es-ES_tradnl"/>
        </w:rPr>
      </w:pPr>
      <w:r>
        <w:rPr>
          <w:lang w:val="es-ES_tradnl"/>
        </w:rPr>
        <w:tab/>
      </w:r>
      <w:r w:rsidR="00E16C43" w:rsidRPr="00B039DD">
        <w:rPr>
          <w:lang w:val="es-ES_tradnl"/>
        </w:rPr>
        <w:t>a)</w:t>
      </w:r>
      <w:r w:rsidR="00E16C43" w:rsidRPr="00B039DD">
        <w:rPr>
          <w:lang w:val="es-ES_tradnl"/>
        </w:rPr>
        <w:tab/>
        <w:t>La Ley de Seguridad en Línea de 2021, que prevé mecanismos destinados a tratar problemas de seguridad en línea, como el ciberacoso, que pueden incluir recursos de</w:t>
      </w:r>
      <w:r>
        <w:rPr>
          <w:lang w:val="es-ES_tradnl"/>
        </w:rPr>
        <w:t> </w:t>
      </w:r>
      <w:r w:rsidR="00E16C43" w:rsidRPr="00B039DD">
        <w:rPr>
          <w:lang w:val="es-ES_tradnl"/>
        </w:rPr>
        <w:t>IA;</w:t>
      </w:r>
    </w:p>
    <w:p w14:paraId="1AAC9B9A" w14:textId="56C17390" w:rsidR="00E16C43" w:rsidRPr="00B039DD" w:rsidRDefault="00A82F0F" w:rsidP="00E16C43">
      <w:pPr>
        <w:pStyle w:val="SingleTxtG"/>
        <w:rPr>
          <w:lang w:val="es-ES_tradnl"/>
        </w:rPr>
      </w:pPr>
      <w:r>
        <w:rPr>
          <w:lang w:val="es-ES_tradnl"/>
        </w:rPr>
        <w:tab/>
      </w:r>
      <w:r w:rsidR="00E16C43" w:rsidRPr="00B039DD">
        <w:rPr>
          <w:lang w:val="es-ES_tradnl"/>
        </w:rPr>
        <w:t>b)</w:t>
      </w:r>
      <w:r w:rsidR="00E16C43" w:rsidRPr="00B039DD">
        <w:rPr>
          <w:lang w:val="es-ES_tradnl"/>
        </w:rPr>
        <w:tab/>
        <w:t>El Comisionado de Seguridad Electrónica, con competencias para exigir la retirada de contenidos ilegales y nocivos en línea, incluidos materiales generados por IA;</w:t>
      </w:r>
    </w:p>
    <w:p w14:paraId="6ADA2A93" w14:textId="567B3467" w:rsidR="00E16C43" w:rsidRPr="00B039DD" w:rsidRDefault="00A82F0F" w:rsidP="00E16C43">
      <w:pPr>
        <w:pStyle w:val="SingleTxtG"/>
        <w:rPr>
          <w:lang w:val="es-ES_tradnl"/>
        </w:rPr>
      </w:pPr>
      <w:r>
        <w:rPr>
          <w:lang w:val="es-ES_tradnl"/>
        </w:rPr>
        <w:tab/>
      </w:r>
      <w:r w:rsidR="00E16C43" w:rsidRPr="00B039DD">
        <w:rPr>
          <w:lang w:val="es-ES_tradnl"/>
        </w:rPr>
        <w:t>c)</w:t>
      </w:r>
      <w:r w:rsidR="00E16C43" w:rsidRPr="00B039DD">
        <w:rPr>
          <w:lang w:val="es-ES_tradnl"/>
        </w:rPr>
        <w:tab/>
        <w:t>Reformas de la normativa sobre productos sanitarios de la Administración de Bienes Terapéuticos, que regulan la utilización de programas informáticos y aplicaciones móviles en contextos médicos;</w:t>
      </w:r>
    </w:p>
    <w:p w14:paraId="4EA03C1E" w14:textId="4F962C22" w:rsidR="00E16C43" w:rsidRPr="00B039DD" w:rsidRDefault="00A82F0F" w:rsidP="00E16C43">
      <w:pPr>
        <w:pStyle w:val="SingleTxtG"/>
        <w:rPr>
          <w:lang w:val="es-ES_tradnl"/>
        </w:rPr>
      </w:pPr>
      <w:bookmarkStart w:id="10" w:name="_Hlk146724627"/>
      <w:r>
        <w:rPr>
          <w:lang w:val="es-ES_tradnl"/>
        </w:rPr>
        <w:tab/>
      </w:r>
      <w:r w:rsidR="00E16C43" w:rsidRPr="00B039DD">
        <w:rPr>
          <w:lang w:val="es-ES_tradnl"/>
        </w:rPr>
        <w:t>d)</w:t>
      </w:r>
      <w:r w:rsidR="00E16C43" w:rsidRPr="00B039DD">
        <w:rPr>
          <w:lang w:val="es-ES_tradnl"/>
        </w:rPr>
        <w:tab/>
        <w:t>Consultas sobre la adopción de nuevas leyes que doten a la Dirección de Comunicaciones y Medios de Difusión de Australia de las competencias necesarias para elevar el nivel de transparencia de las actividades de las plataformas digitales y contrarrestar la circulación de información engañosa y desinformación perjudicial en línea, manteniendo un equilibrio con respecto a la libertad de expresión.</w:t>
      </w:r>
    </w:p>
    <w:bookmarkEnd w:id="10"/>
    <w:p w14:paraId="742F2855" w14:textId="77777777" w:rsidR="00E16C43" w:rsidRPr="00B039DD" w:rsidRDefault="00E16C43" w:rsidP="00E16C43">
      <w:pPr>
        <w:pStyle w:val="SingleTxtG"/>
        <w:rPr>
          <w:lang w:val="es-ES_tradnl"/>
        </w:rPr>
      </w:pPr>
      <w:r w:rsidRPr="00B039DD">
        <w:rPr>
          <w:lang w:val="es-ES_tradnl"/>
        </w:rPr>
        <w:t>358.</w:t>
      </w:r>
      <w:r w:rsidRPr="00B039DD">
        <w:rPr>
          <w:lang w:val="es-ES_tradnl"/>
        </w:rPr>
        <w:tab/>
        <w:t xml:space="preserve">Australia fue uno de los primeros países en elaborar principios éticos nacionales sobre la IA a través del Marco Ético de la IA de Australia, que alienta a las organizaciones a reflejar prácticas éticas y buena gobernanza a la hora de desarrollar y utilizar la IA. </w:t>
      </w:r>
    </w:p>
    <w:p w14:paraId="502B3220" w14:textId="50C8E044" w:rsidR="00E16C43" w:rsidRPr="00B039DD" w:rsidRDefault="00E16C43" w:rsidP="00E16C43">
      <w:pPr>
        <w:pStyle w:val="SingleTxtG"/>
        <w:rPr>
          <w:lang w:val="es-ES_tradnl"/>
        </w:rPr>
      </w:pPr>
      <w:r w:rsidRPr="00581426">
        <w:rPr>
          <w:lang w:val="es-ES_tradnl"/>
        </w:rPr>
        <w:t>359.</w:t>
      </w:r>
      <w:r w:rsidRPr="00581426">
        <w:rPr>
          <w:lang w:val="es-ES_tradnl"/>
        </w:rPr>
        <w:tab/>
        <w:t>El presupuesto para 2023</w:t>
      </w:r>
      <w:r w:rsidR="00581426" w:rsidRPr="00581426">
        <w:rPr>
          <w:lang w:val="es-ES_tradnl"/>
        </w:rPr>
        <w:t>/</w:t>
      </w:r>
      <w:r w:rsidRPr="00581426">
        <w:rPr>
          <w:lang w:val="es-ES_tradnl"/>
        </w:rPr>
        <w:t>24 destinó</w:t>
      </w:r>
      <w:r w:rsidRPr="00B039DD">
        <w:rPr>
          <w:lang w:val="es-ES_tradnl"/>
        </w:rPr>
        <w:t xml:space="preserve"> 41,2 millones de dólares a integrar la IA en la economía general de manera responsable. Esto incluye 17 millones de dólares para el nuevo programa Responsible AI Adopt, destinado a impulsar la adopción responsable de la IA por las pequeñas y medianas empresas en sus actividades. </w:t>
      </w:r>
    </w:p>
    <w:p w14:paraId="242EC92C" w14:textId="1615677B" w:rsidR="00E16C43" w:rsidRPr="00D74E7F" w:rsidRDefault="00E16C43" w:rsidP="00E16C43">
      <w:pPr>
        <w:pStyle w:val="SingleTxtG"/>
        <w:rPr>
          <w:lang w:val="es-ES_tradnl"/>
        </w:rPr>
      </w:pPr>
      <w:r w:rsidRPr="00B039DD">
        <w:rPr>
          <w:lang w:val="es-ES_tradnl"/>
        </w:rPr>
        <w:t>360.</w:t>
      </w:r>
      <w:r w:rsidRPr="00B039DD">
        <w:rPr>
          <w:lang w:val="es-ES_tradnl"/>
        </w:rPr>
        <w:tab/>
        <w:t xml:space="preserve">A principios de 2023, el Centro Nacional de IA de Australia puso en marcha la Red de IA Responsable, que congrega a expertos, organismos reguladores, organizaciones de formación y profesionales en pos de soluciones de IA responsable para la </w:t>
      </w:r>
      <w:r w:rsidRPr="00D74E7F">
        <w:rPr>
          <w:lang w:val="es-ES_tradnl"/>
        </w:rPr>
        <w:t>economía australiana. En junio de 2023, el Gobierno australiano publicó el documento de debate Safe and responsible AI in Australia (</w:t>
      </w:r>
      <w:r w:rsidR="00A82F0F" w:rsidRPr="00D74E7F">
        <w:rPr>
          <w:lang w:val="es-ES_tradnl"/>
        </w:rPr>
        <w:t>“</w:t>
      </w:r>
      <w:r w:rsidRPr="00D74E7F">
        <w:rPr>
          <w:lang w:val="es-ES_tradnl"/>
        </w:rPr>
        <w:t>IA segura y responsable en Australia</w:t>
      </w:r>
      <w:r w:rsidR="00A82F0F" w:rsidRPr="00D74E7F">
        <w:rPr>
          <w:lang w:val="es-ES_tradnl"/>
        </w:rPr>
        <w:t>”</w:t>
      </w:r>
      <w:r w:rsidRPr="00D74E7F">
        <w:rPr>
          <w:lang w:val="es-ES_tradnl"/>
        </w:rPr>
        <w:t xml:space="preserve">) para sentar las bases de una discusión que apuntale el apoyo del país al uso responsable de la IA. </w:t>
      </w:r>
    </w:p>
    <w:p w14:paraId="31E864C4" w14:textId="09028A9F" w:rsidR="00E16C43" w:rsidRPr="00B039DD" w:rsidRDefault="00E16C43" w:rsidP="00E16C43">
      <w:pPr>
        <w:pStyle w:val="SingleTxtG"/>
        <w:rPr>
          <w:lang w:val="es-ES_tradnl"/>
        </w:rPr>
      </w:pPr>
      <w:r w:rsidRPr="00D74E7F">
        <w:rPr>
          <w:lang w:val="es-ES_tradnl"/>
        </w:rPr>
        <w:t>361.</w:t>
      </w:r>
      <w:r w:rsidRPr="00D74E7F">
        <w:rPr>
          <w:lang w:val="es-ES_tradnl"/>
        </w:rPr>
        <w:tab/>
        <w:t>Australia también ha tomado medidas con la comunidad internacional para promover</w:t>
      </w:r>
      <w:r w:rsidRPr="00B039DD">
        <w:rPr>
          <w:lang w:val="es-ES_tradnl"/>
        </w:rPr>
        <w:t xml:space="preserve"> el desarrollo ético de la IA. En 2019, Australia se comprometió con los Principios de la OCDE sobre la IA y los Principios de la IA centrados en el ser humano del G</w:t>
      </w:r>
      <w:r w:rsidR="00D74E7F">
        <w:rPr>
          <w:lang w:val="es-ES_tradnl"/>
        </w:rPr>
        <w:t>-</w:t>
      </w:r>
      <w:r w:rsidRPr="00B039DD">
        <w:rPr>
          <w:lang w:val="es-ES_tradnl"/>
        </w:rPr>
        <w:t>20. En 2020 se convirtió en miembro fundador de la Asociación Mundial sobre Inteligencia Artificial.</w:t>
      </w:r>
    </w:p>
    <w:p w14:paraId="3B6E8D7E" w14:textId="4E2F873D" w:rsidR="00E16C43" w:rsidRPr="00B039DD" w:rsidRDefault="00A82F0F" w:rsidP="00A82F0F">
      <w:pPr>
        <w:pStyle w:val="H1G"/>
        <w:rPr>
          <w:lang w:val="es-ES_tradnl"/>
        </w:rPr>
      </w:pPr>
      <w:r>
        <w:rPr>
          <w:lang w:val="es-ES_tradnl"/>
        </w:rPr>
        <w:tab/>
      </w:r>
      <w:r w:rsidR="00E16C43">
        <w:rPr>
          <w:lang w:val="es-ES_tradnl"/>
        </w:rPr>
        <w:tab/>
      </w:r>
      <w:r w:rsidR="00E16C43" w:rsidRPr="00B039DD">
        <w:rPr>
          <w:lang w:val="es-ES_tradnl"/>
        </w:rPr>
        <w:t>Buenas prácticas en la formulación y aplicación de políticas</w:t>
      </w:r>
    </w:p>
    <w:p w14:paraId="1B36EFE5" w14:textId="77777777" w:rsidR="00E16C43" w:rsidRPr="00B039DD" w:rsidRDefault="00E16C43" w:rsidP="00E16C43">
      <w:pPr>
        <w:pStyle w:val="SingleTxtG"/>
        <w:rPr>
          <w:lang w:val="es-ES_tradnl"/>
        </w:rPr>
      </w:pPr>
      <w:r w:rsidRPr="00B039DD">
        <w:rPr>
          <w:lang w:val="es-ES_tradnl"/>
        </w:rPr>
        <w:t>362.</w:t>
      </w:r>
      <w:r w:rsidRPr="00B039DD">
        <w:rPr>
          <w:lang w:val="es-ES_tradnl"/>
        </w:rPr>
        <w:tab/>
        <w:t xml:space="preserve">Australia agradece y ha estudiado detenidamente las observaciones finales formuladas por el Comité de Derechos Económicos, Sociales y Culturales en respuesta al quinto informe periódico presentado por Australia en virtud del Pacto Internacional de Derechos Económicos, Sociales y Culturales. </w:t>
      </w:r>
    </w:p>
    <w:p w14:paraId="259DE4DB" w14:textId="0946308A" w:rsidR="00E16C43" w:rsidRPr="00B039DD" w:rsidRDefault="00E16C43" w:rsidP="00E16C43">
      <w:pPr>
        <w:pStyle w:val="SingleTxtG"/>
        <w:rPr>
          <w:lang w:val="es-ES_tradnl"/>
        </w:rPr>
      </w:pPr>
      <w:r w:rsidRPr="00B039DD">
        <w:rPr>
          <w:lang w:val="es-ES_tradnl"/>
        </w:rPr>
        <w:t>363.</w:t>
      </w:r>
      <w:r w:rsidRPr="00B039DD">
        <w:rPr>
          <w:lang w:val="es-ES_tradnl"/>
        </w:rPr>
        <w:tab/>
        <w:t>En este informe se recogen compromisos legislativos y políticos importantes del per</w:t>
      </w:r>
      <w:r w:rsidR="00E769E3">
        <w:rPr>
          <w:lang w:val="es-ES_tradnl"/>
        </w:rPr>
        <w:t>í</w:t>
      </w:r>
      <w:r w:rsidRPr="00B039DD">
        <w:rPr>
          <w:lang w:val="es-ES_tradnl"/>
        </w:rPr>
        <w:t xml:space="preserve">odo que abarca el informe, incluido el compromiso del Gobierno de reformar sus leyes de patrimonio cultural en colaboración con los pueblos de las Primeras Naciones. De forma parecida, también el compromiso del Gobierno con el nuevo Acuerdo Nacional sobre el Plan Cerrar la Brecha y la Declaración de Uluru desde el Corazón, contribuyen a hacer realidad los derechos económicos, sociales y culturales de los australianos. Australia también ha dado un paso histórico al nombrar un Embajador para los Pueblos de las Primeras Naciones, con </w:t>
      </w:r>
      <w:r w:rsidRPr="00B039DD">
        <w:rPr>
          <w:lang w:val="es-ES_tradnl"/>
        </w:rPr>
        <w:lastRenderedPageBreak/>
        <w:t>el fin de integrar las perspectivas de las Primeras Naciones y desarrollar una Estrategia de Política Exterior para las Primeras Naciones. Australia recuerda las observaciones finales del Comité de Derechos Económicos, Sociales y Culturales sobre cuestiones relacionadas con los pueblos de las Primeras Naciones de Australia</w:t>
      </w:r>
      <w:r w:rsidRPr="00B039DD">
        <w:rPr>
          <w:rStyle w:val="Refdenotaalpie"/>
          <w:lang w:val="es-ES_tradnl"/>
        </w:rPr>
        <w:footnoteReference w:id="14"/>
      </w:r>
      <w:r w:rsidRPr="00B039DD">
        <w:rPr>
          <w:lang w:val="es-ES_tradnl"/>
        </w:rPr>
        <w:t xml:space="preserve">. </w:t>
      </w:r>
    </w:p>
    <w:p w14:paraId="35617608" w14:textId="77777777" w:rsidR="00E16C43" w:rsidRPr="00B039DD" w:rsidRDefault="00E16C43" w:rsidP="00E16C43">
      <w:pPr>
        <w:pStyle w:val="SingleTxtG"/>
        <w:rPr>
          <w:lang w:val="es-ES_tradnl"/>
        </w:rPr>
      </w:pPr>
      <w:r w:rsidRPr="00B039DD">
        <w:rPr>
          <w:lang w:val="es-ES_tradnl"/>
        </w:rPr>
        <w:t>364.</w:t>
      </w:r>
      <w:r w:rsidRPr="00B039DD">
        <w:rPr>
          <w:lang w:val="es-ES_tradnl"/>
        </w:rPr>
        <w:tab/>
        <w:t>Australia reconoce la urgencia de la crisis climática y está tomando medidas contundentes en el marco de sus políticas climáticas y energéticas. También reconoce la importancia del conocimiento y la experiencia de las Primeras Naciones y ha puesto en marcha programas destinados a amplificar las voces de las Primeras Naciones y a proteger a las comunidades de las Primeras Naciones contra los peores efectos del cambio climático. Australia recuerda las observaciones finales del Comité de Derechos Económicos, Sociales y Culturales sobre estas cuestiones</w:t>
      </w:r>
      <w:r w:rsidRPr="00B039DD">
        <w:rPr>
          <w:rStyle w:val="Refdenotaalpie"/>
          <w:lang w:val="es-ES_tradnl"/>
        </w:rPr>
        <w:footnoteReference w:id="15"/>
      </w:r>
      <w:r w:rsidRPr="00B039DD">
        <w:rPr>
          <w:lang w:val="es-ES_tradnl"/>
        </w:rPr>
        <w:t>.</w:t>
      </w:r>
    </w:p>
    <w:p w14:paraId="76F9EDE4" w14:textId="77777777" w:rsidR="00E16C43" w:rsidRPr="00B039DD" w:rsidRDefault="00E16C43" w:rsidP="00E16C43">
      <w:pPr>
        <w:pStyle w:val="SingleTxtG"/>
        <w:rPr>
          <w:lang w:val="es-ES_tradnl"/>
        </w:rPr>
      </w:pPr>
      <w:r w:rsidRPr="00B039DD">
        <w:rPr>
          <w:lang w:val="es-ES_tradnl"/>
        </w:rPr>
        <w:t>365.</w:t>
      </w:r>
      <w:r w:rsidRPr="00B039DD">
        <w:rPr>
          <w:lang w:val="es-ES_tradnl"/>
        </w:rPr>
        <w:tab/>
        <w:t>En el marco de las reformas de Respect@Work, Australia ha enmendado la Ley sobre la Discriminación Sexual para establecer como uno sus objetivos la igualdad sustantiva entre hombres y mujeres, subrayando la determinación del país de avanzar hacia la igualdad de oportunidades. Australia recuerda las observaciones finales del Comité de Derechos Económicos, Sociales y Culturales sobre la igualdad de género</w:t>
      </w:r>
      <w:r w:rsidRPr="00B039DD">
        <w:rPr>
          <w:rStyle w:val="Refdenotaalpie"/>
          <w:lang w:val="es-ES_tradnl"/>
        </w:rPr>
        <w:footnoteReference w:id="16"/>
      </w:r>
      <w:r w:rsidRPr="00B039DD">
        <w:rPr>
          <w:lang w:val="es-ES_tradnl"/>
        </w:rPr>
        <w:t xml:space="preserve">. </w:t>
      </w:r>
    </w:p>
    <w:p w14:paraId="42E36014" w14:textId="6F5C5C0B" w:rsidR="00381C24" w:rsidRDefault="00E16C43" w:rsidP="00A82F0F">
      <w:pPr>
        <w:pStyle w:val="SingleTxtG"/>
        <w:rPr>
          <w:lang w:val="es-ES_tradnl"/>
        </w:rPr>
      </w:pPr>
      <w:r w:rsidRPr="00B039DD">
        <w:rPr>
          <w:lang w:val="es-ES_tradnl"/>
        </w:rPr>
        <w:t>366.</w:t>
      </w:r>
      <w:r w:rsidRPr="00B039DD">
        <w:rPr>
          <w:lang w:val="es-ES_tradnl"/>
        </w:rPr>
        <w:tab/>
        <w:t>Australia espera interactuar con el Comité en relación con este informe.</w:t>
      </w:r>
    </w:p>
    <w:p w14:paraId="5F3BC31E" w14:textId="12B94432" w:rsidR="00A82F0F" w:rsidRPr="00A82F0F" w:rsidRDefault="00A82F0F" w:rsidP="00A82F0F">
      <w:pPr>
        <w:pStyle w:val="SingleTxtG"/>
        <w:suppressAutoHyphens/>
        <w:spacing w:before="240" w:after="0"/>
        <w:jc w:val="center"/>
        <w:rPr>
          <w:u w:val="single"/>
        </w:rPr>
      </w:pPr>
      <w:r>
        <w:rPr>
          <w:u w:val="single"/>
        </w:rPr>
        <w:tab/>
      </w:r>
      <w:r>
        <w:rPr>
          <w:u w:val="single"/>
        </w:rPr>
        <w:tab/>
      </w:r>
      <w:r>
        <w:rPr>
          <w:u w:val="single"/>
        </w:rPr>
        <w:tab/>
      </w:r>
    </w:p>
    <w:sectPr w:rsidR="00A82F0F" w:rsidRPr="00A82F0F" w:rsidSect="00E20A3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5E4381" w14:textId="77777777" w:rsidR="003D0E80" w:rsidRPr="00093664" w:rsidRDefault="003D0E80" w:rsidP="00093664">
      <w:pPr>
        <w:pStyle w:val="Piedepgina"/>
      </w:pPr>
    </w:p>
  </w:endnote>
  <w:endnote w:type="continuationSeparator" w:id="0">
    <w:p w14:paraId="225D10A1" w14:textId="77777777" w:rsidR="003D0E80" w:rsidRPr="00093664" w:rsidRDefault="003D0E8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AAD42" w14:textId="7452029E" w:rsidR="00E20A3D" w:rsidRPr="00E20A3D" w:rsidRDefault="00E20A3D" w:rsidP="00E20A3D">
    <w:pPr>
      <w:pStyle w:val="Piedepgina"/>
      <w:tabs>
        <w:tab w:val="right" w:pos="9638"/>
      </w:tabs>
    </w:pPr>
    <w:r w:rsidRPr="00E20A3D">
      <w:rPr>
        <w:b/>
        <w:sz w:val="18"/>
      </w:rPr>
      <w:fldChar w:fldCharType="begin"/>
    </w:r>
    <w:r w:rsidRPr="00E20A3D">
      <w:rPr>
        <w:b/>
        <w:sz w:val="18"/>
      </w:rPr>
      <w:instrText xml:space="preserve"> PAGE  \* MERGEFORMAT </w:instrText>
    </w:r>
    <w:r w:rsidRPr="00E20A3D">
      <w:rPr>
        <w:b/>
        <w:sz w:val="18"/>
      </w:rPr>
      <w:fldChar w:fldCharType="separate"/>
    </w:r>
    <w:r w:rsidRPr="00E20A3D">
      <w:rPr>
        <w:b/>
        <w:noProof/>
        <w:sz w:val="18"/>
      </w:rPr>
      <w:t>2</w:t>
    </w:r>
    <w:r w:rsidRPr="00E20A3D">
      <w:rPr>
        <w:b/>
        <w:sz w:val="18"/>
      </w:rPr>
      <w:fldChar w:fldCharType="end"/>
    </w:r>
    <w:r>
      <w:rPr>
        <w:b/>
        <w:sz w:val="18"/>
      </w:rPr>
      <w:tab/>
    </w:r>
    <w:r>
      <w:t>GE.23-22484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0453B" w14:textId="2157B7D8" w:rsidR="00E20A3D" w:rsidRPr="00E20A3D" w:rsidRDefault="00E20A3D" w:rsidP="00E20A3D">
    <w:pPr>
      <w:pStyle w:val="Piedepgina"/>
      <w:tabs>
        <w:tab w:val="right" w:pos="9638"/>
      </w:tabs>
      <w:rPr>
        <w:b/>
        <w:sz w:val="18"/>
      </w:rPr>
    </w:pPr>
    <w:r>
      <w:t>GE.23-22484</w:t>
    </w:r>
    <w:r>
      <w:tab/>
    </w:r>
    <w:r w:rsidRPr="00E20A3D">
      <w:rPr>
        <w:b/>
        <w:sz w:val="18"/>
      </w:rPr>
      <w:fldChar w:fldCharType="begin"/>
    </w:r>
    <w:r w:rsidRPr="00E20A3D">
      <w:rPr>
        <w:b/>
        <w:sz w:val="18"/>
      </w:rPr>
      <w:instrText xml:space="preserve"> PAGE  \* MERGEFORMAT </w:instrText>
    </w:r>
    <w:r w:rsidRPr="00E20A3D">
      <w:rPr>
        <w:b/>
        <w:sz w:val="18"/>
      </w:rPr>
      <w:fldChar w:fldCharType="separate"/>
    </w:r>
    <w:r w:rsidRPr="00E20A3D">
      <w:rPr>
        <w:b/>
        <w:noProof/>
        <w:sz w:val="18"/>
      </w:rPr>
      <w:t>3</w:t>
    </w:r>
    <w:r w:rsidRPr="00E20A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AA7E1" w14:textId="2E535A46" w:rsidR="005016AF" w:rsidRPr="00E20A3D" w:rsidRDefault="00E20A3D" w:rsidP="00E20A3D">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CF2FE57" wp14:editId="6CEA6B2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23-22484  (S)</w:t>
    </w:r>
    <w:r>
      <w:rPr>
        <w:noProof/>
        <w:sz w:val="20"/>
      </w:rPr>
      <w:drawing>
        <wp:anchor distT="0" distB="0" distL="114300" distR="114300" simplePos="0" relativeHeight="251658752" behindDoc="0" locked="0" layoutInCell="1" allowOverlap="1" wp14:anchorId="2F7C92A7" wp14:editId="0120E115">
          <wp:simplePos x="0" y="0"/>
          <wp:positionH relativeFrom="margin">
            <wp:posOffset>5489575</wp:posOffset>
          </wp:positionH>
          <wp:positionV relativeFrom="margin">
            <wp:posOffset>8891905</wp:posOffset>
          </wp:positionV>
          <wp:extent cx="628650" cy="628650"/>
          <wp:effectExtent l="0" t="0" r="0" b="0"/>
          <wp:wrapNone/>
          <wp:docPr id="19447208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B1359">
      <w:rPr>
        <w:sz w:val="20"/>
      </w:rPr>
      <w:t xml:space="preserve">    020524    </w:t>
    </w:r>
    <w:r w:rsidR="008D1C63">
      <w:rPr>
        <w:sz w:val="20"/>
      </w:rPr>
      <w:t>27</w:t>
    </w:r>
    <w:r w:rsidR="00CB1359">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828635" w14:textId="77777777" w:rsidR="003D0E80" w:rsidRPr="001075E9" w:rsidRDefault="003D0E80" w:rsidP="001075E9">
      <w:pPr>
        <w:tabs>
          <w:tab w:val="right" w:pos="2155"/>
        </w:tabs>
        <w:spacing w:after="80" w:line="240" w:lineRule="auto"/>
        <w:ind w:left="680"/>
        <w:rPr>
          <w:u w:val="single"/>
        </w:rPr>
      </w:pPr>
      <w:r>
        <w:rPr>
          <w:u w:val="single"/>
        </w:rPr>
        <w:tab/>
      </w:r>
    </w:p>
  </w:footnote>
  <w:footnote w:type="continuationSeparator" w:id="0">
    <w:p w14:paraId="77159750" w14:textId="77777777" w:rsidR="003D0E80" w:rsidRDefault="003D0E80" w:rsidP="00093664">
      <w:pPr>
        <w:tabs>
          <w:tab w:val="right" w:pos="2155"/>
        </w:tabs>
        <w:spacing w:after="80" w:line="240" w:lineRule="auto"/>
        <w:ind w:left="680"/>
        <w:rPr>
          <w:u w:val="single"/>
        </w:rPr>
      </w:pPr>
      <w:r>
        <w:rPr>
          <w:u w:val="single"/>
        </w:rPr>
        <w:tab/>
      </w:r>
    </w:p>
  </w:footnote>
  <w:footnote w:id="1">
    <w:p w14:paraId="6ED8C706" w14:textId="195FEB5E" w:rsidR="00E16C43" w:rsidRPr="00E16C43" w:rsidRDefault="00E16C43">
      <w:pPr>
        <w:pStyle w:val="Textonotapie"/>
        <w:rPr>
          <w:sz w:val="20"/>
        </w:rPr>
      </w:pPr>
      <w:r>
        <w:tab/>
      </w:r>
      <w:r w:rsidRPr="00E16C43">
        <w:rPr>
          <w:rStyle w:val="Refdenotaalpie"/>
          <w:sz w:val="20"/>
          <w:vertAlign w:val="baseline"/>
        </w:rPr>
        <w:t>*</w:t>
      </w:r>
      <w:r w:rsidRPr="00E16C43">
        <w:rPr>
          <w:rStyle w:val="Refdenotaalpie"/>
          <w:vertAlign w:val="baseline"/>
        </w:rPr>
        <w:tab/>
      </w:r>
      <w:r w:rsidRPr="00B039DD">
        <w:t>La versión original del presente documento no fue objeto de revisión editorial oficial.</w:t>
      </w:r>
    </w:p>
  </w:footnote>
  <w:footnote w:id="2">
    <w:p w14:paraId="7A85BEA9" w14:textId="7C82F951" w:rsidR="00E16C43" w:rsidRPr="00E16C43" w:rsidRDefault="00E16C43">
      <w:pPr>
        <w:pStyle w:val="Textonotapie"/>
        <w:rPr>
          <w:sz w:val="20"/>
        </w:rPr>
      </w:pPr>
      <w:r>
        <w:tab/>
      </w:r>
      <w:r w:rsidRPr="00E16C43">
        <w:rPr>
          <w:rStyle w:val="Refdenotaalpie"/>
          <w:sz w:val="20"/>
          <w:vertAlign w:val="baseline"/>
        </w:rPr>
        <w:t>**</w:t>
      </w:r>
      <w:r w:rsidRPr="00E16C43">
        <w:rPr>
          <w:rStyle w:val="Refdenotaalpie"/>
          <w:vertAlign w:val="baseline"/>
        </w:rPr>
        <w:tab/>
      </w:r>
      <w:r w:rsidRPr="00B039DD">
        <w:t>Este documento se presentó de conformidad con el procedimiento simplificado de presentación de informes. Contiene las respuestas del Estado parte a la lista de cuestiones previa a la presentación del informe preparada por el Comité (E/C.12/AUS/QPR/6).</w:t>
      </w:r>
    </w:p>
  </w:footnote>
  <w:footnote w:id="3">
    <w:p w14:paraId="7DB181E7" w14:textId="13176D5E" w:rsidR="00E16C43" w:rsidRPr="00E16C43" w:rsidRDefault="00E16C43">
      <w:pPr>
        <w:pStyle w:val="Textonotapie"/>
        <w:rPr>
          <w:sz w:val="20"/>
        </w:rPr>
      </w:pPr>
      <w:r>
        <w:tab/>
      </w:r>
      <w:r w:rsidRPr="00E16C43">
        <w:rPr>
          <w:rStyle w:val="Refdenotaalpie"/>
          <w:sz w:val="20"/>
          <w:vertAlign w:val="baseline"/>
        </w:rPr>
        <w:t>***</w:t>
      </w:r>
      <w:r w:rsidRPr="00E16C43">
        <w:rPr>
          <w:rStyle w:val="Refdenotaalpie"/>
          <w:vertAlign w:val="baseline"/>
        </w:rPr>
        <w:tab/>
      </w:r>
      <w:r w:rsidRPr="00B039DD">
        <w:t>El anexo al presente documento se encuentra disponible en la página web del Comité.</w:t>
      </w:r>
    </w:p>
  </w:footnote>
  <w:footnote w:id="4">
    <w:p w14:paraId="245384F6" w14:textId="77777777" w:rsidR="00E16C43" w:rsidRPr="00B039DD" w:rsidRDefault="00E16C43" w:rsidP="00E16C43">
      <w:pPr>
        <w:pStyle w:val="Textonotapie"/>
      </w:pPr>
      <w:r w:rsidRPr="00B039DD">
        <w:tab/>
      </w:r>
      <w:r w:rsidRPr="00B039DD">
        <w:rPr>
          <w:rStyle w:val="Refdenotaalpie"/>
        </w:rPr>
        <w:footnoteRef/>
      </w:r>
      <w:r w:rsidRPr="00B039DD">
        <w:t xml:space="preserve"> </w:t>
      </w:r>
      <w:r w:rsidRPr="00B039DD">
        <w:tab/>
        <w:t>Se trata de decisiones que hacían referencia al Pacto Internacional de Derechos Económicos, Sociales y Culturales, a diferencia de las decisiones que aplicaban directamente los derechos consagrados en el Pacto.</w:t>
      </w:r>
    </w:p>
  </w:footnote>
  <w:footnote w:id="5">
    <w:p w14:paraId="3320A80F" w14:textId="77777777" w:rsidR="00E16C43" w:rsidRPr="00B039DD" w:rsidRDefault="00E16C43" w:rsidP="00E16C43">
      <w:pPr>
        <w:pStyle w:val="Textonotapie"/>
      </w:pPr>
      <w:r w:rsidRPr="00B039DD">
        <w:tab/>
      </w:r>
      <w:r w:rsidRPr="00B039DD">
        <w:rPr>
          <w:rStyle w:val="Refdenotaalpie"/>
        </w:rPr>
        <w:footnoteRef/>
      </w:r>
      <w:r w:rsidRPr="00B039DD">
        <w:t xml:space="preserve"> </w:t>
      </w:r>
      <w:r w:rsidRPr="00B039DD">
        <w:tab/>
        <w:t>E/C.12/AUS/CO/5.</w:t>
      </w:r>
    </w:p>
  </w:footnote>
  <w:footnote w:id="6">
    <w:p w14:paraId="06DC275C" w14:textId="77777777" w:rsidR="00E16C43" w:rsidRPr="00B039DD" w:rsidRDefault="00E16C43" w:rsidP="00E16C43">
      <w:pPr>
        <w:pStyle w:val="Textonotapie"/>
      </w:pPr>
      <w:r w:rsidRPr="00B039DD">
        <w:tab/>
      </w:r>
      <w:r w:rsidRPr="00B039DD">
        <w:rPr>
          <w:rStyle w:val="Refdenotaalpie"/>
        </w:rPr>
        <w:footnoteRef/>
      </w:r>
      <w:r w:rsidRPr="00B039DD">
        <w:tab/>
        <w:t>E/C.12/AUS/CO/5.</w:t>
      </w:r>
    </w:p>
  </w:footnote>
  <w:footnote w:id="7">
    <w:p w14:paraId="46DEBB14" w14:textId="26D16399" w:rsidR="00E16C43" w:rsidRPr="00B039DD" w:rsidRDefault="00E16C43" w:rsidP="00E16C43">
      <w:pPr>
        <w:pStyle w:val="Textonotapie"/>
      </w:pPr>
      <w:r w:rsidRPr="00B039DD">
        <w:tab/>
      </w:r>
      <w:r w:rsidRPr="00B039DD">
        <w:rPr>
          <w:rStyle w:val="Refdenotaalpie"/>
        </w:rPr>
        <w:footnoteRef/>
      </w:r>
      <w:r w:rsidRPr="00B039DD">
        <w:tab/>
        <w:t>El error estándar medio (</w:t>
      </w:r>
      <w:r w:rsidR="004413F5">
        <w:t>porcentaje</w:t>
      </w:r>
      <w:r w:rsidRPr="00B039DD">
        <w:t>) de los cuadros 1, 2 y 3 era inferior al 7 %.</w:t>
      </w:r>
    </w:p>
  </w:footnote>
  <w:footnote w:id="8">
    <w:p w14:paraId="69BBD31E" w14:textId="0DBC2688" w:rsidR="00E16C43" w:rsidRPr="00B039DD" w:rsidRDefault="00E16C43" w:rsidP="00E16C43">
      <w:pPr>
        <w:pStyle w:val="Textonotapie"/>
      </w:pPr>
      <w:r w:rsidRPr="00B039DD">
        <w:tab/>
      </w:r>
      <w:r w:rsidRPr="00B039DD">
        <w:rPr>
          <w:rStyle w:val="Refdenotaalpie"/>
        </w:rPr>
        <w:footnoteRef/>
      </w:r>
      <w:r w:rsidRPr="00B039DD">
        <w:tab/>
        <w:t xml:space="preserve">En este contexto, un contribuyente del impuesto a la renta de las personas físicas es una persona que ha presentado una declaración de la renta y ha </w:t>
      </w:r>
      <w:r w:rsidRPr="008F5E4D">
        <w:t xml:space="preserve">pagado más de </w:t>
      </w:r>
      <w:r w:rsidR="008F5E4D">
        <w:t>cero</w:t>
      </w:r>
      <w:r w:rsidRPr="008F5E4D">
        <w:t xml:space="preserve"> </w:t>
      </w:r>
      <w:r w:rsidR="008F5E4D" w:rsidRPr="008F5E4D">
        <w:t>dólares</w:t>
      </w:r>
      <w:r w:rsidRPr="008F5E4D">
        <w:t xml:space="preserve"> en ese concepto durante el ejercicio económico.</w:t>
      </w:r>
    </w:p>
  </w:footnote>
  <w:footnote w:id="9">
    <w:p w14:paraId="659F1278" w14:textId="77777777" w:rsidR="00E16C43" w:rsidRPr="00B039DD" w:rsidRDefault="00E16C43" w:rsidP="00E16C43">
      <w:pPr>
        <w:pStyle w:val="Textonotapie"/>
      </w:pPr>
      <w:r w:rsidRPr="00B039DD">
        <w:tab/>
      </w:r>
      <w:r w:rsidRPr="00B039DD">
        <w:rPr>
          <w:rStyle w:val="Refdenotaalpie"/>
        </w:rPr>
        <w:footnoteRef/>
      </w:r>
      <w:r w:rsidRPr="00B039DD">
        <w:tab/>
        <w:t>E/C.12/AUS/CO/5.</w:t>
      </w:r>
    </w:p>
  </w:footnote>
  <w:footnote w:id="10">
    <w:p w14:paraId="22946701" w14:textId="07C11C2A" w:rsidR="00E16C43" w:rsidRPr="00B039DD" w:rsidRDefault="00E16C43" w:rsidP="00E16C43">
      <w:pPr>
        <w:pStyle w:val="Textonotapie"/>
      </w:pPr>
      <w:r w:rsidRPr="00B039DD">
        <w:tab/>
      </w:r>
      <w:r w:rsidRPr="00B039DD">
        <w:rPr>
          <w:rStyle w:val="Refdenotaalpie"/>
        </w:rPr>
        <w:footnoteRef/>
      </w:r>
      <w:r w:rsidRPr="00B039DD">
        <w:t xml:space="preserve"> </w:t>
      </w:r>
      <w:r w:rsidRPr="00B039DD">
        <w:tab/>
        <w:t>E/C.12/AUS/CO/5</w:t>
      </w:r>
      <w:r w:rsidR="005065F3">
        <w:t>,</w:t>
      </w:r>
      <w:r w:rsidRPr="00B039DD">
        <w:t xml:space="preserve"> párr. </w:t>
      </w:r>
      <w:r w:rsidRPr="00B039DD">
        <w:rPr>
          <w:lang w:val="en-US"/>
        </w:rPr>
        <w:t>24.</w:t>
      </w:r>
    </w:p>
  </w:footnote>
  <w:footnote w:id="11">
    <w:p w14:paraId="324049EF" w14:textId="77777777" w:rsidR="00E16C43" w:rsidRPr="00B039DD" w:rsidRDefault="00E16C43" w:rsidP="00E16C43">
      <w:pPr>
        <w:pStyle w:val="Textonotapie"/>
      </w:pPr>
      <w:r w:rsidRPr="00B039DD">
        <w:rPr>
          <w:lang w:val="en-US"/>
        </w:rPr>
        <w:tab/>
      </w:r>
      <w:r w:rsidRPr="00B039DD">
        <w:rPr>
          <w:rStyle w:val="Refdenotaalpie"/>
        </w:rPr>
        <w:footnoteRef/>
      </w:r>
      <w:r w:rsidRPr="00B039DD">
        <w:rPr>
          <w:lang w:val="en-US"/>
        </w:rPr>
        <w:t xml:space="preserve"> </w:t>
      </w:r>
      <w:r w:rsidRPr="00B039DD">
        <w:rPr>
          <w:lang w:val="en-US"/>
        </w:rPr>
        <w:tab/>
        <w:t xml:space="preserve">Chief Executive Women, CEW Senior Executive Census, 2022. </w:t>
      </w:r>
    </w:p>
  </w:footnote>
  <w:footnote w:id="12">
    <w:p w14:paraId="676134FB" w14:textId="77777777" w:rsidR="00E16C43" w:rsidRPr="00B039DD" w:rsidRDefault="00E16C43" w:rsidP="00E16C43">
      <w:pPr>
        <w:pStyle w:val="Textonotapie"/>
      </w:pPr>
      <w:r w:rsidRPr="00B039DD">
        <w:rPr>
          <w:lang w:val="en-US"/>
        </w:rPr>
        <w:tab/>
      </w:r>
      <w:r w:rsidRPr="00B039DD">
        <w:rPr>
          <w:rStyle w:val="Refdenotaalpie"/>
        </w:rPr>
        <w:footnoteRef/>
      </w:r>
      <w:r w:rsidRPr="00B039DD">
        <w:t xml:space="preserve"> </w:t>
      </w:r>
      <w:r w:rsidRPr="00B039DD">
        <w:tab/>
        <w:t>Encuesta nacional sobre las actitudes de la comunidad frente a la violencia contra la mujer (2021) de la Organización Nacional de Investigación para la Seguridad de la Mujer.</w:t>
      </w:r>
    </w:p>
  </w:footnote>
  <w:footnote w:id="13">
    <w:p w14:paraId="173A7540" w14:textId="1F4836BC" w:rsidR="00E16C43" w:rsidRPr="00B039DD" w:rsidRDefault="00E16C43" w:rsidP="00E16C43">
      <w:pPr>
        <w:pStyle w:val="Textonotapie"/>
      </w:pPr>
      <w:r w:rsidRPr="00B039DD">
        <w:tab/>
      </w:r>
      <w:r w:rsidRPr="00B039DD">
        <w:rPr>
          <w:rStyle w:val="Refdenotaalpie"/>
        </w:rPr>
        <w:footnoteRef/>
      </w:r>
      <w:r w:rsidRPr="00B039DD">
        <w:tab/>
        <w:t xml:space="preserve">Pueden consultarse en </w:t>
      </w:r>
      <w:hyperlink r:id="rId1" w:history="1">
        <w:r w:rsidRPr="005E565E">
          <w:rPr>
            <w:rStyle w:val="Hipervnculo"/>
          </w:rPr>
          <w:t>https://modernslaveryregister.gov.au/statements/?voluntarity=0</w:t>
        </w:r>
      </w:hyperlink>
      <w:r w:rsidR="005E565E">
        <w:t>.</w:t>
      </w:r>
    </w:p>
  </w:footnote>
  <w:footnote w:id="14">
    <w:p w14:paraId="38B0D997" w14:textId="611812BD" w:rsidR="00E16C43" w:rsidRPr="00B039DD" w:rsidRDefault="00E16C43" w:rsidP="00E16C43">
      <w:pPr>
        <w:pStyle w:val="Textonotapie"/>
      </w:pPr>
      <w:r w:rsidRPr="00B039DD">
        <w:tab/>
      </w:r>
      <w:r w:rsidRPr="00B039DD">
        <w:rPr>
          <w:rStyle w:val="Refdenotaalpie"/>
        </w:rPr>
        <w:footnoteRef/>
      </w:r>
      <w:r w:rsidRPr="00B039DD">
        <w:t xml:space="preserve"> </w:t>
      </w:r>
      <w:r w:rsidRPr="00B039DD">
        <w:tab/>
        <w:t>E/C.12/AUS/CO/5</w:t>
      </w:r>
      <w:r w:rsidR="005065F3">
        <w:t>,</w:t>
      </w:r>
      <w:r w:rsidRPr="00B039DD">
        <w:t xml:space="preserve"> párr. 16.</w:t>
      </w:r>
    </w:p>
  </w:footnote>
  <w:footnote w:id="15">
    <w:p w14:paraId="73983850" w14:textId="7393CA34" w:rsidR="00E16C43" w:rsidRPr="00B039DD" w:rsidRDefault="00E16C43" w:rsidP="00E16C43">
      <w:pPr>
        <w:pStyle w:val="Textonotapie"/>
      </w:pPr>
      <w:r w:rsidRPr="00B039DD">
        <w:tab/>
      </w:r>
      <w:r w:rsidRPr="00B039DD">
        <w:rPr>
          <w:rStyle w:val="Refdenotaalpie"/>
        </w:rPr>
        <w:footnoteRef/>
      </w:r>
      <w:r w:rsidRPr="00B039DD">
        <w:t xml:space="preserve"> </w:t>
      </w:r>
      <w:r w:rsidRPr="00B039DD">
        <w:tab/>
        <w:t>E/C.12/AUS/CO/5</w:t>
      </w:r>
      <w:r w:rsidR="005065F3">
        <w:t>,</w:t>
      </w:r>
      <w:r w:rsidRPr="00B039DD">
        <w:t xml:space="preserve"> párr. 12.</w:t>
      </w:r>
    </w:p>
  </w:footnote>
  <w:footnote w:id="16">
    <w:p w14:paraId="31B559B0" w14:textId="0BBE2D9D" w:rsidR="00E16C43" w:rsidRPr="00B039DD" w:rsidRDefault="00E16C43" w:rsidP="00E16C43">
      <w:pPr>
        <w:pStyle w:val="Textonotapie"/>
      </w:pPr>
      <w:r w:rsidRPr="00B039DD">
        <w:tab/>
      </w:r>
      <w:r w:rsidRPr="00B039DD">
        <w:rPr>
          <w:rStyle w:val="Refdenotaalpie"/>
        </w:rPr>
        <w:footnoteRef/>
      </w:r>
      <w:r w:rsidRPr="00B039DD">
        <w:t xml:space="preserve"> </w:t>
      </w:r>
      <w:r w:rsidRPr="00B039DD">
        <w:tab/>
        <w:t>E/C.12/AUS/CO/5, párr</w:t>
      </w:r>
      <w:r w:rsidR="00F766BF">
        <w:t>s</w:t>
      </w:r>
      <w:r w:rsidRPr="00B039DD">
        <w:t>. 22 y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91ABB5" w14:textId="64E92402" w:rsidR="00E20A3D" w:rsidRPr="00E20A3D" w:rsidRDefault="004353C7">
    <w:pPr>
      <w:pStyle w:val="Encabezado"/>
    </w:pPr>
    <w:r>
      <w:fldChar w:fldCharType="begin"/>
    </w:r>
    <w:r>
      <w:instrText xml:space="preserve"> TITLE  \* MERGEFORMAT </w:instrText>
    </w:r>
    <w:r>
      <w:fldChar w:fldCharType="separate"/>
    </w:r>
    <w:r w:rsidR="00915F73">
      <w:t>E/</w:t>
    </w:r>
    <w:proofErr w:type="spellStart"/>
    <w:r w:rsidR="00915F73">
      <w:t>C.12</w:t>
    </w:r>
    <w:proofErr w:type="spellEnd"/>
    <w:r w:rsidR="00915F73">
      <w:t>/</w:t>
    </w:r>
    <w:proofErr w:type="spellStart"/>
    <w:r w:rsidR="00915F73">
      <w:t>AUS</w:t>
    </w:r>
    <w:proofErr w:type="spellEnd"/>
    <w:r w:rsidR="00915F73">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CD9731" w14:textId="1A5990E6" w:rsidR="00E20A3D" w:rsidRPr="00E20A3D" w:rsidRDefault="004353C7" w:rsidP="00E20A3D">
    <w:pPr>
      <w:pStyle w:val="Encabezado"/>
      <w:jc w:val="right"/>
    </w:pPr>
    <w:r>
      <w:fldChar w:fldCharType="begin"/>
    </w:r>
    <w:r>
      <w:instrText xml:space="preserve"> TITLE  \* MERGEFORMAT </w:instrText>
    </w:r>
    <w:r>
      <w:fldChar w:fldCharType="separate"/>
    </w:r>
    <w:r w:rsidR="00915F73">
      <w:t>E/</w:t>
    </w:r>
    <w:proofErr w:type="spellStart"/>
    <w:r w:rsidR="00915F73">
      <w:t>C.12</w:t>
    </w:r>
    <w:proofErr w:type="spellEnd"/>
    <w:r w:rsidR="00915F73">
      <w:t>/</w:t>
    </w:r>
    <w:proofErr w:type="spellStart"/>
    <w:r w:rsidR="00915F73">
      <w:t>AUS</w:t>
    </w:r>
    <w:proofErr w:type="spellEnd"/>
    <w:r w:rsidR="00915F73">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18228811">
    <w:abstractNumId w:val="16"/>
  </w:num>
  <w:num w:numId="2" w16cid:durableId="195236827">
    <w:abstractNumId w:val="15"/>
  </w:num>
  <w:num w:numId="3" w16cid:durableId="969284658">
    <w:abstractNumId w:val="13"/>
  </w:num>
  <w:num w:numId="4" w16cid:durableId="1839464987">
    <w:abstractNumId w:val="14"/>
  </w:num>
  <w:num w:numId="5" w16cid:durableId="1598830167">
    <w:abstractNumId w:val="11"/>
  </w:num>
  <w:num w:numId="6" w16cid:durableId="1974365968">
    <w:abstractNumId w:val="10"/>
  </w:num>
  <w:num w:numId="7" w16cid:durableId="2057581559">
    <w:abstractNumId w:val="12"/>
  </w:num>
  <w:num w:numId="8" w16cid:durableId="2005664285">
    <w:abstractNumId w:val="9"/>
  </w:num>
  <w:num w:numId="9" w16cid:durableId="342321929">
    <w:abstractNumId w:val="7"/>
  </w:num>
  <w:num w:numId="10" w16cid:durableId="323166392">
    <w:abstractNumId w:val="6"/>
  </w:num>
  <w:num w:numId="11" w16cid:durableId="854810037">
    <w:abstractNumId w:val="5"/>
  </w:num>
  <w:num w:numId="12" w16cid:durableId="86848163">
    <w:abstractNumId w:val="4"/>
  </w:num>
  <w:num w:numId="13" w16cid:durableId="765350259">
    <w:abstractNumId w:val="8"/>
  </w:num>
  <w:num w:numId="14" w16cid:durableId="88159503">
    <w:abstractNumId w:val="3"/>
  </w:num>
  <w:num w:numId="15" w16cid:durableId="11424645">
    <w:abstractNumId w:val="2"/>
  </w:num>
  <w:num w:numId="16" w16cid:durableId="961158404">
    <w:abstractNumId w:val="1"/>
  </w:num>
  <w:num w:numId="17" w16cid:durableId="184866683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80"/>
    <w:rsid w:val="00010F3B"/>
    <w:rsid w:val="00032D03"/>
    <w:rsid w:val="00034084"/>
    <w:rsid w:val="00060246"/>
    <w:rsid w:val="00084937"/>
    <w:rsid w:val="0008650D"/>
    <w:rsid w:val="00093664"/>
    <w:rsid w:val="000B57E7"/>
    <w:rsid w:val="000D359E"/>
    <w:rsid w:val="000F09DF"/>
    <w:rsid w:val="000F61B2"/>
    <w:rsid w:val="001075E9"/>
    <w:rsid w:val="00107D4A"/>
    <w:rsid w:val="00143FE5"/>
    <w:rsid w:val="00147DD8"/>
    <w:rsid w:val="00180183"/>
    <w:rsid w:val="00196389"/>
    <w:rsid w:val="001B1E05"/>
    <w:rsid w:val="001C7A89"/>
    <w:rsid w:val="001F3EC3"/>
    <w:rsid w:val="00205748"/>
    <w:rsid w:val="002967E3"/>
    <w:rsid w:val="002A2EFC"/>
    <w:rsid w:val="002D16F0"/>
    <w:rsid w:val="002D588B"/>
    <w:rsid w:val="002D5AAC"/>
    <w:rsid w:val="00301299"/>
    <w:rsid w:val="003049E9"/>
    <w:rsid w:val="00313431"/>
    <w:rsid w:val="00321047"/>
    <w:rsid w:val="00322004"/>
    <w:rsid w:val="003402C2"/>
    <w:rsid w:val="003538EB"/>
    <w:rsid w:val="003770A4"/>
    <w:rsid w:val="00381C24"/>
    <w:rsid w:val="0039023F"/>
    <w:rsid w:val="003958D0"/>
    <w:rsid w:val="003C0339"/>
    <w:rsid w:val="003D064D"/>
    <w:rsid w:val="003D0E80"/>
    <w:rsid w:val="0041031F"/>
    <w:rsid w:val="004413F5"/>
    <w:rsid w:val="00454E07"/>
    <w:rsid w:val="004B19F2"/>
    <w:rsid w:val="0050108D"/>
    <w:rsid w:val="005016AF"/>
    <w:rsid w:val="005065F3"/>
    <w:rsid w:val="005076AF"/>
    <w:rsid w:val="0052159C"/>
    <w:rsid w:val="0053076C"/>
    <w:rsid w:val="00550213"/>
    <w:rsid w:val="00572E19"/>
    <w:rsid w:val="00581426"/>
    <w:rsid w:val="00581F67"/>
    <w:rsid w:val="00586805"/>
    <w:rsid w:val="005A79CF"/>
    <w:rsid w:val="005B556F"/>
    <w:rsid w:val="005E0BCB"/>
    <w:rsid w:val="005E565E"/>
    <w:rsid w:val="005F0B42"/>
    <w:rsid w:val="00632A31"/>
    <w:rsid w:val="0064421C"/>
    <w:rsid w:val="00696E37"/>
    <w:rsid w:val="006E27AD"/>
    <w:rsid w:val="006F35EE"/>
    <w:rsid w:val="00710CF8"/>
    <w:rsid w:val="00716C6F"/>
    <w:rsid w:val="007464CC"/>
    <w:rsid w:val="007C42F9"/>
    <w:rsid w:val="007D6339"/>
    <w:rsid w:val="00802199"/>
    <w:rsid w:val="008036D2"/>
    <w:rsid w:val="008130EE"/>
    <w:rsid w:val="00830923"/>
    <w:rsid w:val="00834B71"/>
    <w:rsid w:val="00856632"/>
    <w:rsid w:val="0086445C"/>
    <w:rsid w:val="008A08D7"/>
    <w:rsid w:val="008B7C09"/>
    <w:rsid w:val="008D1C63"/>
    <w:rsid w:val="008F5E4D"/>
    <w:rsid w:val="00906890"/>
    <w:rsid w:val="00915F73"/>
    <w:rsid w:val="009179A3"/>
    <w:rsid w:val="0094654E"/>
    <w:rsid w:val="00951972"/>
    <w:rsid w:val="00955708"/>
    <w:rsid w:val="00987051"/>
    <w:rsid w:val="009B7994"/>
    <w:rsid w:val="009D27A2"/>
    <w:rsid w:val="009E78C4"/>
    <w:rsid w:val="00A00CB2"/>
    <w:rsid w:val="00A209DB"/>
    <w:rsid w:val="00A500CE"/>
    <w:rsid w:val="00A645FF"/>
    <w:rsid w:val="00A82F0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66F1B"/>
    <w:rsid w:val="00C805C9"/>
    <w:rsid w:val="00CA1679"/>
    <w:rsid w:val="00CB1359"/>
    <w:rsid w:val="00CE34F5"/>
    <w:rsid w:val="00CF65F8"/>
    <w:rsid w:val="00D0055E"/>
    <w:rsid w:val="00D738F9"/>
    <w:rsid w:val="00D74E7F"/>
    <w:rsid w:val="00D759B3"/>
    <w:rsid w:val="00D7688B"/>
    <w:rsid w:val="00D90138"/>
    <w:rsid w:val="00D97076"/>
    <w:rsid w:val="00DA1CE0"/>
    <w:rsid w:val="00DC6544"/>
    <w:rsid w:val="00DF6386"/>
    <w:rsid w:val="00E16C43"/>
    <w:rsid w:val="00E20A3D"/>
    <w:rsid w:val="00E3587C"/>
    <w:rsid w:val="00E73F76"/>
    <w:rsid w:val="00E769E3"/>
    <w:rsid w:val="00E82A2E"/>
    <w:rsid w:val="00ED089B"/>
    <w:rsid w:val="00EF1360"/>
    <w:rsid w:val="00EF2118"/>
    <w:rsid w:val="00EF3220"/>
    <w:rsid w:val="00F33585"/>
    <w:rsid w:val="00F766BF"/>
    <w:rsid w:val="00FB6CD8"/>
    <w:rsid w:val="00FD2EF7"/>
    <w:rsid w:val="00FF1637"/>
    <w:rsid w:val="00FF6E9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09899"/>
  <w15:docId w15:val="{B5969BAB-B694-40F3-BD7B-F5E9A2E65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3D0E80"/>
    <w:rPr>
      <w:lang w:val="es-ES" w:eastAsia="es-ES"/>
    </w:rPr>
  </w:style>
  <w:style w:type="character" w:customStyle="1" w:styleId="Ttulo2Car">
    <w:name w:val="Título 2 Car"/>
    <w:basedOn w:val="Fuentedeprrafopredeter"/>
    <w:link w:val="Ttulo2"/>
    <w:semiHidden/>
    <w:rsid w:val="00E16C43"/>
    <w:rPr>
      <w:rFonts w:cs="Arial"/>
      <w:bCs/>
      <w:iCs/>
      <w:szCs w:val="28"/>
      <w:lang w:val="es-ES" w:eastAsia="es-ES"/>
    </w:rPr>
  </w:style>
  <w:style w:type="character" w:customStyle="1" w:styleId="Ttulo3Car">
    <w:name w:val="Título 3 Car"/>
    <w:basedOn w:val="Fuentedeprrafopredeter"/>
    <w:link w:val="Ttulo3"/>
    <w:semiHidden/>
    <w:rsid w:val="00E16C43"/>
    <w:rPr>
      <w:rFonts w:ascii="Arial" w:hAnsi="Arial" w:cs="Arial"/>
      <w:b/>
      <w:bCs/>
      <w:sz w:val="26"/>
      <w:szCs w:val="26"/>
      <w:lang w:val="es-ES" w:eastAsia="es-ES"/>
    </w:rPr>
  </w:style>
  <w:style w:type="character" w:customStyle="1" w:styleId="Ttulo4Car">
    <w:name w:val="Título 4 Car"/>
    <w:basedOn w:val="Fuentedeprrafopredeter"/>
    <w:link w:val="Ttulo4"/>
    <w:semiHidden/>
    <w:rsid w:val="00E16C43"/>
    <w:rPr>
      <w:b/>
      <w:bCs/>
      <w:sz w:val="28"/>
      <w:szCs w:val="28"/>
      <w:lang w:val="es-ES" w:eastAsia="es-ES"/>
    </w:rPr>
  </w:style>
  <w:style w:type="character" w:customStyle="1" w:styleId="Ttulo5Car">
    <w:name w:val="Título 5 Car"/>
    <w:basedOn w:val="Fuentedeprrafopredeter"/>
    <w:link w:val="Ttulo5"/>
    <w:semiHidden/>
    <w:rsid w:val="00E16C43"/>
    <w:rPr>
      <w:b/>
      <w:bCs/>
      <w:i/>
      <w:iCs/>
      <w:sz w:val="26"/>
      <w:szCs w:val="26"/>
      <w:lang w:val="es-ES" w:eastAsia="es-ES"/>
    </w:rPr>
  </w:style>
  <w:style w:type="character" w:customStyle="1" w:styleId="Ttulo6Car">
    <w:name w:val="Título 6 Car"/>
    <w:basedOn w:val="Fuentedeprrafopredeter"/>
    <w:link w:val="Ttulo6"/>
    <w:semiHidden/>
    <w:rsid w:val="00E16C43"/>
    <w:rPr>
      <w:b/>
      <w:bCs/>
      <w:sz w:val="22"/>
      <w:szCs w:val="22"/>
      <w:lang w:val="es-ES" w:eastAsia="es-ES"/>
    </w:rPr>
  </w:style>
  <w:style w:type="character" w:customStyle="1" w:styleId="Ttulo7Car">
    <w:name w:val="Título 7 Car"/>
    <w:basedOn w:val="Fuentedeprrafopredeter"/>
    <w:link w:val="Ttulo7"/>
    <w:semiHidden/>
    <w:rsid w:val="00E16C43"/>
    <w:rPr>
      <w:sz w:val="24"/>
      <w:szCs w:val="24"/>
      <w:lang w:val="es-ES" w:eastAsia="es-ES"/>
    </w:rPr>
  </w:style>
  <w:style w:type="character" w:customStyle="1" w:styleId="Ttulo8Car">
    <w:name w:val="Título 8 Car"/>
    <w:basedOn w:val="Fuentedeprrafopredeter"/>
    <w:link w:val="Ttulo8"/>
    <w:semiHidden/>
    <w:rsid w:val="00E16C43"/>
    <w:rPr>
      <w:i/>
      <w:iCs/>
      <w:sz w:val="24"/>
      <w:szCs w:val="24"/>
      <w:lang w:val="es-ES" w:eastAsia="es-ES"/>
    </w:rPr>
  </w:style>
  <w:style w:type="character" w:customStyle="1" w:styleId="Ttulo9Car">
    <w:name w:val="Título 9 Car"/>
    <w:basedOn w:val="Fuentedeprrafopredeter"/>
    <w:link w:val="Ttulo9"/>
    <w:semiHidden/>
    <w:rsid w:val="00E16C43"/>
    <w:rPr>
      <w:rFonts w:ascii="Arial" w:hAnsi="Arial" w:cs="Arial"/>
      <w:sz w:val="22"/>
      <w:szCs w:val="22"/>
      <w:lang w:val="es-ES" w:eastAsia="es-ES"/>
    </w:rPr>
  </w:style>
  <w:style w:type="paragraph" w:styleId="Cita">
    <w:name w:val="Quote"/>
    <w:basedOn w:val="Normal"/>
    <w:next w:val="Normal"/>
    <w:link w:val="CitaCar"/>
    <w:uiPriority w:val="29"/>
    <w:rsid w:val="00E16C43"/>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E16C43"/>
    <w:rPr>
      <w:i/>
      <w:iCs/>
      <w:color w:val="404040" w:themeColor="text1" w:themeTint="BF"/>
      <w:lang w:val="es-ES" w:eastAsia="es-ES"/>
    </w:rPr>
  </w:style>
  <w:style w:type="paragraph" w:styleId="Prrafodelista">
    <w:name w:val="List Paragraph"/>
    <w:basedOn w:val="Normal"/>
    <w:uiPriority w:val="34"/>
    <w:rsid w:val="00E16C43"/>
    <w:pPr>
      <w:ind w:left="720"/>
      <w:contextualSpacing/>
    </w:pPr>
  </w:style>
  <w:style w:type="character" w:styleId="Referenciaintensa">
    <w:name w:val="Intense Reference"/>
    <w:basedOn w:val="Fuentedeprrafopredeter"/>
    <w:uiPriority w:val="32"/>
    <w:rsid w:val="00E16C43"/>
    <w:rPr>
      <w:b/>
      <w:bCs/>
      <w:smallCaps/>
      <w:color w:val="365F91" w:themeColor="accent1" w:themeShade="BF"/>
      <w:spacing w:val="5"/>
    </w:rPr>
  </w:style>
  <w:style w:type="paragraph" w:styleId="Textocomentario">
    <w:name w:val="annotation text"/>
    <w:basedOn w:val="Normal"/>
    <w:link w:val="TextocomentarioCar"/>
    <w:uiPriority w:val="99"/>
    <w:unhideWhenUsed/>
    <w:rsid w:val="00E16C43"/>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E16C43"/>
    <w:rPr>
      <w:rFonts w:eastAsia="SimSun"/>
      <w:lang w:val="en-GB"/>
    </w:rPr>
  </w:style>
  <w:style w:type="character" w:styleId="Refdecomentario">
    <w:name w:val="annotation reference"/>
    <w:basedOn w:val="Fuentedeprrafopredeter"/>
    <w:uiPriority w:val="99"/>
    <w:semiHidden/>
    <w:unhideWhenUsed/>
    <w:rsid w:val="00E16C43"/>
    <w:rPr>
      <w:sz w:val="16"/>
      <w:szCs w:val="16"/>
    </w:rPr>
  </w:style>
  <w:style w:type="paragraph" w:styleId="Asuntodelcomentario">
    <w:name w:val="annotation subject"/>
    <w:basedOn w:val="Textocomentario"/>
    <w:next w:val="Textocomentario"/>
    <w:link w:val="AsuntodelcomentarioCar"/>
    <w:uiPriority w:val="99"/>
    <w:semiHidden/>
    <w:unhideWhenUsed/>
    <w:rsid w:val="00E16C43"/>
    <w:rPr>
      <w:b/>
      <w:bCs/>
    </w:rPr>
  </w:style>
  <w:style w:type="character" w:customStyle="1" w:styleId="AsuntodelcomentarioCar">
    <w:name w:val="Asunto del comentario Car"/>
    <w:basedOn w:val="TextocomentarioCar"/>
    <w:link w:val="Asuntodelcomentario"/>
    <w:uiPriority w:val="99"/>
    <w:semiHidden/>
    <w:rsid w:val="00E16C43"/>
    <w:rPr>
      <w:rFonts w:eastAsia="SimSun"/>
      <w:b/>
      <w:bCs/>
      <w:lang w:val="en-GB"/>
    </w:rPr>
  </w:style>
  <w:style w:type="character" w:styleId="Mencinsinresolver">
    <w:name w:val="Unresolved Mention"/>
    <w:basedOn w:val="Fuentedeprrafopredeter"/>
    <w:uiPriority w:val="99"/>
    <w:semiHidden/>
    <w:unhideWhenUsed/>
    <w:rsid w:val="00E16C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modernslaveryregister.gov.au/statements/?voluntarity=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91A06-6F34-46B5-BC17-256FC158C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49</Pages>
  <Words>28404</Words>
  <Characters>152863</Characters>
  <Application>Microsoft Office Word</Application>
  <DocSecurity>0</DocSecurity>
  <Lines>2386</Lines>
  <Paragraphs>607</Paragraphs>
  <ScaleCrop>false</ScaleCrop>
  <HeadingPairs>
    <vt:vector size="2" baseType="variant">
      <vt:variant>
        <vt:lpstr>Título</vt:lpstr>
      </vt:variant>
      <vt:variant>
        <vt:i4>1</vt:i4>
      </vt:variant>
    </vt:vector>
  </HeadingPairs>
  <TitlesOfParts>
    <vt:vector size="1" baseType="lpstr">
      <vt:lpstr>E/C.12/AUS/6</vt:lpstr>
    </vt:vector>
  </TitlesOfParts>
  <Company/>
  <LinksUpToDate>false</LinksUpToDate>
  <CharactersWithSpaces>181130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E/C.12/AUS/6</dc:title>
  <dc:subject/>
  <dc:creator>Romina Valeria MERINO MAC-KAY</dc:creator>
  <cp:keywords/>
  <cp:lastModifiedBy>Romina Merino Mac-Kay</cp:lastModifiedBy>
  <cp:revision>3</cp:revision>
  <cp:lastPrinted>2024-05-27T07:22:00Z</cp:lastPrinted>
  <dcterms:created xsi:type="dcterms:W3CDTF">2024-05-27T07:22:00Z</dcterms:created>
  <dcterms:modified xsi:type="dcterms:W3CDTF">2024-05-27T07:23:00Z</dcterms:modified>
</cp:coreProperties>
</file>