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85AB585" w14:textId="77777777" w:rsidTr="005B51C4">
        <w:trPr>
          <w:trHeight w:hRule="exact" w:val="851"/>
        </w:trPr>
        <w:tc>
          <w:tcPr>
            <w:tcW w:w="1274" w:type="dxa"/>
            <w:tcBorders>
              <w:bottom w:val="single" w:sz="4" w:space="0" w:color="auto"/>
            </w:tcBorders>
            <w:shd w:val="clear" w:color="auto" w:fill="auto"/>
          </w:tcPr>
          <w:p w14:paraId="58C2250B" w14:textId="77777777" w:rsidR="006B3E27" w:rsidRPr="00C175A6" w:rsidRDefault="006B3E27" w:rsidP="00296F4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2B13EF0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6C61685" w14:textId="28720050" w:rsidR="006B3E27" w:rsidRPr="007C6A4A" w:rsidRDefault="007C6A4A" w:rsidP="007C6A4A">
            <w:pPr>
              <w:bidi w:val="0"/>
              <w:rPr>
                <w:szCs w:val="20"/>
              </w:rPr>
            </w:pPr>
            <w:r w:rsidRPr="007C6A4A">
              <w:rPr>
                <w:sz w:val="40"/>
                <w:szCs w:val="20"/>
              </w:rPr>
              <w:t>CCPR</w:t>
            </w:r>
            <w:r>
              <w:rPr>
                <w:szCs w:val="20"/>
              </w:rPr>
              <w:t>/C/</w:t>
            </w:r>
            <w:r w:rsidRPr="00477269">
              <w:rPr>
                <w:szCs w:val="20"/>
              </w:rPr>
              <w:t>132</w:t>
            </w:r>
            <w:r>
              <w:rPr>
                <w:szCs w:val="20"/>
              </w:rPr>
              <w:t>/</w:t>
            </w:r>
            <w:r w:rsidRPr="00477269">
              <w:rPr>
                <w:szCs w:val="20"/>
              </w:rPr>
              <w:t>2</w:t>
            </w:r>
            <w:r>
              <w:rPr>
                <w:szCs w:val="20"/>
              </w:rPr>
              <w:t>/Add.</w:t>
            </w:r>
            <w:r w:rsidRPr="00477269">
              <w:rPr>
                <w:szCs w:val="20"/>
              </w:rPr>
              <w:t>2</w:t>
            </w:r>
          </w:p>
        </w:tc>
      </w:tr>
      <w:tr w:rsidR="006B3E27" w:rsidRPr="00C175A6" w14:paraId="31B2494F" w14:textId="77777777" w:rsidTr="005B51C4">
        <w:trPr>
          <w:trHeight w:hRule="exact" w:val="2835"/>
        </w:trPr>
        <w:tc>
          <w:tcPr>
            <w:tcW w:w="1274" w:type="dxa"/>
            <w:tcBorders>
              <w:top w:val="single" w:sz="4" w:space="0" w:color="auto"/>
              <w:bottom w:val="single" w:sz="12" w:space="0" w:color="auto"/>
            </w:tcBorders>
            <w:shd w:val="clear" w:color="auto" w:fill="auto"/>
          </w:tcPr>
          <w:p w14:paraId="7AF29AE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7C69011" wp14:editId="5791A92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82DD68D" w14:textId="77777777" w:rsidR="006B3E27" w:rsidRPr="00477269" w:rsidRDefault="00ED7442" w:rsidP="00730446">
            <w:pPr>
              <w:spacing w:before="120" w:after="40" w:line="640" w:lineRule="exact"/>
              <w:ind w:left="57"/>
              <w:rPr>
                <w:b/>
                <w:bCs/>
                <w:sz w:val="46"/>
                <w:szCs w:val="46"/>
              </w:rPr>
            </w:pPr>
            <w:r w:rsidRPr="0047726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E9BC742" w14:textId="77777777" w:rsidR="006B3E27" w:rsidRDefault="007C6A4A" w:rsidP="004B27E0">
            <w:pPr>
              <w:bidi w:val="0"/>
              <w:spacing w:before="240"/>
              <w:rPr>
                <w:szCs w:val="20"/>
              </w:rPr>
            </w:pPr>
            <w:r>
              <w:rPr>
                <w:szCs w:val="20"/>
              </w:rPr>
              <w:t>Distr.: General</w:t>
            </w:r>
          </w:p>
          <w:p w14:paraId="2E1804ED" w14:textId="523C250F" w:rsidR="007C6A4A" w:rsidRDefault="00CF7A23" w:rsidP="007C6A4A">
            <w:pPr>
              <w:bidi w:val="0"/>
              <w:spacing w:line="240" w:lineRule="exact"/>
              <w:jc w:val="left"/>
              <w:rPr>
                <w:szCs w:val="20"/>
              </w:rPr>
            </w:pPr>
            <w:r w:rsidRPr="00477269">
              <w:rPr>
                <w:szCs w:val="20"/>
              </w:rPr>
              <w:t>6</w:t>
            </w:r>
            <w:r w:rsidRPr="00325E51">
              <w:rPr>
                <w:szCs w:val="20"/>
              </w:rPr>
              <w:t xml:space="preserve"> September </w:t>
            </w:r>
            <w:r w:rsidR="007C6A4A" w:rsidRPr="00477269">
              <w:rPr>
                <w:szCs w:val="20"/>
              </w:rPr>
              <w:t>2021</w:t>
            </w:r>
          </w:p>
          <w:p w14:paraId="619DD017" w14:textId="77777777" w:rsidR="007C6A4A" w:rsidRDefault="007C6A4A" w:rsidP="007C6A4A">
            <w:pPr>
              <w:bidi w:val="0"/>
              <w:spacing w:line="240" w:lineRule="exact"/>
              <w:jc w:val="left"/>
              <w:rPr>
                <w:szCs w:val="20"/>
              </w:rPr>
            </w:pPr>
            <w:r>
              <w:rPr>
                <w:szCs w:val="20"/>
              </w:rPr>
              <w:t>Arabic</w:t>
            </w:r>
          </w:p>
          <w:p w14:paraId="218CCD72" w14:textId="35389F63" w:rsidR="007C6A4A" w:rsidRPr="007C6A4A" w:rsidRDefault="007C6A4A" w:rsidP="007C6A4A">
            <w:pPr>
              <w:bidi w:val="0"/>
              <w:spacing w:line="240" w:lineRule="exact"/>
              <w:jc w:val="left"/>
              <w:rPr>
                <w:szCs w:val="20"/>
              </w:rPr>
            </w:pPr>
            <w:r>
              <w:rPr>
                <w:szCs w:val="20"/>
              </w:rPr>
              <w:t>Original: English</w:t>
            </w:r>
          </w:p>
        </w:tc>
      </w:tr>
    </w:tbl>
    <w:p w14:paraId="00FDDEAD" w14:textId="77777777" w:rsidR="00CF7A23" w:rsidRPr="00477269" w:rsidRDefault="00CF7A23" w:rsidP="00CF7A23">
      <w:pPr>
        <w:spacing w:before="120" w:line="360" w:lineRule="exact"/>
        <w:textDirection w:val="tbRlV"/>
        <w:rPr>
          <w:rFonts w:ascii="Simplified Arabic" w:eastAsiaTheme="minorEastAsia" w:hAnsi="Simplified Arabic"/>
          <w:b/>
          <w:bCs/>
          <w:sz w:val="26"/>
          <w:szCs w:val="26"/>
          <w:lang w:eastAsia="zh-TW" w:bidi="en-GB"/>
        </w:rPr>
      </w:pPr>
      <w:r w:rsidRPr="00477269">
        <w:rPr>
          <w:rFonts w:ascii="Simplified Arabic" w:hAnsi="Simplified Arabic"/>
          <w:b/>
          <w:bCs/>
          <w:sz w:val="26"/>
          <w:szCs w:val="26"/>
          <w:rtl/>
        </w:rPr>
        <w:t>اللجنة المعنية بحقوق الإنسان</w:t>
      </w:r>
    </w:p>
    <w:p w14:paraId="265448DF" w14:textId="77777777" w:rsidR="00CF7A23" w:rsidRPr="00477269" w:rsidRDefault="00CF7A23" w:rsidP="00CF7A23">
      <w:pPr>
        <w:pStyle w:val="HChGA"/>
        <w:rPr>
          <w:rFonts w:eastAsiaTheme="minorEastAsia"/>
          <w:lang w:val="ar-SA" w:eastAsia="zh-TW" w:bidi="en-GB"/>
        </w:rPr>
      </w:pPr>
      <w:r w:rsidRPr="00477269">
        <w:rPr>
          <w:sz w:val="22"/>
          <w:szCs w:val="22"/>
          <w:rtl/>
        </w:rPr>
        <w:tab/>
      </w:r>
      <w:r w:rsidRPr="00477269">
        <w:rPr>
          <w:sz w:val="22"/>
          <w:szCs w:val="22"/>
          <w:rtl/>
        </w:rPr>
        <w:tab/>
      </w:r>
      <w:r w:rsidRPr="00477269">
        <w:rPr>
          <w:rtl/>
        </w:rPr>
        <w:t xml:space="preserve">تقرير </w:t>
      </w:r>
      <w:r w:rsidRPr="00477269">
        <w:rPr>
          <w:rtl/>
          <w:lang w:val="de-CH"/>
        </w:rPr>
        <w:t xml:space="preserve">عن </w:t>
      </w:r>
      <w:r w:rsidRPr="00477269">
        <w:rPr>
          <w:rtl/>
        </w:rPr>
        <w:t>متابعة الملاحظات الختامية للجنة المعنية بحقوق الإنسان</w:t>
      </w:r>
      <w:bookmarkStart w:id="0" w:name="_Toc506807534"/>
      <w:bookmarkEnd w:id="0"/>
    </w:p>
    <w:p w14:paraId="0A7C6B6F" w14:textId="77777777" w:rsidR="00CF7A23" w:rsidRPr="00477269" w:rsidRDefault="00CF7A23" w:rsidP="00CF7A23">
      <w:pPr>
        <w:pStyle w:val="H23GA"/>
        <w:rPr>
          <w:rFonts w:eastAsiaTheme="minorEastAsia"/>
          <w:lang w:eastAsia="zh-TW" w:bidi="en-GB"/>
        </w:rPr>
      </w:pPr>
      <w:r w:rsidRPr="00477269">
        <w:rPr>
          <w:sz w:val="30"/>
          <w:rtl/>
        </w:rPr>
        <w:tab/>
      </w:r>
      <w:r w:rsidRPr="00477269">
        <w:rPr>
          <w:sz w:val="30"/>
          <w:rtl/>
        </w:rPr>
        <w:tab/>
      </w:r>
      <w:r w:rsidRPr="00477269">
        <w:rPr>
          <w:rtl/>
        </w:rPr>
        <w:t>إضافة</w:t>
      </w:r>
    </w:p>
    <w:p w14:paraId="623226D3" w14:textId="4878217A" w:rsidR="00CF7A23" w:rsidRPr="00477269" w:rsidRDefault="00CF7A23" w:rsidP="00CF7A23">
      <w:pPr>
        <w:pStyle w:val="HChGA"/>
        <w:rPr>
          <w:rFonts w:eastAsiaTheme="minorEastAsia"/>
          <w:lang w:val="en-US" w:eastAsia="zh-TW" w:bidi="en-GB"/>
        </w:rPr>
      </w:pPr>
      <w:r w:rsidRPr="00477269">
        <w:rPr>
          <w:rtl/>
        </w:rPr>
        <w:tab/>
      </w:r>
      <w:r w:rsidRPr="00477269">
        <w:rPr>
          <w:rtl/>
        </w:rPr>
        <w:tab/>
        <w:t>تقييم المعلومات المتعلقة بمتابعة الملاحظات الختامية بشأن ليختنشتاين</w:t>
      </w:r>
      <w:r w:rsidRPr="00477269">
        <w:rPr>
          <w:rStyle w:val="FootnoteReference"/>
          <w:rFonts w:ascii="Simplified Arabic" w:eastAsiaTheme="minorEastAsia" w:hAnsi="Simplified Arabic"/>
          <w:b w:val="0"/>
          <w:sz w:val="26"/>
          <w:szCs w:val="26"/>
          <w:vertAlign w:val="baseline"/>
          <w:rtl/>
        </w:rPr>
        <w:footnoteReference w:customMarkFollows="1" w:id="1"/>
        <w:t>*</w:t>
      </w:r>
    </w:p>
    <w:p w14:paraId="39085644" w14:textId="3417E6B6" w:rsidR="00CF7A23" w:rsidRPr="00CF7A23" w:rsidRDefault="00CF7A23" w:rsidP="00CF7A23">
      <w:pPr>
        <w:pStyle w:val="SingleTxtGA"/>
        <w:tabs>
          <w:tab w:val="clear" w:pos="1928"/>
          <w:tab w:val="clear" w:pos="2608"/>
          <w:tab w:val="clear" w:pos="3289"/>
          <w:tab w:val="clear" w:pos="3969"/>
          <w:tab w:val="clear" w:pos="4649"/>
          <w:tab w:val="clear" w:pos="5330"/>
        </w:tabs>
        <w:ind w:left="4649" w:hanging="2721"/>
      </w:pPr>
      <w:r w:rsidRPr="00477269">
        <w:rPr>
          <w:i/>
          <w:iCs/>
          <w:rtl/>
        </w:rPr>
        <w:t xml:space="preserve">الملاحظات الختامية (الدورة </w:t>
      </w:r>
      <w:r w:rsidRPr="00477269">
        <w:rPr>
          <w:rFonts w:hint="cs"/>
          <w:i/>
          <w:iCs/>
          <w:rtl/>
        </w:rPr>
        <w:t>120</w:t>
      </w:r>
      <w:r w:rsidRPr="00477269">
        <w:rPr>
          <w:i/>
          <w:iCs/>
          <w:rtl/>
        </w:rPr>
        <w:t>):</w:t>
      </w:r>
      <w:r w:rsidRPr="00477269">
        <w:rPr>
          <w:i/>
          <w:iCs/>
          <w:rtl/>
        </w:rPr>
        <w:tab/>
      </w:r>
      <w:hyperlink r:id="rId9" w:history="1">
        <w:r w:rsidR="004618D7" w:rsidRPr="000D7EAA">
          <w:rPr>
            <w:rStyle w:val="Hyperlink"/>
          </w:rPr>
          <w:t>CCPR/C/LIE/CO/</w:t>
        </w:r>
        <w:r w:rsidR="004618D7" w:rsidRPr="00477269">
          <w:rPr>
            <w:rStyle w:val="Hyperlink"/>
          </w:rPr>
          <w:t>2</w:t>
        </w:r>
      </w:hyperlink>
      <w:r w:rsidRPr="00CF7A23">
        <w:rPr>
          <w:rtl/>
        </w:rPr>
        <w:t xml:space="preserve">، </w:t>
      </w:r>
      <w:r w:rsidRPr="00477269">
        <w:rPr>
          <w:rtl/>
        </w:rPr>
        <w:t>24</w:t>
      </w:r>
      <w:r w:rsidRPr="00CF7A23">
        <w:rPr>
          <w:rtl/>
        </w:rPr>
        <w:t xml:space="preserve"> </w:t>
      </w:r>
      <w:r w:rsidRPr="00CF7A23">
        <w:rPr>
          <w:rFonts w:hint="cs"/>
          <w:rtl/>
        </w:rPr>
        <w:t>تموز/يوليه</w:t>
      </w:r>
      <w:r w:rsidRPr="00CF7A23">
        <w:rPr>
          <w:rtl/>
        </w:rPr>
        <w:t xml:space="preserve"> </w:t>
      </w:r>
      <w:r w:rsidRPr="00477269">
        <w:rPr>
          <w:rtl/>
        </w:rPr>
        <w:t>201</w:t>
      </w:r>
      <w:r w:rsidRPr="00477269">
        <w:rPr>
          <w:rFonts w:hint="cs"/>
          <w:rtl/>
        </w:rPr>
        <w:t>7</w:t>
      </w:r>
    </w:p>
    <w:p w14:paraId="0FE23630" w14:textId="0AB66C18" w:rsidR="00CF7A23" w:rsidRPr="00CF7A23" w:rsidRDefault="00CF7A23" w:rsidP="00CF7A23">
      <w:pPr>
        <w:pStyle w:val="SingleTxtGA"/>
        <w:tabs>
          <w:tab w:val="clear" w:pos="1928"/>
          <w:tab w:val="clear" w:pos="2608"/>
          <w:tab w:val="clear" w:pos="3289"/>
          <w:tab w:val="clear" w:pos="3969"/>
          <w:tab w:val="clear" w:pos="4649"/>
          <w:tab w:val="clear" w:pos="5330"/>
        </w:tabs>
        <w:ind w:left="4649" w:hanging="2721"/>
      </w:pPr>
      <w:r w:rsidRPr="00477269">
        <w:rPr>
          <w:i/>
          <w:iCs/>
          <w:rtl/>
        </w:rPr>
        <w:t>الفقرات المشمولة بالمتابعة:</w:t>
      </w:r>
      <w:r w:rsidRPr="00325E51">
        <w:rPr>
          <w:rtl/>
        </w:rPr>
        <w:tab/>
      </w:r>
      <w:r w:rsidRPr="00477269">
        <w:rPr>
          <w:rFonts w:hint="cs"/>
          <w:rtl/>
        </w:rPr>
        <w:t>12</w:t>
      </w:r>
      <w:r w:rsidRPr="00CF7A23">
        <w:rPr>
          <w:rtl/>
        </w:rPr>
        <w:t xml:space="preserve"> و</w:t>
      </w:r>
      <w:r w:rsidRPr="00477269">
        <w:rPr>
          <w:rFonts w:hint="cs"/>
          <w:rtl/>
        </w:rPr>
        <w:t>22</w:t>
      </w:r>
      <w:r w:rsidRPr="00CF7A23">
        <w:rPr>
          <w:rFonts w:hint="cs"/>
          <w:rtl/>
        </w:rPr>
        <w:t xml:space="preserve"> </w:t>
      </w:r>
      <w:r w:rsidRPr="00CF7A23">
        <w:rPr>
          <w:rtl/>
        </w:rPr>
        <w:t>و</w:t>
      </w:r>
      <w:r w:rsidRPr="00477269">
        <w:rPr>
          <w:rFonts w:hint="cs"/>
          <w:rtl/>
        </w:rPr>
        <w:t>30</w:t>
      </w:r>
    </w:p>
    <w:p w14:paraId="74458DDA" w14:textId="68039A02" w:rsidR="00CF7A23" w:rsidRPr="004618D7" w:rsidRDefault="00CF7A23" w:rsidP="00CF7A23">
      <w:pPr>
        <w:pStyle w:val="SingleTxtGA"/>
        <w:tabs>
          <w:tab w:val="clear" w:pos="1928"/>
          <w:tab w:val="clear" w:pos="2608"/>
          <w:tab w:val="clear" w:pos="3289"/>
          <w:tab w:val="clear" w:pos="3969"/>
          <w:tab w:val="clear" w:pos="4649"/>
          <w:tab w:val="clear" w:pos="5330"/>
        </w:tabs>
        <w:ind w:left="4649" w:hanging="2721"/>
        <w:rPr>
          <w:spacing w:val="-10"/>
        </w:rPr>
      </w:pPr>
      <w:r w:rsidRPr="00477269">
        <w:rPr>
          <w:rFonts w:hint="cs"/>
          <w:i/>
          <w:iCs/>
          <w:rtl/>
        </w:rPr>
        <w:t>ال</w:t>
      </w:r>
      <w:r w:rsidRPr="00477269">
        <w:rPr>
          <w:i/>
          <w:iCs/>
          <w:rtl/>
        </w:rPr>
        <w:t>رد الوارد في إطار المتابعة:</w:t>
      </w:r>
      <w:r w:rsidRPr="00325E51">
        <w:rPr>
          <w:rtl/>
        </w:rPr>
        <w:tab/>
      </w:r>
      <w:hyperlink r:id="rId10" w:history="1">
        <w:r w:rsidR="004618D7" w:rsidRPr="004618D7">
          <w:rPr>
            <w:rStyle w:val="Hyperlink"/>
            <w:spacing w:val="-10"/>
          </w:rPr>
          <w:t>CCPR/C/LIE/CO/</w:t>
        </w:r>
        <w:r w:rsidR="004618D7" w:rsidRPr="00477269">
          <w:rPr>
            <w:rStyle w:val="Hyperlink"/>
            <w:spacing w:val="-10"/>
          </w:rPr>
          <w:t>2</w:t>
        </w:r>
        <w:r w:rsidR="004618D7" w:rsidRPr="004618D7">
          <w:rPr>
            <w:rStyle w:val="Hyperlink"/>
            <w:spacing w:val="-10"/>
          </w:rPr>
          <w:t>/Add.</w:t>
        </w:r>
        <w:r w:rsidR="004618D7" w:rsidRPr="00477269">
          <w:rPr>
            <w:rStyle w:val="Hyperlink"/>
            <w:spacing w:val="-10"/>
          </w:rPr>
          <w:t>1</w:t>
        </w:r>
      </w:hyperlink>
      <w:r w:rsidRPr="004618D7">
        <w:rPr>
          <w:spacing w:val="-10"/>
          <w:rtl/>
        </w:rPr>
        <w:t xml:space="preserve">، </w:t>
      </w:r>
      <w:r w:rsidRPr="00477269">
        <w:rPr>
          <w:spacing w:val="-10"/>
          <w:rtl/>
        </w:rPr>
        <w:t>2</w:t>
      </w:r>
      <w:r w:rsidR="004618D7" w:rsidRPr="00477269">
        <w:rPr>
          <w:rFonts w:hint="cs"/>
          <w:spacing w:val="-10"/>
          <w:rtl/>
        </w:rPr>
        <w:t>6</w:t>
      </w:r>
      <w:r w:rsidRPr="004618D7">
        <w:rPr>
          <w:spacing w:val="-10"/>
          <w:rtl/>
        </w:rPr>
        <w:t xml:space="preserve"> حزيران/يونيه</w:t>
      </w:r>
      <w:r w:rsidRPr="004618D7">
        <w:rPr>
          <w:rFonts w:hint="cs"/>
          <w:spacing w:val="-10"/>
          <w:rtl/>
        </w:rPr>
        <w:t xml:space="preserve"> </w:t>
      </w:r>
      <w:r w:rsidRPr="00477269">
        <w:rPr>
          <w:rFonts w:hint="cs"/>
          <w:spacing w:val="-10"/>
          <w:rtl/>
        </w:rPr>
        <w:t>2018</w:t>
      </w:r>
    </w:p>
    <w:p w14:paraId="2B5FC9CD" w14:textId="2BA551FA" w:rsidR="00CF7A23" w:rsidRPr="00CF7A23" w:rsidRDefault="00CF7A23" w:rsidP="00CF7A23">
      <w:pPr>
        <w:pStyle w:val="SingleTxtGA"/>
        <w:tabs>
          <w:tab w:val="clear" w:pos="1928"/>
          <w:tab w:val="clear" w:pos="2608"/>
          <w:tab w:val="clear" w:pos="3289"/>
          <w:tab w:val="clear" w:pos="3969"/>
          <w:tab w:val="clear" w:pos="4649"/>
          <w:tab w:val="clear" w:pos="5330"/>
        </w:tabs>
        <w:ind w:left="4649" w:hanging="2721"/>
      </w:pPr>
      <w:r w:rsidRPr="00477269">
        <w:rPr>
          <w:i/>
          <w:iCs/>
          <w:rtl/>
        </w:rPr>
        <w:t>تقييم اللجنة:</w:t>
      </w:r>
      <w:r w:rsidRPr="00325E51">
        <w:rPr>
          <w:rtl/>
        </w:rPr>
        <w:tab/>
      </w:r>
      <w:r w:rsidRPr="00CF7A23">
        <w:rPr>
          <w:rtl/>
        </w:rPr>
        <w:t xml:space="preserve">يلزم تقديم معلومات إضافية </w:t>
      </w:r>
      <w:r w:rsidRPr="00CF7A23">
        <w:rPr>
          <w:rFonts w:hint="cs"/>
          <w:rtl/>
        </w:rPr>
        <w:t>بشأن</w:t>
      </w:r>
      <w:r w:rsidRPr="00CF7A23">
        <w:rPr>
          <w:rtl/>
        </w:rPr>
        <w:t xml:space="preserve"> الفقرات </w:t>
      </w:r>
      <w:r w:rsidRPr="00477269">
        <w:rPr>
          <w:rFonts w:hint="cs"/>
          <w:rtl/>
        </w:rPr>
        <w:t>12</w:t>
      </w:r>
      <w:r w:rsidRPr="00CF7A23">
        <w:rPr>
          <w:rtl/>
        </w:rPr>
        <w:t>[</w:t>
      </w:r>
      <w:r w:rsidRPr="00477269">
        <w:rPr>
          <w:rFonts w:hint="cs"/>
          <w:b/>
          <w:bCs/>
          <w:rtl/>
        </w:rPr>
        <w:t>جيم</w:t>
      </w:r>
      <w:r w:rsidRPr="00CF7A23">
        <w:rPr>
          <w:rtl/>
        </w:rPr>
        <w:t>]</w:t>
      </w:r>
      <w:r w:rsidRPr="00325E51">
        <w:rPr>
          <w:rFonts w:hint="cs"/>
          <w:rtl/>
        </w:rPr>
        <w:t>[</w:t>
      </w:r>
      <w:r w:rsidRPr="00477269">
        <w:rPr>
          <w:rFonts w:hint="cs"/>
          <w:b/>
          <w:bCs/>
          <w:rtl/>
        </w:rPr>
        <w:t>باء</w:t>
      </w:r>
      <w:r w:rsidRPr="00325E51">
        <w:rPr>
          <w:rFonts w:hint="cs"/>
          <w:rtl/>
        </w:rPr>
        <w:t>]</w:t>
      </w:r>
      <w:r w:rsidRPr="00CF7A23">
        <w:rPr>
          <w:rtl/>
        </w:rPr>
        <w:t xml:space="preserve"> و</w:t>
      </w:r>
      <w:r w:rsidRPr="00477269">
        <w:rPr>
          <w:rFonts w:hint="cs"/>
          <w:rtl/>
        </w:rPr>
        <w:t>2</w:t>
      </w:r>
      <w:r w:rsidRPr="00477269">
        <w:rPr>
          <w:rtl/>
        </w:rPr>
        <w:t>2</w:t>
      </w:r>
      <w:r w:rsidRPr="00CF7A23">
        <w:rPr>
          <w:rtl/>
        </w:rPr>
        <w:t>[</w:t>
      </w:r>
      <w:r w:rsidRPr="00477269">
        <w:rPr>
          <w:rFonts w:hint="cs"/>
          <w:b/>
          <w:bCs/>
          <w:rtl/>
        </w:rPr>
        <w:t>جيم</w:t>
      </w:r>
      <w:r w:rsidRPr="00325E51">
        <w:rPr>
          <w:rFonts w:hint="cs"/>
          <w:rtl/>
        </w:rPr>
        <w:t>][</w:t>
      </w:r>
      <w:r w:rsidRPr="00477269">
        <w:rPr>
          <w:b/>
          <w:bCs/>
          <w:rtl/>
        </w:rPr>
        <w:t>باء</w:t>
      </w:r>
      <w:r w:rsidRPr="00CF7A23">
        <w:rPr>
          <w:rtl/>
        </w:rPr>
        <w:t>] و</w:t>
      </w:r>
      <w:r w:rsidRPr="00477269">
        <w:rPr>
          <w:rFonts w:hint="cs"/>
          <w:rtl/>
        </w:rPr>
        <w:t>30</w:t>
      </w:r>
      <w:r w:rsidRPr="00CF7A23">
        <w:rPr>
          <w:rFonts w:hint="cs"/>
          <w:rtl/>
        </w:rPr>
        <w:t xml:space="preserve"> </w:t>
      </w:r>
      <w:r w:rsidRPr="00325E51">
        <w:rPr>
          <w:rFonts w:hint="cs"/>
          <w:rtl/>
        </w:rPr>
        <w:t>[</w:t>
      </w:r>
      <w:r w:rsidRPr="00477269">
        <w:rPr>
          <w:rFonts w:hint="cs"/>
          <w:b/>
          <w:bCs/>
          <w:rtl/>
        </w:rPr>
        <w:t>ألف</w:t>
      </w:r>
      <w:r w:rsidRPr="00325E51">
        <w:rPr>
          <w:rFonts w:hint="cs"/>
          <w:rtl/>
        </w:rPr>
        <w:t>][</w:t>
      </w:r>
      <w:r w:rsidRPr="00477269">
        <w:rPr>
          <w:rFonts w:hint="cs"/>
          <w:b/>
          <w:bCs/>
          <w:rtl/>
        </w:rPr>
        <w:t>باء</w:t>
      </w:r>
      <w:r w:rsidRPr="00325E51">
        <w:rPr>
          <w:rFonts w:hint="cs"/>
          <w:rtl/>
        </w:rPr>
        <w:t>]</w:t>
      </w:r>
      <w:r w:rsidRPr="00325E51">
        <w:rPr>
          <w:rtl/>
        </w:rPr>
        <w:t>[</w:t>
      </w:r>
      <w:r w:rsidRPr="00477269">
        <w:rPr>
          <w:b/>
          <w:bCs/>
          <w:rtl/>
        </w:rPr>
        <w:t>جيم</w:t>
      </w:r>
      <w:r w:rsidRPr="00325E51">
        <w:rPr>
          <w:rtl/>
        </w:rPr>
        <w:t>]</w:t>
      </w:r>
    </w:p>
    <w:p w14:paraId="14CD7CA4" w14:textId="77777777" w:rsidR="00CF7A23" w:rsidRPr="00477269" w:rsidRDefault="00CF7A23" w:rsidP="00CF7A23">
      <w:pPr>
        <w:pStyle w:val="H23GA"/>
        <w:rPr>
          <w:rtl/>
        </w:rPr>
      </w:pPr>
      <w:r w:rsidRPr="00477269">
        <w:rPr>
          <w:rtl/>
        </w:rPr>
        <w:tab/>
      </w:r>
      <w:r w:rsidRPr="00477269">
        <w:rPr>
          <w:rtl/>
        </w:rPr>
        <w:tab/>
        <w:t>الفقرة 12: تشريعات مكافحة التمييز</w:t>
      </w:r>
    </w:p>
    <w:p w14:paraId="2A3357C7" w14:textId="15D2EF2B" w:rsidR="00CF7A23" w:rsidRPr="00477269" w:rsidRDefault="00CF7A23" w:rsidP="00CF7A23">
      <w:pPr>
        <w:pStyle w:val="SingleTxtGA"/>
        <w:rPr>
          <w:b/>
          <w:bCs/>
          <w:rtl/>
        </w:rPr>
      </w:pPr>
      <w:r w:rsidRPr="00477269">
        <w:rPr>
          <w:b/>
          <w:bCs/>
          <w:rtl/>
        </w:rPr>
        <w:tab/>
        <w:t>ينبغي أن تتخذ الدولة الطرف جميع التدابير اللازمة للتأكد من أن إطارها القانوني: (أ) يحظر، بصورة شاملة، جميع أشكال التمييز، بما في ذلك التمييز المتعدد الأشكال؛ و(ب) ينص على سبل انتصاف فعالة في حال حدوث انتهاكات. وينبغي أن توفر الدولة الطرف التدريب للقضاة والمدعين العامين والمحامين فيما يتصل بالمادتين 33(5) و283 من القانون الجنائي، وأن تعمل على توعية الجمهور بهذه الأحكام.</w:t>
      </w:r>
    </w:p>
    <w:p w14:paraId="0EBB299D" w14:textId="7AD7F79B" w:rsidR="00CF7A23" w:rsidRPr="00477269" w:rsidRDefault="00CF7A23" w:rsidP="00CF7A23">
      <w:pPr>
        <w:pStyle w:val="H23GA"/>
        <w:rPr>
          <w:rtl/>
        </w:rPr>
      </w:pPr>
      <w:r w:rsidRPr="00477269">
        <w:rPr>
          <w:rtl/>
        </w:rPr>
        <w:tab/>
      </w:r>
      <w:r w:rsidRPr="00477269">
        <w:rPr>
          <w:rtl/>
        </w:rPr>
        <w:tab/>
        <w:t>موجز ردّ الدولة الطرف</w:t>
      </w:r>
    </w:p>
    <w:p w14:paraId="3D3827FA" w14:textId="16C4EF5A" w:rsidR="00CF7A23" w:rsidRPr="00500F8F" w:rsidRDefault="00CF7A23" w:rsidP="00CF7A23">
      <w:pPr>
        <w:pStyle w:val="SingleTxtGA"/>
      </w:pPr>
      <w:r>
        <w:rPr>
          <w:rtl/>
        </w:rPr>
        <w:tab/>
      </w:r>
      <w:r w:rsidRPr="00500F8F">
        <w:rPr>
          <w:rtl/>
        </w:rPr>
        <w:t>تشير الدولة الطرف إلى أن إطارها القانوني الحالي مناسب ولا يحتاج إلى تعديل. وينص</w:t>
      </w:r>
      <w:r>
        <w:rPr>
          <w:rtl/>
        </w:rPr>
        <w:t xml:space="preserve"> مسبقاً </w:t>
      </w:r>
      <w:r w:rsidRPr="00500F8F">
        <w:rPr>
          <w:rtl/>
        </w:rPr>
        <w:t xml:space="preserve">الدستور، والصكوك الدولية لحقوق الإنسان التي صدقت عليها الدولة الطرف، والتشريعات والسوابق القضائية ذات الصلة، مجتمعة، على توفير حماية شاملة من التمييز وسبل انتصاف فعالة في حالات </w:t>
      </w:r>
      <w:r w:rsidRPr="006A65CC">
        <w:rPr>
          <w:rtl/>
        </w:rPr>
        <w:t>حدوث انتهاكات</w:t>
      </w:r>
      <w:r>
        <w:t>.</w:t>
      </w:r>
    </w:p>
    <w:p w14:paraId="2E6287A6" w14:textId="7055D7C9" w:rsidR="00CF7A23" w:rsidRPr="00500F8F" w:rsidRDefault="00CF7A23" w:rsidP="00CF7A23">
      <w:pPr>
        <w:pStyle w:val="SingleTxtGA"/>
      </w:pPr>
      <w:r>
        <w:rPr>
          <w:rtl/>
        </w:rPr>
        <w:tab/>
        <w:t>و</w:t>
      </w:r>
      <w:r w:rsidRPr="00500F8F">
        <w:rPr>
          <w:rtl/>
        </w:rPr>
        <w:t xml:space="preserve">في </w:t>
      </w:r>
      <w:r w:rsidRPr="00477269">
        <w:rPr>
          <w:rtl/>
        </w:rPr>
        <w:t>22</w:t>
      </w:r>
      <w:r w:rsidRPr="00500F8F">
        <w:rPr>
          <w:rtl/>
        </w:rPr>
        <w:t xml:space="preserve"> أيار/مايو </w:t>
      </w:r>
      <w:r w:rsidRPr="00477269">
        <w:rPr>
          <w:rtl/>
        </w:rPr>
        <w:t>2018</w:t>
      </w:r>
      <w:r>
        <w:rPr>
          <w:rtl/>
        </w:rPr>
        <w:t>،</w:t>
      </w:r>
      <w:r w:rsidRPr="00500F8F">
        <w:rPr>
          <w:rtl/>
        </w:rPr>
        <w:t xml:space="preserve"> و</w:t>
      </w:r>
      <w:r>
        <w:rPr>
          <w:rtl/>
          <w:lang w:val="de-CH" w:bidi="ar-EG"/>
        </w:rPr>
        <w:t xml:space="preserve">أيضاً </w:t>
      </w:r>
      <w:r>
        <w:rPr>
          <w:rtl/>
        </w:rPr>
        <w:t xml:space="preserve">في إطار </w:t>
      </w:r>
      <w:r w:rsidRPr="00500F8F">
        <w:rPr>
          <w:rtl/>
        </w:rPr>
        <w:t>متابعة</w:t>
      </w:r>
      <w:r>
        <w:rPr>
          <w:rtl/>
        </w:rPr>
        <w:t xml:space="preserve"> </w:t>
      </w:r>
      <w:r w:rsidRPr="00500F8F">
        <w:rPr>
          <w:rtl/>
        </w:rPr>
        <w:t xml:space="preserve">لتوصية قُدمت أثناء الاستعراض الدوري الشامل، </w:t>
      </w:r>
      <w:r>
        <w:rPr>
          <w:rtl/>
        </w:rPr>
        <w:t>شبيهة ب</w:t>
      </w:r>
      <w:r w:rsidRPr="00500F8F">
        <w:rPr>
          <w:rtl/>
        </w:rPr>
        <w:t xml:space="preserve">توصية اللجنة الواردة في الفقرة </w:t>
      </w:r>
      <w:r w:rsidRPr="00477269">
        <w:rPr>
          <w:rtl/>
        </w:rPr>
        <w:t>12</w:t>
      </w:r>
      <w:r w:rsidRPr="00500F8F">
        <w:rPr>
          <w:rtl/>
        </w:rPr>
        <w:t xml:space="preserve">(ب)، </w:t>
      </w:r>
      <w:r>
        <w:rPr>
          <w:rtl/>
        </w:rPr>
        <w:t>أصدرت</w:t>
      </w:r>
      <w:r w:rsidRPr="00500F8F">
        <w:rPr>
          <w:rtl/>
        </w:rPr>
        <w:t xml:space="preserve"> الدولة الطرف</w:t>
      </w:r>
      <w:r>
        <w:rPr>
          <w:rtl/>
        </w:rPr>
        <w:t xml:space="preserve"> توجيهات إلى</w:t>
      </w:r>
      <w:r w:rsidRPr="00500F8F">
        <w:rPr>
          <w:rtl/>
        </w:rPr>
        <w:t xml:space="preserve"> وزارة </w:t>
      </w:r>
      <w:r w:rsidRPr="00500F8F">
        <w:rPr>
          <w:rtl/>
        </w:rPr>
        <w:lastRenderedPageBreak/>
        <w:t xml:space="preserve">الشؤون الخارجية والعدل والثقافة </w:t>
      </w:r>
      <w:r>
        <w:rPr>
          <w:rtl/>
        </w:rPr>
        <w:t xml:space="preserve">من أجل </w:t>
      </w:r>
      <w:r w:rsidRPr="00500F8F">
        <w:rPr>
          <w:rtl/>
        </w:rPr>
        <w:t>تنظيم دورة تدريبية لـ</w:t>
      </w:r>
      <w:r>
        <w:rPr>
          <w:rtl/>
        </w:rPr>
        <w:t>صالح</w:t>
      </w:r>
      <w:r w:rsidRPr="00500F8F">
        <w:rPr>
          <w:rtl/>
        </w:rPr>
        <w:t xml:space="preserve"> أفراد الشرطة الوطنية والمدعين العامين والقضاة بشأن ال</w:t>
      </w:r>
      <w:r>
        <w:rPr>
          <w:rtl/>
        </w:rPr>
        <w:t>صيغ</w:t>
      </w:r>
      <w:r w:rsidRPr="00500F8F">
        <w:rPr>
          <w:rtl/>
        </w:rPr>
        <w:t xml:space="preserve">ة المنقحة للمادة </w:t>
      </w:r>
      <w:r w:rsidRPr="00477269">
        <w:rPr>
          <w:rtl/>
        </w:rPr>
        <w:t>283</w:t>
      </w:r>
      <w:r w:rsidRPr="00500F8F">
        <w:rPr>
          <w:rtl/>
        </w:rPr>
        <w:t xml:space="preserve"> من القانون الجنائي وآثارها.</w:t>
      </w:r>
    </w:p>
    <w:p w14:paraId="14FABF61" w14:textId="6645423A" w:rsidR="00CF7A23" w:rsidRPr="00477269" w:rsidRDefault="00CF7A23" w:rsidP="00CF7A23">
      <w:pPr>
        <w:pStyle w:val="H23GA"/>
      </w:pPr>
      <w:r w:rsidRPr="00477269">
        <w:rPr>
          <w:rtl/>
        </w:rPr>
        <w:tab/>
      </w:r>
      <w:r w:rsidRPr="00477269">
        <w:rPr>
          <w:rtl/>
        </w:rPr>
        <w:tab/>
        <w:t>تقييم اللجنة</w:t>
      </w:r>
    </w:p>
    <w:p w14:paraId="728C9812" w14:textId="0A0A95B2" w:rsidR="00CF7A23" w:rsidRPr="00500F8F" w:rsidRDefault="00CF7A23" w:rsidP="00CF7A23">
      <w:pPr>
        <w:pStyle w:val="SingleTxtGA"/>
      </w:pPr>
      <w:r w:rsidRPr="00477269">
        <w:rPr>
          <w:b/>
          <w:bCs/>
          <w:rtl/>
        </w:rPr>
        <w:tab/>
        <w:t>[جيم]:</w:t>
      </w:r>
      <w:r w:rsidRPr="00500F8F">
        <w:rPr>
          <w:rtl/>
        </w:rPr>
        <w:t xml:space="preserve"> تحيط اللجنة علماً بالمعلومات المتعلقة بالحماية من التمييز </w:t>
      </w:r>
      <w:r>
        <w:rPr>
          <w:rtl/>
        </w:rPr>
        <w:t>المنصوص عليها في</w:t>
      </w:r>
      <w:r w:rsidRPr="00500F8F">
        <w:rPr>
          <w:rtl/>
        </w:rPr>
        <w:t xml:space="preserve"> الإطار القانوني ال</w:t>
      </w:r>
      <w:r>
        <w:rPr>
          <w:rtl/>
        </w:rPr>
        <w:t>حالي</w:t>
      </w:r>
      <w:r w:rsidRPr="00500F8F">
        <w:rPr>
          <w:rtl/>
        </w:rPr>
        <w:t xml:space="preserve"> للدولة الطرف. ومع ذلك، تأسف اللجنة لأن الدولة الطرف لم تتخذ تدابير محددة لضمان أن يحظر إطارها القانوني حظراً شاملاً جميع أشكال التمييز، بما في ذلك التمييز المتعدد</w:t>
      </w:r>
      <w:r>
        <w:rPr>
          <w:rtl/>
        </w:rPr>
        <w:t xml:space="preserve"> الأشكال</w:t>
      </w:r>
      <w:r w:rsidRPr="00500F8F">
        <w:rPr>
          <w:rtl/>
        </w:rPr>
        <w:t>، و</w:t>
      </w:r>
      <w:r>
        <w:rPr>
          <w:rtl/>
        </w:rPr>
        <w:t xml:space="preserve">أن </w:t>
      </w:r>
      <w:r w:rsidRPr="00500F8F">
        <w:rPr>
          <w:rtl/>
        </w:rPr>
        <w:t xml:space="preserve">ينص على سبل انتصاف فعالة في حالات </w:t>
      </w:r>
      <w:r w:rsidRPr="006A65CC">
        <w:rPr>
          <w:rtl/>
        </w:rPr>
        <w:t>حدوث انتهاكات</w:t>
      </w:r>
      <w:r>
        <w:t>.</w:t>
      </w:r>
      <w:r>
        <w:rPr>
          <w:rtl/>
        </w:rPr>
        <w:t xml:space="preserve"> و</w:t>
      </w:r>
      <w:r w:rsidRPr="00500F8F">
        <w:rPr>
          <w:rtl/>
        </w:rPr>
        <w:t>تكرر اللجنة توصياتها.</w:t>
      </w:r>
    </w:p>
    <w:p w14:paraId="16B2CE59" w14:textId="637412C3" w:rsidR="00CF7A23" w:rsidRDefault="00CF7A23" w:rsidP="00CF7A23">
      <w:pPr>
        <w:pStyle w:val="SingleTxtGA"/>
        <w:rPr>
          <w:rtl/>
        </w:rPr>
      </w:pPr>
      <w:r w:rsidRPr="00477269">
        <w:rPr>
          <w:b/>
          <w:bCs/>
          <w:rtl/>
        </w:rPr>
        <w:tab/>
        <w:t>[باء]:</w:t>
      </w:r>
      <w:r w:rsidRPr="00500F8F">
        <w:rPr>
          <w:rtl/>
        </w:rPr>
        <w:t xml:space="preserve"> تحيط اللجنة علم</w:t>
      </w:r>
      <w:r>
        <w:rPr>
          <w:rtl/>
        </w:rPr>
        <w:t xml:space="preserve">اً </w:t>
      </w:r>
      <w:r w:rsidRPr="00500F8F">
        <w:rPr>
          <w:rtl/>
        </w:rPr>
        <w:t>أيض</w:t>
      </w:r>
      <w:r>
        <w:rPr>
          <w:rtl/>
        </w:rPr>
        <w:t xml:space="preserve">اً </w:t>
      </w:r>
      <w:r w:rsidRPr="00500F8F">
        <w:rPr>
          <w:rtl/>
        </w:rPr>
        <w:t xml:space="preserve">بجهود الدولة الطرف </w:t>
      </w:r>
      <w:r>
        <w:rPr>
          <w:rtl/>
        </w:rPr>
        <w:t xml:space="preserve">من أجل </w:t>
      </w:r>
      <w:r w:rsidRPr="00500F8F">
        <w:rPr>
          <w:rtl/>
        </w:rPr>
        <w:t>تنظيم دورة تدريبية لـ</w:t>
      </w:r>
      <w:r>
        <w:rPr>
          <w:rtl/>
        </w:rPr>
        <w:t>صالح</w:t>
      </w:r>
      <w:r w:rsidRPr="00500F8F">
        <w:rPr>
          <w:rtl/>
        </w:rPr>
        <w:t xml:space="preserve"> الموظفين المكلفين بإنفاذ القانون والمدعين العامين والقضاة </w:t>
      </w:r>
      <w:r>
        <w:rPr>
          <w:rtl/>
        </w:rPr>
        <w:t>بشأن</w:t>
      </w:r>
      <w:r w:rsidRPr="00500F8F">
        <w:rPr>
          <w:rtl/>
        </w:rPr>
        <w:t xml:space="preserve"> الصيغة المنقحة للمادة </w:t>
      </w:r>
      <w:r w:rsidRPr="00477269">
        <w:rPr>
          <w:rtl/>
        </w:rPr>
        <w:t>283</w:t>
      </w:r>
      <w:r w:rsidRPr="00500F8F">
        <w:rPr>
          <w:rtl/>
        </w:rPr>
        <w:t xml:space="preserve"> من القانون الجنائي. </w:t>
      </w:r>
      <w:r>
        <w:rPr>
          <w:rtl/>
        </w:rPr>
        <w:t>و</w:t>
      </w:r>
      <w:r w:rsidRPr="00500F8F">
        <w:rPr>
          <w:rtl/>
        </w:rPr>
        <w:t>تطلب اللجنة تفاصيل محددة عن هذه الدورة التدريبية، بما في ذلك ما إذا كانت تغطي المادة</w:t>
      </w:r>
      <w:r>
        <w:rPr>
          <w:rFonts w:hint="cs"/>
          <w:rtl/>
        </w:rPr>
        <w:t> </w:t>
      </w:r>
      <w:r w:rsidRPr="00477269">
        <w:rPr>
          <w:rtl/>
        </w:rPr>
        <w:t>33</w:t>
      </w:r>
      <w:r w:rsidRPr="00500F8F">
        <w:rPr>
          <w:rtl/>
        </w:rPr>
        <w:t>(</w:t>
      </w:r>
      <w:r w:rsidRPr="00477269">
        <w:rPr>
          <w:rtl/>
        </w:rPr>
        <w:t>5</w:t>
      </w:r>
      <w:r w:rsidRPr="00500F8F">
        <w:rPr>
          <w:rtl/>
        </w:rPr>
        <w:t xml:space="preserve">) من القانون الجنائي، وعدد وطبيعة جميع أنشطة التوعية والتدريب، </w:t>
      </w:r>
      <w:r>
        <w:rPr>
          <w:rtl/>
        </w:rPr>
        <w:t>و</w:t>
      </w:r>
      <w:r w:rsidRPr="00500F8F">
        <w:rPr>
          <w:rtl/>
        </w:rPr>
        <w:t xml:space="preserve">وقت </w:t>
      </w:r>
      <w:r>
        <w:rPr>
          <w:rtl/>
        </w:rPr>
        <w:t>تنظيم</w:t>
      </w:r>
      <w:r w:rsidRPr="00500F8F">
        <w:rPr>
          <w:rtl/>
        </w:rPr>
        <w:t>ها، وعدد المشاركين</w:t>
      </w:r>
      <w:r>
        <w:rPr>
          <w:rtl/>
        </w:rPr>
        <w:t xml:space="preserve"> فيها</w:t>
      </w:r>
      <w:r w:rsidRPr="00500F8F">
        <w:rPr>
          <w:rtl/>
        </w:rPr>
        <w:t xml:space="preserve"> وأثرها الجوهري. </w:t>
      </w:r>
      <w:r>
        <w:rPr>
          <w:rtl/>
        </w:rPr>
        <w:t>و</w:t>
      </w:r>
      <w:r w:rsidRPr="00500F8F">
        <w:rPr>
          <w:rtl/>
        </w:rPr>
        <w:t>تطلب</w:t>
      </w:r>
      <w:r>
        <w:rPr>
          <w:rtl/>
        </w:rPr>
        <w:t xml:space="preserve"> اللجنة أيضاً </w:t>
      </w:r>
      <w:r w:rsidRPr="00500F8F">
        <w:rPr>
          <w:rtl/>
        </w:rPr>
        <w:t xml:space="preserve">معلومات عن أي تدابير متخذة لتوعية الجمهور بالمادتين </w:t>
      </w:r>
      <w:r w:rsidRPr="00477269">
        <w:rPr>
          <w:rtl/>
        </w:rPr>
        <w:t>33</w:t>
      </w:r>
      <w:r w:rsidRPr="00500F8F">
        <w:rPr>
          <w:rtl/>
        </w:rPr>
        <w:t>(</w:t>
      </w:r>
      <w:r w:rsidRPr="00477269">
        <w:rPr>
          <w:rtl/>
        </w:rPr>
        <w:t>5</w:t>
      </w:r>
      <w:r w:rsidRPr="00500F8F">
        <w:rPr>
          <w:rtl/>
        </w:rPr>
        <w:t>) و</w:t>
      </w:r>
      <w:r w:rsidRPr="00477269">
        <w:rPr>
          <w:rtl/>
        </w:rPr>
        <w:t>283</w:t>
      </w:r>
      <w:r w:rsidRPr="00500F8F">
        <w:rPr>
          <w:rtl/>
        </w:rPr>
        <w:t xml:space="preserve"> من القانون الجنائي.</w:t>
      </w:r>
    </w:p>
    <w:p w14:paraId="64A2DDB5" w14:textId="1B090993" w:rsidR="00CF7A23" w:rsidRPr="00477269" w:rsidRDefault="00CF7A23" w:rsidP="00CF7A23">
      <w:pPr>
        <w:pStyle w:val="H23GA"/>
        <w:rPr>
          <w:rtl/>
        </w:rPr>
      </w:pPr>
      <w:r w:rsidRPr="00477269">
        <w:rPr>
          <w:rtl/>
        </w:rPr>
        <w:tab/>
      </w:r>
      <w:r w:rsidRPr="00477269">
        <w:rPr>
          <w:rtl/>
        </w:rPr>
        <w:tab/>
        <w:t>الفقرة 22: الحقوق الجنسية والإنجابية</w:t>
      </w:r>
    </w:p>
    <w:p w14:paraId="57205D7E" w14:textId="44C10293" w:rsidR="00CF7A23" w:rsidRPr="00477269" w:rsidRDefault="00CF7A23" w:rsidP="00CF7A23">
      <w:pPr>
        <w:pStyle w:val="SingleTxtGA"/>
        <w:rPr>
          <w:rFonts w:eastAsia="SimSun"/>
          <w:b/>
          <w:bCs/>
          <w:rtl/>
          <w:lang w:eastAsia="zh-CN"/>
        </w:rPr>
      </w:pPr>
      <w:r w:rsidRPr="00477269">
        <w:rPr>
          <w:rFonts w:eastAsia="SimSun"/>
          <w:b/>
          <w:bCs/>
          <w:rtl/>
          <w:lang w:eastAsia="zh-CN"/>
        </w:rPr>
        <w:tab/>
        <w:t xml:space="preserve">ينبغي أن تقوم الدولة الطرف بما يلي: </w:t>
      </w:r>
    </w:p>
    <w:p w14:paraId="0FAF8477" w14:textId="77777777" w:rsidR="00CF7A23" w:rsidRPr="00477269" w:rsidRDefault="00CF7A23" w:rsidP="00CF7A23">
      <w:pPr>
        <w:pStyle w:val="SingleTxtGA"/>
        <w:rPr>
          <w:rFonts w:eastAsia="SimSun"/>
          <w:b/>
          <w:bCs/>
          <w:rtl/>
          <w:lang w:eastAsia="zh-CN"/>
        </w:rPr>
      </w:pPr>
      <w:r w:rsidRPr="00477269">
        <w:rPr>
          <w:rFonts w:eastAsia="SimSun"/>
          <w:b/>
          <w:bCs/>
          <w:rtl/>
          <w:lang w:eastAsia="zh-CN"/>
        </w:rPr>
        <w:tab/>
      </w:r>
      <w:r w:rsidRPr="00325E51">
        <w:rPr>
          <w:rFonts w:eastAsia="SimSun"/>
          <w:rtl/>
          <w:lang w:eastAsia="zh-CN"/>
        </w:rPr>
        <w:t>(أ)</w:t>
      </w:r>
      <w:r w:rsidRPr="00325E51">
        <w:rPr>
          <w:rFonts w:eastAsia="SimSun"/>
          <w:rtl/>
          <w:lang w:eastAsia="zh-CN"/>
        </w:rPr>
        <w:tab/>
      </w:r>
      <w:r w:rsidRPr="00477269">
        <w:rPr>
          <w:rFonts w:eastAsia="SimSun"/>
          <w:b/>
          <w:bCs/>
          <w:rtl/>
          <w:lang w:eastAsia="zh-CN"/>
        </w:rPr>
        <w:t xml:space="preserve">تعديل تشريعاتها المتعلقة بالإجهاض بهدف تضمين قانون حظر الإجهاض استثناءات إضافية، بما في ذلك حالات اعتلال الجنين بشكل مميت، بغية ضمان حماية كافية لحياة المرأة وصحتها؛ </w:t>
      </w:r>
    </w:p>
    <w:p w14:paraId="5B798CF7" w14:textId="77777777" w:rsidR="00CF7A23" w:rsidRPr="00477269" w:rsidRDefault="00CF7A23" w:rsidP="00CF7A23">
      <w:pPr>
        <w:pStyle w:val="SingleTxtGA"/>
        <w:rPr>
          <w:rFonts w:eastAsia="SimSun"/>
          <w:b/>
          <w:bCs/>
          <w:rtl/>
          <w:lang w:eastAsia="zh-CN"/>
        </w:rPr>
      </w:pPr>
      <w:r w:rsidRPr="00325E51">
        <w:rPr>
          <w:rFonts w:eastAsia="SimSun"/>
          <w:rtl/>
          <w:lang w:eastAsia="zh-CN"/>
        </w:rPr>
        <w:tab/>
        <w:t>(ب)</w:t>
      </w:r>
      <w:r w:rsidRPr="00325E51">
        <w:rPr>
          <w:rFonts w:eastAsia="SimSun"/>
          <w:rtl/>
          <w:lang w:eastAsia="zh-CN"/>
        </w:rPr>
        <w:tab/>
      </w:r>
      <w:r w:rsidRPr="00477269">
        <w:rPr>
          <w:rFonts w:eastAsia="SimSun"/>
          <w:b/>
          <w:bCs/>
          <w:rtl/>
          <w:lang w:eastAsia="zh-CN"/>
        </w:rPr>
        <w:t>كفالة الحصول على معلومات واضحة عن خيارات التخلص الإرادي من الحمل.</w:t>
      </w:r>
    </w:p>
    <w:p w14:paraId="6121C15C" w14:textId="1E0C759A" w:rsidR="00CF7A23" w:rsidRPr="00477269" w:rsidRDefault="00CF7A23" w:rsidP="00CF7A23">
      <w:pPr>
        <w:pStyle w:val="H23GA"/>
        <w:rPr>
          <w:rtl/>
        </w:rPr>
      </w:pPr>
      <w:r w:rsidRPr="00477269">
        <w:rPr>
          <w:rtl/>
        </w:rPr>
        <w:tab/>
      </w:r>
      <w:r w:rsidRPr="00477269">
        <w:rPr>
          <w:rtl/>
        </w:rPr>
        <w:tab/>
        <w:t>موجز ردّ الدولة الطرف</w:t>
      </w:r>
    </w:p>
    <w:p w14:paraId="6703DA42" w14:textId="71E5BE93" w:rsidR="00CF7A23" w:rsidRPr="000F1076" w:rsidRDefault="00CF7A23" w:rsidP="00CF7A23">
      <w:pPr>
        <w:pStyle w:val="SingleTxtGA"/>
      </w:pPr>
      <w:r>
        <w:rPr>
          <w:rtl/>
        </w:rPr>
        <w:tab/>
      </w:r>
      <w:r w:rsidRPr="000F1076">
        <w:rPr>
          <w:rtl/>
        </w:rPr>
        <w:t>(أ)</w:t>
      </w:r>
      <w:r>
        <w:rPr>
          <w:rtl/>
        </w:rPr>
        <w:tab/>
      </w:r>
      <w:r w:rsidRPr="000F1076">
        <w:rPr>
          <w:rtl/>
        </w:rPr>
        <w:t xml:space="preserve">تشير الدولة الطرف إلى أن حياة وصحة المرأة </w:t>
      </w:r>
      <w:r>
        <w:rPr>
          <w:rFonts w:hint="cs"/>
          <w:rtl/>
        </w:rPr>
        <w:t xml:space="preserve">محميتان </w:t>
      </w:r>
      <w:r w:rsidRPr="000F1076">
        <w:rPr>
          <w:rtl/>
        </w:rPr>
        <w:t>حماية كافية بموجب الإطار القانوني القائم، الذي لا يفرض عقوبات جنائية على الإجهاض عندما يكون ضروري</w:t>
      </w:r>
      <w:r>
        <w:rPr>
          <w:rtl/>
        </w:rPr>
        <w:t xml:space="preserve">اً </w:t>
      </w:r>
      <w:r w:rsidRPr="000F1076">
        <w:rPr>
          <w:rtl/>
        </w:rPr>
        <w:t>لتلافي خطر جسيم على الحياة أو ضرر جسيم بصحة الأم الحامل لا يمكن ت</w:t>
      </w:r>
      <w:r>
        <w:rPr>
          <w:rFonts w:hint="cs"/>
          <w:rtl/>
        </w:rPr>
        <w:t>لافي</w:t>
      </w:r>
      <w:r w:rsidRPr="000F1076">
        <w:rPr>
          <w:rtl/>
        </w:rPr>
        <w:t>ه بطريقة أخرى.</w:t>
      </w:r>
    </w:p>
    <w:p w14:paraId="19D90F23" w14:textId="691098A2" w:rsidR="00CF7A23" w:rsidRPr="000F1076" w:rsidRDefault="00CF7A23" w:rsidP="00CF7A23">
      <w:pPr>
        <w:pStyle w:val="SingleTxtGA"/>
      </w:pPr>
      <w:r>
        <w:rPr>
          <w:rtl/>
        </w:rPr>
        <w:tab/>
      </w:r>
      <w:r w:rsidRPr="000F1076">
        <w:rPr>
          <w:rtl/>
        </w:rPr>
        <w:t>(ب)</w:t>
      </w:r>
      <w:r>
        <w:rPr>
          <w:rtl/>
        </w:rPr>
        <w:tab/>
      </w:r>
      <w:r w:rsidRPr="000F1076">
        <w:rPr>
          <w:rtl/>
        </w:rPr>
        <w:t xml:space="preserve">المعلومات المتعلقة بخيارات الإنهاء القانوني للحمل يقدمها مركز </w:t>
      </w:r>
      <w:r>
        <w:rPr>
          <w:rFonts w:hint="cs"/>
          <w:rtl/>
        </w:rPr>
        <w:t>م</w:t>
      </w:r>
      <w:r w:rsidRPr="000F1076">
        <w:rPr>
          <w:rtl/>
        </w:rPr>
        <w:t>ختص (</w:t>
      </w:r>
      <w:r w:rsidRPr="000F1076">
        <w:t>schwanger.li</w:t>
      </w:r>
      <w:r w:rsidRPr="000F1076">
        <w:rPr>
          <w:rtl/>
        </w:rPr>
        <w:t xml:space="preserve">)، </w:t>
      </w:r>
      <w:r>
        <w:rPr>
          <w:rFonts w:hint="cs"/>
          <w:rtl/>
        </w:rPr>
        <w:t>يسدي</w:t>
      </w:r>
      <w:r w:rsidRPr="000F1076">
        <w:rPr>
          <w:rtl/>
        </w:rPr>
        <w:t xml:space="preserve"> المشورة و</w:t>
      </w:r>
      <w:r>
        <w:rPr>
          <w:rFonts w:hint="cs"/>
          <w:rtl/>
        </w:rPr>
        <w:t xml:space="preserve">يقدم </w:t>
      </w:r>
      <w:r w:rsidRPr="000F1076">
        <w:rPr>
          <w:rtl/>
        </w:rPr>
        <w:t xml:space="preserve">الدعم </w:t>
      </w:r>
      <w:r>
        <w:rPr>
          <w:rFonts w:hint="cs"/>
          <w:rtl/>
        </w:rPr>
        <w:t>إلى ا</w:t>
      </w:r>
      <w:r w:rsidRPr="000F1076">
        <w:rPr>
          <w:rtl/>
        </w:rPr>
        <w:t>لنساء والأزواج الذين يواجهون</w:t>
      </w:r>
      <w:r>
        <w:rPr>
          <w:rFonts w:hint="cs"/>
          <w:rtl/>
          <w:lang w:bidi="ar-EG"/>
        </w:rPr>
        <w:t xml:space="preserve"> حالة</w:t>
      </w:r>
      <w:r w:rsidRPr="000F1076">
        <w:rPr>
          <w:rtl/>
        </w:rPr>
        <w:t xml:space="preserve"> حمل غير مرغوب فيه. </w:t>
      </w:r>
      <w:r>
        <w:rPr>
          <w:rFonts w:hint="cs"/>
          <w:rtl/>
        </w:rPr>
        <w:t>و</w:t>
      </w:r>
      <w:r w:rsidRPr="000F1076">
        <w:rPr>
          <w:rtl/>
        </w:rPr>
        <w:t>يوفر</w:t>
      </w:r>
      <w:r>
        <w:rPr>
          <w:rFonts w:hint="cs"/>
          <w:rtl/>
        </w:rPr>
        <w:t xml:space="preserve"> المركز أيضاً </w:t>
      </w:r>
      <w:r w:rsidRPr="000F1076">
        <w:rPr>
          <w:rtl/>
        </w:rPr>
        <w:t xml:space="preserve">معلومات للجمهور من خلال عروض وجلسات </w:t>
      </w:r>
      <w:r>
        <w:rPr>
          <w:rFonts w:hint="cs"/>
          <w:rtl/>
        </w:rPr>
        <w:t>إعلامية</w:t>
      </w:r>
      <w:r w:rsidRPr="000F1076">
        <w:rPr>
          <w:rtl/>
        </w:rPr>
        <w:t xml:space="preserve"> وعلى موقعه </w:t>
      </w:r>
      <w:r>
        <w:rPr>
          <w:rFonts w:hint="cs"/>
          <w:rtl/>
        </w:rPr>
        <w:t>الشبكي</w:t>
      </w:r>
      <w:r w:rsidRPr="000F1076">
        <w:rPr>
          <w:rtl/>
        </w:rPr>
        <w:t xml:space="preserve">. </w:t>
      </w:r>
      <w:r>
        <w:rPr>
          <w:rFonts w:hint="cs"/>
          <w:rtl/>
        </w:rPr>
        <w:t>وقد ارتفع</w:t>
      </w:r>
      <w:r w:rsidRPr="00762808">
        <w:rPr>
          <w:rtl/>
        </w:rPr>
        <w:t xml:space="preserve"> </w:t>
      </w:r>
      <w:r w:rsidRPr="000F1076">
        <w:rPr>
          <w:rtl/>
        </w:rPr>
        <w:t xml:space="preserve">باستمرار عدد الأشخاص الذين تلقوا المشورة </w:t>
      </w:r>
      <w:r>
        <w:rPr>
          <w:rFonts w:hint="cs"/>
          <w:rtl/>
        </w:rPr>
        <w:t>عن طريق هذا</w:t>
      </w:r>
      <w:r w:rsidRPr="000F1076">
        <w:rPr>
          <w:rtl/>
        </w:rPr>
        <w:t xml:space="preserve"> المركز منذ تأسيسه في عام </w:t>
      </w:r>
      <w:r w:rsidRPr="00477269">
        <w:rPr>
          <w:rtl/>
        </w:rPr>
        <w:t>2006</w:t>
      </w:r>
      <w:r w:rsidRPr="000F1076">
        <w:rPr>
          <w:rtl/>
        </w:rPr>
        <w:t xml:space="preserve">. وفي عام </w:t>
      </w:r>
      <w:r w:rsidRPr="00477269">
        <w:rPr>
          <w:rtl/>
        </w:rPr>
        <w:t>2017</w:t>
      </w:r>
      <w:r w:rsidRPr="000F1076">
        <w:rPr>
          <w:rtl/>
        </w:rPr>
        <w:t xml:space="preserve">، </w:t>
      </w:r>
      <w:r>
        <w:rPr>
          <w:rFonts w:hint="cs"/>
          <w:rtl/>
        </w:rPr>
        <w:t>أسدى</w:t>
      </w:r>
      <w:r w:rsidRPr="000F1076">
        <w:rPr>
          <w:rtl/>
        </w:rPr>
        <w:t xml:space="preserve"> المركز المشورة إلى </w:t>
      </w:r>
      <w:r w:rsidRPr="00477269">
        <w:rPr>
          <w:rtl/>
        </w:rPr>
        <w:t>113</w:t>
      </w:r>
      <w:r w:rsidRPr="000F1076">
        <w:rPr>
          <w:rtl/>
        </w:rPr>
        <w:t xml:space="preserve"> شخص</w:t>
      </w:r>
      <w:r>
        <w:rPr>
          <w:rtl/>
        </w:rPr>
        <w:t xml:space="preserve">اً </w:t>
      </w:r>
      <w:r w:rsidRPr="000F1076">
        <w:rPr>
          <w:rtl/>
        </w:rPr>
        <w:t>في الدولة الطرف.</w:t>
      </w:r>
    </w:p>
    <w:p w14:paraId="3726808A" w14:textId="589AB8A9" w:rsidR="00CF7A23" w:rsidRPr="00477269" w:rsidRDefault="00CF7A23" w:rsidP="00CF7A23">
      <w:pPr>
        <w:pStyle w:val="H23GA"/>
      </w:pPr>
      <w:r w:rsidRPr="00477269">
        <w:rPr>
          <w:rtl/>
        </w:rPr>
        <w:tab/>
      </w:r>
      <w:r w:rsidRPr="00477269">
        <w:rPr>
          <w:rtl/>
        </w:rPr>
        <w:tab/>
        <w:t>تقييم اللجنة</w:t>
      </w:r>
    </w:p>
    <w:p w14:paraId="5B1E0B44" w14:textId="42AB0C34" w:rsidR="00CF7A23" w:rsidRPr="000F1076" w:rsidRDefault="00CF7A23" w:rsidP="00CF7A23">
      <w:pPr>
        <w:pStyle w:val="SingleTxtGA"/>
      </w:pPr>
      <w:r w:rsidRPr="00477269">
        <w:rPr>
          <w:b/>
          <w:bCs/>
          <w:rtl/>
        </w:rPr>
        <w:tab/>
        <w:t>[جيم]:</w:t>
      </w:r>
      <w:r w:rsidRPr="000F1076">
        <w:rPr>
          <w:rtl/>
        </w:rPr>
        <w:t xml:space="preserve"> (أ) تأسف اللجنة لأن الدولة الطرف لا تعتزم اتخاذ أي إجراء فيما ي</w:t>
      </w:r>
      <w:r>
        <w:rPr>
          <w:rFonts w:hint="cs"/>
          <w:rtl/>
        </w:rPr>
        <w:t>خص</w:t>
      </w:r>
      <w:r w:rsidRPr="000F1076">
        <w:rPr>
          <w:rtl/>
        </w:rPr>
        <w:t xml:space="preserve"> توصي</w:t>
      </w:r>
      <w:r>
        <w:rPr>
          <w:rFonts w:hint="cs"/>
          <w:rtl/>
        </w:rPr>
        <w:t xml:space="preserve">ة اللجنة الداعية إلى </w:t>
      </w:r>
      <w:r w:rsidRPr="000F1076">
        <w:rPr>
          <w:rtl/>
        </w:rPr>
        <w:t xml:space="preserve">تعديل تشريعاتها المتعلقة بالإجهاض بهدف النص على استثناءات إضافية للحظر القانوني للإجهاض، بما في ذلك حالات </w:t>
      </w:r>
      <w:r w:rsidRPr="00B6590C">
        <w:rPr>
          <w:rtl/>
        </w:rPr>
        <w:t>اعتلال الجنين بشكل مميت</w:t>
      </w:r>
      <w:r>
        <w:rPr>
          <w:rFonts w:hint="cs"/>
          <w:rtl/>
        </w:rPr>
        <w:t>. و</w:t>
      </w:r>
      <w:r w:rsidRPr="000F1076">
        <w:rPr>
          <w:rtl/>
        </w:rPr>
        <w:t>تكرر اللجنة توصيتها.</w:t>
      </w:r>
    </w:p>
    <w:p w14:paraId="2AA32771" w14:textId="235AF0AE" w:rsidR="00CF7A23" w:rsidRPr="00477269" w:rsidRDefault="00CF7A23" w:rsidP="00CF7A23">
      <w:pPr>
        <w:pStyle w:val="SingleTxtGA"/>
        <w:rPr>
          <w:rFonts w:eastAsia="SimSun"/>
          <w:b/>
          <w:bCs/>
          <w:rtl/>
          <w:lang w:eastAsia="zh-CN"/>
        </w:rPr>
      </w:pPr>
      <w:r w:rsidRPr="00477269">
        <w:rPr>
          <w:b/>
          <w:bCs/>
          <w:rtl/>
        </w:rPr>
        <w:lastRenderedPageBreak/>
        <w:tab/>
        <w:t>[باء]:</w:t>
      </w:r>
      <w:r w:rsidRPr="000F1076">
        <w:rPr>
          <w:rtl/>
        </w:rPr>
        <w:t xml:space="preserve"> (ب) تلاحظ اللجنة أن الدولة الطرف كررت تأكيد المعلومات التي قدمتها في تقريرها الدوري الثاني</w:t>
      </w:r>
      <w:r w:rsidRPr="00CF7A23">
        <w:rPr>
          <w:rFonts w:hint="cs"/>
          <w:vertAlign w:val="superscript"/>
          <w:rtl/>
        </w:rPr>
        <w:t>(</w:t>
      </w:r>
      <w:r w:rsidRPr="00477269">
        <w:rPr>
          <w:rStyle w:val="FootnoteReference"/>
          <w:szCs w:val="22"/>
          <w:lang w:val="en-US"/>
        </w:rPr>
        <w:footnoteReference w:id="2"/>
      </w:r>
      <w:r w:rsidRPr="00CF7A23">
        <w:rPr>
          <w:rFonts w:hint="cs"/>
          <w:vertAlign w:val="superscript"/>
          <w:rtl/>
        </w:rPr>
        <w:t>)</w:t>
      </w:r>
      <w:r w:rsidRPr="000F1076">
        <w:rPr>
          <w:rtl/>
        </w:rPr>
        <w:t xml:space="preserve"> بشأن الوصول إلى معلومات واضحة عن خيارات الإنهاء الطوعي للحمل وتأسف لعدم وجود معلومات أكثر تحديداً عن التدابير المتخذة منذ اعتماد الملاحظات الختامية. وتحيط اللجنة علماً أيضاً بأن عدد الأشخاص الذين يست</w:t>
      </w:r>
      <w:r>
        <w:rPr>
          <w:rFonts w:hint="cs"/>
          <w:rtl/>
        </w:rPr>
        <w:t>فيدو</w:t>
      </w:r>
      <w:r w:rsidRPr="000F1076">
        <w:rPr>
          <w:rtl/>
        </w:rPr>
        <w:t xml:space="preserve">ن </w:t>
      </w:r>
      <w:r>
        <w:rPr>
          <w:rFonts w:hint="cs"/>
          <w:rtl/>
        </w:rPr>
        <w:t xml:space="preserve">من </w:t>
      </w:r>
      <w:r w:rsidRPr="000F1076">
        <w:rPr>
          <w:rtl/>
        </w:rPr>
        <w:t xml:space="preserve">خدمات </w:t>
      </w:r>
      <w:r>
        <w:rPr>
          <w:rFonts w:hint="cs"/>
          <w:rtl/>
        </w:rPr>
        <w:t>ال</w:t>
      </w:r>
      <w:r w:rsidRPr="000F1076">
        <w:rPr>
          <w:rtl/>
        </w:rPr>
        <w:t>مركز ال</w:t>
      </w:r>
      <w:r>
        <w:rPr>
          <w:rFonts w:hint="cs"/>
          <w:rtl/>
        </w:rPr>
        <w:t>مختص</w:t>
      </w:r>
      <w:r w:rsidRPr="000F1076">
        <w:rPr>
          <w:rtl/>
        </w:rPr>
        <w:t xml:space="preserve"> يتزايد باستمرار، وأن</w:t>
      </w:r>
      <w:r>
        <w:rPr>
          <w:rFonts w:hint="cs"/>
          <w:rtl/>
        </w:rPr>
        <w:t xml:space="preserve"> هذا المركز قد</w:t>
      </w:r>
      <w:r w:rsidRPr="000F1076">
        <w:rPr>
          <w:rtl/>
        </w:rPr>
        <w:t xml:space="preserve"> </w:t>
      </w:r>
      <w:r>
        <w:rPr>
          <w:rFonts w:hint="cs"/>
          <w:rtl/>
        </w:rPr>
        <w:t xml:space="preserve">أسدى </w:t>
      </w:r>
      <w:r w:rsidRPr="000F1076">
        <w:rPr>
          <w:rtl/>
        </w:rPr>
        <w:t xml:space="preserve">المشورة إلى </w:t>
      </w:r>
      <w:r w:rsidRPr="00477269">
        <w:rPr>
          <w:rtl/>
        </w:rPr>
        <w:t>113</w:t>
      </w:r>
      <w:r w:rsidRPr="000F1076">
        <w:rPr>
          <w:rtl/>
        </w:rPr>
        <w:t xml:space="preserve"> شخصاً في الدولة الطرف</w:t>
      </w:r>
      <w:r w:rsidRPr="00B6590C">
        <w:rPr>
          <w:rtl/>
        </w:rPr>
        <w:t xml:space="preserve"> </w:t>
      </w:r>
      <w:r w:rsidRPr="000F1076">
        <w:rPr>
          <w:rtl/>
        </w:rPr>
        <w:t xml:space="preserve">في عام </w:t>
      </w:r>
      <w:r w:rsidRPr="00477269">
        <w:rPr>
          <w:rtl/>
        </w:rPr>
        <w:t>2017</w:t>
      </w:r>
      <w:r w:rsidRPr="000F1076">
        <w:rPr>
          <w:rtl/>
        </w:rPr>
        <w:t xml:space="preserve">. </w:t>
      </w:r>
      <w:r>
        <w:rPr>
          <w:rFonts w:hint="cs"/>
          <w:rtl/>
        </w:rPr>
        <w:t>و</w:t>
      </w:r>
      <w:r w:rsidRPr="000F1076">
        <w:rPr>
          <w:rtl/>
        </w:rPr>
        <w:t>تكرر اللجنة توصيتها.</w:t>
      </w:r>
    </w:p>
    <w:p w14:paraId="502CD791" w14:textId="12C858A2" w:rsidR="00CF7A23" w:rsidRPr="00477269" w:rsidRDefault="00CF7A23" w:rsidP="00CF7A23">
      <w:pPr>
        <w:pStyle w:val="H23GA"/>
        <w:rPr>
          <w:rFonts w:cs="Times New Roman"/>
          <w:rtl/>
        </w:rPr>
      </w:pPr>
      <w:r w:rsidRPr="00477269">
        <w:rPr>
          <w:rtl/>
        </w:rPr>
        <w:tab/>
      </w:r>
      <w:r w:rsidRPr="00477269">
        <w:rPr>
          <w:rtl/>
        </w:rPr>
        <w:tab/>
        <w:t>الفقرة 30: حظر التعذيب</w:t>
      </w:r>
      <w:r w:rsidRPr="00477269">
        <w:rPr>
          <w:rFonts w:cs="Times New Roman" w:hint="cs"/>
          <w:rtl/>
        </w:rPr>
        <w:t>‬</w:t>
      </w:r>
    </w:p>
    <w:p w14:paraId="6356B462" w14:textId="77777777" w:rsidR="00CF7A23" w:rsidRPr="00477269" w:rsidRDefault="00CF7A23" w:rsidP="00CF7A23">
      <w:pPr>
        <w:pStyle w:val="SingleTxtGA"/>
        <w:rPr>
          <w:rFonts w:eastAsia="SimSun"/>
          <w:b/>
          <w:bCs/>
          <w:rtl/>
          <w:lang w:eastAsia="zh-CN"/>
        </w:rPr>
      </w:pPr>
      <w:r w:rsidRPr="00477269">
        <w:rPr>
          <w:rFonts w:eastAsia="SimSun"/>
          <w:b/>
          <w:bCs/>
          <w:rtl/>
          <w:lang w:eastAsia="zh-CN"/>
        </w:rPr>
        <w:t xml:space="preserve">ينبغي أن تقوم الدولة الطرف بما يلي: </w:t>
      </w:r>
    </w:p>
    <w:p w14:paraId="10530439" w14:textId="77777777" w:rsidR="00CF7A23" w:rsidRPr="00477269" w:rsidRDefault="00CF7A23" w:rsidP="00CF7A23">
      <w:pPr>
        <w:pStyle w:val="SingleTxtGA"/>
        <w:rPr>
          <w:rFonts w:eastAsia="SimSun"/>
          <w:b/>
          <w:bCs/>
          <w:rtl/>
          <w:lang w:eastAsia="zh-CN"/>
        </w:rPr>
      </w:pPr>
      <w:r w:rsidRPr="00325E51">
        <w:rPr>
          <w:rFonts w:eastAsia="SimSun"/>
          <w:rtl/>
          <w:lang w:eastAsia="zh-CN"/>
        </w:rPr>
        <w:tab/>
        <w:t>(أ)</w:t>
      </w:r>
      <w:r w:rsidRPr="00325E51">
        <w:rPr>
          <w:rFonts w:eastAsia="SimSun"/>
          <w:rtl/>
          <w:lang w:eastAsia="zh-CN"/>
        </w:rPr>
        <w:tab/>
      </w:r>
      <w:r w:rsidRPr="00477269">
        <w:rPr>
          <w:rFonts w:eastAsia="SimSun"/>
          <w:b/>
          <w:bCs/>
          <w:rtl/>
          <w:lang w:eastAsia="zh-CN"/>
        </w:rPr>
        <w:t>الشروع في عمليات التشاور وصنع القرار من أجل تنقيح القانون الجنائي؛</w:t>
      </w:r>
    </w:p>
    <w:p w14:paraId="5BD5B268" w14:textId="77777777" w:rsidR="00CF7A23" w:rsidRPr="00477269" w:rsidRDefault="00CF7A23" w:rsidP="00CF7A23">
      <w:pPr>
        <w:pStyle w:val="SingleTxtGA"/>
        <w:rPr>
          <w:rFonts w:eastAsia="SimSun"/>
          <w:b/>
          <w:bCs/>
          <w:rtl/>
          <w:lang w:eastAsia="zh-CN"/>
        </w:rPr>
      </w:pPr>
      <w:r w:rsidRPr="00477269">
        <w:rPr>
          <w:rFonts w:eastAsia="SimSun"/>
          <w:b/>
          <w:bCs/>
          <w:rtl/>
          <w:lang w:eastAsia="zh-CN"/>
        </w:rPr>
        <w:tab/>
      </w:r>
      <w:r w:rsidRPr="00325E51">
        <w:rPr>
          <w:rFonts w:eastAsia="SimSun"/>
          <w:rtl/>
          <w:lang w:eastAsia="zh-CN"/>
        </w:rPr>
        <w:t>(ب)</w:t>
      </w:r>
      <w:r w:rsidRPr="00325E51">
        <w:rPr>
          <w:rFonts w:eastAsia="SimSun"/>
          <w:rtl/>
          <w:lang w:eastAsia="zh-CN"/>
        </w:rPr>
        <w:tab/>
      </w:r>
      <w:r w:rsidRPr="00477269">
        <w:rPr>
          <w:rFonts w:eastAsia="SimSun"/>
          <w:b/>
          <w:bCs/>
          <w:rtl/>
          <w:lang w:eastAsia="zh-CN"/>
        </w:rPr>
        <w:t>حظر التعذيب على نحو يمتثل لأحكام المادة ٧ من العهد وللمعايير المعترف بها دولياً، بما في ذلك إلغاء أي قانون يُخضع ملاحقة مرتكبي هذه الجرائم لأحكام التقادم؛</w:t>
      </w:r>
    </w:p>
    <w:p w14:paraId="302A265C" w14:textId="77777777" w:rsidR="00CF7A23" w:rsidRPr="00477269" w:rsidRDefault="00CF7A23" w:rsidP="00CF7A23">
      <w:pPr>
        <w:pStyle w:val="SingleTxtGA"/>
        <w:rPr>
          <w:rFonts w:eastAsia="SimSun"/>
          <w:b/>
          <w:bCs/>
          <w:rtl/>
          <w:lang w:eastAsia="zh-CN"/>
        </w:rPr>
      </w:pPr>
      <w:r w:rsidRPr="00325E51">
        <w:rPr>
          <w:rFonts w:eastAsia="SimSun"/>
          <w:rtl/>
          <w:lang w:eastAsia="zh-CN"/>
        </w:rPr>
        <w:tab/>
        <w:t>(ج)</w:t>
      </w:r>
      <w:r w:rsidRPr="00325E51">
        <w:rPr>
          <w:rFonts w:eastAsia="SimSun"/>
          <w:rtl/>
          <w:lang w:eastAsia="zh-CN"/>
        </w:rPr>
        <w:tab/>
      </w:r>
      <w:r w:rsidRPr="00477269">
        <w:rPr>
          <w:rFonts w:eastAsia="SimSun"/>
          <w:b/>
          <w:bCs/>
          <w:rtl/>
          <w:lang w:eastAsia="zh-CN"/>
        </w:rPr>
        <w:t xml:space="preserve">ضمان وجود آلية مستقلة ضمن النظام القانوني العادي تكون منفصلة عن الشرطة للتحقيق في ادعاءات التعذيب وسوء المعاملة؛ </w:t>
      </w:r>
    </w:p>
    <w:p w14:paraId="5C0E6472" w14:textId="77777777" w:rsidR="00CF7A23" w:rsidRPr="00477269" w:rsidRDefault="00CF7A23" w:rsidP="00CF7A23">
      <w:pPr>
        <w:pStyle w:val="SingleTxtGA"/>
        <w:rPr>
          <w:rFonts w:eastAsia="SimSun"/>
          <w:b/>
          <w:bCs/>
          <w:rtl/>
          <w:lang w:eastAsia="zh-CN"/>
        </w:rPr>
      </w:pPr>
      <w:r w:rsidRPr="00325E51">
        <w:rPr>
          <w:rFonts w:eastAsia="SimSun"/>
          <w:rtl/>
          <w:lang w:eastAsia="zh-CN"/>
        </w:rPr>
        <w:tab/>
        <w:t>(د)</w:t>
      </w:r>
      <w:r w:rsidRPr="00325E51">
        <w:rPr>
          <w:rFonts w:eastAsia="SimSun"/>
          <w:rtl/>
          <w:lang w:eastAsia="zh-CN"/>
        </w:rPr>
        <w:tab/>
      </w:r>
      <w:r w:rsidRPr="00477269">
        <w:rPr>
          <w:rFonts w:eastAsia="SimSun"/>
          <w:b/>
          <w:bCs/>
          <w:rtl/>
          <w:lang w:eastAsia="zh-CN"/>
        </w:rPr>
        <w:t>ضمان أن ينص القانون على أحكام مناسبة تسمح بملاحقة وإدانة الجناة والمتواطئين في ارتكاب مثل هذه الأفعال، وفقاً لخطورتها، أمام محاكم جنائية عادية، والنص أيضاً على سبل انتصاف للضحايا وأسرهم، بما في ذلك إعادة التأهيل والتعويض.</w:t>
      </w:r>
    </w:p>
    <w:p w14:paraId="2F305F21" w14:textId="45762BDA" w:rsidR="00CF7A23" w:rsidRPr="00477269" w:rsidRDefault="00CF7A23" w:rsidP="00CF7A23">
      <w:pPr>
        <w:pStyle w:val="H23GA"/>
        <w:rPr>
          <w:rtl/>
        </w:rPr>
      </w:pPr>
      <w:r w:rsidRPr="00477269">
        <w:rPr>
          <w:rtl/>
        </w:rPr>
        <w:tab/>
      </w:r>
      <w:r w:rsidRPr="00477269">
        <w:rPr>
          <w:rtl/>
        </w:rPr>
        <w:tab/>
        <w:t>موجز ردّ الدولة الطرف</w:t>
      </w:r>
    </w:p>
    <w:p w14:paraId="6DBE362C" w14:textId="003585BF" w:rsidR="00CF7A23" w:rsidRPr="005206AE" w:rsidRDefault="00CF7A23" w:rsidP="00CF7A23">
      <w:pPr>
        <w:pStyle w:val="SingleTxtGA"/>
      </w:pPr>
      <w:r>
        <w:rPr>
          <w:rtl/>
        </w:rPr>
        <w:tab/>
      </w:r>
      <w:r w:rsidRPr="005206AE">
        <w:rPr>
          <w:rtl/>
        </w:rPr>
        <w:t>(أ)</w:t>
      </w:r>
      <w:r>
        <w:rPr>
          <w:rtl/>
        </w:rPr>
        <w:tab/>
      </w:r>
      <w:r w:rsidRPr="005206AE">
        <w:rPr>
          <w:rtl/>
        </w:rPr>
        <w:t xml:space="preserve">أجرت الدولة الطرف مشاورة عامة بشأن مراجعة القانون الجنائي وقانون الإجراءات الجنائية في الفترة من </w:t>
      </w:r>
      <w:r w:rsidRPr="00477269">
        <w:rPr>
          <w:rtl/>
        </w:rPr>
        <w:t>6</w:t>
      </w:r>
      <w:r w:rsidRPr="005206AE">
        <w:rPr>
          <w:rtl/>
        </w:rPr>
        <w:t xml:space="preserve"> شباط/فبراير إلى </w:t>
      </w:r>
      <w:r w:rsidRPr="00477269">
        <w:rPr>
          <w:rtl/>
        </w:rPr>
        <w:t>20</w:t>
      </w:r>
      <w:r w:rsidRPr="005206AE">
        <w:rPr>
          <w:rtl/>
        </w:rPr>
        <w:t xml:space="preserve"> نيسان/أبريل </w:t>
      </w:r>
      <w:r w:rsidRPr="00477269">
        <w:rPr>
          <w:rtl/>
        </w:rPr>
        <w:t>2018</w:t>
      </w:r>
      <w:r w:rsidRPr="005206AE">
        <w:rPr>
          <w:rtl/>
        </w:rPr>
        <w:t>. وت</w:t>
      </w:r>
      <w:r>
        <w:rPr>
          <w:rtl/>
        </w:rPr>
        <w:t>عتزم</w:t>
      </w:r>
      <w:r w:rsidRPr="005206AE">
        <w:rPr>
          <w:rtl/>
        </w:rPr>
        <w:t xml:space="preserve"> الحكومة اقتراح تشريع</w:t>
      </w:r>
      <w:r>
        <w:rPr>
          <w:rtl/>
        </w:rPr>
        <w:t>ات تسترشد</w:t>
      </w:r>
      <w:r w:rsidRPr="005206AE">
        <w:rPr>
          <w:rtl/>
        </w:rPr>
        <w:t xml:space="preserve"> </w:t>
      </w:r>
      <w:r>
        <w:rPr>
          <w:rtl/>
        </w:rPr>
        <w:t>ب</w:t>
      </w:r>
      <w:r w:rsidRPr="005206AE">
        <w:rPr>
          <w:rtl/>
        </w:rPr>
        <w:t xml:space="preserve">عملية التشاور قبل نهاية عام </w:t>
      </w:r>
      <w:r w:rsidRPr="00477269">
        <w:rPr>
          <w:rtl/>
        </w:rPr>
        <w:t>2018</w:t>
      </w:r>
      <w:r>
        <w:rPr>
          <w:rFonts w:hint="cs"/>
          <w:rtl/>
        </w:rPr>
        <w:t>؛</w:t>
      </w:r>
    </w:p>
    <w:p w14:paraId="3531373D" w14:textId="0F826A1F" w:rsidR="00CF7A23" w:rsidRPr="005206AE" w:rsidRDefault="00CF7A23" w:rsidP="00CF7A23">
      <w:pPr>
        <w:pStyle w:val="SingleTxtGA"/>
      </w:pPr>
      <w:r>
        <w:rPr>
          <w:rtl/>
        </w:rPr>
        <w:tab/>
      </w:r>
      <w:r w:rsidRPr="005206AE">
        <w:rPr>
          <w:rtl/>
        </w:rPr>
        <w:t>(ب)</w:t>
      </w:r>
      <w:r>
        <w:rPr>
          <w:rtl/>
        </w:rPr>
        <w:tab/>
      </w:r>
      <w:r w:rsidRPr="005206AE">
        <w:rPr>
          <w:rtl/>
        </w:rPr>
        <w:t>تعتزم الدولة الطرف مراجعة القانون الجنائي لإدراج تعريف للتعذيب يتوافق مع المادة</w:t>
      </w:r>
      <w:r>
        <w:rPr>
          <w:rFonts w:hint="cs"/>
          <w:rtl/>
        </w:rPr>
        <w:t> </w:t>
      </w:r>
      <w:r w:rsidRPr="00477269">
        <w:rPr>
          <w:rtl/>
        </w:rPr>
        <w:t>7</w:t>
      </w:r>
      <w:r w:rsidRPr="005206AE">
        <w:rPr>
          <w:rtl/>
        </w:rPr>
        <w:t xml:space="preserve"> من العهد. </w:t>
      </w:r>
      <w:r>
        <w:rPr>
          <w:rtl/>
        </w:rPr>
        <w:t>و</w:t>
      </w:r>
      <w:r w:rsidRPr="005206AE">
        <w:rPr>
          <w:rtl/>
        </w:rPr>
        <w:t xml:space="preserve">سيفرض التعريف المنقح عقوبات جنائية تصل إلى </w:t>
      </w:r>
      <w:r w:rsidRPr="00477269">
        <w:rPr>
          <w:rtl/>
        </w:rPr>
        <w:t>10</w:t>
      </w:r>
      <w:r w:rsidRPr="005206AE">
        <w:rPr>
          <w:rtl/>
        </w:rPr>
        <w:t xml:space="preserve"> سنوات </w:t>
      </w:r>
      <w:r>
        <w:rPr>
          <w:rtl/>
        </w:rPr>
        <w:t>من ال</w:t>
      </w:r>
      <w:r w:rsidRPr="005206AE">
        <w:rPr>
          <w:rtl/>
        </w:rPr>
        <w:t xml:space="preserve">سجن على فعل التعذيب وحتى السجن مدى الحياة في الحالات التي يتوفى فيها </w:t>
      </w:r>
      <w:r>
        <w:rPr>
          <w:rtl/>
        </w:rPr>
        <w:t xml:space="preserve">الشخص </w:t>
      </w:r>
      <w:r w:rsidRPr="005206AE">
        <w:rPr>
          <w:rtl/>
        </w:rPr>
        <w:t>الضحية نتيجة ل</w:t>
      </w:r>
      <w:r>
        <w:rPr>
          <w:rtl/>
        </w:rPr>
        <w:t>فع</w:t>
      </w:r>
      <w:r w:rsidRPr="005206AE">
        <w:rPr>
          <w:rtl/>
        </w:rPr>
        <w:t>ل التعذيب</w:t>
      </w:r>
      <w:r>
        <w:rPr>
          <w:rFonts w:hint="cs"/>
          <w:rtl/>
        </w:rPr>
        <w:t>؛</w:t>
      </w:r>
    </w:p>
    <w:p w14:paraId="3C20DF60" w14:textId="20588E23" w:rsidR="00CF7A23" w:rsidRPr="00CF7A23" w:rsidRDefault="00CF7A23" w:rsidP="00CF7A23">
      <w:pPr>
        <w:pStyle w:val="SingleTxtGA"/>
        <w:rPr>
          <w:rtl/>
        </w:rPr>
      </w:pPr>
      <w:r>
        <w:rPr>
          <w:rtl/>
        </w:rPr>
        <w:tab/>
      </w:r>
      <w:r w:rsidRPr="005206AE">
        <w:rPr>
          <w:rtl/>
        </w:rPr>
        <w:t>(ج)</w:t>
      </w:r>
      <w:r>
        <w:rPr>
          <w:rtl/>
        </w:rPr>
        <w:tab/>
      </w:r>
      <w:r w:rsidRPr="005206AE">
        <w:rPr>
          <w:rtl/>
        </w:rPr>
        <w:t>لا تعتزم الدولة الطرف إنشاء آلية مستقلة للتحقيق في ادعاءات التعذيب وسوء المعاملة. و</w:t>
      </w:r>
      <w:r>
        <w:rPr>
          <w:rtl/>
        </w:rPr>
        <w:t>قد</w:t>
      </w:r>
      <w:r w:rsidRPr="005206AE">
        <w:rPr>
          <w:rtl/>
        </w:rPr>
        <w:t xml:space="preserve"> نوقش الموضوع مطولاً بناءً على توصية اللجنة، </w:t>
      </w:r>
      <w:r>
        <w:rPr>
          <w:rtl/>
        </w:rPr>
        <w:t>لك</w:t>
      </w:r>
      <w:r w:rsidRPr="005206AE">
        <w:rPr>
          <w:rtl/>
        </w:rPr>
        <w:t>ن الموقف ا</w:t>
      </w:r>
      <w:r>
        <w:rPr>
          <w:rtl/>
        </w:rPr>
        <w:t>لعام</w:t>
      </w:r>
      <w:r w:rsidRPr="005206AE">
        <w:rPr>
          <w:rtl/>
        </w:rPr>
        <w:t xml:space="preserve"> في الدولة الطرف هو أن إنشاء مثل هذه الآلية سيكون غير متناسب مع الظروف الحالية </w:t>
      </w:r>
      <w:r>
        <w:rPr>
          <w:rtl/>
        </w:rPr>
        <w:t>في البلد</w:t>
      </w:r>
      <w:r>
        <w:rPr>
          <w:rFonts w:hint="cs"/>
          <w:rtl/>
        </w:rPr>
        <w:t>؛</w:t>
      </w:r>
    </w:p>
    <w:p w14:paraId="542632E6" w14:textId="12DB0BF9" w:rsidR="00CF7A23" w:rsidRPr="005206AE" w:rsidRDefault="00CF7A23" w:rsidP="00CF7A23">
      <w:pPr>
        <w:pStyle w:val="SingleTxtGA"/>
      </w:pPr>
      <w:r>
        <w:rPr>
          <w:rtl/>
        </w:rPr>
        <w:tab/>
      </w:r>
      <w:r w:rsidRPr="005206AE">
        <w:rPr>
          <w:rtl/>
        </w:rPr>
        <w:t>(د)</w:t>
      </w:r>
      <w:r>
        <w:rPr>
          <w:rtl/>
        </w:rPr>
        <w:tab/>
      </w:r>
      <w:r w:rsidRPr="005206AE">
        <w:rPr>
          <w:rtl/>
        </w:rPr>
        <w:t xml:space="preserve">وفقاً للدولة الطرف، ينص </w:t>
      </w:r>
      <w:r>
        <w:rPr>
          <w:rtl/>
        </w:rPr>
        <w:t xml:space="preserve">مسبقاً </w:t>
      </w:r>
      <w:r w:rsidRPr="005206AE">
        <w:rPr>
          <w:rtl/>
        </w:rPr>
        <w:t>القانون الحالي</w:t>
      </w:r>
      <w:r>
        <w:rPr>
          <w:rtl/>
        </w:rPr>
        <w:t xml:space="preserve"> </w:t>
      </w:r>
      <w:r w:rsidRPr="005206AE">
        <w:rPr>
          <w:rtl/>
        </w:rPr>
        <w:t>على محاكمة وإدانة مرتكبي أعمال التعذيب والمتواطئين معه</w:t>
      </w:r>
      <w:r>
        <w:rPr>
          <w:rtl/>
        </w:rPr>
        <w:t>م،</w:t>
      </w:r>
      <w:r w:rsidRPr="005206AE">
        <w:rPr>
          <w:rtl/>
        </w:rPr>
        <w:t xml:space="preserve"> </w:t>
      </w:r>
      <w:r>
        <w:rPr>
          <w:rtl/>
        </w:rPr>
        <w:t>وعلى</w:t>
      </w:r>
      <w:r w:rsidRPr="005206AE">
        <w:rPr>
          <w:rtl/>
        </w:rPr>
        <w:t xml:space="preserve"> سبل الانتصاف للضحايا وأسرهم. </w:t>
      </w:r>
      <w:r>
        <w:rPr>
          <w:rtl/>
        </w:rPr>
        <w:t>و</w:t>
      </w:r>
      <w:r w:rsidRPr="005206AE">
        <w:rPr>
          <w:rtl/>
        </w:rPr>
        <w:t xml:space="preserve">تحظر المادة </w:t>
      </w:r>
      <w:r w:rsidRPr="00477269">
        <w:rPr>
          <w:rtl/>
        </w:rPr>
        <w:t>33</w:t>
      </w:r>
      <w:r w:rsidRPr="005206AE">
        <w:rPr>
          <w:rtl/>
        </w:rPr>
        <w:t>(</w:t>
      </w:r>
      <w:r w:rsidRPr="00477269">
        <w:rPr>
          <w:rtl/>
        </w:rPr>
        <w:t>2</w:t>
      </w:r>
      <w:r w:rsidRPr="005206AE">
        <w:rPr>
          <w:rtl/>
        </w:rPr>
        <w:t>) من الدستور التهديد أو اللجوء إلى عقوبات غير تلك المنصوص عليها في القانون</w:t>
      </w:r>
      <w:r>
        <w:rPr>
          <w:rtl/>
        </w:rPr>
        <w:t>،</w:t>
      </w:r>
      <w:r w:rsidRPr="005206AE">
        <w:rPr>
          <w:rtl/>
        </w:rPr>
        <w:t xml:space="preserve"> كما تحظر أحكام </w:t>
      </w:r>
      <w:r>
        <w:rPr>
          <w:rtl/>
        </w:rPr>
        <w:t>ال</w:t>
      </w:r>
      <w:r w:rsidRPr="005206AE">
        <w:rPr>
          <w:rtl/>
        </w:rPr>
        <w:t>قانون</w:t>
      </w:r>
      <w:r>
        <w:rPr>
          <w:rtl/>
        </w:rPr>
        <w:t xml:space="preserve"> الجنائي</w:t>
      </w:r>
      <w:r w:rsidRPr="005206AE">
        <w:rPr>
          <w:rtl/>
        </w:rPr>
        <w:t xml:space="preserve"> الإيذاء الجسدي المتعمد (ال</w:t>
      </w:r>
      <w:r>
        <w:rPr>
          <w:rtl/>
        </w:rPr>
        <w:t>مادة</w:t>
      </w:r>
      <w:r w:rsidRPr="005206AE">
        <w:rPr>
          <w:rtl/>
        </w:rPr>
        <w:t xml:space="preserve"> </w:t>
      </w:r>
      <w:r w:rsidRPr="00477269">
        <w:rPr>
          <w:rtl/>
        </w:rPr>
        <w:t>83</w:t>
      </w:r>
      <w:r w:rsidRPr="005206AE">
        <w:rPr>
          <w:rtl/>
        </w:rPr>
        <w:t xml:space="preserve"> (وما يلي</w:t>
      </w:r>
      <w:r>
        <w:rPr>
          <w:rtl/>
        </w:rPr>
        <w:t>ها</w:t>
      </w:r>
      <w:r w:rsidRPr="005206AE">
        <w:rPr>
          <w:rtl/>
        </w:rPr>
        <w:t>)) وإيذاء السجناء أو إهمالهم (</w:t>
      </w:r>
      <w:r>
        <w:rPr>
          <w:rtl/>
        </w:rPr>
        <w:t>الماد</w:t>
      </w:r>
      <w:r w:rsidRPr="005206AE">
        <w:rPr>
          <w:rtl/>
        </w:rPr>
        <w:t xml:space="preserve">ة </w:t>
      </w:r>
      <w:r w:rsidRPr="00477269">
        <w:rPr>
          <w:rtl/>
        </w:rPr>
        <w:t>312</w:t>
      </w:r>
      <w:r w:rsidRPr="005206AE">
        <w:rPr>
          <w:rtl/>
        </w:rPr>
        <w:t xml:space="preserve">). </w:t>
      </w:r>
      <w:r>
        <w:rPr>
          <w:rtl/>
        </w:rPr>
        <w:t>و</w:t>
      </w:r>
      <w:r w:rsidRPr="005206AE">
        <w:rPr>
          <w:rtl/>
        </w:rPr>
        <w:t>بموجب قانون مساعدة الضحايا</w:t>
      </w:r>
      <w:r>
        <w:rPr>
          <w:rtl/>
        </w:rPr>
        <w:t>،</w:t>
      </w:r>
      <w:r w:rsidRPr="005206AE">
        <w:rPr>
          <w:rtl/>
        </w:rPr>
        <w:t xml:space="preserve"> </w:t>
      </w:r>
      <w:r>
        <w:rPr>
          <w:rtl/>
        </w:rPr>
        <w:t>لدى</w:t>
      </w:r>
      <w:r w:rsidRPr="005206AE">
        <w:rPr>
          <w:rtl/>
        </w:rPr>
        <w:t xml:space="preserve"> ضحايا التعذيب وأسرهم </w:t>
      </w:r>
      <w:r>
        <w:rPr>
          <w:rtl/>
        </w:rPr>
        <w:t xml:space="preserve">مسبقاً </w:t>
      </w:r>
      <w:r w:rsidRPr="005206AE">
        <w:rPr>
          <w:rtl/>
        </w:rPr>
        <w:t>إمكانية ال</w:t>
      </w:r>
      <w:r>
        <w:rPr>
          <w:rtl/>
        </w:rPr>
        <w:t>ح</w:t>
      </w:r>
      <w:r w:rsidRPr="005206AE">
        <w:rPr>
          <w:rtl/>
        </w:rPr>
        <w:t xml:space="preserve">صول </w:t>
      </w:r>
      <w:r>
        <w:rPr>
          <w:rtl/>
        </w:rPr>
        <w:t>ع</w:t>
      </w:r>
      <w:r w:rsidRPr="005206AE">
        <w:rPr>
          <w:rtl/>
        </w:rPr>
        <w:t xml:space="preserve">لى سبل الانتصاف مثل المشورة والدعم </w:t>
      </w:r>
      <w:r>
        <w:rPr>
          <w:rtl/>
        </w:rPr>
        <w:t>ال</w:t>
      </w:r>
      <w:r w:rsidRPr="005206AE">
        <w:rPr>
          <w:rtl/>
        </w:rPr>
        <w:t xml:space="preserve">طويل الأجل والمساعدة المالية للحصول على </w:t>
      </w:r>
      <w:r>
        <w:rPr>
          <w:rtl/>
        </w:rPr>
        <w:t>ال</w:t>
      </w:r>
      <w:r w:rsidRPr="005206AE">
        <w:rPr>
          <w:rtl/>
        </w:rPr>
        <w:t xml:space="preserve">دعم </w:t>
      </w:r>
      <w:r>
        <w:rPr>
          <w:rtl/>
        </w:rPr>
        <w:t>ال</w:t>
      </w:r>
      <w:r w:rsidRPr="005206AE">
        <w:rPr>
          <w:rtl/>
        </w:rPr>
        <w:t>طويل الأجل والتعويض والم</w:t>
      </w:r>
      <w:r>
        <w:rPr>
          <w:rtl/>
        </w:rPr>
        <w:t>عونة القضائ</w:t>
      </w:r>
      <w:r w:rsidRPr="005206AE">
        <w:rPr>
          <w:rtl/>
        </w:rPr>
        <w:t>ية.</w:t>
      </w:r>
    </w:p>
    <w:p w14:paraId="587B9744" w14:textId="7379B8E3" w:rsidR="00CF7A23" w:rsidRPr="00477269" w:rsidRDefault="00CF7A23" w:rsidP="00CF7A23">
      <w:pPr>
        <w:pStyle w:val="H23GA"/>
      </w:pPr>
      <w:r w:rsidRPr="00477269">
        <w:rPr>
          <w:rtl/>
        </w:rPr>
        <w:lastRenderedPageBreak/>
        <w:tab/>
      </w:r>
      <w:r w:rsidRPr="00477269">
        <w:rPr>
          <w:rtl/>
        </w:rPr>
        <w:tab/>
        <w:t>تقييم اللجنة</w:t>
      </w:r>
    </w:p>
    <w:p w14:paraId="1866F342" w14:textId="1FB6D4E0" w:rsidR="00CF7A23" w:rsidRPr="005206AE" w:rsidRDefault="00CF7A23" w:rsidP="00CF7A23">
      <w:pPr>
        <w:pStyle w:val="SingleTxtGA"/>
      </w:pPr>
      <w:r w:rsidRPr="00477269">
        <w:rPr>
          <w:b/>
          <w:bCs/>
          <w:rtl/>
        </w:rPr>
        <w:tab/>
        <w:t>[ألف]</w:t>
      </w:r>
      <w:r w:rsidRPr="005206AE">
        <w:rPr>
          <w:rtl/>
        </w:rPr>
        <w:t xml:space="preserve"> (أ): ترحب اللجنة ب</w:t>
      </w:r>
      <w:r>
        <w:rPr>
          <w:rtl/>
        </w:rPr>
        <w:t>إجراء</w:t>
      </w:r>
      <w:r w:rsidRPr="005206AE">
        <w:rPr>
          <w:rtl/>
        </w:rPr>
        <w:t xml:space="preserve"> الدولة الطرف مشاورة عامة بشأن </w:t>
      </w:r>
      <w:r>
        <w:rPr>
          <w:rtl/>
        </w:rPr>
        <w:t>مراجعة</w:t>
      </w:r>
      <w:r w:rsidRPr="005206AE">
        <w:rPr>
          <w:rtl/>
        </w:rPr>
        <w:t xml:space="preserve"> القانون الجنائي و</w:t>
      </w:r>
      <w:r>
        <w:rPr>
          <w:rtl/>
        </w:rPr>
        <w:t>باعتزام</w:t>
      </w:r>
      <w:r w:rsidRPr="005206AE">
        <w:rPr>
          <w:rtl/>
        </w:rPr>
        <w:t>ها اقتراح تشريع</w:t>
      </w:r>
      <w:r>
        <w:rPr>
          <w:rtl/>
        </w:rPr>
        <w:t xml:space="preserve">ات </w:t>
      </w:r>
      <w:r w:rsidRPr="005206AE">
        <w:rPr>
          <w:rtl/>
        </w:rPr>
        <w:t xml:space="preserve">على أساس التشاور. </w:t>
      </w:r>
      <w:r>
        <w:rPr>
          <w:rtl/>
        </w:rPr>
        <w:t>وت</w:t>
      </w:r>
      <w:r w:rsidRPr="005206AE">
        <w:rPr>
          <w:rtl/>
        </w:rPr>
        <w:t>طلب معلومات محدثة عن تلك العملية.</w:t>
      </w:r>
    </w:p>
    <w:p w14:paraId="408EDF80" w14:textId="21AC2AB9" w:rsidR="00CF7A23" w:rsidRPr="005206AE" w:rsidRDefault="00CF7A23" w:rsidP="00CF7A23">
      <w:pPr>
        <w:pStyle w:val="SingleTxtGA"/>
      </w:pPr>
      <w:r w:rsidRPr="00477269">
        <w:rPr>
          <w:b/>
          <w:bCs/>
          <w:rtl/>
        </w:rPr>
        <w:tab/>
        <w:t>[باء]</w:t>
      </w:r>
      <w:r w:rsidRPr="005206AE">
        <w:rPr>
          <w:rtl/>
        </w:rPr>
        <w:t xml:space="preserve"> (ب): ترحب اللجنة أيضاً باعتزام الدولة الطرف سن حظر </w:t>
      </w:r>
      <w:r>
        <w:rPr>
          <w:rtl/>
        </w:rPr>
        <w:t>لل</w:t>
      </w:r>
      <w:r w:rsidRPr="005206AE">
        <w:rPr>
          <w:rtl/>
        </w:rPr>
        <w:t xml:space="preserve">تعذيب يتوافق مع المادة </w:t>
      </w:r>
      <w:r w:rsidRPr="00477269">
        <w:rPr>
          <w:rtl/>
        </w:rPr>
        <w:t>7</w:t>
      </w:r>
      <w:r w:rsidRPr="005206AE">
        <w:rPr>
          <w:rtl/>
        </w:rPr>
        <w:t xml:space="preserve"> من العهد. </w:t>
      </w:r>
      <w:r>
        <w:rPr>
          <w:rtl/>
        </w:rPr>
        <w:t>و</w:t>
      </w:r>
      <w:r w:rsidRPr="005206AE">
        <w:rPr>
          <w:rtl/>
        </w:rPr>
        <w:t>تطلب اللجنة معلومات محدثة عن التقدم المحرز في</w:t>
      </w:r>
      <w:r>
        <w:rPr>
          <w:rtl/>
        </w:rPr>
        <w:t xml:space="preserve"> مراجعة</w:t>
      </w:r>
      <w:r w:rsidRPr="005206AE">
        <w:rPr>
          <w:rtl/>
        </w:rPr>
        <w:t xml:space="preserve"> القانون الجنائي</w:t>
      </w:r>
      <w:r>
        <w:rPr>
          <w:rtl/>
        </w:rPr>
        <w:t>،</w:t>
      </w:r>
      <w:r w:rsidRPr="005206AE">
        <w:rPr>
          <w:rtl/>
        </w:rPr>
        <w:t xml:space="preserve"> بما في ذلك ما</w:t>
      </w:r>
      <w:r>
        <w:rPr>
          <w:rFonts w:hint="cs"/>
          <w:rtl/>
        </w:rPr>
        <w:t> </w:t>
      </w:r>
      <w:r w:rsidRPr="005206AE">
        <w:rPr>
          <w:rtl/>
        </w:rPr>
        <w:t>إذا كان تعريف التعذيب</w:t>
      </w:r>
      <w:r w:rsidRPr="00657370">
        <w:rPr>
          <w:rtl/>
        </w:rPr>
        <w:t xml:space="preserve"> </w:t>
      </w:r>
      <w:r w:rsidRPr="005206AE">
        <w:rPr>
          <w:rtl/>
        </w:rPr>
        <w:t>قد ن</w:t>
      </w:r>
      <w:r>
        <w:rPr>
          <w:rtl/>
        </w:rPr>
        <w:t>ُ</w:t>
      </w:r>
      <w:r w:rsidRPr="005206AE">
        <w:rPr>
          <w:rtl/>
        </w:rPr>
        <w:t>ق</w:t>
      </w:r>
      <w:r>
        <w:rPr>
          <w:rtl/>
        </w:rPr>
        <w:t>ِّ</w:t>
      </w:r>
      <w:r w:rsidRPr="005206AE">
        <w:rPr>
          <w:rtl/>
        </w:rPr>
        <w:t xml:space="preserve">ح ومتى </w:t>
      </w:r>
      <w:r>
        <w:rPr>
          <w:rtl/>
        </w:rPr>
        <w:t>جرى</w:t>
      </w:r>
      <w:r w:rsidRPr="005206AE">
        <w:rPr>
          <w:rtl/>
        </w:rPr>
        <w:t xml:space="preserve"> ذلك والنص الدقيق لذلك التنقيح وكيف يتوافق التعريف الجديد مع المادة </w:t>
      </w:r>
      <w:r w:rsidRPr="00477269">
        <w:rPr>
          <w:rtl/>
        </w:rPr>
        <w:t>7</w:t>
      </w:r>
      <w:r w:rsidRPr="005206AE">
        <w:rPr>
          <w:rtl/>
        </w:rPr>
        <w:t xml:space="preserve"> من العهد. </w:t>
      </w:r>
      <w:r w:rsidRPr="00657370">
        <w:rPr>
          <w:rtl/>
        </w:rPr>
        <w:t>وتأسف اللجنة لعدم وجود معلومات عن إلغاء أي قانون للتقادم فيما يتعلق بالملاحقات القضائية على الجرائم التي تنطوي على التعذيب،</w:t>
      </w:r>
      <w:r w:rsidRPr="005206AE">
        <w:rPr>
          <w:rtl/>
        </w:rPr>
        <w:t xml:space="preserve"> وتكرر توصيتها في هذا الصدد.</w:t>
      </w:r>
    </w:p>
    <w:p w14:paraId="44211801" w14:textId="6B4EE960" w:rsidR="00CF7A23" w:rsidRPr="005206AE" w:rsidRDefault="00CF7A23" w:rsidP="00CF7A23">
      <w:pPr>
        <w:pStyle w:val="SingleTxtGA"/>
      </w:pPr>
      <w:r w:rsidRPr="00477269">
        <w:rPr>
          <w:b/>
          <w:bCs/>
          <w:rtl/>
        </w:rPr>
        <w:tab/>
        <w:t>[جيم]:</w:t>
      </w:r>
      <w:r w:rsidRPr="005206AE">
        <w:rPr>
          <w:rtl/>
        </w:rPr>
        <w:t xml:space="preserve"> (ج) و (د)</w:t>
      </w:r>
    </w:p>
    <w:p w14:paraId="44A2A46C" w14:textId="5EAD8BF6" w:rsidR="00CF7A23" w:rsidRPr="005206AE" w:rsidRDefault="00CF7A23" w:rsidP="00CF7A23">
      <w:pPr>
        <w:pStyle w:val="SingleTxtGA"/>
      </w:pPr>
      <w:r>
        <w:rPr>
          <w:rtl/>
        </w:rPr>
        <w:tab/>
      </w:r>
      <w:r w:rsidRPr="005206AE">
        <w:rPr>
          <w:rtl/>
        </w:rPr>
        <w:t xml:space="preserve">تأسف اللجنة لأن الدولة الطرف لا تعتزم </w:t>
      </w:r>
      <w:r>
        <w:rPr>
          <w:rtl/>
        </w:rPr>
        <w:t>إنشاء</w:t>
      </w:r>
      <w:r w:rsidRPr="005206AE">
        <w:rPr>
          <w:rtl/>
        </w:rPr>
        <w:t xml:space="preserve"> آلية مستقلة للتحقيق في ادعاءات التعذيب وسوء المعاملة وتكرر توصيتها. وتحيط اللجنة علماً بالأحكام القانونية القائمة في الدولة الطرف فيما يتعلق بأعمال التعذيب وسبل الانتصاف لضحايا التعذيب وأسرهم. </w:t>
      </w:r>
      <w:r>
        <w:rPr>
          <w:rtl/>
        </w:rPr>
        <w:t>و</w:t>
      </w:r>
      <w:r w:rsidRPr="005206AE">
        <w:rPr>
          <w:rtl/>
        </w:rPr>
        <w:t xml:space="preserve">تطلب اللجنة معلومات عن التدابير المتخذة منذ اعتماد ملاحظاتها الختامية </w:t>
      </w:r>
      <w:r>
        <w:rPr>
          <w:rtl/>
        </w:rPr>
        <w:t>من أجل ا</w:t>
      </w:r>
      <w:r w:rsidRPr="005206AE">
        <w:rPr>
          <w:rtl/>
        </w:rPr>
        <w:t>لامتثال لتوصياتها</w:t>
      </w:r>
      <w:r>
        <w:rPr>
          <w:rtl/>
        </w:rPr>
        <w:t>،</w:t>
      </w:r>
      <w:r w:rsidRPr="005206AE">
        <w:rPr>
          <w:rtl/>
        </w:rPr>
        <w:t xml:space="preserve"> وتطلب إلى الدولة الطرف إثبات </w:t>
      </w:r>
      <w:r>
        <w:rPr>
          <w:rtl/>
        </w:rPr>
        <w:t>أن</w:t>
      </w:r>
      <w:r w:rsidRPr="005206AE">
        <w:rPr>
          <w:rtl/>
        </w:rPr>
        <w:t xml:space="preserve"> الأحكام القانونية القائمة</w:t>
      </w:r>
      <w:r>
        <w:rPr>
          <w:rtl/>
        </w:rPr>
        <w:t xml:space="preserve"> كافية</w:t>
      </w:r>
      <w:r w:rsidRPr="005206AE">
        <w:rPr>
          <w:rtl/>
        </w:rPr>
        <w:t>. وتطلب بيانات عن عدد التحقيقات والم</w:t>
      </w:r>
      <w:r>
        <w:rPr>
          <w:rtl/>
        </w:rPr>
        <w:t>لاحقات القضائية</w:t>
      </w:r>
      <w:r w:rsidRPr="005206AE">
        <w:rPr>
          <w:rtl/>
        </w:rPr>
        <w:t xml:space="preserve"> والإدانات التي جرت</w:t>
      </w:r>
      <w:r>
        <w:rPr>
          <w:rtl/>
        </w:rPr>
        <w:t xml:space="preserve"> بشأن</w:t>
      </w:r>
      <w:r w:rsidRPr="005206AE">
        <w:rPr>
          <w:rtl/>
        </w:rPr>
        <w:t xml:space="preserve"> قضايا التعذيب خلال الفترة المشمولة بالتقرير</w:t>
      </w:r>
      <w:r>
        <w:rPr>
          <w:rtl/>
        </w:rPr>
        <w:t>،</w:t>
      </w:r>
      <w:r w:rsidRPr="005206AE">
        <w:rPr>
          <w:rtl/>
        </w:rPr>
        <w:t xml:space="preserve"> </w:t>
      </w:r>
      <w:r>
        <w:rPr>
          <w:rtl/>
        </w:rPr>
        <w:t>و</w:t>
      </w:r>
      <w:r w:rsidRPr="005206AE">
        <w:rPr>
          <w:rtl/>
        </w:rPr>
        <w:t xml:space="preserve">تفاصيل </w:t>
      </w:r>
      <w:r>
        <w:rPr>
          <w:rtl/>
        </w:rPr>
        <w:t xml:space="preserve">عن </w:t>
      </w:r>
      <w:r w:rsidRPr="005206AE">
        <w:rPr>
          <w:rtl/>
        </w:rPr>
        <w:t>العقوبات المفروضة. وتطلب اللجنة أيض</w:t>
      </w:r>
      <w:r>
        <w:rPr>
          <w:rtl/>
        </w:rPr>
        <w:t xml:space="preserve">اً </w:t>
      </w:r>
      <w:r w:rsidRPr="005206AE">
        <w:rPr>
          <w:rtl/>
        </w:rPr>
        <w:t>تفاصيل أ</w:t>
      </w:r>
      <w:r>
        <w:rPr>
          <w:rtl/>
        </w:rPr>
        <w:t>دق</w:t>
      </w:r>
      <w:r w:rsidRPr="005206AE">
        <w:rPr>
          <w:rtl/>
        </w:rPr>
        <w:t xml:space="preserve"> عن سبل الانتصاف المقدمة للضحايا وأسرهم خلال الفترة المشمولة بالتقرير</w:t>
      </w:r>
      <w:r>
        <w:rPr>
          <w:rtl/>
        </w:rPr>
        <w:t>،</w:t>
      </w:r>
      <w:r w:rsidRPr="005206AE">
        <w:rPr>
          <w:rtl/>
        </w:rPr>
        <w:t xml:space="preserve"> بما في ذلك عدد القضايا </w:t>
      </w:r>
      <w:r>
        <w:rPr>
          <w:rtl/>
        </w:rPr>
        <w:t>المشمولة</w:t>
      </w:r>
      <w:r w:rsidRPr="005206AE">
        <w:rPr>
          <w:rtl/>
        </w:rPr>
        <w:t xml:space="preserve"> </w:t>
      </w:r>
      <w:r>
        <w:rPr>
          <w:rtl/>
        </w:rPr>
        <w:t>ب</w:t>
      </w:r>
      <w:r w:rsidRPr="005206AE">
        <w:rPr>
          <w:rtl/>
        </w:rPr>
        <w:t>قانون مساعدة الضحايا والطبيعة الدقيقة لسبل الانتصاف المقدمة في كل حالة ونطاقها.</w:t>
      </w:r>
    </w:p>
    <w:p w14:paraId="2E8A96B5" w14:textId="5C3C1534" w:rsidR="00CF7A23" w:rsidRPr="005206AE" w:rsidRDefault="00CF7A23" w:rsidP="00CF7A23">
      <w:pPr>
        <w:pStyle w:val="SingleTxtGA"/>
      </w:pPr>
      <w:r w:rsidRPr="00477269">
        <w:rPr>
          <w:b/>
          <w:bCs/>
          <w:rtl/>
        </w:rPr>
        <w:tab/>
        <w:t>الإجراء الموصى به</w:t>
      </w:r>
      <w:r w:rsidRPr="005206AE">
        <w:rPr>
          <w:rtl/>
        </w:rPr>
        <w:t xml:space="preserve">: ينبغي </w:t>
      </w:r>
      <w:r w:rsidRPr="0025725A">
        <w:rPr>
          <w:rtl/>
        </w:rPr>
        <w:t xml:space="preserve">توجيه رسالة إلى الدولة الطرف لإبلاغها </w:t>
      </w:r>
      <w:r w:rsidRPr="005206AE">
        <w:rPr>
          <w:rtl/>
        </w:rPr>
        <w:t>بوقف إجراء المتابعة. وينبغي إدراج المعلومات المطلوبة في التقرير الدوري المقبل للدولة الطرف.</w:t>
      </w:r>
    </w:p>
    <w:p w14:paraId="15C45E92" w14:textId="4AD8BF7C" w:rsidR="00CF7A23" w:rsidRPr="00CF7A23" w:rsidRDefault="00CF7A23" w:rsidP="00CF7A23">
      <w:pPr>
        <w:pStyle w:val="SingleTxtGA"/>
        <w:rPr>
          <w:spacing w:val="-6"/>
          <w:rtl/>
        </w:rPr>
      </w:pPr>
      <w:r w:rsidRPr="00477269">
        <w:rPr>
          <w:b/>
          <w:bCs/>
          <w:rtl/>
        </w:rPr>
        <w:tab/>
      </w:r>
      <w:r w:rsidRPr="00477269">
        <w:rPr>
          <w:b/>
          <w:bCs/>
          <w:spacing w:val="-6"/>
          <w:rtl/>
        </w:rPr>
        <w:t>موعد تقديم التقرير الدوري المقبل</w:t>
      </w:r>
      <w:r w:rsidRPr="00CF7A23">
        <w:rPr>
          <w:spacing w:val="-6"/>
          <w:rtl/>
        </w:rPr>
        <w:t xml:space="preserve">: عام </w:t>
      </w:r>
      <w:r w:rsidRPr="00477269">
        <w:rPr>
          <w:spacing w:val="-6"/>
          <w:rtl/>
        </w:rPr>
        <w:t>2026</w:t>
      </w:r>
      <w:r w:rsidRPr="00CF7A23">
        <w:rPr>
          <w:spacing w:val="-6"/>
          <w:rtl/>
        </w:rPr>
        <w:t xml:space="preserve"> (سيجرى الاستعراض القطري في عام </w:t>
      </w:r>
      <w:r w:rsidRPr="00477269">
        <w:rPr>
          <w:spacing w:val="-6"/>
          <w:rtl/>
        </w:rPr>
        <w:t>2027</w:t>
      </w:r>
      <w:r w:rsidRPr="00CF7A23">
        <w:rPr>
          <w:spacing w:val="-6"/>
          <w:rtl/>
        </w:rPr>
        <w:t xml:space="preserve">، وفقاً </w:t>
      </w:r>
      <w:r w:rsidRPr="00CF7A23">
        <w:rPr>
          <w:spacing w:val="-8"/>
          <w:rtl/>
        </w:rPr>
        <w:t>لجولة الاستعراض المتوقعة. انظر</w:t>
      </w:r>
      <w:hyperlink r:id="rId11" w:history="1">
        <w:r w:rsidRPr="00D35EB5">
          <w:rPr>
            <w:rStyle w:val="Hyperlink"/>
            <w:spacing w:val="-8"/>
          </w:rPr>
          <w:t>www.ohchr.org/EN/HRBodies/CCPR/Pages/Predictable ReviewCycle.aspx</w:t>
        </w:r>
      </w:hyperlink>
      <w:r>
        <w:rPr>
          <w:rFonts w:hint="cs"/>
          <w:spacing w:val="-8"/>
          <w:rtl/>
        </w:rPr>
        <w:t>).</w:t>
      </w:r>
    </w:p>
    <w:p w14:paraId="6B103845" w14:textId="684BAE11" w:rsidR="00CF7A23" w:rsidRPr="00CF7A23" w:rsidRDefault="00CF7A23" w:rsidP="00CF7A23">
      <w:pPr>
        <w:pStyle w:val="SingleTxtGA"/>
        <w:jc w:val="center"/>
        <w:rPr>
          <w:u w:val="single"/>
          <w:rtl/>
        </w:rPr>
      </w:pPr>
      <w:r>
        <w:rPr>
          <w:u w:val="single"/>
          <w:rtl/>
        </w:rPr>
        <w:tab/>
      </w:r>
      <w:r>
        <w:rPr>
          <w:u w:val="single"/>
          <w:rtl/>
        </w:rPr>
        <w:tab/>
      </w:r>
      <w:r>
        <w:rPr>
          <w:u w:val="single"/>
          <w:rtl/>
        </w:rPr>
        <w:tab/>
      </w:r>
    </w:p>
    <w:sectPr w:rsidR="00CF7A23" w:rsidRPr="00CF7A23" w:rsidSect="007C6A4A">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EF72CE" w14:textId="77777777" w:rsidR="009261A8" w:rsidRPr="002901D9" w:rsidRDefault="009261A8" w:rsidP="00DC4D4B">
      <w:pPr>
        <w:spacing w:after="60" w:line="240" w:lineRule="auto"/>
        <w:ind w:left="57"/>
        <w:rPr>
          <w:i/>
          <w:iCs/>
        </w:rPr>
      </w:pPr>
      <w:r>
        <w:rPr>
          <w:rFonts w:hint="cs"/>
          <w:i/>
          <w:iCs/>
          <w:rtl/>
        </w:rPr>
        <w:t>الحواشي</w:t>
      </w:r>
    </w:p>
  </w:endnote>
  <w:endnote w:type="continuationSeparator" w:id="0">
    <w:p w14:paraId="378CE8B4" w14:textId="77777777" w:rsidR="009261A8" w:rsidRDefault="009261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E9EA4" w14:textId="7B1E05FC" w:rsidR="00296F45" w:rsidRPr="00296F45" w:rsidRDefault="00296F45" w:rsidP="00296F45">
    <w:pPr>
      <w:pStyle w:val="Footer"/>
      <w:tabs>
        <w:tab w:val="right" w:pos="9638"/>
      </w:tabs>
      <w:rPr>
        <w:b/>
        <w:sz w:val="18"/>
        <w:lang w:val="en-US"/>
      </w:rPr>
    </w:pPr>
    <w:r>
      <w:rPr>
        <w:lang w:val="en-US"/>
      </w:rPr>
      <w:t>GE.21-12373</w:t>
    </w:r>
    <w:r>
      <w:rPr>
        <w:lang w:val="en-US"/>
      </w:rPr>
      <w:tab/>
    </w:r>
    <w:r w:rsidRPr="00296F45">
      <w:rPr>
        <w:b/>
        <w:sz w:val="18"/>
        <w:lang w:val="en-US"/>
      </w:rPr>
      <w:fldChar w:fldCharType="begin"/>
    </w:r>
    <w:r w:rsidRPr="00296F45">
      <w:rPr>
        <w:b/>
        <w:sz w:val="18"/>
        <w:lang w:val="en-US"/>
      </w:rPr>
      <w:instrText xml:space="preserve"> PAGE  \* MERGEFORMAT </w:instrText>
    </w:r>
    <w:r w:rsidRPr="00296F45">
      <w:rPr>
        <w:b/>
        <w:sz w:val="18"/>
        <w:lang w:val="en-US"/>
      </w:rPr>
      <w:fldChar w:fldCharType="separate"/>
    </w:r>
    <w:r w:rsidRPr="00296F45">
      <w:rPr>
        <w:b/>
        <w:noProof/>
        <w:sz w:val="18"/>
        <w:lang w:val="en-US"/>
      </w:rPr>
      <w:t>2</w:t>
    </w:r>
    <w:r w:rsidRPr="00296F4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DD344" w14:textId="4BF97525" w:rsidR="006959B0" w:rsidRPr="00296F45" w:rsidRDefault="00296F45" w:rsidP="00296F4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GE.21-12373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3112C" w14:textId="69E9EC0B" w:rsidR="00DE50B1" w:rsidRPr="00296F45" w:rsidRDefault="00296F45" w:rsidP="00296F4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31F0093" wp14:editId="6640209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21-12373 (A)</w:t>
    </w:r>
    <w:r>
      <w:rPr>
        <w:noProof/>
        <w:sz w:val="20"/>
        <w:lang w:val="en-US"/>
      </w:rPr>
      <w:drawing>
        <wp:anchor distT="0" distB="0" distL="114300" distR="114300" simplePos="0" relativeHeight="251659264" behindDoc="0" locked="0" layoutInCell="1" allowOverlap="1" wp14:anchorId="6D2519C2" wp14:editId="2D36F63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21F5F" w14:textId="77777777" w:rsidR="009261A8" w:rsidRPr="008A49D2" w:rsidRDefault="009261A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03F06CD" w14:textId="77777777" w:rsidR="009261A8" w:rsidRDefault="009261A8" w:rsidP="00656392">
      <w:pPr>
        <w:spacing w:line="240" w:lineRule="auto"/>
      </w:pPr>
      <w:r>
        <w:continuationSeparator/>
      </w:r>
    </w:p>
  </w:footnote>
  <w:footnote w:id="1">
    <w:p w14:paraId="7B92766A" w14:textId="513DBC93" w:rsidR="00CF7A23" w:rsidRPr="00CF7A23" w:rsidRDefault="00CF7A23" w:rsidP="00CF7A23">
      <w:pPr>
        <w:pStyle w:val="FootnoteText1"/>
        <w:rPr>
          <w:rtl/>
        </w:rPr>
      </w:pPr>
      <w:r w:rsidRPr="00CF7A23">
        <w:rPr>
          <w:sz w:val="20"/>
          <w:szCs w:val="20"/>
          <w:rtl/>
        </w:rPr>
        <w:t>*</w:t>
      </w:r>
      <w:r>
        <w:rPr>
          <w:rtl/>
        </w:rPr>
        <w:tab/>
      </w:r>
      <w:r w:rsidRPr="001256AF">
        <w:rPr>
          <w:rFonts w:ascii="Simplified Arabic" w:hAnsi="Simplified Arabic"/>
          <w:rtl/>
        </w:rPr>
        <w:t xml:space="preserve">اعتمدته اللجنة في دورتها </w:t>
      </w:r>
      <w:r w:rsidRPr="00477269">
        <w:rPr>
          <w:rFonts w:ascii="Simplified Arabic" w:hAnsi="Simplified Arabic"/>
          <w:rtl/>
        </w:rPr>
        <w:t>132</w:t>
      </w:r>
      <w:r w:rsidRPr="001256AF">
        <w:rPr>
          <w:rFonts w:ascii="Simplified Arabic" w:hAnsi="Simplified Arabic"/>
          <w:rtl/>
        </w:rPr>
        <w:t xml:space="preserve"> (</w:t>
      </w:r>
      <w:r w:rsidRPr="00477269">
        <w:rPr>
          <w:rFonts w:ascii="Simplified Arabic" w:hAnsi="Simplified Arabic"/>
          <w:rtl/>
        </w:rPr>
        <w:t>28</w:t>
      </w:r>
      <w:r w:rsidRPr="001256AF">
        <w:rPr>
          <w:rFonts w:ascii="Simplified Arabic" w:hAnsi="Simplified Arabic"/>
          <w:rtl/>
        </w:rPr>
        <w:t xml:space="preserve"> حزيران/يونيه - </w:t>
      </w:r>
      <w:r w:rsidRPr="00477269">
        <w:rPr>
          <w:rFonts w:ascii="Simplified Arabic" w:hAnsi="Simplified Arabic"/>
          <w:rtl/>
        </w:rPr>
        <w:t>23</w:t>
      </w:r>
      <w:r w:rsidRPr="001256AF">
        <w:rPr>
          <w:rFonts w:ascii="Simplified Arabic" w:hAnsi="Simplified Arabic"/>
          <w:rtl/>
        </w:rPr>
        <w:t xml:space="preserve"> تموز/يوليه </w:t>
      </w:r>
      <w:r w:rsidRPr="00477269">
        <w:rPr>
          <w:rFonts w:ascii="Simplified Arabic" w:hAnsi="Simplified Arabic"/>
          <w:rtl/>
        </w:rPr>
        <w:t>2021</w:t>
      </w:r>
      <w:r w:rsidRPr="001256AF">
        <w:rPr>
          <w:rFonts w:ascii="Simplified Arabic" w:hAnsi="Simplified Arabic"/>
          <w:rtl/>
        </w:rPr>
        <w:t>).</w:t>
      </w:r>
    </w:p>
  </w:footnote>
  <w:footnote w:id="2">
    <w:p w14:paraId="1A138281" w14:textId="656CC3CC" w:rsidR="00CF7A23" w:rsidRDefault="00CF7A23" w:rsidP="00CF7A23">
      <w:pPr>
        <w:pStyle w:val="FootnoteText1"/>
        <w:rPr>
          <w:rtl/>
          <w:lang w:bidi="ar-EG"/>
        </w:rPr>
      </w:pPr>
      <w:r w:rsidRPr="00CF7A23">
        <w:rPr>
          <w:rtl/>
        </w:rPr>
        <w:t>(</w:t>
      </w:r>
      <w:r w:rsidRPr="00477269">
        <w:rPr>
          <w:rStyle w:val="FootnoteReference"/>
          <w:vertAlign w:val="baseline"/>
        </w:rPr>
        <w:footnoteRef/>
      </w:r>
      <w:r w:rsidRPr="00CF7A23">
        <w:rPr>
          <w:rtl/>
        </w:rPr>
        <w:t>)</w:t>
      </w:r>
      <w:r>
        <w:rPr>
          <w:rtl/>
        </w:rPr>
        <w:tab/>
      </w:r>
      <w:r>
        <w:t>CCPR/C/LIE/</w:t>
      </w:r>
      <w:r w:rsidRPr="00477269">
        <w:t>2</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BC370" w14:textId="3D4EF747" w:rsidR="00296F45" w:rsidRPr="00296F45" w:rsidRDefault="00296F45" w:rsidP="00296F4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CCPR/C/132/2/Add.2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0F4A5" w14:textId="5F382151" w:rsidR="00296F45" w:rsidRPr="00296F45" w:rsidRDefault="00296F45" w:rsidP="00296F4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CCPR/C/132/2/Add.2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1A8"/>
    <w:rsid w:val="000076D5"/>
    <w:rsid w:val="00043663"/>
    <w:rsid w:val="000437B8"/>
    <w:rsid w:val="000505CF"/>
    <w:rsid w:val="000D701C"/>
    <w:rsid w:val="000E2A71"/>
    <w:rsid w:val="000F70BC"/>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6F45"/>
    <w:rsid w:val="002976C2"/>
    <w:rsid w:val="003068BC"/>
    <w:rsid w:val="0031338D"/>
    <w:rsid w:val="00325E51"/>
    <w:rsid w:val="003260FF"/>
    <w:rsid w:val="00343D95"/>
    <w:rsid w:val="00363A18"/>
    <w:rsid w:val="00374341"/>
    <w:rsid w:val="003D1062"/>
    <w:rsid w:val="00402051"/>
    <w:rsid w:val="00420D7B"/>
    <w:rsid w:val="00450B21"/>
    <w:rsid w:val="00453B63"/>
    <w:rsid w:val="00455780"/>
    <w:rsid w:val="004618D7"/>
    <w:rsid w:val="0046323F"/>
    <w:rsid w:val="00477269"/>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C6A4A"/>
    <w:rsid w:val="00852A9A"/>
    <w:rsid w:val="008A49D2"/>
    <w:rsid w:val="008F49E1"/>
    <w:rsid w:val="0090370F"/>
    <w:rsid w:val="009261A8"/>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075B"/>
    <w:rsid w:val="00C81B50"/>
    <w:rsid w:val="00C902EF"/>
    <w:rsid w:val="00CB0011"/>
    <w:rsid w:val="00CB6622"/>
    <w:rsid w:val="00CD1801"/>
    <w:rsid w:val="00CF56F9"/>
    <w:rsid w:val="00CF65C6"/>
    <w:rsid w:val="00CF7A23"/>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7A03A7"/>
  <w15:docId w15:val="{34F97503-E85C-43D0-9639-3D91E381B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LIE%2fCO%2f2%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C/LIE/CO/2&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CCPR/C/132/2/Add.2</vt:lpstr>
    </vt:vector>
  </TitlesOfParts>
  <Company>DCM</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CCPR/C/132/2/Add.2</dc:title>
  <dc:subject>GE.2112373(A)</dc:subject>
  <dc:creator>Muntaha BUHNAM - FMO</dc:creator>
  <cp:keywords>GE.2124434(A)</cp:keywords>
  <dc:description>Distr.: General
6 September 2021
Arabic
Original: English</dc:description>
  <cp:lastModifiedBy>Sayed Mohamed ALY</cp:lastModifiedBy>
  <cp:revision>2</cp:revision>
  <dcterms:created xsi:type="dcterms:W3CDTF">2021-10-26T13:17:00Z</dcterms:created>
  <dcterms:modified xsi:type="dcterms:W3CDTF">2021-10-26T13:17:00Z</dcterms:modified>
  <cp:category>Finale</cp:category>
</cp:coreProperties>
</file>