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Arial" w:hAnsi="Arial" w:cs="Arial"/>
                <w:b/>
                <w:sz w:val="72"/>
              </w:rPr>
            </w:pPr>
            <w:r>
              <w:rPr>
                <w:rFonts w:ascii="Arial" w:hAnsi="Arial" w:cs="Arial"/>
                <w:b/>
                <w:sz w:val="72"/>
              </w:rPr>
              <w:t>E</w:t>
            </w:r>
          </w:p>
        </w:tc>
      </w:tr>
      <w:tr w:rsidR="00000000">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000000" w:rsidRDefault="00000000">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18826408" r:id="rId8"/>
              </w:object>
            </w:r>
          </w:p>
        </w:tc>
        <w:tc>
          <w:tcPr>
            <w:tcW w:w="4252"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000000" w:rsidRDefault="00000000">
            <w:pPr>
              <w:spacing w:before="480" w:after="240"/>
            </w:pPr>
            <w:r>
              <w:t>Distr.</w:t>
            </w:r>
            <w:r>
              <w:br/>
              <w:t>GÉNÉRALE</w:t>
            </w:r>
          </w:p>
          <w:p w:rsidR="00000000" w:rsidRDefault="00000000">
            <w:pPr>
              <w:spacing w:after="240"/>
            </w:pPr>
            <w:r>
              <w:t>E/C.12/AUS/4</w:t>
            </w:r>
            <w:r>
              <w:br/>
              <w:t>7 janvier 2008</w:t>
            </w:r>
          </w:p>
          <w:p w:rsidR="00000000" w:rsidRDefault="00000000">
            <w:pPr>
              <w:spacing w:after="240"/>
            </w:pPr>
            <w:r>
              <w:t>FRANÇAIS</w:t>
            </w:r>
            <w:r>
              <w:br/>
              <w:t>Original: ANGLAIS</w:t>
            </w:r>
          </w:p>
        </w:tc>
      </w:tr>
    </w:tbl>
    <w:p w:rsidR="00000000" w:rsidRDefault="00000000">
      <w:pPr>
        <w:spacing w:before="120" w:after="720"/>
      </w:pPr>
      <w:r>
        <w:t>Session de fond de 2008</w:t>
      </w:r>
    </w:p>
    <w:p w:rsidR="00000000" w:rsidRDefault="00000000">
      <w:pPr>
        <w:spacing w:after="240"/>
        <w:jc w:val="center"/>
        <w:rPr>
          <w:b/>
          <w:bCs/>
        </w:rPr>
      </w:pPr>
      <w:r>
        <w:rPr>
          <w:b/>
          <w:bCs/>
        </w:rPr>
        <w:t>APPLICATION DU PACTE INTERNATIONAL RELATIF AUX DROITS</w:t>
      </w:r>
      <w:r>
        <w:rPr>
          <w:b/>
          <w:bCs/>
        </w:rPr>
        <w:br/>
        <w:t>ÉCONOMIQUES, SOCIAUX ET CULTURELS</w:t>
      </w:r>
    </w:p>
    <w:p w:rsidR="00000000" w:rsidRDefault="00000000">
      <w:pPr>
        <w:spacing w:after="240"/>
        <w:jc w:val="center"/>
        <w:rPr>
          <w:b/>
        </w:rPr>
      </w:pPr>
      <w:r>
        <w:rPr>
          <w:b/>
        </w:rPr>
        <w:t>Quatrièmes rapports périodiques présentés par les États parties</w:t>
      </w:r>
      <w:r>
        <w:rPr>
          <w:b/>
        </w:rPr>
        <w:br/>
        <w:t>en vertu des articles 16 et 17 du Pacte</w:t>
      </w:r>
    </w:p>
    <w:p w:rsidR="00000000" w:rsidRDefault="00000000">
      <w:pPr>
        <w:spacing w:after="240"/>
        <w:jc w:val="center"/>
      </w:pPr>
      <w:r>
        <w:rPr>
          <w:b/>
          <w:bCs/>
        </w:rPr>
        <w:t>AUSTRALIE</w:t>
      </w:r>
      <w:r>
        <w:rPr>
          <w:rStyle w:val="FootnoteReference"/>
        </w:rPr>
        <w:footnoteReference w:customMarkFollows="1" w:id="1"/>
        <w:t>*</w:t>
      </w:r>
    </w:p>
    <w:p w:rsidR="00000000" w:rsidRDefault="00000000">
      <w:pPr>
        <w:spacing w:after="240"/>
        <w:jc w:val="right"/>
      </w:pPr>
      <w:r>
        <w:t>[27 juin 2007]</w:t>
      </w:r>
    </w:p>
    <w:p w:rsidR="00000000" w:rsidRDefault="00000000">
      <w:pPr>
        <w:spacing w:after="240"/>
      </w:pPr>
      <w:r>
        <w:br w:type="page"/>
        <w:t>1.</w:t>
      </w:r>
      <w:r>
        <w:tab/>
        <w:t>Le Gouvernement australien a le plaisir de présenter au Comité des droits économiques, sociaux et culturels le quatrième rapport périodique de l</w:t>
      </w:r>
      <w:r>
        <w:rPr>
          <w:bCs/>
          <w:szCs w:val="24"/>
        </w:rPr>
        <w:t>’</w:t>
      </w:r>
      <w:r>
        <w:t>Australie en vertu du Pacte international relatif aux droits économiques, sociaux et culturels, conformément aux articles 16 et 17 du Pacte. Le Pacte a été signé par l</w:t>
      </w:r>
      <w:r>
        <w:rPr>
          <w:bCs/>
          <w:szCs w:val="24"/>
        </w:rPr>
        <w:t>’</w:t>
      </w:r>
      <w:r>
        <w:t>Australie le 18 décembre 1972 et ratifié le 10 décembre 1975; il est entré en vigueur le 10 mars 1976.</w:t>
      </w:r>
    </w:p>
    <w:p w:rsidR="00000000" w:rsidRDefault="00000000">
      <w:pPr>
        <w:spacing w:after="240"/>
      </w:pPr>
      <w:r>
        <w:t>2.</w:t>
      </w:r>
      <w:r>
        <w:tab/>
        <w:t>Le quatrième rapport périodique de l</w:t>
      </w:r>
      <w:r>
        <w:rPr>
          <w:bCs/>
          <w:szCs w:val="24"/>
        </w:rPr>
        <w:t>’</w:t>
      </w:r>
      <w:r>
        <w:t>Australie couvre la période allant de janvier 1998 à juin 2006.</w:t>
      </w:r>
    </w:p>
    <w:p w:rsidR="00000000" w:rsidRDefault="00000000">
      <w:pPr>
        <w:spacing w:after="240"/>
      </w:pPr>
      <w:r>
        <w:t>3.</w:t>
      </w:r>
      <w:r>
        <w:tab/>
        <w:t>Conformément au projet de directives relatives à un document de base commun publiées par le Haut-Commissariat des Nations Unies aux droits de l</w:t>
      </w:r>
      <w:r>
        <w:rPr>
          <w:bCs/>
          <w:szCs w:val="24"/>
        </w:rPr>
        <w:t>’</w:t>
      </w:r>
      <w:r>
        <w:t>homme en mai 2006 (HRI/MC/2006/3), l</w:t>
      </w:r>
      <w:r>
        <w:rPr>
          <w:bCs/>
          <w:szCs w:val="24"/>
        </w:rPr>
        <w:t>’</w:t>
      </w:r>
      <w:r>
        <w:t>Australie a fait figurer dans le document de base des questions qui sont communes à plusieurs ou à la totalité des principaux instruments relatifs aux droits de l</w:t>
      </w:r>
      <w:r>
        <w:rPr>
          <w:bCs/>
          <w:szCs w:val="24"/>
        </w:rPr>
        <w:t>’</w:t>
      </w:r>
      <w:r>
        <w:t>homme.</w:t>
      </w:r>
    </w:p>
    <w:p w:rsidR="00000000" w:rsidRDefault="00000000">
      <w:pPr>
        <w:spacing w:after="240"/>
      </w:pPr>
      <w:r>
        <w:t>4.</w:t>
      </w:r>
      <w:r>
        <w:tab/>
        <w:t>Le tableau 1 ci-après indique les passages du document de base qui traitent des dispositions du Pacte international relatif aux droits de l</w:t>
      </w:r>
      <w:r>
        <w:rPr>
          <w:bCs/>
          <w:szCs w:val="24"/>
        </w:rPr>
        <w:t>’</w:t>
      </w:r>
      <w:r>
        <w:t>homme. Le tableau 2 récapitule les suggestions et recommandations formulées par le Comité des droits économiques, sociaux et culturels au sujet du troisième rapport périodique présenté par l</w:t>
      </w:r>
      <w:r>
        <w:rPr>
          <w:bCs/>
          <w:szCs w:val="24"/>
        </w:rPr>
        <w:t>’</w:t>
      </w:r>
      <w:r>
        <w:t>Australie en vertu du Pacte, et indique les passages où ces suggestions et recommandations sont traitées dans le document de base.</w:t>
      </w:r>
    </w:p>
    <w:p w:rsidR="00000000" w:rsidRDefault="00000000">
      <w:pPr>
        <w:spacing w:after="240"/>
        <w:jc w:val="center"/>
      </w:pPr>
      <w:r>
        <w:t>Tableau 1.  Articles du Pacte international relatif aux droits économiques,</w:t>
      </w:r>
      <w:r>
        <w:br/>
        <w:t>sociaux et culturels traités dans le document de base</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4"/>
        <w:gridCol w:w="7323"/>
      </w:tblGrid>
      <w:tr w:rsidR="00000000">
        <w:trPr>
          <w:tblHeader/>
        </w:trPr>
        <w:tc>
          <w:tcPr>
            <w:tcW w:w="1951" w:type="dxa"/>
          </w:tcPr>
          <w:p w:rsidR="00000000" w:rsidRDefault="00000000">
            <w:pPr>
              <w:spacing w:before="60" w:after="60"/>
              <w:jc w:val="center"/>
              <w:rPr>
                <w:bCs/>
                <w:szCs w:val="24"/>
              </w:rPr>
            </w:pPr>
            <w:r>
              <w:rPr>
                <w:bCs/>
                <w:szCs w:val="24"/>
              </w:rPr>
              <w:t>Article</w:t>
            </w:r>
          </w:p>
        </w:tc>
        <w:tc>
          <w:tcPr>
            <w:tcW w:w="6571" w:type="dxa"/>
          </w:tcPr>
          <w:p w:rsidR="00000000" w:rsidRDefault="00000000">
            <w:pPr>
              <w:spacing w:before="60" w:after="60"/>
              <w:jc w:val="center"/>
              <w:rPr>
                <w:bCs/>
                <w:szCs w:val="24"/>
              </w:rPr>
            </w:pPr>
            <w:r>
              <w:rPr>
                <w:bCs/>
                <w:szCs w:val="24"/>
              </w:rPr>
              <w:t>Chapitres du document de base</w:t>
            </w:r>
          </w:p>
        </w:tc>
      </w:tr>
      <w:tr w:rsidR="00000000">
        <w:tc>
          <w:tcPr>
            <w:tcW w:w="1951" w:type="dxa"/>
            <w:tcBorders>
              <w:bottom w:val="single" w:sz="4" w:space="0" w:color="auto"/>
            </w:tcBorders>
          </w:tcPr>
          <w:p w:rsidR="00000000" w:rsidRDefault="00000000">
            <w:pPr>
              <w:spacing w:before="60" w:after="60"/>
              <w:jc w:val="center"/>
              <w:rPr>
                <w:bCs/>
                <w:szCs w:val="24"/>
              </w:rPr>
            </w:pPr>
            <w:r>
              <w:rPr>
                <w:bCs/>
                <w:szCs w:val="24"/>
              </w:rPr>
              <w:t>1</w:t>
            </w:r>
          </w:p>
        </w:tc>
        <w:tc>
          <w:tcPr>
            <w:tcW w:w="6571" w:type="dxa"/>
            <w:tcBorders>
              <w:bottom w:val="single" w:sz="4" w:space="0" w:color="auto"/>
            </w:tcBorders>
          </w:tcPr>
          <w:p w:rsidR="00000000" w:rsidRDefault="00000000">
            <w:pPr>
              <w:spacing w:before="60" w:after="60"/>
              <w:rPr>
                <w:bCs/>
                <w:szCs w:val="24"/>
              </w:rPr>
            </w:pPr>
            <w:r>
              <w:rPr>
                <w:bCs/>
                <w:szCs w:val="24"/>
              </w:rPr>
              <w:t>K.</w:t>
            </w:r>
            <w:r>
              <w:rPr>
                <w:bCs/>
                <w:szCs w:val="24"/>
              </w:rPr>
              <w:tab/>
              <w:t>Droit à l’autodétermination</w:t>
            </w:r>
          </w:p>
        </w:tc>
      </w:tr>
      <w:tr w:rsidR="00000000">
        <w:trPr>
          <w:trHeight w:val="300"/>
        </w:trPr>
        <w:tc>
          <w:tcPr>
            <w:tcW w:w="1951" w:type="dxa"/>
            <w:tcBorders>
              <w:bottom w:val="nil"/>
            </w:tcBorders>
          </w:tcPr>
          <w:p w:rsidR="00000000" w:rsidRDefault="00000000">
            <w:pPr>
              <w:spacing w:before="60" w:after="60"/>
              <w:jc w:val="center"/>
              <w:rPr>
                <w:bCs/>
                <w:szCs w:val="24"/>
              </w:rPr>
            </w:pPr>
            <w:r>
              <w:rPr>
                <w:bCs/>
                <w:szCs w:val="24"/>
              </w:rPr>
              <w:t>2</w:t>
            </w:r>
          </w:p>
        </w:tc>
        <w:tc>
          <w:tcPr>
            <w:tcW w:w="6571" w:type="dxa"/>
            <w:tcBorders>
              <w:bottom w:val="nil"/>
            </w:tcBorders>
          </w:tcPr>
          <w:p w:rsidR="00000000" w:rsidRDefault="00000000">
            <w:pPr>
              <w:spacing w:before="60" w:after="60"/>
              <w:rPr>
                <w:bCs/>
                <w:szCs w:val="24"/>
              </w:rPr>
            </w:pPr>
            <w:r>
              <w:rPr>
                <w:bCs/>
                <w:szCs w:val="24"/>
              </w:rPr>
              <w:t>G.</w:t>
            </w:r>
            <w:r>
              <w:rPr>
                <w:bCs/>
                <w:szCs w:val="24"/>
              </w:rPr>
              <w:tab/>
              <w:t>Non-discrimination et égalité</w:t>
            </w:r>
          </w:p>
        </w:tc>
      </w:tr>
      <w:tr w:rsidR="00000000">
        <w:trPr>
          <w:trHeight w:val="375"/>
        </w:trPr>
        <w:tc>
          <w:tcPr>
            <w:tcW w:w="1951" w:type="dxa"/>
            <w:tcBorders>
              <w:top w:val="nil"/>
              <w:bottom w:val="nil"/>
            </w:tcBorders>
          </w:tcPr>
          <w:p w:rsidR="00000000" w:rsidRDefault="00000000">
            <w:pPr>
              <w:spacing w:before="60" w:after="60"/>
              <w:jc w:val="center"/>
              <w:rPr>
                <w:bCs/>
                <w:szCs w:val="24"/>
              </w:rPr>
            </w:pPr>
          </w:p>
        </w:tc>
        <w:tc>
          <w:tcPr>
            <w:tcW w:w="6571" w:type="dxa"/>
            <w:tcBorders>
              <w:top w:val="nil"/>
              <w:bottom w:val="nil"/>
            </w:tcBorders>
          </w:tcPr>
          <w:p w:rsidR="00000000" w:rsidRDefault="00000000">
            <w:pPr>
              <w:spacing w:before="60" w:after="60"/>
              <w:rPr>
                <w:bCs/>
                <w:szCs w:val="24"/>
              </w:rPr>
            </w:pPr>
            <w:r>
              <w:rPr>
                <w:bCs/>
                <w:szCs w:val="24"/>
              </w:rPr>
              <w:t>W.</w:t>
            </w:r>
            <w:r>
              <w:rPr>
                <w:bCs/>
                <w:szCs w:val="24"/>
              </w:rPr>
              <w:tab/>
              <w:t>Droit à une nourriture, un vêtement et un logement suffisant</w:t>
            </w:r>
          </w:p>
        </w:tc>
      </w:tr>
      <w:tr w:rsidR="00000000">
        <w:trPr>
          <w:trHeight w:val="300"/>
        </w:trPr>
        <w:tc>
          <w:tcPr>
            <w:tcW w:w="1951" w:type="dxa"/>
            <w:tcBorders>
              <w:top w:val="nil"/>
              <w:bottom w:val="nil"/>
            </w:tcBorders>
          </w:tcPr>
          <w:p w:rsidR="00000000" w:rsidRDefault="00000000">
            <w:pPr>
              <w:spacing w:before="60" w:after="60"/>
              <w:jc w:val="center"/>
              <w:rPr>
                <w:bCs/>
                <w:szCs w:val="24"/>
              </w:rPr>
            </w:pPr>
          </w:p>
        </w:tc>
        <w:tc>
          <w:tcPr>
            <w:tcW w:w="6571" w:type="dxa"/>
            <w:tcBorders>
              <w:top w:val="nil"/>
              <w:bottom w:val="nil"/>
            </w:tcBorders>
          </w:tcPr>
          <w:p w:rsidR="00000000" w:rsidRDefault="00000000">
            <w:pPr>
              <w:spacing w:before="60" w:after="60"/>
              <w:rPr>
                <w:bCs/>
                <w:szCs w:val="24"/>
              </w:rPr>
            </w:pPr>
            <w:r>
              <w:rPr>
                <w:bCs/>
                <w:szCs w:val="24"/>
              </w:rPr>
              <w:t>X.</w:t>
            </w:r>
            <w:r>
              <w:rPr>
                <w:bCs/>
                <w:szCs w:val="24"/>
              </w:rPr>
              <w:tab/>
              <w:t>Droit de jouir du meilleur état de santé physique et mentale possible</w:t>
            </w:r>
          </w:p>
        </w:tc>
      </w:tr>
      <w:tr w:rsidR="00000000">
        <w:trPr>
          <w:trHeight w:val="420"/>
        </w:trPr>
        <w:tc>
          <w:tcPr>
            <w:tcW w:w="1951" w:type="dxa"/>
            <w:tcBorders>
              <w:top w:val="nil"/>
              <w:bottom w:val="single" w:sz="4" w:space="0" w:color="auto"/>
            </w:tcBorders>
          </w:tcPr>
          <w:p w:rsidR="00000000" w:rsidRDefault="00000000">
            <w:pPr>
              <w:spacing w:before="60" w:after="60"/>
              <w:jc w:val="center"/>
              <w:rPr>
                <w:bCs/>
                <w:szCs w:val="24"/>
              </w:rPr>
            </w:pPr>
          </w:p>
        </w:tc>
        <w:tc>
          <w:tcPr>
            <w:tcW w:w="6571" w:type="dxa"/>
            <w:tcBorders>
              <w:top w:val="nil"/>
              <w:bottom w:val="single" w:sz="4" w:space="0" w:color="auto"/>
            </w:tcBorders>
          </w:tcPr>
          <w:p w:rsidR="00000000" w:rsidRDefault="00000000">
            <w:pPr>
              <w:spacing w:before="60" w:after="60"/>
              <w:rPr>
                <w:bCs/>
                <w:szCs w:val="24"/>
              </w:rPr>
            </w:pPr>
            <w:r>
              <w:rPr>
                <w:bCs/>
                <w:szCs w:val="24"/>
              </w:rPr>
              <w:t>Y.</w:t>
            </w:r>
            <w:r>
              <w:rPr>
                <w:bCs/>
                <w:szCs w:val="24"/>
              </w:rPr>
              <w:tab/>
              <w:t>Droit à l’éducation, autres droits culturels</w:t>
            </w:r>
          </w:p>
        </w:tc>
      </w:tr>
      <w:tr w:rsidR="00000000">
        <w:trPr>
          <w:trHeight w:val="450"/>
        </w:trPr>
        <w:tc>
          <w:tcPr>
            <w:tcW w:w="1951" w:type="dxa"/>
            <w:tcBorders>
              <w:bottom w:val="nil"/>
            </w:tcBorders>
          </w:tcPr>
          <w:p w:rsidR="00000000" w:rsidRDefault="00000000">
            <w:pPr>
              <w:spacing w:before="60" w:after="60"/>
              <w:jc w:val="center"/>
              <w:rPr>
                <w:bCs/>
                <w:szCs w:val="24"/>
              </w:rPr>
            </w:pPr>
            <w:r>
              <w:rPr>
                <w:bCs/>
                <w:szCs w:val="24"/>
              </w:rPr>
              <w:t>3</w:t>
            </w:r>
          </w:p>
        </w:tc>
        <w:tc>
          <w:tcPr>
            <w:tcW w:w="6571" w:type="dxa"/>
            <w:tcBorders>
              <w:bottom w:val="nil"/>
            </w:tcBorders>
          </w:tcPr>
          <w:p w:rsidR="00000000" w:rsidRDefault="00000000">
            <w:pPr>
              <w:spacing w:before="60" w:after="60"/>
              <w:rPr>
                <w:bCs/>
                <w:szCs w:val="24"/>
              </w:rPr>
            </w:pPr>
            <w:r>
              <w:rPr>
                <w:bCs/>
                <w:szCs w:val="24"/>
              </w:rPr>
              <w:t>G.</w:t>
            </w:r>
            <w:r>
              <w:rPr>
                <w:bCs/>
                <w:szCs w:val="24"/>
              </w:rPr>
              <w:tab/>
              <w:t>Non-discrimination et égalité</w:t>
            </w:r>
          </w:p>
        </w:tc>
      </w:tr>
      <w:tr w:rsidR="00000000">
        <w:trPr>
          <w:trHeight w:val="300"/>
        </w:trPr>
        <w:tc>
          <w:tcPr>
            <w:tcW w:w="1951" w:type="dxa"/>
            <w:tcBorders>
              <w:top w:val="nil"/>
              <w:bottom w:val="nil"/>
            </w:tcBorders>
          </w:tcPr>
          <w:p w:rsidR="00000000" w:rsidRDefault="00000000">
            <w:pPr>
              <w:spacing w:before="60" w:after="60"/>
              <w:jc w:val="center"/>
              <w:rPr>
                <w:bCs/>
                <w:szCs w:val="24"/>
              </w:rPr>
            </w:pPr>
          </w:p>
        </w:tc>
        <w:tc>
          <w:tcPr>
            <w:tcW w:w="6571" w:type="dxa"/>
            <w:tcBorders>
              <w:top w:val="nil"/>
              <w:bottom w:val="nil"/>
            </w:tcBorders>
          </w:tcPr>
          <w:p w:rsidR="00000000" w:rsidRDefault="00000000">
            <w:pPr>
              <w:spacing w:before="60" w:after="60"/>
              <w:rPr>
                <w:bCs/>
                <w:szCs w:val="24"/>
              </w:rPr>
            </w:pPr>
            <w:r>
              <w:rPr>
                <w:bCs/>
                <w:szCs w:val="24"/>
              </w:rPr>
              <w:t>J.</w:t>
            </w:r>
            <w:r>
              <w:rPr>
                <w:bCs/>
                <w:szCs w:val="24"/>
              </w:rPr>
              <w:tab/>
              <w:t>Participation à la vie publique</w:t>
            </w:r>
          </w:p>
        </w:tc>
      </w:tr>
      <w:tr w:rsidR="00000000">
        <w:trPr>
          <w:trHeight w:val="555"/>
        </w:trPr>
        <w:tc>
          <w:tcPr>
            <w:tcW w:w="1951" w:type="dxa"/>
            <w:tcBorders>
              <w:top w:val="nil"/>
              <w:bottom w:val="nil"/>
            </w:tcBorders>
          </w:tcPr>
          <w:p w:rsidR="00000000" w:rsidRDefault="00000000">
            <w:pPr>
              <w:spacing w:before="60" w:after="60"/>
              <w:jc w:val="center"/>
              <w:rPr>
                <w:bCs/>
                <w:szCs w:val="24"/>
              </w:rPr>
            </w:pPr>
          </w:p>
        </w:tc>
        <w:tc>
          <w:tcPr>
            <w:tcW w:w="6571" w:type="dxa"/>
            <w:tcBorders>
              <w:top w:val="nil"/>
              <w:bottom w:val="nil"/>
            </w:tcBorders>
          </w:tcPr>
          <w:p w:rsidR="00000000" w:rsidRDefault="00000000">
            <w:pPr>
              <w:spacing w:before="60" w:after="60"/>
              <w:ind w:left="567" w:hanging="567"/>
              <w:rPr>
                <w:bCs/>
                <w:szCs w:val="24"/>
              </w:rPr>
            </w:pPr>
            <w:r>
              <w:rPr>
                <w:bCs/>
                <w:szCs w:val="24"/>
              </w:rPr>
              <w:t>R.</w:t>
            </w:r>
            <w:r>
              <w:rPr>
                <w:bCs/>
                <w:szCs w:val="24"/>
              </w:rPr>
              <w:tab/>
              <w:t>Droit de se marier et de fonder une famille et protection de la famille, des femmes et des enfants</w:t>
            </w:r>
          </w:p>
        </w:tc>
      </w:tr>
      <w:tr w:rsidR="00000000">
        <w:trPr>
          <w:trHeight w:val="360"/>
        </w:trPr>
        <w:tc>
          <w:tcPr>
            <w:tcW w:w="1951" w:type="dxa"/>
            <w:tcBorders>
              <w:top w:val="nil"/>
              <w:bottom w:val="nil"/>
            </w:tcBorders>
          </w:tcPr>
          <w:p w:rsidR="00000000" w:rsidRDefault="00000000">
            <w:pPr>
              <w:spacing w:before="60" w:after="60"/>
              <w:jc w:val="center"/>
              <w:rPr>
                <w:bCs/>
                <w:szCs w:val="24"/>
              </w:rPr>
            </w:pPr>
          </w:p>
        </w:tc>
        <w:tc>
          <w:tcPr>
            <w:tcW w:w="6571" w:type="dxa"/>
            <w:tcBorders>
              <w:top w:val="nil"/>
              <w:bottom w:val="nil"/>
            </w:tcBorders>
          </w:tcPr>
          <w:p w:rsidR="00000000" w:rsidRDefault="00000000">
            <w:pPr>
              <w:spacing w:before="60" w:after="60"/>
              <w:rPr>
                <w:bCs/>
                <w:szCs w:val="24"/>
              </w:rPr>
            </w:pPr>
            <w:r>
              <w:rPr>
                <w:bCs/>
                <w:szCs w:val="24"/>
              </w:rPr>
              <w:t>S.</w:t>
            </w:r>
            <w:r>
              <w:rPr>
                <w:bCs/>
                <w:szCs w:val="24"/>
              </w:rPr>
              <w:tab/>
              <w:t>Droit au travail</w:t>
            </w:r>
          </w:p>
        </w:tc>
      </w:tr>
      <w:tr w:rsidR="00000000">
        <w:trPr>
          <w:trHeight w:val="435"/>
        </w:trPr>
        <w:tc>
          <w:tcPr>
            <w:tcW w:w="1951" w:type="dxa"/>
            <w:tcBorders>
              <w:top w:val="nil"/>
              <w:bottom w:val="nil"/>
            </w:tcBorders>
          </w:tcPr>
          <w:p w:rsidR="00000000" w:rsidRDefault="00000000">
            <w:pPr>
              <w:spacing w:before="60" w:after="60"/>
              <w:jc w:val="center"/>
              <w:rPr>
                <w:bCs/>
                <w:szCs w:val="24"/>
              </w:rPr>
            </w:pPr>
          </w:p>
        </w:tc>
        <w:tc>
          <w:tcPr>
            <w:tcW w:w="6571" w:type="dxa"/>
            <w:tcBorders>
              <w:top w:val="nil"/>
              <w:bottom w:val="nil"/>
            </w:tcBorders>
          </w:tcPr>
          <w:p w:rsidR="00000000" w:rsidRDefault="00000000">
            <w:pPr>
              <w:spacing w:before="60" w:after="60"/>
              <w:rPr>
                <w:bCs/>
                <w:szCs w:val="24"/>
              </w:rPr>
            </w:pPr>
            <w:r>
              <w:rPr>
                <w:bCs/>
                <w:szCs w:val="24"/>
              </w:rPr>
              <w:t>T.</w:t>
            </w:r>
            <w:r>
              <w:rPr>
                <w:bCs/>
                <w:szCs w:val="24"/>
              </w:rPr>
              <w:tab/>
              <w:t xml:space="preserve">Droit à des conditions de travail justes et favorables </w:t>
            </w:r>
          </w:p>
        </w:tc>
      </w:tr>
      <w:tr w:rsidR="00000000">
        <w:trPr>
          <w:trHeight w:val="330"/>
        </w:trPr>
        <w:tc>
          <w:tcPr>
            <w:tcW w:w="1951" w:type="dxa"/>
            <w:tcBorders>
              <w:top w:val="nil"/>
              <w:bottom w:val="nil"/>
            </w:tcBorders>
          </w:tcPr>
          <w:p w:rsidR="00000000" w:rsidRDefault="00000000">
            <w:pPr>
              <w:spacing w:before="60" w:after="60"/>
              <w:jc w:val="center"/>
              <w:rPr>
                <w:bCs/>
                <w:szCs w:val="24"/>
              </w:rPr>
            </w:pPr>
          </w:p>
        </w:tc>
        <w:tc>
          <w:tcPr>
            <w:tcW w:w="6571" w:type="dxa"/>
            <w:tcBorders>
              <w:top w:val="nil"/>
              <w:bottom w:val="nil"/>
            </w:tcBorders>
          </w:tcPr>
          <w:p w:rsidR="00000000" w:rsidRDefault="00000000">
            <w:pPr>
              <w:spacing w:before="60" w:after="60"/>
              <w:rPr>
                <w:bCs/>
                <w:szCs w:val="24"/>
              </w:rPr>
            </w:pPr>
            <w:r>
              <w:rPr>
                <w:bCs/>
                <w:szCs w:val="24"/>
              </w:rPr>
              <w:t>X.</w:t>
            </w:r>
            <w:r>
              <w:rPr>
                <w:bCs/>
                <w:szCs w:val="24"/>
              </w:rPr>
              <w:tab/>
              <w:t xml:space="preserve">Droit de jouir du meilleur état de santé physique et mentale possible </w:t>
            </w:r>
          </w:p>
        </w:tc>
      </w:tr>
      <w:tr w:rsidR="00000000">
        <w:trPr>
          <w:trHeight w:val="390"/>
        </w:trPr>
        <w:tc>
          <w:tcPr>
            <w:tcW w:w="1951" w:type="dxa"/>
            <w:tcBorders>
              <w:top w:val="nil"/>
            </w:tcBorders>
          </w:tcPr>
          <w:p w:rsidR="00000000" w:rsidRDefault="00000000">
            <w:pPr>
              <w:spacing w:before="60" w:after="60"/>
              <w:jc w:val="center"/>
              <w:rPr>
                <w:bCs/>
                <w:szCs w:val="24"/>
              </w:rPr>
            </w:pPr>
          </w:p>
        </w:tc>
        <w:tc>
          <w:tcPr>
            <w:tcW w:w="6571" w:type="dxa"/>
            <w:tcBorders>
              <w:top w:val="nil"/>
            </w:tcBorders>
          </w:tcPr>
          <w:p w:rsidR="00000000" w:rsidRDefault="00000000">
            <w:pPr>
              <w:spacing w:before="60" w:after="60"/>
              <w:rPr>
                <w:bCs/>
                <w:szCs w:val="24"/>
              </w:rPr>
            </w:pPr>
            <w:r>
              <w:rPr>
                <w:bCs/>
                <w:szCs w:val="24"/>
              </w:rPr>
              <w:t>Y.</w:t>
            </w:r>
            <w:r>
              <w:rPr>
                <w:bCs/>
                <w:szCs w:val="24"/>
              </w:rPr>
              <w:tab/>
              <w:t>Droit à l’éducation et autres droits culturels</w:t>
            </w:r>
          </w:p>
        </w:tc>
      </w:tr>
      <w:tr w:rsidR="00000000">
        <w:tc>
          <w:tcPr>
            <w:tcW w:w="1951" w:type="dxa"/>
          </w:tcPr>
          <w:p w:rsidR="00000000" w:rsidRDefault="00000000">
            <w:pPr>
              <w:spacing w:before="60" w:after="60"/>
              <w:jc w:val="center"/>
              <w:rPr>
                <w:bCs/>
                <w:szCs w:val="24"/>
              </w:rPr>
            </w:pPr>
            <w:r>
              <w:rPr>
                <w:bCs/>
                <w:szCs w:val="24"/>
              </w:rPr>
              <w:t>4</w:t>
            </w:r>
          </w:p>
        </w:tc>
        <w:tc>
          <w:tcPr>
            <w:tcW w:w="6571" w:type="dxa"/>
          </w:tcPr>
          <w:p w:rsidR="00000000" w:rsidRDefault="00000000">
            <w:pPr>
              <w:spacing w:before="60" w:after="60"/>
              <w:ind w:left="567" w:hanging="567"/>
              <w:rPr>
                <w:bCs/>
                <w:szCs w:val="24"/>
              </w:rPr>
            </w:pPr>
            <w:bookmarkStart w:id="0" w:name="_Toc89515023"/>
            <w:bookmarkStart w:id="1" w:name="_Toc89515215"/>
            <w:bookmarkStart w:id="2" w:name="_Toc89515287"/>
            <w:bookmarkStart w:id="3" w:name="_Toc91042313"/>
            <w:r>
              <w:rPr>
                <w:bCs/>
                <w:szCs w:val="24"/>
              </w:rPr>
              <w:t>D.</w:t>
            </w:r>
            <w:r>
              <w:rPr>
                <w:bCs/>
                <w:szCs w:val="24"/>
              </w:rPr>
              <w:tab/>
              <w:t xml:space="preserve">Cadre juridique général de protection des droits de l’homme au niveau national </w:t>
            </w:r>
            <w:bookmarkEnd w:id="0"/>
            <w:bookmarkEnd w:id="1"/>
            <w:bookmarkEnd w:id="2"/>
            <w:bookmarkEnd w:id="3"/>
          </w:p>
        </w:tc>
      </w:tr>
      <w:tr w:rsidR="00000000">
        <w:tc>
          <w:tcPr>
            <w:tcW w:w="1951" w:type="dxa"/>
          </w:tcPr>
          <w:p w:rsidR="00000000" w:rsidRDefault="00000000">
            <w:pPr>
              <w:spacing w:before="60" w:after="60"/>
              <w:jc w:val="center"/>
              <w:rPr>
                <w:bCs/>
                <w:szCs w:val="24"/>
              </w:rPr>
            </w:pPr>
            <w:r>
              <w:rPr>
                <w:bCs/>
                <w:szCs w:val="24"/>
              </w:rPr>
              <w:t>5</w:t>
            </w:r>
          </w:p>
        </w:tc>
        <w:tc>
          <w:tcPr>
            <w:tcW w:w="6571" w:type="dxa"/>
          </w:tcPr>
          <w:p w:rsidR="00000000" w:rsidRDefault="00000000">
            <w:pPr>
              <w:spacing w:before="60" w:after="60"/>
              <w:ind w:left="567" w:hanging="567"/>
              <w:rPr>
                <w:bCs/>
                <w:szCs w:val="24"/>
              </w:rPr>
            </w:pPr>
            <w:r>
              <w:rPr>
                <w:bCs/>
                <w:szCs w:val="24"/>
              </w:rPr>
              <w:t>D.</w:t>
            </w:r>
            <w:r>
              <w:rPr>
                <w:bCs/>
                <w:szCs w:val="24"/>
              </w:rPr>
              <w:tab/>
              <w:t>Cadre juridique général de protection des droits de l’homme au niveau national</w:t>
            </w:r>
          </w:p>
        </w:tc>
      </w:tr>
      <w:tr w:rsidR="00000000">
        <w:tc>
          <w:tcPr>
            <w:tcW w:w="1951" w:type="dxa"/>
          </w:tcPr>
          <w:p w:rsidR="00000000" w:rsidRDefault="00000000">
            <w:pPr>
              <w:spacing w:before="60" w:after="60"/>
              <w:jc w:val="center"/>
              <w:rPr>
                <w:bCs/>
                <w:szCs w:val="24"/>
              </w:rPr>
            </w:pPr>
            <w:r>
              <w:rPr>
                <w:bCs/>
                <w:szCs w:val="24"/>
              </w:rPr>
              <w:t>6</w:t>
            </w:r>
          </w:p>
        </w:tc>
        <w:tc>
          <w:tcPr>
            <w:tcW w:w="6571" w:type="dxa"/>
          </w:tcPr>
          <w:p w:rsidR="00000000" w:rsidRDefault="00000000">
            <w:pPr>
              <w:spacing w:before="60" w:after="60"/>
              <w:rPr>
                <w:bCs/>
                <w:szCs w:val="24"/>
              </w:rPr>
            </w:pPr>
            <w:r>
              <w:rPr>
                <w:bCs/>
                <w:szCs w:val="24"/>
              </w:rPr>
              <w:t>S.</w:t>
            </w:r>
            <w:r>
              <w:rPr>
                <w:bCs/>
                <w:szCs w:val="24"/>
              </w:rPr>
              <w:tab/>
              <w:t>Droit au travail</w:t>
            </w:r>
          </w:p>
        </w:tc>
      </w:tr>
      <w:tr w:rsidR="00000000">
        <w:tc>
          <w:tcPr>
            <w:tcW w:w="1951" w:type="dxa"/>
          </w:tcPr>
          <w:p w:rsidR="00000000" w:rsidRDefault="00000000">
            <w:pPr>
              <w:spacing w:before="60" w:after="60"/>
              <w:jc w:val="center"/>
              <w:rPr>
                <w:bCs/>
                <w:szCs w:val="24"/>
              </w:rPr>
            </w:pPr>
            <w:r>
              <w:rPr>
                <w:bCs/>
                <w:szCs w:val="24"/>
              </w:rPr>
              <w:t>7</w:t>
            </w:r>
          </w:p>
        </w:tc>
        <w:tc>
          <w:tcPr>
            <w:tcW w:w="6571" w:type="dxa"/>
          </w:tcPr>
          <w:p w:rsidR="00000000" w:rsidRDefault="00000000">
            <w:pPr>
              <w:spacing w:before="60" w:after="60"/>
              <w:rPr>
                <w:bCs/>
                <w:szCs w:val="24"/>
              </w:rPr>
            </w:pPr>
            <w:r>
              <w:rPr>
                <w:bCs/>
                <w:szCs w:val="24"/>
              </w:rPr>
              <w:t>T.</w:t>
            </w:r>
            <w:r>
              <w:rPr>
                <w:bCs/>
                <w:szCs w:val="24"/>
              </w:rPr>
              <w:tab/>
              <w:t xml:space="preserve">Droit à des conditions de travail justes et favorables </w:t>
            </w:r>
          </w:p>
        </w:tc>
      </w:tr>
      <w:tr w:rsidR="00000000">
        <w:tc>
          <w:tcPr>
            <w:tcW w:w="1951" w:type="dxa"/>
          </w:tcPr>
          <w:p w:rsidR="00000000" w:rsidRDefault="00000000">
            <w:pPr>
              <w:spacing w:before="60" w:after="60"/>
              <w:jc w:val="center"/>
              <w:rPr>
                <w:bCs/>
                <w:szCs w:val="24"/>
              </w:rPr>
            </w:pPr>
            <w:r>
              <w:rPr>
                <w:bCs/>
                <w:szCs w:val="24"/>
              </w:rPr>
              <w:t>8</w:t>
            </w:r>
          </w:p>
        </w:tc>
        <w:tc>
          <w:tcPr>
            <w:tcW w:w="6571" w:type="dxa"/>
          </w:tcPr>
          <w:p w:rsidR="00000000" w:rsidRDefault="00000000">
            <w:pPr>
              <w:spacing w:before="60" w:after="60"/>
              <w:rPr>
                <w:bCs/>
                <w:szCs w:val="24"/>
              </w:rPr>
            </w:pPr>
            <w:r>
              <w:rPr>
                <w:bCs/>
                <w:szCs w:val="24"/>
              </w:rPr>
              <w:t>U.</w:t>
            </w:r>
            <w:r>
              <w:rPr>
                <w:bCs/>
                <w:szCs w:val="24"/>
              </w:rPr>
              <w:tab/>
              <w:t>Droits syndicaux</w:t>
            </w:r>
          </w:p>
        </w:tc>
      </w:tr>
      <w:tr w:rsidR="00000000">
        <w:tc>
          <w:tcPr>
            <w:tcW w:w="1951" w:type="dxa"/>
          </w:tcPr>
          <w:p w:rsidR="00000000" w:rsidRDefault="00000000">
            <w:pPr>
              <w:spacing w:before="60" w:after="60"/>
              <w:jc w:val="center"/>
              <w:rPr>
                <w:bCs/>
                <w:szCs w:val="24"/>
              </w:rPr>
            </w:pPr>
            <w:r>
              <w:rPr>
                <w:bCs/>
                <w:szCs w:val="24"/>
              </w:rPr>
              <w:t>9</w:t>
            </w:r>
          </w:p>
        </w:tc>
        <w:tc>
          <w:tcPr>
            <w:tcW w:w="6571" w:type="dxa"/>
          </w:tcPr>
          <w:p w:rsidR="00000000" w:rsidRDefault="00000000">
            <w:pPr>
              <w:spacing w:before="60" w:after="60"/>
              <w:rPr>
                <w:bCs/>
                <w:szCs w:val="24"/>
              </w:rPr>
            </w:pPr>
            <w:r>
              <w:rPr>
                <w:bCs/>
                <w:szCs w:val="24"/>
              </w:rPr>
              <w:t>V.</w:t>
            </w:r>
            <w:r>
              <w:rPr>
                <w:bCs/>
                <w:szCs w:val="24"/>
              </w:rPr>
              <w:tab/>
              <w:t>Droit à la sécurité sociale</w:t>
            </w:r>
          </w:p>
        </w:tc>
      </w:tr>
      <w:tr w:rsidR="00000000">
        <w:tc>
          <w:tcPr>
            <w:tcW w:w="1951" w:type="dxa"/>
          </w:tcPr>
          <w:p w:rsidR="00000000" w:rsidRDefault="00000000">
            <w:pPr>
              <w:spacing w:before="60" w:after="60"/>
              <w:jc w:val="center"/>
              <w:rPr>
                <w:bCs/>
                <w:szCs w:val="24"/>
              </w:rPr>
            </w:pPr>
            <w:r>
              <w:rPr>
                <w:bCs/>
                <w:szCs w:val="24"/>
              </w:rPr>
              <w:t>10</w:t>
            </w:r>
          </w:p>
        </w:tc>
        <w:tc>
          <w:tcPr>
            <w:tcW w:w="6571" w:type="dxa"/>
          </w:tcPr>
          <w:p w:rsidR="00000000" w:rsidRDefault="00000000">
            <w:pPr>
              <w:spacing w:before="60" w:after="60"/>
              <w:ind w:left="567" w:hanging="567"/>
              <w:rPr>
                <w:bCs/>
                <w:szCs w:val="24"/>
              </w:rPr>
            </w:pPr>
            <w:r>
              <w:rPr>
                <w:bCs/>
                <w:szCs w:val="24"/>
              </w:rPr>
              <w:t>R.</w:t>
            </w:r>
            <w:r>
              <w:rPr>
                <w:bCs/>
                <w:szCs w:val="24"/>
              </w:rPr>
              <w:tab/>
              <w:t>Droit de se marier et de fonder une famille et protection de la famille, des femmes et des enfants</w:t>
            </w:r>
          </w:p>
        </w:tc>
      </w:tr>
      <w:tr w:rsidR="00000000">
        <w:tc>
          <w:tcPr>
            <w:tcW w:w="1951" w:type="dxa"/>
          </w:tcPr>
          <w:p w:rsidR="00000000" w:rsidRDefault="00000000">
            <w:pPr>
              <w:spacing w:before="60" w:after="60"/>
              <w:jc w:val="center"/>
              <w:rPr>
                <w:bCs/>
                <w:szCs w:val="24"/>
              </w:rPr>
            </w:pPr>
            <w:r>
              <w:rPr>
                <w:bCs/>
                <w:szCs w:val="24"/>
              </w:rPr>
              <w:t>11</w:t>
            </w:r>
          </w:p>
        </w:tc>
        <w:tc>
          <w:tcPr>
            <w:tcW w:w="6571" w:type="dxa"/>
          </w:tcPr>
          <w:p w:rsidR="00000000" w:rsidRDefault="00000000">
            <w:pPr>
              <w:spacing w:before="60" w:after="60"/>
              <w:rPr>
                <w:bCs/>
                <w:szCs w:val="24"/>
              </w:rPr>
            </w:pPr>
            <w:r>
              <w:rPr>
                <w:bCs/>
                <w:szCs w:val="24"/>
              </w:rPr>
              <w:t>W.</w:t>
            </w:r>
            <w:r>
              <w:rPr>
                <w:bCs/>
                <w:szCs w:val="24"/>
              </w:rPr>
              <w:tab/>
              <w:t>Droit à une nourriture, un vêtement et un logement suffisant</w:t>
            </w:r>
          </w:p>
        </w:tc>
      </w:tr>
      <w:tr w:rsidR="00000000">
        <w:tc>
          <w:tcPr>
            <w:tcW w:w="1951" w:type="dxa"/>
          </w:tcPr>
          <w:p w:rsidR="00000000" w:rsidRDefault="00000000">
            <w:pPr>
              <w:spacing w:before="60" w:after="60"/>
              <w:jc w:val="center"/>
              <w:rPr>
                <w:bCs/>
                <w:szCs w:val="24"/>
              </w:rPr>
            </w:pPr>
            <w:r>
              <w:rPr>
                <w:bCs/>
                <w:szCs w:val="24"/>
              </w:rPr>
              <w:t>12</w:t>
            </w:r>
          </w:p>
        </w:tc>
        <w:tc>
          <w:tcPr>
            <w:tcW w:w="6571" w:type="dxa"/>
          </w:tcPr>
          <w:p w:rsidR="00000000" w:rsidRDefault="00000000">
            <w:pPr>
              <w:spacing w:before="60" w:after="60"/>
              <w:rPr>
                <w:bCs/>
                <w:szCs w:val="24"/>
              </w:rPr>
            </w:pPr>
            <w:r>
              <w:rPr>
                <w:bCs/>
                <w:szCs w:val="24"/>
              </w:rPr>
              <w:t>X.</w:t>
            </w:r>
            <w:r>
              <w:rPr>
                <w:bCs/>
                <w:szCs w:val="24"/>
              </w:rPr>
              <w:tab/>
              <w:t>Droit de jouir du meilleur état de santé physique et mentale possible</w:t>
            </w:r>
          </w:p>
        </w:tc>
      </w:tr>
      <w:tr w:rsidR="00000000">
        <w:tc>
          <w:tcPr>
            <w:tcW w:w="1951" w:type="dxa"/>
          </w:tcPr>
          <w:p w:rsidR="00000000" w:rsidRDefault="00000000">
            <w:pPr>
              <w:spacing w:before="60" w:after="60"/>
              <w:jc w:val="center"/>
              <w:rPr>
                <w:bCs/>
                <w:szCs w:val="24"/>
              </w:rPr>
            </w:pPr>
            <w:r>
              <w:rPr>
                <w:bCs/>
                <w:szCs w:val="24"/>
              </w:rPr>
              <w:t>13</w:t>
            </w:r>
          </w:p>
        </w:tc>
        <w:tc>
          <w:tcPr>
            <w:tcW w:w="6571" w:type="dxa"/>
          </w:tcPr>
          <w:p w:rsidR="00000000" w:rsidRDefault="00000000">
            <w:pPr>
              <w:spacing w:before="60" w:after="60"/>
              <w:rPr>
                <w:bCs/>
                <w:szCs w:val="24"/>
              </w:rPr>
            </w:pPr>
            <w:r>
              <w:rPr>
                <w:bCs/>
                <w:szCs w:val="24"/>
              </w:rPr>
              <w:t>Y.</w:t>
            </w:r>
            <w:r>
              <w:rPr>
                <w:bCs/>
                <w:szCs w:val="24"/>
              </w:rPr>
              <w:tab/>
              <w:t>Droit à l’éducation et autres droits culturels</w:t>
            </w:r>
          </w:p>
        </w:tc>
      </w:tr>
      <w:tr w:rsidR="00000000">
        <w:tc>
          <w:tcPr>
            <w:tcW w:w="1951" w:type="dxa"/>
          </w:tcPr>
          <w:p w:rsidR="00000000" w:rsidRDefault="00000000">
            <w:pPr>
              <w:spacing w:before="60" w:after="60"/>
              <w:jc w:val="center"/>
              <w:rPr>
                <w:bCs/>
                <w:szCs w:val="24"/>
              </w:rPr>
            </w:pPr>
            <w:r>
              <w:rPr>
                <w:bCs/>
                <w:szCs w:val="24"/>
              </w:rPr>
              <w:t>14</w:t>
            </w:r>
          </w:p>
        </w:tc>
        <w:tc>
          <w:tcPr>
            <w:tcW w:w="6571" w:type="dxa"/>
          </w:tcPr>
          <w:p w:rsidR="00000000" w:rsidRDefault="00000000">
            <w:pPr>
              <w:spacing w:before="60" w:after="60"/>
              <w:rPr>
                <w:bCs/>
                <w:szCs w:val="24"/>
              </w:rPr>
            </w:pPr>
            <w:r>
              <w:rPr>
                <w:bCs/>
                <w:szCs w:val="24"/>
              </w:rPr>
              <w:t>Y.</w:t>
            </w:r>
            <w:r>
              <w:rPr>
                <w:bCs/>
                <w:szCs w:val="24"/>
              </w:rPr>
              <w:tab/>
              <w:t>Droit à l’éducation et autres droits culturels</w:t>
            </w:r>
          </w:p>
        </w:tc>
      </w:tr>
      <w:tr w:rsidR="00000000">
        <w:tc>
          <w:tcPr>
            <w:tcW w:w="1951" w:type="dxa"/>
          </w:tcPr>
          <w:p w:rsidR="00000000" w:rsidRDefault="00000000">
            <w:pPr>
              <w:spacing w:before="60" w:after="60"/>
              <w:jc w:val="center"/>
              <w:rPr>
                <w:bCs/>
                <w:szCs w:val="24"/>
              </w:rPr>
            </w:pPr>
            <w:r>
              <w:rPr>
                <w:bCs/>
                <w:szCs w:val="24"/>
              </w:rPr>
              <w:t>15</w:t>
            </w:r>
          </w:p>
        </w:tc>
        <w:tc>
          <w:tcPr>
            <w:tcW w:w="6571" w:type="dxa"/>
          </w:tcPr>
          <w:p w:rsidR="00000000" w:rsidRDefault="00000000">
            <w:pPr>
              <w:spacing w:before="60" w:after="60"/>
              <w:rPr>
                <w:bCs/>
                <w:szCs w:val="24"/>
              </w:rPr>
            </w:pPr>
            <w:r>
              <w:rPr>
                <w:bCs/>
                <w:szCs w:val="24"/>
              </w:rPr>
              <w:t>Y.</w:t>
            </w:r>
            <w:r>
              <w:rPr>
                <w:bCs/>
                <w:szCs w:val="24"/>
              </w:rPr>
              <w:tab/>
              <w:t>Droit à l’éducation et autres droits culturels</w:t>
            </w:r>
          </w:p>
        </w:tc>
      </w:tr>
    </w:tbl>
    <w:p w:rsidR="00000000" w:rsidRDefault="00000000">
      <w:pPr>
        <w:spacing w:before="240" w:after="240"/>
        <w:jc w:val="center"/>
      </w:pPr>
      <w:r>
        <w:t xml:space="preserve">Tableau 2.  Observations finales du Comité des droits économiques, </w:t>
      </w:r>
      <w:r>
        <w:br/>
        <w:t xml:space="preserve">sociaux et culturels concernant le troisième rapport périodique </w:t>
      </w:r>
      <w:r>
        <w:br/>
        <w:t>présenté par l’Australie au titre du Pacte</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60"/>
        <w:gridCol w:w="4637"/>
      </w:tblGrid>
      <w:tr w:rsidR="00000000">
        <w:trPr>
          <w:tblHeader/>
        </w:trPr>
        <w:tc>
          <w:tcPr>
            <w:tcW w:w="4361" w:type="dxa"/>
          </w:tcPr>
          <w:p w:rsidR="00000000" w:rsidRDefault="00000000">
            <w:pPr>
              <w:spacing w:before="60" w:after="60"/>
              <w:jc w:val="center"/>
              <w:rPr>
                <w:bCs/>
                <w:szCs w:val="24"/>
              </w:rPr>
            </w:pPr>
            <w:r>
              <w:rPr>
                <w:bCs/>
                <w:szCs w:val="24"/>
              </w:rPr>
              <w:t>Observations finales</w:t>
            </w:r>
            <w:r>
              <w:rPr>
                <w:rStyle w:val="FootnoteReference"/>
                <w:bCs/>
                <w:szCs w:val="24"/>
              </w:rPr>
              <w:footnoteReference w:id="2"/>
              <w:t>*</w:t>
            </w:r>
          </w:p>
        </w:tc>
        <w:tc>
          <w:tcPr>
            <w:tcW w:w="4161" w:type="dxa"/>
          </w:tcPr>
          <w:p w:rsidR="00000000" w:rsidRDefault="00000000">
            <w:pPr>
              <w:spacing w:before="60" w:after="60"/>
              <w:jc w:val="center"/>
              <w:rPr>
                <w:bCs/>
                <w:szCs w:val="24"/>
              </w:rPr>
            </w:pPr>
            <w:r>
              <w:rPr>
                <w:bCs/>
                <w:szCs w:val="24"/>
              </w:rPr>
              <w:t>Chapitre du document de base</w:t>
            </w:r>
          </w:p>
        </w:tc>
      </w:tr>
      <w:tr w:rsidR="00000000">
        <w:tc>
          <w:tcPr>
            <w:tcW w:w="4361" w:type="dxa"/>
          </w:tcPr>
          <w:p w:rsidR="00000000" w:rsidRDefault="00000000">
            <w:pPr>
              <w:spacing w:before="60" w:after="60"/>
              <w:rPr>
                <w:bCs/>
                <w:iCs/>
                <w:szCs w:val="24"/>
              </w:rPr>
            </w:pPr>
            <w:r>
              <w:rPr>
                <w:bCs/>
                <w:iCs/>
                <w:szCs w:val="24"/>
              </w:rPr>
              <w:t>Le Comité recommande vivement à l’État partie d’incorporer le Pacte dans sa législation afin que ses dispositions puissent être invoquées devant les tribunaux nationaux. Il prie instamment l’État partie de veiller à ce qu’il n’y ait aucun conflit entre le droit du Commonwealth et le droit national à cet égard. Il l’encourage à se conformer à la position prise par la Haute Cour en ce qui concerne «les attentes légitimes» nées de la ratification du Pacte.</w:t>
            </w:r>
          </w:p>
        </w:tc>
        <w:tc>
          <w:tcPr>
            <w:tcW w:w="4161" w:type="dxa"/>
          </w:tcPr>
          <w:p w:rsidR="00000000" w:rsidRDefault="00000000">
            <w:pPr>
              <w:spacing w:before="60" w:after="60"/>
              <w:ind w:left="567" w:hanging="567"/>
              <w:rPr>
                <w:bCs/>
                <w:iCs/>
                <w:szCs w:val="24"/>
              </w:rPr>
            </w:pPr>
            <w:r>
              <w:rPr>
                <w:bCs/>
                <w:szCs w:val="24"/>
              </w:rPr>
              <w:t>D.</w:t>
            </w:r>
            <w:r>
              <w:rPr>
                <w:bCs/>
                <w:szCs w:val="24"/>
              </w:rPr>
              <w:tab/>
              <w:t>Cadre juridique général de protection des droits de l’homme au niveau national</w:t>
            </w:r>
          </w:p>
        </w:tc>
      </w:tr>
      <w:tr w:rsidR="00000000">
        <w:tc>
          <w:tcPr>
            <w:tcW w:w="4361" w:type="dxa"/>
          </w:tcPr>
          <w:p w:rsidR="00000000" w:rsidRDefault="00000000">
            <w:pPr>
              <w:spacing w:before="60" w:after="60"/>
              <w:rPr>
                <w:bCs/>
                <w:iCs/>
                <w:szCs w:val="24"/>
              </w:rPr>
            </w:pPr>
            <w:r>
              <w:rPr>
                <w:bCs/>
                <w:iCs/>
                <w:szCs w:val="24"/>
              </w:rPr>
              <w:t>Le Comité engage l’État partie à poursuivre ses efforts en vue de la réconciliation avec les populations autochtones d’Australie et afin d’améliorer leur situation en tant que groupe défavorisé.</w:t>
            </w:r>
          </w:p>
        </w:tc>
        <w:tc>
          <w:tcPr>
            <w:tcW w:w="4161" w:type="dxa"/>
          </w:tcPr>
          <w:p w:rsidR="00000000" w:rsidRDefault="00000000">
            <w:pPr>
              <w:spacing w:before="60" w:after="60"/>
              <w:rPr>
                <w:bCs/>
                <w:iCs/>
                <w:szCs w:val="24"/>
              </w:rPr>
            </w:pPr>
            <w:r>
              <w:rPr>
                <w:bCs/>
                <w:szCs w:val="24"/>
              </w:rPr>
              <w:t>G.</w:t>
            </w:r>
            <w:r>
              <w:rPr>
                <w:bCs/>
                <w:szCs w:val="24"/>
              </w:rPr>
              <w:tab/>
              <w:t>Non-discrimination et égalité</w:t>
            </w:r>
          </w:p>
        </w:tc>
      </w:tr>
      <w:tr w:rsidR="00000000">
        <w:tc>
          <w:tcPr>
            <w:tcW w:w="4361" w:type="dxa"/>
          </w:tcPr>
          <w:p w:rsidR="00000000" w:rsidRDefault="00000000">
            <w:pPr>
              <w:keepNext/>
              <w:spacing w:before="60" w:after="60"/>
              <w:rPr>
                <w:bCs/>
                <w:iCs/>
                <w:szCs w:val="24"/>
              </w:rPr>
            </w:pPr>
            <w:r>
              <w:rPr>
                <w:bCs/>
                <w:iCs/>
                <w:szCs w:val="24"/>
              </w:rPr>
              <w:t>Le Comité recommande à l’État partie de faire en sorte que les dispositions législatives relatives à la sécurité de l’emploi soient renforcées et effectivement mises en œuvre, en particulier dans le cas des groupes les plus vulnérables, tels que les travailleurs titulaires d’un contrat à durée déterminée, les travailleurs temporaires et les travailleurs occasionnels.</w:t>
            </w:r>
          </w:p>
        </w:tc>
        <w:tc>
          <w:tcPr>
            <w:tcW w:w="4161" w:type="dxa"/>
          </w:tcPr>
          <w:p w:rsidR="00000000" w:rsidRDefault="00000000">
            <w:pPr>
              <w:keepNext/>
              <w:spacing w:before="60" w:after="60"/>
              <w:ind w:left="567" w:hanging="567"/>
              <w:rPr>
                <w:bCs/>
                <w:iCs/>
                <w:szCs w:val="24"/>
              </w:rPr>
            </w:pPr>
            <w:r>
              <w:rPr>
                <w:bCs/>
                <w:szCs w:val="24"/>
              </w:rPr>
              <w:t>T.</w:t>
            </w:r>
            <w:r>
              <w:rPr>
                <w:bCs/>
                <w:szCs w:val="24"/>
              </w:rPr>
              <w:tab/>
              <w:t>Droit à des conditions de travail justes et favorables</w:t>
            </w:r>
          </w:p>
        </w:tc>
      </w:tr>
      <w:tr w:rsidR="00000000">
        <w:tc>
          <w:tcPr>
            <w:tcW w:w="4361" w:type="dxa"/>
          </w:tcPr>
          <w:p w:rsidR="00000000" w:rsidRDefault="00000000">
            <w:pPr>
              <w:spacing w:before="60" w:after="60"/>
              <w:rPr>
                <w:bCs/>
                <w:iCs/>
                <w:szCs w:val="24"/>
              </w:rPr>
            </w:pPr>
            <w:r>
              <w:rPr>
                <w:bCs/>
                <w:iCs/>
                <w:szCs w:val="24"/>
              </w:rPr>
              <w:t>Le Comité recommande vivement à l’État partie de prendre des mesures en vue de protéger les travailleurs à domicile et de faire en sorte qu’ils perçoivent le salaire minimum officiel, bénéficient d’une protection sociale adéquate et jouissent de conditions de travail conformes à la loi.</w:t>
            </w:r>
          </w:p>
        </w:tc>
        <w:tc>
          <w:tcPr>
            <w:tcW w:w="4161" w:type="dxa"/>
          </w:tcPr>
          <w:p w:rsidR="00000000" w:rsidRDefault="00000000">
            <w:pPr>
              <w:spacing w:before="60" w:after="60"/>
              <w:ind w:left="567" w:hanging="567"/>
              <w:rPr>
                <w:bCs/>
                <w:iCs/>
                <w:szCs w:val="24"/>
              </w:rPr>
            </w:pPr>
            <w:r>
              <w:rPr>
                <w:bCs/>
                <w:szCs w:val="24"/>
              </w:rPr>
              <w:t>T.</w:t>
            </w:r>
            <w:r>
              <w:rPr>
                <w:bCs/>
                <w:szCs w:val="24"/>
              </w:rPr>
              <w:tab/>
              <w:t>Droit à des conditions de travail justes et favorables</w:t>
            </w:r>
          </w:p>
        </w:tc>
      </w:tr>
      <w:tr w:rsidR="00000000">
        <w:tc>
          <w:tcPr>
            <w:tcW w:w="4361" w:type="dxa"/>
          </w:tcPr>
          <w:p w:rsidR="00000000" w:rsidRDefault="00000000">
            <w:pPr>
              <w:spacing w:before="60" w:after="60"/>
              <w:rPr>
                <w:bCs/>
                <w:iCs/>
                <w:szCs w:val="24"/>
              </w:rPr>
            </w:pPr>
            <w:r>
              <w:rPr>
                <w:bCs/>
                <w:iCs/>
                <w:szCs w:val="24"/>
              </w:rPr>
              <w:t xml:space="preserve">Le Comité recommande à l’État partie de songer à adopter une loi instituant un congé de maternité rémunéré et à ratifier la Convention </w:t>
            </w:r>
            <w:r>
              <w:rPr>
                <w:rFonts w:eastAsia="MS Mincho"/>
                <w:bCs/>
                <w:iCs/>
                <w:szCs w:val="24"/>
              </w:rPr>
              <w:t>n</w:t>
            </w:r>
            <w:r>
              <w:rPr>
                <w:rFonts w:eastAsia="MS Mincho"/>
                <w:bCs/>
                <w:iCs/>
                <w:szCs w:val="24"/>
                <w:vertAlign w:val="superscript"/>
              </w:rPr>
              <w:t>o</w:t>
            </w:r>
            <w:r>
              <w:rPr>
                <w:bCs/>
                <w:iCs/>
                <w:szCs w:val="24"/>
              </w:rPr>
              <w:t xml:space="preserve"> 103 de l’OIT sur la protection de la maternité.</w:t>
            </w:r>
          </w:p>
        </w:tc>
        <w:tc>
          <w:tcPr>
            <w:tcW w:w="4161" w:type="dxa"/>
          </w:tcPr>
          <w:p w:rsidR="00000000" w:rsidRDefault="00000000">
            <w:pPr>
              <w:spacing w:before="60" w:after="60"/>
              <w:ind w:left="567" w:hanging="567"/>
              <w:rPr>
                <w:bCs/>
                <w:szCs w:val="24"/>
              </w:rPr>
            </w:pPr>
            <w:r>
              <w:rPr>
                <w:bCs/>
                <w:szCs w:val="24"/>
              </w:rPr>
              <w:t>R.</w:t>
            </w:r>
            <w:r>
              <w:rPr>
                <w:bCs/>
                <w:szCs w:val="24"/>
              </w:rPr>
              <w:tab/>
              <w:t>Droit de se marier et de fonder une famille et protection de la famille, des femmes et des enfants</w:t>
            </w:r>
          </w:p>
        </w:tc>
      </w:tr>
      <w:tr w:rsidR="00000000">
        <w:tc>
          <w:tcPr>
            <w:tcW w:w="4361" w:type="dxa"/>
          </w:tcPr>
          <w:p w:rsidR="00000000" w:rsidRDefault="00000000">
            <w:pPr>
              <w:spacing w:before="60" w:after="60"/>
              <w:rPr>
                <w:bCs/>
                <w:iCs/>
                <w:szCs w:val="24"/>
              </w:rPr>
            </w:pPr>
            <w:r>
              <w:rPr>
                <w:bCs/>
                <w:iCs/>
                <w:szCs w:val="24"/>
              </w:rPr>
              <w:t xml:space="preserve">Le Comité recommande à l’État partie de limiter l’interdiction du droit de grève aux services essentiels, conformément à la Convention </w:t>
            </w:r>
            <w:r>
              <w:rPr>
                <w:rFonts w:eastAsia="MS Mincho"/>
                <w:bCs/>
                <w:iCs/>
                <w:szCs w:val="24"/>
              </w:rPr>
              <w:t>n</w:t>
            </w:r>
            <w:r>
              <w:rPr>
                <w:rFonts w:eastAsia="MS Mincho"/>
                <w:bCs/>
                <w:iCs/>
                <w:szCs w:val="24"/>
                <w:vertAlign w:val="superscript"/>
              </w:rPr>
              <w:t>o</w:t>
            </w:r>
            <w:r>
              <w:rPr>
                <w:bCs/>
                <w:iCs/>
                <w:szCs w:val="24"/>
              </w:rPr>
              <w:t xml:space="preserve"> 87 de l’OIT et, en ce qui concerne la fonction publique, aux fonctionnaires qui exercent des fonctions d’autorité publique.</w:t>
            </w:r>
          </w:p>
        </w:tc>
        <w:tc>
          <w:tcPr>
            <w:tcW w:w="4161" w:type="dxa"/>
          </w:tcPr>
          <w:p w:rsidR="00000000" w:rsidRDefault="00000000">
            <w:pPr>
              <w:spacing w:before="60" w:after="60"/>
              <w:rPr>
                <w:bCs/>
                <w:szCs w:val="24"/>
              </w:rPr>
            </w:pPr>
            <w:r>
              <w:rPr>
                <w:bCs/>
                <w:szCs w:val="24"/>
              </w:rPr>
              <w:t>U.</w:t>
            </w:r>
            <w:r>
              <w:rPr>
                <w:bCs/>
                <w:szCs w:val="24"/>
              </w:rPr>
              <w:tab/>
              <w:t>Droits syndicaux</w:t>
            </w:r>
          </w:p>
        </w:tc>
      </w:tr>
      <w:tr w:rsidR="00000000">
        <w:tc>
          <w:tcPr>
            <w:tcW w:w="4361" w:type="dxa"/>
          </w:tcPr>
          <w:p w:rsidR="00000000" w:rsidRDefault="00000000">
            <w:pPr>
              <w:spacing w:before="60" w:after="60"/>
              <w:rPr>
                <w:bCs/>
                <w:iCs/>
                <w:szCs w:val="24"/>
              </w:rPr>
            </w:pPr>
            <w:r>
              <w:rPr>
                <w:bCs/>
                <w:iCs/>
                <w:szCs w:val="24"/>
              </w:rPr>
              <w:t>Le Comité recommande à l’État partie de veiller à ce que, dans les prisons privées, le travail soit volontaire et correctement rémunéré.</w:t>
            </w:r>
          </w:p>
        </w:tc>
        <w:tc>
          <w:tcPr>
            <w:tcW w:w="4161" w:type="dxa"/>
          </w:tcPr>
          <w:p w:rsidR="00000000" w:rsidRDefault="00000000">
            <w:pPr>
              <w:spacing w:before="60" w:after="60"/>
              <w:ind w:left="567" w:hanging="567"/>
              <w:rPr>
                <w:bCs/>
                <w:szCs w:val="24"/>
              </w:rPr>
            </w:pPr>
            <w:r>
              <w:rPr>
                <w:bCs/>
                <w:szCs w:val="24"/>
              </w:rPr>
              <w:t>T.</w:t>
            </w:r>
            <w:r>
              <w:rPr>
                <w:bCs/>
                <w:szCs w:val="24"/>
              </w:rPr>
              <w:tab/>
              <w:t>Droit à des conditions de travail justes et favorables</w:t>
            </w:r>
          </w:p>
        </w:tc>
      </w:tr>
      <w:tr w:rsidR="00000000">
        <w:tc>
          <w:tcPr>
            <w:tcW w:w="4361" w:type="dxa"/>
          </w:tcPr>
          <w:p w:rsidR="00000000" w:rsidRDefault="00000000">
            <w:pPr>
              <w:spacing w:before="60" w:after="60"/>
              <w:rPr>
                <w:bCs/>
                <w:iCs/>
                <w:szCs w:val="24"/>
              </w:rPr>
            </w:pPr>
            <w:r>
              <w:rPr>
                <w:bCs/>
                <w:iCs/>
                <w:szCs w:val="24"/>
              </w:rPr>
              <w:t>Le Comité demande à l’État partie de fournir des renseignements détaillés sur le programme «Travail contre indemnités de chômage» dans son quatrième rapport périodique.</w:t>
            </w:r>
          </w:p>
        </w:tc>
        <w:tc>
          <w:tcPr>
            <w:tcW w:w="4161" w:type="dxa"/>
          </w:tcPr>
          <w:p w:rsidR="00000000" w:rsidRDefault="00000000">
            <w:pPr>
              <w:spacing w:before="60" w:after="60"/>
              <w:rPr>
                <w:bCs/>
                <w:szCs w:val="24"/>
              </w:rPr>
            </w:pPr>
            <w:r>
              <w:rPr>
                <w:bCs/>
                <w:szCs w:val="24"/>
              </w:rPr>
              <w:t>V.</w:t>
            </w:r>
            <w:r>
              <w:rPr>
                <w:bCs/>
                <w:szCs w:val="24"/>
              </w:rPr>
              <w:tab/>
              <w:t>Droit à la sécurité sociale</w:t>
            </w:r>
          </w:p>
        </w:tc>
      </w:tr>
      <w:tr w:rsidR="00000000">
        <w:tc>
          <w:tcPr>
            <w:tcW w:w="4361" w:type="dxa"/>
          </w:tcPr>
          <w:p w:rsidR="00000000" w:rsidRDefault="00000000">
            <w:pPr>
              <w:spacing w:before="60" w:after="60"/>
              <w:rPr>
                <w:bCs/>
                <w:iCs/>
                <w:szCs w:val="24"/>
              </w:rPr>
            </w:pPr>
            <w:r>
              <w:rPr>
                <w:bCs/>
                <w:iCs/>
                <w:szCs w:val="24"/>
              </w:rPr>
              <w:t>Le Comité invite en outre l’État partie à garantir que la période d’attente de deux ans avant de pouvoir bénéficier d’une assistance dans le cadre de la sécurité sociale qui est imposée aux nouveaux immigrants ne porte pas atteinte à leurs droits à un niveau de vie suffisant.</w:t>
            </w:r>
          </w:p>
        </w:tc>
        <w:tc>
          <w:tcPr>
            <w:tcW w:w="4161" w:type="dxa"/>
          </w:tcPr>
          <w:p w:rsidR="00000000" w:rsidRDefault="00000000">
            <w:pPr>
              <w:spacing w:before="60" w:after="60"/>
              <w:rPr>
                <w:bCs/>
                <w:szCs w:val="24"/>
              </w:rPr>
            </w:pPr>
            <w:r>
              <w:rPr>
                <w:bCs/>
                <w:szCs w:val="24"/>
              </w:rPr>
              <w:t>V.</w:t>
            </w:r>
            <w:r>
              <w:rPr>
                <w:bCs/>
                <w:szCs w:val="24"/>
              </w:rPr>
              <w:tab/>
              <w:t>Droit à la sécurité sociale</w:t>
            </w:r>
          </w:p>
        </w:tc>
      </w:tr>
      <w:tr w:rsidR="00000000">
        <w:tc>
          <w:tcPr>
            <w:tcW w:w="4361" w:type="dxa"/>
          </w:tcPr>
          <w:p w:rsidR="00000000" w:rsidRDefault="00000000">
            <w:pPr>
              <w:keepNext/>
              <w:keepLines/>
              <w:spacing w:before="60" w:after="60"/>
              <w:rPr>
                <w:bCs/>
                <w:iCs/>
                <w:szCs w:val="24"/>
              </w:rPr>
            </w:pPr>
            <w:r>
              <w:rPr>
                <w:bCs/>
                <w:iCs/>
                <w:szCs w:val="24"/>
              </w:rPr>
              <w:t>Le Comité demande instamment à l’État partie de déterminer un seuil de pauvreté officiel, de sorte qu’une évaluation crédible de l’étendue de la pauvreté en Australie puisse être effectuée. Il souhaite que l’État partie fournisse des informations à ce sujet dans son quatrième rapport périodique.</w:t>
            </w:r>
          </w:p>
        </w:tc>
        <w:tc>
          <w:tcPr>
            <w:tcW w:w="4161" w:type="dxa"/>
          </w:tcPr>
          <w:p w:rsidR="00000000" w:rsidRDefault="00000000">
            <w:pPr>
              <w:keepNext/>
              <w:keepLines/>
              <w:spacing w:before="60" w:after="60"/>
              <w:rPr>
                <w:bCs/>
                <w:szCs w:val="24"/>
              </w:rPr>
            </w:pPr>
            <w:r>
              <w:rPr>
                <w:bCs/>
                <w:szCs w:val="24"/>
              </w:rPr>
              <w:t>V.</w:t>
            </w:r>
            <w:r>
              <w:rPr>
                <w:bCs/>
                <w:szCs w:val="24"/>
              </w:rPr>
              <w:tab/>
              <w:t>Droit à la sécurité sociale</w:t>
            </w:r>
          </w:p>
        </w:tc>
      </w:tr>
      <w:tr w:rsidR="00000000">
        <w:tc>
          <w:tcPr>
            <w:tcW w:w="4361" w:type="dxa"/>
          </w:tcPr>
          <w:p w:rsidR="00000000" w:rsidRDefault="00000000">
            <w:pPr>
              <w:spacing w:before="60" w:after="60"/>
              <w:rPr>
                <w:bCs/>
                <w:iCs/>
                <w:szCs w:val="24"/>
              </w:rPr>
            </w:pPr>
            <w:r>
              <w:rPr>
                <w:bCs/>
                <w:iCs/>
                <w:szCs w:val="24"/>
              </w:rPr>
              <w:t>Le Comité recommande vivement à l’État partie d’élaborer, à l’échelon fédéral, une stratégie du logement qui soit conforme aux Observations générales n</w:t>
            </w:r>
            <w:r>
              <w:rPr>
                <w:bCs/>
                <w:iCs/>
                <w:szCs w:val="24"/>
                <w:vertAlign w:val="superscript"/>
              </w:rPr>
              <w:t>os</w:t>
            </w:r>
            <w:r>
              <w:rPr>
                <w:bCs/>
                <w:iCs/>
                <w:szCs w:val="24"/>
              </w:rPr>
              <w:t xml:space="preserve"> 4 et 7 du Comité, et notamment de prendre des mesures pour protéger les locataires contre les expulsions forcées non justifiées et la hausse arbitraire des loyers. En outre, le Comité recommande à l’État partie de veiller à ce que les gouvernements des territoires et des États élaborent des politiques du logement conformes à cette stratégie.</w:t>
            </w:r>
          </w:p>
        </w:tc>
        <w:tc>
          <w:tcPr>
            <w:tcW w:w="4161" w:type="dxa"/>
          </w:tcPr>
          <w:p w:rsidR="00000000" w:rsidRDefault="00000000">
            <w:pPr>
              <w:spacing w:before="60" w:after="60"/>
              <w:ind w:left="567" w:hanging="567"/>
              <w:rPr>
                <w:bCs/>
                <w:szCs w:val="24"/>
              </w:rPr>
            </w:pPr>
            <w:r>
              <w:rPr>
                <w:bCs/>
                <w:szCs w:val="24"/>
              </w:rPr>
              <w:t>W.</w:t>
            </w:r>
            <w:r>
              <w:rPr>
                <w:bCs/>
                <w:szCs w:val="24"/>
              </w:rPr>
              <w:tab/>
              <w:t>Droit à une nourriture, un vêtement et un logement suffisant</w:t>
            </w:r>
          </w:p>
        </w:tc>
      </w:tr>
      <w:tr w:rsidR="00000000">
        <w:tc>
          <w:tcPr>
            <w:tcW w:w="4361" w:type="dxa"/>
          </w:tcPr>
          <w:p w:rsidR="00000000" w:rsidRDefault="00000000">
            <w:pPr>
              <w:spacing w:before="60" w:after="60"/>
              <w:rPr>
                <w:bCs/>
                <w:iCs/>
                <w:szCs w:val="24"/>
              </w:rPr>
            </w:pPr>
            <w:r>
              <w:rPr>
                <w:bCs/>
                <w:iCs/>
                <w:szCs w:val="24"/>
              </w:rPr>
              <w:t>Le Comité invite l’État partie à prendre les mesures requises pour inscrire l’enseignement des droits de l’homme dans les programmes scolaires aux niveaux primaire et secondaire, et prie l’État partie de l’informer dans son quatrième rapport périodique des mesures prises à cet effet.</w:t>
            </w:r>
          </w:p>
        </w:tc>
        <w:tc>
          <w:tcPr>
            <w:tcW w:w="4161" w:type="dxa"/>
          </w:tcPr>
          <w:p w:rsidR="00000000" w:rsidRDefault="00000000">
            <w:pPr>
              <w:spacing w:before="60" w:after="60"/>
              <w:ind w:left="567" w:hanging="567"/>
              <w:rPr>
                <w:bCs/>
                <w:szCs w:val="24"/>
              </w:rPr>
            </w:pPr>
            <w:r>
              <w:rPr>
                <w:bCs/>
                <w:szCs w:val="24"/>
              </w:rPr>
              <w:t>E.</w:t>
            </w:r>
            <w:r>
              <w:rPr>
                <w:bCs/>
                <w:szCs w:val="24"/>
              </w:rPr>
              <w:tab/>
              <w:t>Cadre juridique général de promotion des droits de l’homme au niveau national</w:t>
            </w:r>
          </w:p>
        </w:tc>
      </w:tr>
      <w:tr w:rsidR="00000000">
        <w:tc>
          <w:tcPr>
            <w:tcW w:w="4361" w:type="dxa"/>
          </w:tcPr>
          <w:p w:rsidR="00000000" w:rsidRDefault="00000000">
            <w:pPr>
              <w:spacing w:before="60" w:after="60"/>
              <w:rPr>
                <w:bCs/>
                <w:iCs/>
                <w:szCs w:val="24"/>
              </w:rPr>
            </w:pPr>
            <w:r>
              <w:rPr>
                <w:bCs/>
                <w:iCs/>
                <w:szCs w:val="24"/>
              </w:rPr>
              <w:t>Le Comité demande à l’État partie de fournir des renseignements supplémentaires plus détaillés, y compris des données statistiques par âge, par sexe et par groupe minoritaire, en ce qui concerne le droit au travail, le droit à des conditions de travail justes et favorables, le droit à la sécurité sociale, le droit au logement, le droit à la santé et le droit à l’éducation, dans son quatrième rapport périodique.</w:t>
            </w:r>
          </w:p>
        </w:tc>
        <w:tc>
          <w:tcPr>
            <w:tcW w:w="4161" w:type="dxa"/>
          </w:tcPr>
          <w:p w:rsidR="00000000" w:rsidRDefault="00000000">
            <w:pPr>
              <w:spacing w:before="60" w:after="60"/>
              <w:rPr>
                <w:bCs/>
                <w:szCs w:val="24"/>
              </w:rPr>
            </w:pPr>
            <w:r>
              <w:rPr>
                <w:bCs/>
                <w:szCs w:val="24"/>
              </w:rPr>
              <w:t>S.</w:t>
            </w:r>
            <w:r>
              <w:rPr>
                <w:bCs/>
                <w:szCs w:val="24"/>
              </w:rPr>
              <w:tab/>
              <w:t>Droit au travail</w:t>
            </w:r>
          </w:p>
          <w:p w:rsidR="00000000" w:rsidRDefault="00000000">
            <w:pPr>
              <w:spacing w:before="60" w:after="60"/>
              <w:ind w:left="567" w:hanging="567"/>
              <w:rPr>
                <w:bCs/>
                <w:szCs w:val="24"/>
              </w:rPr>
            </w:pPr>
            <w:r>
              <w:rPr>
                <w:bCs/>
                <w:szCs w:val="24"/>
              </w:rPr>
              <w:t>T.</w:t>
            </w:r>
            <w:r>
              <w:rPr>
                <w:bCs/>
                <w:szCs w:val="24"/>
              </w:rPr>
              <w:tab/>
              <w:t xml:space="preserve">Droit à des conditions de travail justes et favorables </w:t>
            </w:r>
          </w:p>
          <w:p w:rsidR="00000000" w:rsidRDefault="00000000">
            <w:pPr>
              <w:spacing w:before="60" w:after="60"/>
              <w:ind w:left="567" w:hanging="567"/>
              <w:rPr>
                <w:bCs/>
                <w:szCs w:val="24"/>
              </w:rPr>
            </w:pPr>
            <w:r>
              <w:rPr>
                <w:bCs/>
                <w:szCs w:val="24"/>
              </w:rPr>
              <w:t>W.</w:t>
            </w:r>
            <w:r>
              <w:rPr>
                <w:bCs/>
                <w:szCs w:val="24"/>
              </w:rPr>
              <w:tab/>
              <w:t xml:space="preserve">Droit à une nourriture, un vêtement et un logement suffisant </w:t>
            </w:r>
          </w:p>
          <w:p w:rsidR="00000000" w:rsidRDefault="00000000">
            <w:pPr>
              <w:spacing w:before="60" w:after="60"/>
              <w:ind w:left="567" w:hanging="567"/>
              <w:rPr>
                <w:bCs/>
                <w:szCs w:val="24"/>
              </w:rPr>
            </w:pPr>
            <w:r>
              <w:rPr>
                <w:bCs/>
                <w:szCs w:val="24"/>
              </w:rPr>
              <w:t>X.</w:t>
            </w:r>
            <w:r>
              <w:rPr>
                <w:bCs/>
                <w:szCs w:val="24"/>
              </w:rPr>
              <w:tab/>
              <w:t xml:space="preserve">Droit de jouir du meilleur état de santé physique et mentale possible </w:t>
            </w:r>
          </w:p>
          <w:p w:rsidR="00000000" w:rsidRDefault="00000000">
            <w:pPr>
              <w:spacing w:before="60" w:after="60"/>
              <w:ind w:left="567" w:hanging="567"/>
              <w:rPr>
                <w:bCs/>
                <w:iCs/>
                <w:szCs w:val="24"/>
              </w:rPr>
            </w:pPr>
            <w:r>
              <w:rPr>
                <w:bCs/>
                <w:szCs w:val="24"/>
              </w:rPr>
              <w:t>Y.</w:t>
            </w:r>
            <w:r>
              <w:rPr>
                <w:bCs/>
                <w:szCs w:val="24"/>
              </w:rPr>
              <w:tab/>
              <w:t>Droit à l’éducation et autres droits culturels</w:t>
            </w:r>
            <w:r>
              <w:rPr>
                <w:bCs/>
                <w:iCs/>
                <w:szCs w:val="24"/>
              </w:rPr>
              <w:t xml:space="preserve"> </w:t>
            </w:r>
          </w:p>
          <w:p w:rsidR="00000000" w:rsidRDefault="00000000">
            <w:pPr>
              <w:spacing w:before="60" w:after="60"/>
              <w:rPr>
                <w:bCs/>
                <w:iCs/>
                <w:szCs w:val="24"/>
              </w:rPr>
            </w:pPr>
            <w:r>
              <w:rPr>
                <w:bCs/>
                <w:iCs/>
                <w:szCs w:val="24"/>
              </w:rPr>
              <w:tab/>
              <w:t>Annexe statistique</w:t>
            </w:r>
          </w:p>
        </w:tc>
      </w:tr>
    </w:tbl>
    <w:p w:rsidR="00000000" w:rsidRDefault="00000000">
      <w:pPr>
        <w:spacing w:before="240" w:after="240"/>
        <w:jc w:val="center"/>
      </w:pPr>
      <w: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GE.08-40085  (F)    150108    150108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document a été présenté par l’Australie en tant qu’annexe 3 de son document de base commun (HRI/CORE/AUS/2007) et devrait être lu conjointement avec ce document.</w:t>
      </w:r>
    </w:p>
  </w:footnote>
  <w:footnote w:id="2">
    <w:p w:rsidR="00000000" w:rsidRDefault="00000000">
      <w:pPr>
        <w:pStyle w:val="FootnoteText"/>
        <w:spacing w:after="240"/>
      </w:pPr>
      <w:r>
        <w:rPr>
          <w:rStyle w:val="FootnoteReference"/>
        </w:rPr>
        <w:t>*</w:t>
      </w:r>
      <w:r>
        <w:t xml:space="preserve"> </w:t>
      </w:r>
      <w:r>
        <w:rPr>
          <w:bCs/>
        </w:rPr>
        <w:t xml:space="preserve">Comité </w:t>
      </w:r>
      <w:r>
        <w:rPr>
          <w:rFonts w:eastAsia="SimSun"/>
          <w:bCs/>
          <w:lang w:eastAsia="zh-CN"/>
        </w:rPr>
        <w:t>des droits économiques, sociaux et culturels</w:t>
      </w:r>
      <w:r>
        <w:rPr>
          <w:bCs/>
        </w:rPr>
        <w:t>, observations finales (E/C.12/1/Add.50, par. 14 à 36).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E/C.12/AUS/4</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3"/>
      </w:tabs>
      <w:rPr>
        <w:lang w:val="de-CH"/>
      </w:rPr>
    </w:pPr>
    <w:r>
      <w:tab/>
    </w:r>
    <w:r>
      <w:rPr>
        <w:lang w:val="de-CH"/>
      </w:rPr>
      <w:t>E/C.12/AUS/4</w:t>
    </w:r>
  </w:p>
  <w:p w:rsidR="00000000" w:rsidRDefault="00000000">
    <w:pPr>
      <w:pStyle w:val="Header"/>
      <w:tabs>
        <w:tab w:val="left" w:pos="6803"/>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jc w:val="center"/>
      <w:outlineLvl w:val="0"/>
    </w:pPr>
    <w:rPr>
      <w:rFonts w:ascii="Times New Roman Gras" w:hAnsi="Times New Roman Gras" w:cs="Arial"/>
      <w:b/>
      <w:bCs/>
      <w:caps/>
      <w:szCs w:val="32"/>
    </w:rPr>
  </w:style>
  <w:style w:type="paragraph" w:styleId="Heading2">
    <w:name w:val="heading 2"/>
    <w:basedOn w:val="Normal"/>
    <w:next w:val="Normal"/>
    <w:qFormat/>
    <w:pPr>
      <w:keepNext/>
      <w:jc w:val="center"/>
      <w:outlineLvl w:val="1"/>
    </w:pPr>
    <w:rPr>
      <w:rFonts w:ascii="Times New Roman Gras" w:hAnsi="Times New Roman Gras" w:cs="Arial"/>
      <w:b/>
      <w:bCs/>
      <w:iCs/>
      <w:szCs w:val="28"/>
    </w:rPr>
  </w:style>
  <w:style w:type="paragraph" w:styleId="Heading3">
    <w:name w:val="heading 3"/>
    <w:basedOn w:val="Normal"/>
    <w:next w:val="Normal"/>
    <w:qFormat/>
    <w:pPr>
      <w:keepNext/>
      <w:spacing w:after="240"/>
      <w:outlineLvl w:val="2"/>
    </w:pPr>
    <w:rPr>
      <w:rFonts w:ascii="Times New Roman Gras" w:hAnsi="Times New Roman Gras" w:cs="Arial"/>
      <w:b/>
      <w:bCs/>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style>
  <w:style w:type="character" w:styleId="PageNumber">
    <w:name w:val="page number"/>
    <w:basedOn w:val="DefaultParagraphFont"/>
    <w:semiHidden/>
  </w:style>
  <w:style w:type="paragraph" w:styleId="Footer">
    <w:name w:val="footer"/>
    <w:basedOn w:val="Normal"/>
    <w:semiHidden/>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style>
  <w:style w:type="paragraph" w:styleId="BodyText2">
    <w:name w:val="Body Text 2"/>
    <w:basedOn w:val="Normal"/>
    <w:semiHidden/>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5</Pages>
  <Words>1308</Words>
  <Characters>6671</Characters>
  <Application>Microsoft Office Word</Application>
  <DocSecurity>4</DocSecurity>
  <Lines>222</Lines>
  <Paragraphs>90</Paragraphs>
  <ScaleCrop>false</ScaleCrop>
  <HeadingPairs>
    <vt:vector size="2" baseType="variant">
      <vt:variant>
        <vt:lpstr>Titre</vt:lpstr>
      </vt:variant>
      <vt:variant>
        <vt:i4>1</vt:i4>
      </vt:variant>
    </vt:vector>
  </HeadingPairs>
  <TitlesOfParts>
    <vt:vector size="1" baseType="lpstr">
      <vt:lpstr>E/C.12/AUS/4</vt:lpstr>
    </vt:vector>
  </TitlesOfParts>
  <Company>ONU</Company>
  <LinksUpToDate>false</LinksUpToDate>
  <CharactersWithSpaces>9156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E/C.12/AUS/4</dc:title>
  <dc:subject>final</dc:subject>
  <dc:creator>Y.Gibert</dc:creator>
  <cp:keywords/>
  <dc:description/>
  <cp:lastModifiedBy>VIGNY</cp:lastModifiedBy>
  <cp:revision>2</cp:revision>
  <cp:lastPrinted>2008-01-15T13:08:00Z</cp:lastPrinted>
  <dcterms:created xsi:type="dcterms:W3CDTF">2008-01-15T16:30:00Z</dcterms:created>
  <dcterms:modified xsi:type="dcterms:W3CDTF">2008-01-15T16:30:00Z</dcterms:modified>
</cp:coreProperties>
</file>