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7E43" w:rsidRDefault="001C7E43" w:rsidP="001C7E43">
      <w:pPr>
        <w:spacing w:line="240" w:lineRule="auto"/>
        <w:jc w:val="left"/>
        <w:rPr>
          <w:szCs w:val="6"/>
        </w:rPr>
        <w:sectPr w:rsidR="001C7E43" w:rsidSect="001C7E43">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20"/>
          <w:titlePg/>
          <w:bidi/>
          <w:rtlGutter/>
          <w:docGrid w:linePitch="278"/>
        </w:sectPr>
      </w:pPr>
      <w:r>
        <w:rPr>
          <w:rStyle w:val="CommentReference"/>
        </w:rPr>
        <w:commentReference w:id="0"/>
      </w:r>
    </w:p>
    <w:p w:rsidR="001C7E43" w:rsidRDefault="001C7E43" w:rsidP="001C7E43">
      <w:pPr>
        <w:pStyle w:val="H1"/>
        <w:jc w:val="left"/>
        <w:rPr>
          <w:szCs w:val="36"/>
          <w:rtl/>
        </w:rPr>
      </w:pPr>
      <w:r>
        <w:rPr>
          <w:szCs w:val="36"/>
          <w:rtl/>
        </w:rPr>
        <w:lastRenderedPageBreak/>
        <w:t>لجنة القضاء على التمييز العنصري</w:t>
      </w:r>
    </w:p>
    <w:p w:rsidR="00D309BA" w:rsidRPr="00D309BA" w:rsidRDefault="00D309BA" w:rsidP="00D309BA">
      <w:pPr>
        <w:pStyle w:val="HM"/>
        <w:tabs>
          <w:tab w:val="right" w:pos="1022"/>
        </w:tabs>
        <w:spacing w:line="120" w:lineRule="exact"/>
        <w:rPr>
          <w:sz w:val="10"/>
          <w:rtl/>
        </w:rPr>
      </w:pPr>
    </w:p>
    <w:p w:rsidR="00D309BA" w:rsidRPr="00D309BA" w:rsidRDefault="00D309BA" w:rsidP="00D309BA">
      <w:pPr>
        <w:pStyle w:val="HM"/>
        <w:tabs>
          <w:tab w:val="right" w:pos="1022"/>
        </w:tabs>
        <w:spacing w:line="120" w:lineRule="exact"/>
        <w:rPr>
          <w:sz w:val="10"/>
          <w:rtl/>
        </w:rPr>
      </w:pPr>
    </w:p>
    <w:p w:rsidR="00D309BA" w:rsidRPr="00D309BA" w:rsidRDefault="00D309BA" w:rsidP="00D309BA">
      <w:pPr>
        <w:pStyle w:val="HM"/>
        <w:tabs>
          <w:tab w:val="right" w:pos="1022"/>
        </w:tabs>
        <w:spacing w:line="120" w:lineRule="exact"/>
        <w:rPr>
          <w:sz w:val="10"/>
          <w:rtl/>
        </w:rPr>
      </w:pPr>
    </w:p>
    <w:p w:rsidR="00D309BA" w:rsidRPr="00D309BA" w:rsidRDefault="00D309BA" w:rsidP="00D309BA">
      <w:pPr>
        <w:pStyle w:val="HM"/>
        <w:tabs>
          <w:tab w:val="right" w:pos="1022"/>
        </w:tabs>
        <w:ind w:left="1327" w:right="1264" w:hanging="1327"/>
        <w:rPr>
          <w:rtl/>
        </w:rPr>
      </w:pPr>
      <w:r w:rsidRPr="00D309BA">
        <w:rPr>
          <w:rFonts w:hint="cs"/>
          <w:rtl/>
        </w:rPr>
        <w:tab/>
      </w:r>
      <w:r w:rsidRPr="00D309BA">
        <w:rPr>
          <w:rFonts w:hint="cs"/>
          <w:rtl/>
        </w:rPr>
        <w:tab/>
      </w:r>
      <w:r w:rsidRPr="00D309BA">
        <w:rPr>
          <w:rtl/>
        </w:rPr>
        <w:t xml:space="preserve">النظر في التقارير المقدمة من الدول الأطراف بموجب المادة </w:t>
      </w:r>
      <w:r w:rsidRPr="00D309BA">
        <w:rPr>
          <w:rFonts w:hint="cs"/>
          <w:rtl/>
        </w:rPr>
        <w:t>9</w:t>
      </w:r>
      <w:r w:rsidRPr="00D309BA">
        <w:rPr>
          <w:rtl/>
        </w:rPr>
        <w:t xml:space="preserve"> من الاتفاقية</w:t>
      </w:r>
    </w:p>
    <w:p w:rsidR="004C6CA6" w:rsidRPr="004C6CA6" w:rsidRDefault="004C6CA6" w:rsidP="004C6CA6">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4C6CA6" w:rsidRPr="004C6CA6" w:rsidRDefault="004C6CA6" w:rsidP="004C6CA6">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D309BA" w:rsidRPr="00D309BA" w:rsidRDefault="00D309BA" w:rsidP="00D309B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D309BA">
        <w:rPr>
          <w:rFonts w:hint="cs"/>
          <w:rtl/>
        </w:rPr>
        <w:tab/>
      </w:r>
      <w:r w:rsidRPr="00D309BA">
        <w:rPr>
          <w:rFonts w:hint="cs"/>
          <w:rtl/>
        </w:rPr>
        <w:tab/>
        <w:t>التقرير الجامع لل</w:t>
      </w:r>
      <w:r w:rsidRPr="00D309BA">
        <w:rPr>
          <w:rtl/>
        </w:rPr>
        <w:t>تقارير</w:t>
      </w:r>
      <w:r w:rsidRPr="00D309BA">
        <w:rPr>
          <w:rFonts w:hint="cs"/>
          <w:rtl/>
        </w:rPr>
        <w:t xml:space="preserve"> الدورية من الثامن ع</w:t>
      </w:r>
      <w:bookmarkStart w:id="1" w:name="_GoBack"/>
      <w:bookmarkEnd w:id="1"/>
      <w:r w:rsidRPr="00D309BA">
        <w:rPr>
          <w:rFonts w:hint="cs"/>
          <w:rtl/>
        </w:rPr>
        <w:t>شر إلى الثاني والعشرين ل</w:t>
      </w:r>
      <w:r w:rsidRPr="00D309BA">
        <w:rPr>
          <w:rtl/>
        </w:rPr>
        <w:t>لدول الأطراف</w:t>
      </w:r>
      <w:r w:rsidRPr="00D309BA">
        <w:rPr>
          <w:rFonts w:hint="cs"/>
          <w:rtl/>
        </w:rPr>
        <w:t>،</w:t>
      </w:r>
      <w:r w:rsidRPr="00D309BA">
        <w:rPr>
          <w:rtl/>
        </w:rPr>
        <w:t xml:space="preserve"> </w:t>
      </w:r>
      <w:r w:rsidRPr="00D309BA">
        <w:rPr>
          <w:rFonts w:hint="cs"/>
          <w:rtl/>
        </w:rPr>
        <w:t>التي حل موعد</w:t>
      </w:r>
      <w:r w:rsidRPr="00D309BA">
        <w:rPr>
          <w:rtl/>
        </w:rPr>
        <w:t xml:space="preserve"> تقديمها في عام </w:t>
      </w:r>
      <w:r w:rsidRPr="00D309BA">
        <w:rPr>
          <w:rFonts w:hint="cs"/>
          <w:rtl/>
        </w:rPr>
        <w:t>2006</w:t>
      </w:r>
    </w:p>
    <w:p w:rsidR="004C6CA6" w:rsidRPr="004C6CA6" w:rsidRDefault="004C6CA6" w:rsidP="004C6CA6">
      <w:pPr>
        <w:pStyle w:val="HM"/>
        <w:spacing w:line="120" w:lineRule="exact"/>
        <w:rPr>
          <w:sz w:val="10"/>
          <w:rtl/>
        </w:rPr>
      </w:pPr>
    </w:p>
    <w:p w:rsidR="004C6CA6" w:rsidRPr="004C6CA6" w:rsidRDefault="004C6CA6" w:rsidP="004C6CA6">
      <w:pPr>
        <w:pStyle w:val="HM"/>
        <w:spacing w:line="120" w:lineRule="exact"/>
        <w:rPr>
          <w:sz w:val="10"/>
          <w:rtl/>
        </w:rPr>
      </w:pPr>
    </w:p>
    <w:p w:rsidR="004C6CA6" w:rsidRPr="00AF3E24" w:rsidRDefault="004C6CA6" w:rsidP="004C6CA6">
      <w:pPr>
        <w:framePr w:w="9792" w:h="432" w:hSpace="187" w:wrap="around" w:hAnchor="page" w:x="1196" w:yAlign="bottom"/>
        <w:spacing w:line="240" w:lineRule="auto"/>
        <w:rPr>
          <w:szCs w:val="10"/>
          <w:rtl/>
        </w:rPr>
      </w:pPr>
    </w:p>
    <w:p w:rsidR="004C6CA6" w:rsidRPr="00AF3E24" w:rsidRDefault="004C6CA6" w:rsidP="004C6CA6">
      <w:pPr>
        <w:framePr w:w="9792" w:h="432" w:hSpace="187" w:wrap="around" w:hAnchor="page" w:x="1196" w:yAlign="bottom"/>
        <w:spacing w:line="240" w:lineRule="auto"/>
        <w:rPr>
          <w:szCs w:val="6"/>
          <w:rtl/>
        </w:rPr>
      </w:pPr>
      <w:r w:rsidRPr="00AF3E24">
        <w:rPr>
          <w:noProof/>
          <w:w w:val="100"/>
          <w:szCs w:val="6"/>
          <w:rtl/>
        </w:rPr>
        <mc:AlternateContent>
          <mc:Choice Requires="wps">
            <w:drawing>
              <wp:anchor distT="0" distB="0" distL="114300" distR="114300" simplePos="0" relativeHeight="251659264" behindDoc="0" locked="0" layoutInCell="1" allowOverlap="1" wp14:anchorId="3F613192" wp14:editId="0EB77A78">
                <wp:simplePos x="0" y="0"/>
                <wp:positionH relativeFrom="column">
                  <wp:posOffset>5029327</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rsidR="004C6CA6" w:rsidRPr="00AF3E24" w:rsidRDefault="004C6CA6" w:rsidP="004C6CA6">
      <w:pPr>
        <w:framePr w:w="9792" w:h="432" w:hSpace="187" w:wrap="around" w:hAnchor="page" w:x="1196" w:yAlign="bottom"/>
        <w:tabs>
          <w:tab w:val="right" w:pos="1195"/>
          <w:tab w:val="left" w:pos="1267"/>
        </w:tabs>
        <w:spacing w:after="80" w:line="300" w:lineRule="exact"/>
        <w:ind w:left="1267" w:right="1267" w:hanging="547"/>
        <w:rPr>
          <w:sz w:val="17"/>
          <w:szCs w:val="26"/>
        </w:rPr>
      </w:pPr>
      <w:r>
        <w:rPr>
          <w:rFonts w:hint="cs"/>
          <w:sz w:val="17"/>
          <w:szCs w:val="26"/>
          <w:rtl/>
        </w:rPr>
        <w:tab/>
        <w:t>*</w:t>
      </w:r>
      <w:r>
        <w:rPr>
          <w:rFonts w:hint="cs"/>
          <w:sz w:val="17"/>
          <w:szCs w:val="26"/>
          <w:rtl/>
        </w:rPr>
        <w:tab/>
      </w:r>
      <w:r w:rsidRPr="004C6CA6">
        <w:rPr>
          <w:sz w:val="17"/>
          <w:szCs w:val="26"/>
          <w:rtl/>
        </w:rPr>
        <w:t>تصدر هذه الوثيقة من دون تحرير رسمي.</w:t>
      </w:r>
    </w:p>
    <w:p w:rsidR="00D309BA" w:rsidRPr="00D309BA" w:rsidRDefault="00D309BA" w:rsidP="004C6CA6">
      <w:pPr>
        <w:pStyle w:val="HM"/>
        <w:rPr>
          <w:rtl/>
        </w:rPr>
      </w:pPr>
      <w:r w:rsidRPr="00D309BA">
        <w:rPr>
          <w:rFonts w:hint="cs"/>
          <w:rtl/>
        </w:rPr>
        <w:tab/>
      </w:r>
      <w:r w:rsidRPr="00D309BA">
        <w:rPr>
          <w:rFonts w:hint="cs"/>
          <w:rtl/>
        </w:rPr>
        <w:tab/>
        <w:t>لبنان</w:t>
      </w:r>
      <w:r w:rsidR="00476CF6" w:rsidRPr="00476CF6">
        <w:rPr>
          <w:rFonts w:hint="cs"/>
          <w:b w:val="0"/>
          <w:bCs w:val="0"/>
          <w:sz w:val="30"/>
          <w:szCs w:val="30"/>
          <w:rtl/>
        </w:rPr>
        <w:t>*</w:t>
      </w:r>
    </w:p>
    <w:p w:rsidR="00D309BA" w:rsidRPr="00D309BA" w:rsidRDefault="00D309BA" w:rsidP="006E5715">
      <w:pPr>
        <w:pStyle w:val="SingleTxt"/>
        <w:jc w:val="right"/>
        <w:rPr>
          <w:rtl/>
        </w:rPr>
      </w:pPr>
      <w:r w:rsidRPr="00D309BA">
        <w:rPr>
          <w:rFonts w:hint="cs"/>
          <w:rtl/>
        </w:rPr>
        <w:t>[تاريخ الاستلام: 5 آب/أغسطس 2015]</w:t>
      </w:r>
    </w:p>
    <w:p w:rsidR="004C6CA6" w:rsidRDefault="004C6CA6">
      <w:pPr>
        <w:bidi w:val="0"/>
        <w:spacing w:line="240" w:lineRule="auto"/>
        <w:jc w:val="left"/>
      </w:pPr>
      <w:r>
        <w:rPr>
          <w:rtl/>
        </w:rPr>
        <w:br w:type="page"/>
      </w:r>
    </w:p>
    <w:p w:rsidR="004C6CA6" w:rsidRDefault="004C6CA6" w:rsidP="004C6CA6">
      <w:pPr>
        <w:pStyle w:val="HCh"/>
        <w:spacing w:after="120"/>
        <w:rPr>
          <w:rtl/>
        </w:rPr>
      </w:pPr>
      <w:r>
        <w:rPr>
          <w:rFonts w:hint="cs"/>
          <w:rtl/>
        </w:rPr>
        <w:lastRenderedPageBreak/>
        <w:t>المحتويات</w:t>
      </w:r>
    </w:p>
    <w:tbl>
      <w:tblPr>
        <w:bidiVisual/>
        <w:tblW w:w="10037" w:type="dxa"/>
        <w:tblLayout w:type="fixed"/>
        <w:tblCellMar>
          <w:left w:w="0" w:type="dxa"/>
          <w:right w:w="0" w:type="dxa"/>
        </w:tblCellMar>
        <w:tblLook w:val="0000" w:firstRow="0" w:lastRow="0" w:firstColumn="0" w:lastColumn="0" w:noHBand="0" w:noVBand="0"/>
      </w:tblPr>
      <w:tblGrid>
        <w:gridCol w:w="1296"/>
        <w:gridCol w:w="6566"/>
        <w:gridCol w:w="1324"/>
        <w:gridCol w:w="851"/>
      </w:tblGrid>
      <w:tr w:rsidR="006954D7" w:rsidRPr="0095210A" w:rsidTr="007673A0">
        <w:tc>
          <w:tcPr>
            <w:tcW w:w="1296" w:type="dxa"/>
            <w:shd w:val="clear" w:color="auto" w:fill="auto"/>
          </w:tcPr>
          <w:p w:rsidR="006954D7" w:rsidRPr="0095210A" w:rsidRDefault="006954D7" w:rsidP="007673A0">
            <w:pPr>
              <w:spacing w:after="120" w:line="240" w:lineRule="auto"/>
              <w:jc w:val="right"/>
              <w:rPr>
                <w:iCs/>
                <w:sz w:val="14"/>
                <w:rtl/>
                <w:lang w:val="fr-CH"/>
              </w:rPr>
            </w:pPr>
          </w:p>
        </w:tc>
        <w:tc>
          <w:tcPr>
            <w:tcW w:w="6566" w:type="dxa"/>
            <w:shd w:val="clear" w:color="auto" w:fill="auto"/>
          </w:tcPr>
          <w:p w:rsidR="006954D7" w:rsidRPr="0095210A" w:rsidRDefault="006954D7" w:rsidP="007673A0">
            <w:pPr>
              <w:spacing w:after="120" w:line="240" w:lineRule="auto"/>
              <w:rPr>
                <w:iCs/>
                <w:sz w:val="14"/>
                <w:rtl/>
              </w:rPr>
            </w:pPr>
          </w:p>
        </w:tc>
        <w:tc>
          <w:tcPr>
            <w:tcW w:w="1324" w:type="dxa"/>
            <w:shd w:val="clear" w:color="auto" w:fill="auto"/>
          </w:tcPr>
          <w:p w:rsidR="006954D7" w:rsidRPr="0095210A" w:rsidRDefault="006954D7" w:rsidP="007673A0">
            <w:pPr>
              <w:spacing w:after="120" w:line="240" w:lineRule="auto"/>
              <w:jc w:val="right"/>
              <w:rPr>
                <w:iCs/>
                <w:sz w:val="14"/>
                <w:rtl/>
              </w:rPr>
            </w:pPr>
          </w:p>
        </w:tc>
        <w:tc>
          <w:tcPr>
            <w:tcW w:w="851" w:type="dxa"/>
            <w:shd w:val="clear" w:color="auto" w:fill="auto"/>
          </w:tcPr>
          <w:p w:rsidR="006954D7" w:rsidRPr="0095210A" w:rsidRDefault="006954D7" w:rsidP="007673A0">
            <w:pPr>
              <w:spacing w:after="120" w:line="240" w:lineRule="auto"/>
              <w:jc w:val="right"/>
              <w:rPr>
                <w:iCs/>
                <w:sz w:val="14"/>
                <w:rtl/>
              </w:rPr>
            </w:pPr>
            <w:r w:rsidRPr="0095210A">
              <w:rPr>
                <w:rFonts w:hint="cs"/>
                <w:iCs/>
                <w:sz w:val="14"/>
                <w:rtl/>
              </w:rPr>
              <w:t>الصفحة</w:t>
            </w:r>
          </w:p>
        </w:tc>
      </w:tr>
      <w:tr w:rsidR="006954D7" w:rsidRPr="0095210A" w:rsidTr="007673A0">
        <w:tc>
          <w:tcPr>
            <w:tcW w:w="9186" w:type="dxa"/>
            <w:gridSpan w:val="3"/>
            <w:shd w:val="clear" w:color="auto" w:fill="auto"/>
          </w:tcPr>
          <w:p w:rsidR="006954D7" w:rsidRPr="0095210A" w:rsidRDefault="006954D7" w:rsidP="007673A0">
            <w:pPr>
              <w:tabs>
                <w:tab w:val="right" w:pos="1080"/>
                <w:tab w:val="left" w:pos="1296"/>
                <w:tab w:val="left" w:pos="1728"/>
                <w:tab w:val="right" w:leader="dot" w:pos="9029"/>
              </w:tabs>
              <w:spacing w:after="120"/>
              <w:jc w:val="left"/>
              <w:rPr>
                <w:spacing w:val="60"/>
                <w:sz w:val="17"/>
              </w:rPr>
            </w:pPr>
            <w:r w:rsidRPr="0095210A">
              <w:rPr>
                <w:rtl/>
              </w:rPr>
              <w:tab/>
            </w:r>
            <w:r w:rsidRPr="0095210A">
              <w:rPr>
                <w:rtl/>
              </w:rPr>
              <w:tab/>
            </w:r>
            <w:r w:rsidRPr="0095210A">
              <w:rPr>
                <w:rFonts w:hint="cs"/>
                <w:rtl/>
              </w:rPr>
              <w:t>مقدمة</w:t>
            </w:r>
            <w:r w:rsidRPr="0095210A">
              <w:rPr>
                <w:rtl/>
              </w:rPr>
              <w:tab/>
            </w:r>
          </w:p>
        </w:tc>
        <w:tc>
          <w:tcPr>
            <w:tcW w:w="851" w:type="dxa"/>
            <w:shd w:val="clear" w:color="auto" w:fill="auto"/>
            <w:vAlign w:val="bottom"/>
          </w:tcPr>
          <w:p w:rsidR="006954D7" w:rsidRPr="0095210A" w:rsidRDefault="006954D7" w:rsidP="007673A0">
            <w:pPr>
              <w:spacing w:after="120"/>
              <w:jc w:val="right"/>
            </w:pPr>
            <w:r>
              <w:rPr>
                <w:rFonts w:hint="cs"/>
                <w:rtl/>
              </w:rPr>
              <w:t>3</w:t>
            </w:r>
          </w:p>
        </w:tc>
      </w:tr>
      <w:tr w:rsidR="006954D7" w:rsidRPr="0095210A" w:rsidTr="007673A0">
        <w:tc>
          <w:tcPr>
            <w:tcW w:w="9186" w:type="dxa"/>
            <w:gridSpan w:val="3"/>
            <w:shd w:val="clear" w:color="auto" w:fill="auto"/>
          </w:tcPr>
          <w:p w:rsidR="006954D7" w:rsidRPr="0095210A" w:rsidRDefault="006954D7" w:rsidP="007673A0">
            <w:pPr>
              <w:tabs>
                <w:tab w:val="right" w:pos="1080"/>
                <w:tab w:val="left" w:pos="1296"/>
                <w:tab w:val="left" w:pos="1728"/>
                <w:tab w:val="right" w:leader="dot" w:pos="9029"/>
              </w:tabs>
              <w:spacing w:after="120"/>
              <w:jc w:val="left"/>
              <w:rPr>
                <w:rtl/>
              </w:rPr>
            </w:pPr>
            <w:r w:rsidRPr="0095210A">
              <w:rPr>
                <w:rtl/>
              </w:rPr>
              <w:tab/>
              <w:t>القسم الأوّل-</w:t>
            </w:r>
            <w:r w:rsidRPr="0095210A">
              <w:rPr>
                <w:rtl/>
              </w:rPr>
              <w:tab/>
              <w:t>معلومات عامّة أوّلية - المؤشرات الدّيمغرافيّة والخصائص المرتبطة بالسّكّان</w:t>
            </w:r>
            <w:r w:rsidRPr="0095210A">
              <w:rPr>
                <w:rtl/>
              </w:rPr>
              <w:tab/>
            </w:r>
          </w:p>
        </w:tc>
        <w:tc>
          <w:tcPr>
            <w:tcW w:w="851" w:type="dxa"/>
            <w:shd w:val="clear" w:color="auto" w:fill="auto"/>
            <w:vAlign w:val="bottom"/>
          </w:tcPr>
          <w:p w:rsidR="006954D7" w:rsidRPr="0095210A" w:rsidRDefault="006954D7" w:rsidP="007673A0">
            <w:pPr>
              <w:spacing w:after="120"/>
              <w:jc w:val="right"/>
            </w:pPr>
            <w:r>
              <w:rPr>
                <w:rFonts w:hint="cs"/>
                <w:rtl/>
              </w:rPr>
              <w:t>3</w:t>
            </w:r>
          </w:p>
        </w:tc>
      </w:tr>
      <w:tr w:rsidR="006954D7" w:rsidRPr="0095210A" w:rsidTr="007673A0">
        <w:tc>
          <w:tcPr>
            <w:tcW w:w="9186" w:type="dxa"/>
            <w:gridSpan w:val="3"/>
            <w:shd w:val="clear" w:color="auto" w:fill="auto"/>
          </w:tcPr>
          <w:p w:rsidR="006954D7" w:rsidRPr="0095210A" w:rsidRDefault="006954D7" w:rsidP="007673A0">
            <w:pPr>
              <w:tabs>
                <w:tab w:val="right" w:pos="1080"/>
                <w:tab w:val="left" w:pos="1296"/>
                <w:tab w:val="left" w:pos="1728"/>
                <w:tab w:val="right" w:leader="dot" w:pos="9029"/>
              </w:tabs>
              <w:spacing w:after="120"/>
              <w:jc w:val="left"/>
              <w:rPr>
                <w:rtl/>
              </w:rPr>
            </w:pPr>
            <w:r w:rsidRPr="0095210A">
              <w:rPr>
                <w:rtl/>
              </w:rPr>
              <w:tab/>
            </w:r>
            <w:r w:rsidRPr="0095210A">
              <w:rPr>
                <w:rFonts w:hint="cs"/>
                <w:rtl/>
              </w:rPr>
              <w:t>أولاً</w:t>
            </w:r>
            <w:r w:rsidRPr="0095210A">
              <w:rPr>
                <w:rtl/>
              </w:rPr>
              <w:t>-</w:t>
            </w:r>
            <w:r w:rsidRPr="0095210A">
              <w:rPr>
                <w:rtl/>
              </w:rPr>
              <w:tab/>
              <w:t>المؤشرات الدّيمغرافيّة</w:t>
            </w:r>
            <w:r w:rsidRPr="0095210A">
              <w:rPr>
                <w:rtl/>
              </w:rPr>
              <w:tab/>
            </w:r>
          </w:p>
        </w:tc>
        <w:tc>
          <w:tcPr>
            <w:tcW w:w="851" w:type="dxa"/>
            <w:shd w:val="clear" w:color="auto" w:fill="auto"/>
            <w:vAlign w:val="bottom"/>
          </w:tcPr>
          <w:p w:rsidR="006954D7" w:rsidRPr="0095210A" w:rsidRDefault="006954D7" w:rsidP="007673A0">
            <w:pPr>
              <w:spacing w:after="120"/>
              <w:jc w:val="right"/>
            </w:pPr>
            <w:r>
              <w:rPr>
                <w:rFonts w:hint="cs"/>
                <w:rtl/>
              </w:rPr>
              <w:t>3</w:t>
            </w:r>
          </w:p>
        </w:tc>
      </w:tr>
      <w:tr w:rsidR="006954D7" w:rsidRPr="0095210A" w:rsidTr="007673A0">
        <w:tc>
          <w:tcPr>
            <w:tcW w:w="9186" w:type="dxa"/>
            <w:gridSpan w:val="3"/>
            <w:shd w:val="clear" w:color="auto" w:fill="auto"/>
          </w:tcPr>
          <w:p w:rsidR="006954D7" w:rsidRPr="0095210A" w:rsidRDefault="006954D7" w:rsidP="007673A0">
            <w:pPr>
              <w:tabs>
                <w:tab w:val="right" w:pos="1080"/>
                <w:tab w:val="left" w:pos="1296"/>
                <w:tab w:val="left" w:pos="1728"/>
                <w:tab w:val="right" w:leader="dot" w:pos="9029"/>
              </w:tabs>
              <w:spacing w:after="120"/>
              <w:jc w:val="left"/>
              <w:rPr>
                <w:rtl/>
              </w:rPr>
            </w:pPr>
            <w:r w:rsidRPr="0095210A">
              <w:rPr>
                <w:rtl/>
              </w:rPr>
              <w:tab/>
            </w:r>
            <w:r w:rsidRPr="0095210A">
              <w:rPr>
                <w:rFonts w:hint="cs"/>
                <w:rtl/>
              </w:rPr>
              <w:t>ثانياً</w:t>
            </w:r>
            <w:r w:rsidRPr="0095210A">
              <w:rPr>
                <w:rtl/>
              </w:rPr>
              <w:t>-</w:t>
            </w:r>
            <w:r w:rsidRPr="0095210A">
              <w:rPr>
                <w:rtl/>
              </w:rPr>
              <w:tab/>
              <w:t>الخصائص المرتبطة بتكوين المجتمع اللّبناني</w:t>
            </w:r>
            <w:r w:rsidRPr="0095210A">
              <w:rPr>
                <w:rtl/>
              </w:rPr>
              <w:tab/>
            </w:r>
          </w:p>
        </w:tc>
        <w:tc>
          <w:tcPr>
            <w:tcW w:w="851" w:type="dxa"/>
            <w:shd w:val="clear" w:color="auto" w:fill="auto"/>
            <w:vAlign w:val="bottom"/>
          </w:tcPr>
          <w:p w:rsidR="006954D7" w:rsidRPr="0095210A" w:rsidRDefault="006954D7" w:rsidP="007673A0">
            <w:pPr>
              <w:spacing w:after="120"/>
              <w:jc w:val="right"/>
            </w:pPr>
            <w:r>
              <w:rPr>
                <w:rFonts w:hint="cs"/>
                <w:rtl/>
              </w:rPr>
              <w:t>4</w:t>
            </w:r>
          </w:p>
        </w:tc>
      </w:tr>
      <w:tr w:rsidR="006954D7" w:rsidRPr="0095210A" w:rsidTr="007673A0">
        <w:tc>
          <w:tcPr>
            <w:tcW w:w="9186" w:type="dxa"/>
            <w:gridSpan w:val="3"/>
            <w:shd w:val="clear" w:color="auto" w:fill="auto"/>
          </w:tcPr>
          <w:p w:rsidR="006954D7" w:rsidRPr="0095210A" w:rsidRDefault="006954D7" w:rsidP="007673A0">
            <w:pPr>
              <w:tabs>
                <w:tab w:val="right" w:pos="1080"/>
                <w:tab w:val="left" w:pos="1296"/>
                <w:tab w:val="left" w:pos="1728"/>
                <w:tab w:val="right" w:leader="dot" w:pos="9029"/>
              </w:tabs>
              <w:spacing w:after="20"/>
              <w:jc w:val="left"/>
              <w:rPr>
                <w:rtl/>
              </w:rPr>
            </w:pPr>
            <w:r w:rsidRPr="0095210A">
              <w:rPr>
                <w:rtl/>
              </w:rPr>
              <w:t>القسم الثّاني-</w:t>
            </w:r>
            <w:r w:rsidRPr="0095210A">
              <w:rPr>
                <w:rtl/>
              </w:rPr>
              <w:tab/>
            </w:r>
            <w:r w:rsidRPr="0095210A">
              <w:rPr>
                <w:rtl/>
              </w:rPr>
              <w:tab/>
              <w:t xml:space="preserve">المعلومات الخاصّة المتعلّقة بالمواد 1 إلى 7 من </w:t>
            </w:r>
            <w:r w:rsidRPr="0095210A">
              <w:rPr>
                <w:rFonts w:hint="cs"/>
                <w:rtl/>
              </w:rPr>
              <w:t>الاتفاقية</w:t>
            </w:r>
            <w:r w:rsidRPr="0095210A">
              <w:rPr>
                <w:rtl/>
              </w:rPr>
              <w:tab/>
            </w:r>
          </w:p>
        </w:tc>
        <w:tc>
          <w:tcPr>
            <w:tcW w:w="851" w:type="dxa"/>
            <w:shd w:val="clear" w:color="auto" w:fill="auto"/>
            <w:vAlign w:val="bottom"/>
          </w:tcPr>
          <w:p w:rsidR="006954D7" w:rsidRPr="0095210A" w:rsidRDefault="006954D7" w:rsidP="007673A0">
            <w:pPr>
              <w:spacing w:after="20"/>
              <w:jc w:val="right"/>
            </w:pPr>
            <w:r>
              <w:rPr>
                <w:rFonts w:hint="cs"/>
                <w:rtl/>
              </w:rPr>
              <w:t>5</w:t>
            </w:r>
          </w:p>
        </w:tc>
      </w:tr>
      <w:tr w:rsidR="006954D7" w:rsidRPr="0095210A" w:rsidTr="007673A0">
        <w:tc>
          <w:tcPr>
            <w:tcW w:w="9186" w:type="dxa"/>
            <w:gridSpan w:val="3"/>
            <w:shd w:val="clear" w:color="auto" w:fill="auto"/>
          </w:tcPr>
          <w:p w:rsidR="006954D7" w:rsidRPr="0095210A" w:rsidRDefault="006954D7" w:rsidP="007673A0">
            <w:pPr>
              <w:tabs>
                <w:tab w:val="right" w:pos="1080"/>
                <w:tab w:val="left" w:pos="1296"/>
                <w:tab w:val="left" w:pos="1728"/>
                <w:tab w:val="right" w:leader="dot" w:pos="9029"/>
              </w:tabs>
              <w:spacing w:after="20"/>
              <w:jc w:val="left"/>
              <w:rPr>
                <w:rtl/>
              </w:rPr>
            </w:pPr>
            <w:r w:rsidRPr="0095210A">
              <w:rPr>
                <w:rtl/>
              </w:rPr>
              <w:tab/>
            </w:r>
            <w:r w:rsidRPr="0095210A">
              <w:rPr>
                <w:rtl/>
              </w:rPr>
              <w:tab/>
            </w:r>
            <w:r w:rsidRPr="0095210A">
              <w:rPr>
                <w:rFonts w:hint="cs"/>
                <w:rtl/>
              </w:rPr>
              <w:t>المادة</w:t>
            </w:r>
            <w:r w:rsidRPr="0095210A">
              <w:rPr>
                <w:rtl/>
              </w:rPr>
              <w:t xml:space="preserve"> 1</w:t>
            </w:r>
            <w:r w:rsidRPr="0095210A">
              <w:rPr>
                <w:rtl/>
              </w:rPr>
              <w:tab/>
            </w:r>
          </w:p>
        </w:tc>
        <w:tc>
          <w:tcPr>
            <w:tcW w:w="851" w:type="dxa"/>
            <w:shd w:val="clear" w:color="auto" w:fill="auto"/>
            <w:vAlign w:val="bottom"/>
          </w:tcPr>
          <w:p w:rsidR="006954D7" w:rsidRPr="0095210A" w:rsidRDefault="006954D7" w:rsidP="007673A0">
            <w:pPr>
              <w:spacing w:after="20"/>
              <w:jc w:val="right"/>
            </w:pPr>
            <w:r>
              <w:rPr>
                <w:rFonts w:hint="cs"/>
                <w:rtl/>
              </w:rPr>
              <w:t>5</w:t>
            </w:r>
          </w:p>
        </w:tc>
      </w:tr>
      <w:tr w:rsidR="006954D7" w:rsidRPr="0095210A" w:rsidTr="007673A0">
        <w:tc>
          <w:tcPr>
            <w:tcW w:w="9186" w:type="dxa"/>
            <w:gridSpan w:val="3"/>
            <w:shd w:val="clear" w:color="auto" w:fill="auto"/>
          </w:tcPr>
          <w:p w:rsidR="006954D7" w:rsidRPr="0095210A" w:rsidRDefault="006954D7" w:rsidP="007673A0">
            <w:pPr>
              <w:tabs>
                <w:tab w:val="right" w:pos="1080"/>
                <w:tab w:val="left" w:pos="1296"/>
                <w:tab w:val="left" w:pos="1728"/>
                <w:tab w:val="right" w:leader="dot" w:pos="9029"/>
              </w:tabs>
              <w:spacing w:after="20"/>
              <w:jc w:val="left"/>
              <w:rPr>
                <w:rtl/>
              </w:rPr>
            </w:pPr>
            <w:r w:rsidRPr="0095210A">
              <w:rPr>
                <w:rtl/>
              </w:rPr>
              <w:tab/>
            </w:r>
            <w:r w:rsidRPr="0095210A">
              <w:rPr>
                <w:rtl/>
              </w:rPr>
              <w:tab/>
            </w:r>
            <w:r w:rsidRPr="0095210A">
              <w:rPr>
                <w:rFonts w:hint="cs"/>
                <w:rtl/>
              </w:rPr>
              <w:t>المادة</w:t>
            </w:r>
            <w:r w:rsidRPr="0095210A">
              <w:rPr>
                <w:rtl/>
              </w:rPr>
              <w:t xml:space="preserve"> 2</w:t>
            </w:r>
            <w:r w:rsidRPr="0095210A">
              <w:rPr>
                <w:rtl/>
              </w:rPr>
              <w:tab/>
            </w:r>
          </w:p>
        </w:tc>
        <w:tc>
          <w:tcPr>
            <w:tcW w:w="851" w:type="dxa"/>
            <w:shd w:val="clear" w:color="auto" w:fill="auto"/>
            <w:vAlign w:val="bottom"/>
          </w:tcPr>
          <w:p w:rsidR="006954D7" w:rsidRPr="0095210A" w:rsidRDefault="006954D7" w:rsidP="007673A0">
            <w:pPr>
              <w:spacing w:after="20"/>
              <w:jc w:val="right"/>
            </w:pPr>
            <w:r>
              <w:rPr>
                <w:rFonts w:hint="cs"/>
                <w:rtl/>
              </w:rPr>
              <w:t>6</w:t>
            </w:r>
          </w:p>
        </w:tc>
      </w:tr>
      <w:tr w:rsidR="006954D7" w:rsidRPr="0095210A" w:rsidTr="007673A0">
        <w:tc>
          <w:tcPr>
            <w:tcW w:w="9186" w:type="dxa"/>
            <w:gridSpan w:val="3"/>
            <w:shd w:val="clear" w:color="auto" w:fill="auto"/>
          </w:tcPr>
          <w:p w:rsidR="006954D7" w:rsidRPr="0095210A" w:rsidRDefault="006954D7" w:rsidP="007673A0">
            <w:pPr>
              <w:tabs>
                <w:tab w:val="right" w:pos="1080"/>
                <w:tab w:val="left" w:pos="1296"/>
                <w:tab w:val="left" w:pos="1728"/>
                <w:tab w:val="right" w:leader="dot" w:pos="9029"/>
              </w:tabs>
              <w:spacing w:after="20"/>
              <w:jc w:val="left"/>
              <w:rPr>
                <w:rtl/>
              </w:rPr>
            </w:pPr>
            <w:r w:rsidRPr="0095210A">
              <w:rPr>
                <w:rtl/>
              </w:rPr>
              <w:tab/>
            </w:r>
            <w:r w:rsidRPr="0095210A">
              <w:rPr>
                <w:rtl/>
              </w:rPr>
              <w:tab/>
            </w:r>
            <w:r w:rsidRPr="0095210A">
              <w:rPr>
                <w:rFonts w:hint="cs"/>
                <w:rtl/>
              </w:rPr>
              <w:t>المادة</w:t>
            </w:r>
            <w:r w:rsidRPr="0095210A">
              <w:rPr>
                <w:rtl/>
              </w:rPr>
              <w:t xml:space="preserve"> 3</w:t>
            </w:r>
            <w:r w:rsidRPr="0095210A">
              <w:rPr>
                <w:rtl/>
              </w:rPr>
              <w:tab/>
            </w:r>
          </w:p>
        </w:tc>
        <w:tc>
          <w:tcPr>
            <w:tcW w:w="851" w:type="dxa"/>
            <w:shd w:val="clear" w:color="auto" w:fill="auto"/>
            <w:vAlign w:val="bottom"/>
          </w:tcPr>
          <w:p w:rsidR="006954D7" w:rsidRPr="0095210A" w:rsidRDefault="006954D7" w:rsidP="007673A0">
            <w:pPr>
              <w:spacing w:after="20"/>
              <w:jc w:val="right"/>
            </w:pPr>
            <w:r>
              <w:rPr>
                <w:rFonts w:hint="cs"/>
                <w:rtl/>
              </w:rPr>
              <w:t>13</w:t>
            </w:r>
          </w:p>
        </w:tc>
      </w:tr>
      <w:tr w:rsidR="006954D7" w:rsidRPr="0095210A" w:rsidTr="007673A0">
        <w:tc>
          <w:tcPr>
            <w:tcW w:w="9186" w:type="dxa"/>
            <w:gridSpan w:val="3"/>
            <w:shd w:val="clear" w:color="auto" w:fill="auto"/>
          </w:tcPr>
          <w:p w:rsidR="006954D7" w:rsidRPr="0095210A" w:rsidRDefault="006954D7" w:rsidP="007673A0">
            <w:pPr>
              <w:tabs>
                <w:tab w:val="right" w:pos="1080"/>
                <w:tab w:val="left" w:pos="1296"/>
                <w:tab w:val="left" w:pos="1728"/>
                <w:tab w:val="right" w:leader="dot" w:pos="9029"/>
              </w:tabs>
              <w:spacing w:after="20"/>
              <w:jc w:val="left"/>
              <w:rPr>
                <w:rtl/>
              </w:rPr>
            </w:pPr>
            <w:r w:rsidRPr="0095210A">
              <w:rPr>
                <w:rtl/>
              </w:rPr>
              <w:tab/>
            </w:r>
            <w:r w:rsidRPr="0095210A">
              <w:rPr>
                <w:rtl/>
              </w:rPr>
              <w:tab/>
            </w:r>
            <w:r w:rsidRPr="0095210A">
              <w:rPr>
                <w:rFonts w:hint="cs"/>
                <w:rtl/>
              </w:rPr>
              <w:t>المادة</w:t>
            </w:r>
            <w:r w:rsidRPr="0095210A">
              <w:rPr>
                <w:rtl/>
              </w:rPr>
              <w:t xml:space="preserve"> 4</w:t>
            </w:r>
            <w:r w:rsidRPr="0095210A">
              <w:rPr>
                <w:rtl/>
              </w:rPr>
              <w:tab/>
            </w:r>
          </w:p>
        </w:tc>
        <w:tc>
          <w:tcPr>
            <w:tcW w:w="851" w:type="dxa"/>
            <w:shd w:val="clear" w:color="auto" w:fill="auto"/>
            <w:vAlign w:val="bottom"/>
          </w:tcPr>
          <w:p w:rsidR="006954D7" w:rsidRPr="0095210A" w:rsidRDefault="006954D7" w:rsidP="007673A0">
            <w:pPr>
              <w:spacing w:after="20"/>
              <w:jc w:val="right"/>
            </w:pPr>
            <w:r w:rsidRPr="0095210A">
              <w:rPr>
                <w:rtl/>
              </w:rPr>
              <w:t>1</w:t>
            </w:r>
            <w:r>
              <w:rPr>
                <w:rFonts w:hint="cs"/>
                <w:rtl/>
              </w:rPr>
              <w:t>6</w:t>
            </w:r>
          </w:p>
        </w:tc>
      </w:tr>
      <w:tr w:rsidR="006954D7" w:rsidRPr="0095210A" w:rsidTr="007673A0">
        <w:tc>
          <w:tcPr>
            <w:tcW w:w="9186" w:type="dxa"/>
            <w:gridSpan w:val="3"/>
            <w:shd w:val="clear" w:color="auto" w:fill="auto"/>
          </w:tcPr>
          <w:p w:rsidR="006954D7" w:rsidRPr="0095210A" w:rsidRDefault="006954D7" w:rsidP="007673A0">
            <w:pPr>
              <w:tabs>
                <w:tab w:val="right" w:pos="1080"/>
                <w:tab w:val="left" w:pos="1296"/>
                <w:tab w:val="left" w:pos="1728"/>
                <w:tab w:val="right" w:leader="dot" w:pos="9029"/>
              </w:tabs>
              <w:spacing w:after="20"/>
              <w:jc w:val="left"/>
              <w:rPr>
                <w:rtl/>
              </w:rPr>
            </w:pPr>
            <w:r w:rsidRPr="0095210A">
              <w:rPr>
                <w:rtl/>
              </w:rPr>
              <w:tab/>
            </w:r>
            <w:r w:rsidRPr="0095210A">
              <w:rPr>
                <w:rtl/>
              </w:rPr>
              <w:tab/>
            </w:r>
            <w:r w:rsidRPr="0095210A">
              <w:rPr>
                <w:rFonts w:hint="cs"/>
                <w:rtl/>
              </w:rPr>
              <w:t>المادة</w:t>
            </w:r>
            <w:r w:rsidRPr="0095210A">
              <w:rPr>
                <w:rtl/>
              </w:rPr>
              <w:t xml:space="preserve"> 5</w:t>
            </w:r>
            <w:r w:rsidRPr="0095210A">
              <w:rPr>
                <w:rtl/>
              </w:rPr>
              <w:tab/>
            </w:r>
          </w:p>
        </w:tc>
        <w:tc>
          <w:tcPr>
            <w:tcW w:w="851" w:type="dxa"/>
            <w:shd w:val="clear" w:color="auto" w:fill="auto"/>
            <w:vAlign w:val="bottom"/>
          </w:tcPr>
          <w:p w:rsidR="006954D7" w:rsidRPr="0095210A" w:rsidRDefault="006954D7" w:rsidP="007673A0">
            <w:pPr>
              <w:spacing w:after="20"/>
              <w:jc w:val="right"/>
            </w:pPr>
            <w:r>
              <w:rPr>
                <w:rFonts w:hint="cs"/>
                <w:rtl/>
              </w:rPr>
              <w:t>18</w:t>
            </w:r>
          </w:p>
        </w:tc>
      </w:tr>
      <w:tr w:rsidR="006954D7" w:rsidRPr="0095210A" w:rsidTr="007673A0">
        <w:tc>
          <w:tcPr>
            <w:tcW w:w="9186" w:type="dxa"/>
            <w:gridSpan w:val="3"/>
            <w:shd w:val="clear" w:color="auto" w:fill="auto"/>
          </w:tcPr>
          <w:p w:rsidR="006954D7" w:rsidRPr="0095210A" w:rsidRDefault="006954D7" w:rsidP="007673A0">
            <w:pPr>
              <w:tabs>
                <w:tab w:val="right" w:pos="1080"/>
                <w:tab w:val="left" w:pos="1296"/>
                <w:tab w:val="left" w:pos="1728"/>
                <w:tab w:val="right" w:leader="dot" w:pos="9029"/>
              </w:tabs>
              <w:spacing w:after="20"/>
              <w:jc w:val="left"/>
              <w:rPr>
                <w:rtl/>
              </w:rPr>
            </w:pPr>
            <w:r w:rsidRPr="0095210A">
              <w:rPr>
                <w:rtl/>
              </w:rPr>
              <w:tab/>
            </w:r>
            <w:r w:rsidRPr="0095210A">
              <w:rPr>
                <w:rtl/>
              </w:rPr>
              <w:tab/>
            </w:r>
            <w:r w:rsidRPr="0095210A">
              <w:rPr>
                <w:rFonts w:hint="cs"/>
                <w:rtl/>
              </w:rPr>
              <w:t>المادة</w:t>
            </w:r>
            <w:r w:rsidRPr="0095210A">
              <w:rPr>
                <w:rtl/>
              </w:rPr>
              <w:t xml:space="preserve"> 6</w:t>
            </w:r>
            <w:r w:rsidRPr="0095210A">
              <w:rPr>
                <w:rtl/>
              </w:rPr>
              <w:tab/>
            </w:r>
          </w:p>
        </w:tc>
        <w:tc>
          <w:tcPr>
            <w:tcW w:w="851" w:type="dxa"/>
            <w:shd w:val="clear" w:color="auto" w:fill="auto"/>
            <w:vAlign w:val="bottom"/>
          </w:tcPr>
          <w:p w:rsidR="006954D7" w:rsidRPr="0095210A" w:rsidRDefault="006954D7" w:rsidP="007673A0">
            <w:pPr>
              <w:spacing w:after="20"/>
              <w:jc w:val="right"/>
            </w:pPr>
            <w:r>
              <w:rPr>
                <w:rFonts w:hint="cs"/>
                <w:rtl/>
              </w:rPr>
              <w:t>31</w:t>
            </w:r>
          </w:p>
        </w:tc>
      </w:tr>
      <w:tr w:rsidR="006954D7" w:rsidRPr="0095210A" w:rsidTr="007673A0">
        <w:tc>
          <w:tcPr>
            <w:tcW w:w="9186" w:type="dxa"/>
            <w:gridSpan w:val="3"/>
            <w:shd w:val="clear" w:color="auto" w:fill="auto"/>
          </w:tcPr>
          <w:p w:rsidR="006954D7" w:rsidRPr="0095210A" w:rsidRDefault="006954D7" w:rsidP="007673A0">
            <w:pPr>
              <w:tabs>
                <w:tab w:val="right" w:pos="1080"/>
                <w:tab w:val="left" w:pos="1296"/>
                <w:tab w:val="left" w:pos="1728"/>
                <w:tab w:val="right" w:leader="dot" w:pos="9029"/>
              </w:tabs>
              <w:spacing w:after="120"/>
              <w:jc w:val="left"/>
              <w:rPr>
                <w:rtl/>
              </w:rPr>
            </w:pPr>
            <w:r w:rsidRPr="0095210A">
              <w:rPr>
                <w:rtl/>
              </w:rPr>
              <w:tab/>
            </w:r>
            <w:r w:rsidRPr="0095210A">
              <w:rPr>
                <w:rtl/>
              </w:rPr>
              <w:tab/>
            </w:r>
            <w:r w:rsidRPr="0095210A">
              <w:rPr>
                <w:rFonts w:hint="cs"/>
                <w:rtl/>
              </w:rPr>
              <w:t>المادة</w:t>
            </w:r>
            <w:r w:rsidRPr="0095210A">
              <w:rPr>
                <w:rtl/>
              </w:rPr>
              <w:t xml:space="preserve"> 7</w:t>
            </w:r>
            <w:r w:rsidRPr="0095210A">
              <w:rPr>
                <w:rtl/>
              </w:rPr>
              <w:tab/>
            </w:r>
          </w:p>
        </w:tc>
        <w:tc>
          <w:tcPr>
            <w:tcW w:w="851" w:type="dxa"/>
            <w:shd w:val="clear" w:color="auto" w:fill="auto"/>
            <w:vAlign w:val="bottom"/>
          </w:tcPr>
          <w:p w:rsidR="006954D7" w:rsidRPr="0095210A" w:rsidRDefault="006E5715" w:rsidP="007673A0">
            <w:pPr>
              <w:spacing w:after="120"/>
              <w:jc w:val="right"/>
            </w:pPr>
            <w:r>
              <w:rPr>
                <w:rFonts w:hint="cs"/>
                <w:rtl/>
              </w:rPr>
              <w:t>32</w:t>
            </w:r>
          </w:p>
        </w:tc>
      </w:tr>
    </w:tbl>
    <w:p w:rsidR="004C6CA6" w:rsidRDefault="004C6CA6">
      <w:pPr>
        <w:bidi w:val="0"/>
        <w:spacing w:line="240" w:lineRule="auto"/>
        <w:jc w:val="left"/>
      </w:pPr>
      <w:r>
        <w:rPr>
          <w:rtl/>
        </w:rPr>
        <w:br w:type="page"/>
      </w:r>
    </w:p>
    <w:p w:rsidR="004C6CA6" w:rsidRPr="004C6CA6" w:rsidRDefault="004C6CA6" w:rsidP="004C6CA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bookmarkStart w:id="2" w:name="_Toc417893369"/>
      <w:r w:rsidRPr="004C6CA6">
        <w:rPr>
          <w:rtl/>
        </w:rPr>
        <w:lastRenderedPageBreak/>
        <w:tab/>
      </w:r>
      <w:r w:rsidRPr="004C6CA6">
        <w:rPr>
          <w:rtl/>
        </w:rPr>
        <w:tab/>
        <w:t>مقدّمة</w:t>
      </w:r>
      <w:bookmarkEnd w:id="2"/>
    </w:p>
    <w:p w:rsidR="004C6CA6" w:rsidRPr="004C6CA6" w:rsidRDefault="004C6CA6" w:rsidP="004C6CA6">
      <w:pPr>
        <w:pStyle w:val="SingleTxt"/>
        <w:spacing w:after="0" w:line="120" w:lineRule="exact"/>
        <w:rPr>
          <w:sz w:val="10"/>
          <w:rtl/>
        </w:rPr>
      </w:pPr>
      <w:bookmarkStart w:id="3" w:name="_Toc417592371"/>
      <w:bookmarkStart w:id="4" w:name="_Toc417595530"/>
    </w:p>
    <w:p w:rsidR="004C6CA6" w:rsidRPr="004C6CA6" w:rsidRDefault="004C6CA6" w:rsidP="004C6CA6">
      <w:pPr>
        <w:pStyle w:val="SingleTxt"/>
      </w:pPr>
      <w:r w:rsidRPr="004C6CA6">
        <w:rPr>
          <w:rFonts w:hint="cs"/>
          <w:rtl/>
        </w:rPr>
        <w:t>1-</w:t>
      </w:r>
      <w:r w:rsidRPr="004C6CA6">
        <w:tab/>
      </w:r>
      <w:r w:rsidRPr="004C6CA6">
        <w:rPr>
          <w:rtl/>
        </w:rPr>
        <w:t xml:space="preserve">يمثلّ التّقرير الحاضر التّقرير اللّبناني الرّسمي الجامع للتّقارير الدّوريّة الثّامن عشر، </w:t>
      </w:r>
      <w:r w:rsidRPr="004C6CA6">
        <w:rPr>
          <w:rFonts w:hint="cs"/>
          <w:rtl/>
        </w:rPr>
        <w:t>و</w:t>
      </w:r>
      <w:r w:rsidRPr="004C6CA6">
        <w:rPr>
          <w:rtl/>
        </w:rPr>
        <w:t xml:space="preserve">التّاسع عشر، </w:t>
      </w:r>
      <w:r w:rsidRPr="004C6CA6">
        <w:rPr>
          <w:rFonts w:hint="cs"/>
          <w:rtl/>
        </w:rPr>
        <w:t>و</w:t>
      </w:r>
      <w:r w:rsidRPr="004C6CA6">
        <w:rPr>
          <w:rtl/>
        </w:rPr>
        <w:t xml:space="preserve">العشرين، </w:t>
      </w:r>
      <w:r w:rsidRPr="004C6CA6">
        <w:rPr>
          <w:rFonts w:hint="cs"/>
          <w:rtl/>
        </w:rPr>
        <w:t>والحادي</w:t>
      </w:r>
      <w:r w:rsidRPr="004C6CA6">
        <w:rPr>
          <w:rtl/>
        </w:rPr>
        <w:t xml:space="preserve"> والعشرين</w:t>
      </w:r>
      <w:r w:rsidRPr="004C6CA6">
        <w:rPr>
          <w:rFonts w:hint="cs"/>
          <w:rtl/>
        </w:rPr>
        <w:t>،</w:t>
      </w:r>
      <w:r w:rsidRPr="004C6CA6">
        <w:rPr>
          <w:rtl/>
        </w:rPr>
        <w:t xml:space="preserve"> والثّاني والعشرين، الواجب تقديمها وفق الفقرة 1 من المادّة</w:t>
      </w:r>
      <w:r w:rsidRPr="004C6CA6">
        <w:rPr>
          <w:rFonts w:hint="eastAsia"/>
          <w:rtl/>
        </w:rPr>
        <w:t> </w:t>
      </w:r>
      <w:r w:rsidRPr="004C6CA6">
        <w:rPr>
          <w:rtl/>
        </w:rPr>
        <w:t xml:space="preserve">9 من </w:t>
      </w:r>
      <w:r w:rsidRPr="004C6CA6">
        <w:rPr>
          <w:rFonts w:hint="cs"/>
          <w:rtl/>
        </w:rPr>
        <w:t>الاتفاقية</w:t>
      </w:r>
      <w:r w:rsidRPr="004C6CA6">
        <w:rPr>
          <w:rtl/>
        </w:rPr>
        <w:t xml:space="preserve"> الدّوليّة للقضاء على جميع أشكال التّمييز العنصري التّي انضمّ إليها لبنان بتاريخ</w:t>
      </w:r>
      <w:r w:rsidRPr="004C6CA6">
        <w:rPr>
          <w:rFonts w:hint="eastAsia"/>
          <w:rtl/>
        </w:rPr>
        <w:t> </w:t>
      </w:r>
      <w:r w:rsidRPr="004C6CA6">
        <w:rPr>
          <w:rtl/>
        </w:rPr>
        <w:t>12 تشرين الثّاني/نوفمبر 1971.</w:t>
      </w:r>
      <w:bookmarkEnd w:id="3"/>
      <w:bookmarkEnd w:id="4"/>
    </w:p>
    <w:p w:rsidR="004C6CA6" w:rsidRPr="004C6CA6" w:rsidRDefault="004C6CA6" w:rsidP="00724A5B">
      <w:pPr>
        <w:pStyle w:val="SingleTxt"/>
      </w:pPr>
      <w:r w:rsidRPr="004C6CA6">
        <w:rPr>
          <w:rFonts w:hint="cs"/>
          <w:rtl/>
        </w:rPr>
        <w:t>2-</w:t>
      </w:r>
      <w:r w:rsidRPr="004C6CA6">
        <w:tab/>
      </w:r>
      <w:r w:rsidRPr="004C6CA6">
        <w:rPr>
          <w:rtl/>
        </w:rPr>
        <w:t xml:space="preserve">يتضمّن هذا التّقرير الإشارة إلى التّطورات الحاصلة على صعيد القضاء على التّمييز العنصري </w:t>
      </w:r>
      <w:r w:rsidRPr="004C6CA6">
        <w:rPr>
          <w:rFonts w:hint="cs"/>
          <w:rtl/>
        </w:rPr>
        <w:t>في</w:t>
      </w:r>
      <w:r w:rsidRPr="004C6CA6">
        <w:rPr>
          <w:rtl/>
        </w:rPr>
        <w:t xml:space="preserve"> لبنان في الفترة المتعلّق بها مع التّذكير ببعض المبادئ الهامّة الخاصّة بهذا الموضوع، والأخذ بعين </w:t>
      </w:r>
      <w:r w:rsidRPr="004C6CA6">
        <w:rPr>
          <w:rFonts w:hint="cs"/>
          <w:rtl/>
        </w:rPr>
        <w:t>الا</w:t>
      </w:r>
      <w:r w:rsidRPr="004C6CA6">
        <w:rPr>
          <w:rtl/>
        </w:rPr>
        <w:t>عتبار التّوصيات والملاحظات الختاميّة التّي أبدتها لجنة القضاء على التّمييز العنصري خلال النّظر في التّقرير الدّوري الأخير المقدّم من الدّولة اللّبنانيّة</w:t>
      </w:r>
      <w:r w:rsidRPr="004C6CA6">
        <w:rPr>
          <w:vertAlign w:val="superscript"/>
          <w:rtl/>
        </w:rPr>
        <w:t>(</w:t>
      </w:r>
      <w:r w:rsidRPr="004C6CA6">
        <w:rPr>
          <w:vertAlign w:val="superscript"/>
          <w:rtl/>
        </w:rPr>
        <w:footnoteReference w:id="1"/>
      </w:r>
      <w:r w:rsidRPr="004C6CA6">
        <w:rPr>
          <w:vertAlign w:val="superscript"/>
          <w:rtl/>
        </w:rPr>
        <w:t>)</w:t>
      </w:r>
      <w:r w:rsidRPr="004C6CA6">
        <w:rPr>
          <w:rFonts w:hint="cs"/>
          <w:rtl/>
        </w:rPr>
        <w:t>،</w:t>
      </w:r>
      <w:r w:rsidRPr="004C6CA6">
        <w:rPr>
          <w:rtl/>
        </w:rPr>
        <w:t xml:space="preserve"> وقد تمّ إعداده </w:t>
      </w:r>
      <w:r w:rsidRPr="004C6CA6">
        <w:rPr>
          <w:rFonts w:hint="cs"/>
          <w:rtl/>
        </w:rPr>
        <w:t>بالاستناد</w:t>
      </w:r>
      <w:r w:rsidRPr="004C6CA6">
        <w:rPr>
          <w:rtl/>
        </w:rPr>
        <w:t xml:space="preserve"> إلى المعلومات التّي تمّ </w:t>
      </w:r>
      <w:r w:rsidRPr="004C6CA6">
        <w:rPr>
          <w:rFonts w:hint="cs"/>
          <w:rtl/>
        </w:rPr>
        <w:t>الاستحصال</w:t>
      </w:r>
      <w:r w:rsidRPr="004C6CA6">
        <w:rPr>
          <w:rtl/>
        </w:rPr>
        <w:t xml:space="preserve"> </w:t>
      </w:r>
      <w:r w:rsidRPr="004C6CA6">
        <w:rPr>
          <w:rFonts w:hint="cs"/>
          <w:rtl/>
        </w:rPr>
        <w:t>عليها</w:t>
      </w:r>
      <w:r w:rsidRPr="004C6CA6">
        <w:rPr>
          <w:rtl/>
        </w:rPr>
        <w:t xml:space="preserve"> </w:t>
      </w:r>
      <w:r w:rsidRPr="004C6CA6">
        <w:rPr>
          <w:rFonts w:hint="cs"/>
          <w:rtl/>
        </w:rPr>
        <w:t>من</w:t>
      </w:r>
      <w:r w:rsidRPr="004C6CA6">
        <w:rPr>
          <w:rtl/>
        </w:rPr>
        <w:t xml:space="preserve"> </w:t>
      </w:r>
      <w:r w:rsidRPr="004C6CA6">
        <w:rPr>
          <w:rFonts w:hint="cs"/>
          <w:rtl/>
        </w:rPr>
        <w:t>مختلف</w:t>
      </w:r>
      <w:r w:rsidRPr="004C6CA6">
        <w:rPr>
          <w:rtl/>
        </w:rPr>
        <w:t xml:space="preserve"> </w:t>
      </w:r>
      <w:r w:rsidRPr="004C6CA6">
        <w:rPr>
          <w:rFonts w:hint="cs"/>
          <w:rtl/>
        </w:rPr>
        <w:t>الوزارات</w:t>
      </w:r>
      <w:r w:rsidRPr="004C6CA6">
        <w:rPr>
          <w:rtl/>
        </w:rPr>
        <w:t xml:space="preserve"> </w:t>
      </w:r>
      <w:r w:rsidRPr="004C6CA6">
        <w:rPr>
          <w:rFonts w:hint="cs"/>
          <w:rtl/>
        </w:rPr>
        <w:t>والإدارات</w:t>
      </w:r>
      <w:r w:rsidRPr="004C6CA6">
        <w:rPr>
          <w:rtl/>
        </w:rPr>
        <w:t xml:space="preserve"> </w:t>
      </w:r>
      <w:r w:rsidRPr="004C6CA6">
        <w:rPr>
          <w:rFonts w:hint="cs"/>
          <w:rtl/>
        </w:rPr>
        <w:t>المعنيّة</w:t>
      </w:r>
      <w:r w:rsidRPr="004C6CA6">
        <w:rPr>
          <w:rtl/>
        </w:rPr>
        <w:t>.</w:t>
      </w:r>
    </w:p>
    <w:p w:rsidR="004C6CA6" w:rsidRPr="004C6CA6" w:rsidRDefault="004C6CA6" w:rsidP="004C6CA6">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pacing w:val="-3"/>
          <w:w w:val="100"/>
          <w:sz w:val="10"/>
          <w:rtl/>
        </w:rPr>
      </w:pPr>
      <w:bookmarkStart w:id="5" w:name="_Toc417893370"/>
    </w:p>
    <w:p w:rsidR="004C6CA6" w:rsidRPr="004C6CA6" w:rsidRDefault="004C6CA6" w:rsidP="004C6CA6">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pacing w:val="-3"/>
          <w:w w:val="100"/>
          <w:sz w:val="10"/>
          <w:rtl/>
        </w:rPr>
      </w:pPr>
    </w:p>
    <w:p w:rsidR="004C6CA6" w:rsidRPr="004C6CA6" w:rsidRDefault="004C6CA6" w:rsidP="004C6CA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pacing w:val="-3"/>
          <w:w w:val="100"/>
          <w:rtl/>
        </w:rPr>
      </w:pPr>
      <w:r w:rsidRPr="004C6CA6">
        <w:rPr>
          <w:spacing w:val="-3"/>
          <w:w w:val="100"/>
          <w:rtl/>
        </w:rPr>
        <w:tab/>
      </w:r>
      <w:r w:rsidRPr="004C6CA6">
        <w:rPr>
          <w:spacing w:val="-3"/>
          <w:w w:val="100"/>
          <w:rtl/>
        </w:rPr>
        <w:tab/>
        <w:t>القسم الأوّل</w:t>
      </w:r>
      <w:r w:rsidRPr="004C6CA6">
        <w:rPr>
          <w:spacing w:val="-3"/>
          <w:w w:val="100"/>
          <w:rtl/>
        </w:rPr>
        <w:tab/>
      </w:r>
      <w:r w:rsidRPr="004C6CA6">
        <w:rPr>
          <w:spacing w:val="-3"/>
          <w:w w:val="100"/>
          <w:rtl/>
        </w:rPr>
        <w:br/>
        <w:t>معلومات عامّة أوّلية - المؤشرات الدّيمغرافيّة والخصائص المرتبطة بالسّكّان</w:t>
      </w:r>
      <w:bookmarkEnd w:id="5"/>
    </w:p>
    <w:p w:rsidR="004C6CA6" w:rsidRPr="004C6CA6" w:rsidRDefault="004C6CA6" w:rsidP="004C6CA6">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bookmarkStart w:id="6" w:name="_Toc417893371"/>
    </w:p>
    <w:p w:rsidR="004C6CA6" w:rsidRPr="004C6CA6" w:rsidRDefault="004C6CA6" w:rsidP="004C6CA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4C6CA6">
        <w:rPr>
          <w:rtl/>
        </w:rPr>
        <w:tab/>
      </w:r>
      <w:r w:rsidRPr="004C6CA6">
        <w:rPr>
          <w:rFonts w:hint="cs"/>
          <w:rtl/>
        </w:rPr>
        <w:t>أولاً</w:t>
      </w:r>
      <w:r w:rsidRPr="004C6CA6">
        <w:rPr>
          <w:rtl/>
        </w:rPr>
        <w:t>-</w:t>
      </w:r>
      <w:r w:rsidRPr="004C6CA6">
        <w:rPr>
          <w:rtl/>
        </w:rPr>
        <w:tab/>
        <w:t>المؤشرات الدّيمغرافيّة</w:t>
      </w:r>
      <w:bookmarkEnd w:id="6"/>
    </w:p>
    <w:p w:rsidR="004C6CA6" w:rsidRPr="004C6CA6" w:rsidRDefault="004C6CA6" w:rsidP="004C6CA6">
      <w:pPr>
        <w:pStyle w:val="SingleTxt"/>
        <w:spacing w:after="0" w:line="120" w:lineRule="exact"/>
        <w:rPr>
          <w:sz w:val="10"/>
          <w:rtl/>
        </w:rPr>
      </w:pPr>
    </w:p>
    <w:p w:rsidR="004C6CA6" w:rsidRPr="004C6CA6" w:rsidRDefault="004C6CA6" w:rsidP="004C6CA6">
      <w:pPr>
        <w:pStyle w:val="SingleTxt"/>
      </w:pPr>
      <w:r w:rsidRPr="004C6CA6">
        <w:rPr>
          <w:rFonts w:hint="cs"/>
          <w:rtl/>
        </w:rPr>
        <w:t>3-</w:t>
      </w:r>
      <w:r w:rsidRPr="004C6CA6">
        <w:tab/>
      </w:r>
      <w:r w:rsidRPr="004C6CA6">
        <w:rPr>
          <w:rtl/>
        </w:rPr>
        <w:t>تفتقر الدّولة اللّبنانيّة إلى إحصاءات رسميّة لأعداد السّكان المقيمين على أراضيها ما لا يمكن معه تقديم أرقام دقيقة في هذا الخصوص.</w:t>
      </w:r>
    </w:p>
    <w:p w:rsidR="004C6CA6" w:rsidRPr="004C6CA6" w:rsidRDefault="004C6CA6" w:rsidP="004C6CA6">
      <w:pPr>
        <w:pStyle w:val="SingleTxt"/>
      </w:pPr>
      <w:r w:rsidRPr="004C6CA6">
        <w:rPr>
          <w:rFonts w:hint="cs"/>
          <w:rtl/>
        </w:rPr>
        <w:t>4-</w:t>
      </w:r>
      <w:r w:rsidRPr="004C6CA6">
        <w:tab/>
      </w:r>
      <w:r w:rsidRPr="004C6CA6">
        <w:rPr>
          <w:rtl/>
        </w:rPr>
        <w:t xml:space="preserve">وفضلاً عن المواطنين اللّبنانيّين، يشهد المجتمع اللّبنانيّ حاليّاً وجود أعداد كبيرة من العمّال الأجانب واللاّجئين، وعلى وجه خاصّ اللاّجئين الفلسطينيّين المتواجدين على الأراضي اللّبنانيّة منذ ما يزيد على السّتّين عاماً، وغيرهم من اللاّجئين - لا سيّما من السّوريّين والعراقيّين والفلسطينيّين - من الدّول المجاورة في ظلّ الأوضاع الأمنيّة التّي تشهدها المنطقة. ويعيش عدد كبير من اللاّجئين الفلسطينيّين في المخيّمات </w:t>
      </w:r>
      <w:r w:rsidRPr="004C6CA6">
        <w:rPr>
          <w:rFonts w:hint="cs"/>
          <w:rtl/>
        </w:rPr>
        <w:t>الاثنى</w:t>
      </w:r>
      <w:r w:rsidRPr="004C6CA6">
        <w:rPr>
          <w:rtl/>
        </w:rPr>
        <w:t xml:space="preserve"> عشر الموجودة في البلاد. </w:t>
      </w:r>
    </w:p>
    <w:p w:rsidR="004C6CA6" w:rsidRPr="004C6CA6" w:rsidRDefault="004C6CA6" w:rsidP="006954D7">
      <w:pPr>
        <w:pStyle w:val="SingleTxt"/>
        <w:rPr>
          <w:rtl/>
        </w:rPr>
      </w:pPr>
      <w:r w:rsidRPr="004C6CA6">
        <w:rPr>
          <w:rtl/>
        </w:rPr>
        <w:tab/>
        <w:t xml:space="preserve">لا تملك الدّولة اللّبنانيّة كذلك إحصاءات رسميّة لأعداد اللاّجئين المتواجدين على أراضيها، ويتمّ </w:t>
      </w:r>
      <w:r w:rsidRPr="004C6CA6">
        <w:rPr>
          <w:rFonts w:hint="cs"/>
          <w:rtl/>
        </w:rPr>
        <w:t>الا</w:t>
      </w:r>
      <w:r w:rsidRPr="004C6CA6">
        <w:rPr>
          <w:rtl/>
        </w:rPr>
        <w:t xml:space="preserve">ستناد في هذا المجال إلى الإحصاءات المعدّة من قبل المنظمّات الدّوليّة التّي تعنى بشؤون اللاّجئين في لبنان، وتحديداً وكالة </w:t>
      </w:r>
      <w:r w:rsidRPr="004C6CA6">
        <w:rPr>
          <w:rFonts w:hint="cs"/>
          <w:rtl/>
        </w:rPr>
        <w:t>اﻟ</w:t>
      </w:r>
      <w:r w:rsidRPr="004C6CA6">
        <w:rPr>
          <w:rtl/>
        </w:rPr>
        <w:t xml:space="preserve"> </w:t>
      </w:r>
      <w:r w:rsidRPr="004C6CA6">
        <w:t>UNRWA</w:t>
      </w:r>
      <w:r w:rsidRPr="004C6CA6">
        <w:rPr>
          <w:rtl/>
        </w:rPr>
        <w:t xml:space="preserve"> بالنّسبة إلى اللاّجئين الفلسطينيّين، وقد</w:t>
      </w:r>
      <w:r w:rsidR="006954D7">
        <w:rPr>
          <w:rFonts w:hint="cs"/>
          <w:rtl/>
        </w:rPr>
        <w:t xml:space="preserve"> </w:t>
      </w:r>
      <w:r w:rsidRPr="004C6CA6">
        <w:rPr>
          <w:rtl/>
        </w:rPr>
        <w:t>حدّدت هذه الوكالة عدد اللاّجئين الفلسطينيّين على الأراضي اللّبنانيّة المسجّلين لديها بتاريخ</w:t>
      </w:r>
      <w:r w:rsidR="006954D7">
        <w:rPr>
          <w:rFonts w:hint="cs"/>
          <w:rtl/>
        </w:rPr>
        <w:t xml:space="preserve"> </w:t>
      </w:r>
      <w:r w:rsidRPr="004C6CA6">
        <w:rPr>
          <w:rtl/>
        </w:rPr>
        <w:t xml:space="preserve">الأوّل من تمّوز/يوليه 2014 </w:t>
      </w:r>
      <w:r w:rsidRPr="004C6CA6">
        <w:rPr>
          <w:rFonts w:hint="cs"/>
          <w:rtl/>
        </w:rPr>
        <w:t>ﺑ</w:t>
      </w:r>
      <w:r w:rsidRPr="004C6CA6">
        <w:rPr>
          <w:rtl/>
        </w:rPr>
        <w:t xml:space="preserve"> 957 449 لاجئاً، ووكالة ا</w:t>
      </w:r>
      <w:r w:rsidRPr="004C6CA6">
        <w:rPr>
          <w:rFonts w:hint="cs"/>
          <w:rtl/>
        </w:rPr>
        <w:t>ﻟ</w:t>
      </w:r>
      <w:r w:rsidRPr="004C6CA6">
        <w:rPr>
          <w:rtl/>
        </w:rPr>
        <w:t xml:space="preserve"> </w:t>
      </w:r>
      <w:r w:rsidRPr="004C6CA6">
        <w:t>UNHCR</w:t>
      </w:r>
      <w:r w:rsidRPr="004C6CA6">
        <w:rPr>
          <w:rtl/>
        </w:rPr>
        <w:t xml:space="preserve"> بالنّسبة إلى سائر اللاّجئين، وقد حدّدت هذه الوكالة عدد اللّاجئين السّوريّين على الأراضي اللّبنانيّة المسجّلين لديها </w:t>
      </w:r>
      <w:r w:rsidRPr="004C6CA6">
        <w:rPr>
          <w:rtl/>
        </w:rPr>
        <w:lastRenderedPageBreak/>
        <w:t>بتاريخ</w:t>
      </w:r>
      <w:r w:rsidR="006954D7">
        <w:rPr>
          <w:rFonts w:hint="cs"/>
          <w:rtl/>
        </w:rPr>
        <w:t> </w:t>
      </w:r>
      <w:r w:rsidRPr="004C6CA6">
        <w:rPr>
          <w:rtl/>
        </w:rPr>
        <w:t xml:space="preserve">31 كانون الأوّل/ديسمبر 2014 </w:t>
      </w:r>
      <w:r w:rsidRPr="004C6CA6">
        <w:rPr>
          <w:rFonts w:hint="cs"/>
          <w:rtl/>
        </w:rPr>
        <w:t>ﺑ</w:t>
      </w:r>
      <w:r w:rsidRPr="004C6CA6">
        <w:rPr>
          <w:rtl/>
        </w:rPr>
        <w:t xml:space="preserve"> 405 146 1 لاجئاً</w:t>
      </w:r>
      <w:r w:rsidRPr="004C6CA6">
        <w:rPr>
          <w:vertAlign w:val="superscript"/>
          <w:rtl/>
        </w:rPr>
        <w:t>(</w:t>
      </w:r>
      <w:r w:rsidRPr="004C6CA6">
        <w:rPr>
          <w:vertAlign w:val="superscript"/>
          <w:rtl/>
        </w:rPr>
        <w:footnoteReference w:id="2"/>
      </w:r>
      <w:r w:rsidRPr="004C6CA6">
        <w:rPr>
          <w:vertAlign w:val="superscript"/>
          <w:rtl/>
        </w:rPr>
        <w:t>)</w:t>
      </w:r>
      <w:r w:rsidRPr="004C6CA6">
        <w:rPr>
          <w:rtl/>
        </w:rPr>
        <w:t xml:space="preserve">، مع الإشارة إلى أنّ ثمّة عدداً من اللاّجئين السّوريّين والفلسطينيّين غير المسجّلين لدى أيّ من الوكالتين المذكورتين من بينهم من يكون بانتظار تسجيله، أو من يكون غير مسجلّ إطلاقاً، كما أنّ اللّاجئين من غير الجنسيّتين السّوريّة والفلسطينيّة غير مشمولين في الأرقام المبيّنة فيما تقدّم. </w:t>
      </w:r>
    </w:p>
    <w:p w:rsidR="004C6CA6" w:rsidRPr="004C6CA6" w:rsidRDefault="004C6CA6" w:rsidP="004C6CA6">
      <w:pPr>
        <w:pStyle w:val="SingleTxt"/>
        <w:rPr>
          <w:rtl/>
        </w:rPr>
      </w:pPr>
      <w:r w:rsidRPr="004C6CA6">
        <w:rPr>
          <w:rtl/>
        </w:rPr>
        <w:tab/>
        <w:t>هذا وإنّه، بحسب بيانات المديريّة العامّة للأمن العامّ، فقد بلغ عدد العمّال الأجانب الذّين منحوا إقامةً سنويّةً في العام 2014، 624 178 عاملاً أجنبيّا</w:t>
      </w:r>
      <w:r w:rsidRPr="004C6CA6">
        <w:rPr>
          <w:rFonts w:hint="cs"/>
          <w:rtl/>
        </w:rPr>
        <w:t>ً</w:t>
      </w:r>
      <w:r w:rsidRPr="004C6CA6">
        <w:rPr>
          <w:rtl/>
        </w:rPr>
        <w:t>، في حين أنّ هذا العدد كان يبلغ 387 99 عاملاً أجنبيّا</w:t>
      </w:r>
      <w:r w:rsidRPr="004C6CA6">
        <w:rPr>
          <w:rFonts w:hint="cs"/>
          <w:rtl/>
        </w:rPr>
        <w:t>ً</w:t>
      </w:r>
      <w:r w:rsidRPr="004C6CA6">
        <w:rPr>
          <w:rtl/>
        </w:rPr>
        <w:t xml:space="preserve"> في العام 2005 - أي أوّل المدّة التّي يغطّيها هذا التّقرير، كما أنّه بحسب بيانات وزارة العمل، فقد بلغ مجموع عدد إجازات العمل التّي مُنحت خلال العام</w:t>
      </w:r>
      <w:r w:rsidR="006954D7">
        <w:rPr>
          <w:rFonts w:hint="cs"/>
          <w:rtl/>
        </w:rPr>
        <w:t xml:space="preserve"> </w:t>
      </w:r>
      <w:r w:rsidRPr="004C6CA6">
        <w:rPr>
          <w:rtl/>
        </w:rPr>
        <w:t>2014 ما بين إجازات عمل جديدة وتجديد إجازات عمل سابقة، 697 201 إجازة عمل.</w:t>
      </w:r>
    </w:p>
    <w:p w:rsidR="004C6CA6" w:rsidRPr="004C6CA6" w:rsidRDefault="004C6CA6" w:rsidP="004C6CA6">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bookmarkStart w:id="7" w:name="_Toc417893372"/>
    </w:p>
    <w:p w:rsidR="004C6CA6" w:rsidRPr="004C6CA6" w:rsidRDefault="004C6CA6" w:rsidP="004C6CA6">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4C6CA6" w:rsidRPr="004C6CA6" w:rsidRDefault="004C6CA6" w:rsidP="004C6CA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4C6CA6">
        <w:rPr>
          <w:rtl/>
        </w:rPr>
        <w:tab/>
      </w:r>
      <w:r w:rsidRPr="004C6CA6">
        <w:rPr>
          <w:rFonts w:hint="cs"/>
          <w:rtl/>
        </w:rPr>
        <w:t>ثانياً</w:t>
      </w:r>
      <w:r w:rsidRPr="004C6CA6">
        <w:rPr>
          <w:rtl/>
        </w:rPr>
        <w:t>-</w:t>
      </w:r>
      <w:r w:rsidRPr="004C6CA6">
        <w:rPr>
          <w:rtl/>
        </w:rPr>
        <w:tab/>
        <w:t>الخصائص المرتبطة بتكوين المجتمع اللّبناني</w:t>
      </w:r>
      <w:bookmarkEnd w:id="7"/>
    </w:p>
    <w:p w:rsidR="004C6CA6" w:rsidRPr="004C6CA6" w:rsidRDefault="004C6CA6" w:rsidP="004C6CA6">
      <w:pPr>
        <w:pStyle w:val="SingleTxt"/>
        <w:spacing w:after="0" w:line="120" w:lineRule="exact"/>
        <w:rPr>
          <w:sz w:val="10"/>
          <w:rtl/>
        </w:rPr>
      </w:pPr>
    </w:p>
    <w:p w:rsidR="004C6CA6" w:rsidRPr="004C6CA6" w:rsidRDefault="004C6CA6" w:rsidP="004C6CA6">
      <w:pPr>
        <w:pStyle w:val="SingleTxt"/>
      </w:pPr>
      <w:r w:rsidRPr="004C6CA6">
        <w:rPr>
          <w:rFonts w:hint="cs"/>
          <w:rtl/>
        </w:rPr>
        <w:t>5-</w:t>
      </w:r>
      <w:r w:rsidRPr="004C6CA6">
        <w:tab/>
      </w:r>
      <w:r w:rsidRPr="004C6CA6">
        <w:rPr>
          <w:rtl/>
        </w:rPr>
        <w:t>لا يقيم القانون اللّبناني أي وضع قانوني خاصّ لمجموعات أو فئات معيّنة من المجتمع على اعتبار أنّها تمثّل أقليّات قوميّة أو عرقيّة أو شعوباً أصليّة فيه، فالنّصوص القانونيّة - باستثناء ما</w:t>
      </w:r>
      <w:r w:rsidRPr="004C6CA6">
        <w:rPr>
          <w:rFonts w:hint="eastAsia"/>
          <w:rtl/>
        </w:rPr>
        <w:t> </w:t>
      </w:r>
      <w:r w:rsidRPr="004C6CA6">
        <w:rPr>
          <w:rtl/>
        </w:rPr>
        <w:t>يتعلّق منها بمسائل الأحوال الشّخصيّة - هي عامّة تشمل جميع المواطنين دونما أي تمييز مبني على الأصل أو العرق وما إلى ذلك.</w:t>
      </w:r>
    </w:p>
    <w:p w:rsidR="004C6CA6" w:rsidRPr="004C6CA6" w:rsidRDefault="004C6CA6" w:rsidP="004C6CA6">
      <w:pPr>
        <w:pStyle w:val="SingleTxt"/>
      </w:pPr>
      <w:r w:rsidRPr="004C6CA6">
        <w:rPr>
          <w:rFonts w:hint="cs"/>
          <w:rtl/>
        </w:rPr>
        <w:t>6-</w:t>
      </w:r>
      <w:r w:rsidRPr="004C6CA6">
        <w:tab/>
      </w:r>
      <w:r w:rsidRPr="004C6CA6">
        <w:rPr>
          <w:rtl/>
        </w:rPr>
        <w:t xml:space="preserve">على ذلك، فإنّ المجتمع اللّبناني يعرف تنوّعاً طائفيّاً كبيراً بين أفراده، حيث يبلغ عدد الطّوائف المعترف بها من قبل الدّولة اللّبنانيّة ثماني عشرة طائفة تشكّل جميعها جزءاً لا يتجزّأ من هذا المجتمع، ولكلّ من هذه الطّوائف نظام قانوني خاصّ يحكم المسائل المتعلّقة بالأحوال الشّخصيّة المتعلّقة بأفرادها؛ هذا وإنّ للتّنوع الطّائفي انعكاس على صعيد النّظام السّياسي المعتمد في الدّولة وعلى صعيد توزيع بعض الوظائف الإداريّة فيها. </w:t>
      </w:r>
    </w:p>
    <w:p w:rsidR="004C6CA6" w:rsidRPr="004C6CA6" w:rsidRDefault="004C6CA6" w:rsidP="004C6CA6">
      <w:pPr>
        <w:pStyle w:val="SingleTxt"/>
        <w:rPr>
          <w:rtl/>
        </w:rPr>
      </w:pPr>
      <w:r w:rsidRPr="004C6CA6">
        <w:rPr>
          <w:rtl/>
        </w:rPr>
        <w:tab/>
        <w:t xml:space="preserve">إنّ النّظام الطّائفي المطبّق في مجال الأحوال الشّخصيّة، وفي المجال السّياسي، وعلى صعيد توزيع بعض الوظائف العامّة، يعتبر من الرّكائز الضّامنة للعيش المشترك بين اللّبنانيّين ذلك أنّه يسعى إلى ضمان حماية خصوصيّة كلّ من الطّوائف المشاركة في تكوين المجتمع اللّبناني وإلى تأمين مشاركتها الفعّالة في الحكم والإدارة، إلى حين إلغاء الطّائفيّة السّياسيّة الذّي يُعتبر وفق الفقرة "ح" من مقدّمة الدّستور هدفاً وطنيّاً أساسيّاً يقتضي العمل على تحقيقه وفق خطّة مرحليّة. </w:t>
      </w:r>
    </w:p>
    <w:p w:rsidR="004C6CA6" w:rsidRPr="004C6CA6" w:rsidRDefault="004C6CA6" w:rsidP="004C6CA6">
      <w:pPr>
        <w:pStyle w:val="SingleTxt"/>
        <w:rPr>
          <w:rtl/>
        </w:rPr>
      </w:pPr>
      <w:r w:rsidRPr="004C6CA6">
        <w:rPr>
          <w:rtl/>
        </w:rPr>
        <w:tab/>
        <w:t xml:space="preserve">ولا تعتبر الطّوائف المختلفة المكوّنة للمجتمع اللّبناني فئات ذات طابع إثني أو عرقي، وإن كانت تتمتّع بخصائص تاريخيّة وثقافيّة معيّنة. فضلاً عن ذلك، فإنّ </w:t>
      </w:r>
      <w:r w:rsidRPr="004C6CA6">
        <w:rPr>
          <w:rFonts w:hint="cs"/>
          <w:rtl/>
        </w:rPr>
        <w:t>الاعتراف</w:t>
      </w:r>
      <w:r w:rsidRPr="004C6CA6">
        <w:rPr>
          <w:rtl/>
        </w:rPr>
        <w:t xml:space="preserve"> للطّوائف بأنظمة </w:t>
      </w:r>
      <w:r w:rsidRPr="004C6CA6">
        <w:rPr>
          <w:rtl/>
        </w:rPr>
        <w:lastRenderedPageBreak/>
        <w:t>خاصّة في مجال الأحوال الشّخصيّة، أو بتمثيل معيّن في الحكم والإدارة لا يغيّران من كون الدّولة اللّبنانيّة دولة ذات وحدة لا تتجزأ وهذا ما تنصّ عليه المادّة الأولى من الدّستور</w:t>
      </w:r>
      <w:r w:rsidRPr="004C6CA6">
        <w:rPr>
          <w:vertAlign w:val="superscript"/>
          <w:rtl/>
        </w:rPr>
        <w:t>(</w:t>
      </w:r>
      <w:r w:rsidRPr="004C6CA6">
        <w:rPr>
          <w:vertAlign w:val="superscript"/>
          <w:rtl/>
        </w:rPr>
        <w:footnoteReference w:id="3"/>
      </w:r>
      <w:r w:rsidRPr="004C6CA6">
        <w:rPr>
          <w:vertAlign w:val="superscript"/>
          <w:rtl/>
        </w:rPr>
        <w:t>)</w:t>
      </w:r>
      <w:r w:rsidRPr="004C6CA6">
        <w:rPr>
          <w:rtl/>
        </w:rPr>
        <w:t>.</w:t>
      </w:r>
    </w:p>
    <w:p w:rsidR="004C6CA6" w:rsidRPr="004C6CA6" w:rsidRDefault="004C6CA6" w:rsidP="004C6CA6">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bookmarkStart w:id="8" w:name="_Toc417893373"/>
    </w:p>
    <w:p w:rsidR="004C6CA6" w:rsidRPr="004C6CA6" w:rsidRDefault="004C6CA6" w:rsidP="004C6CA6">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4C6CA6" w:rsidRPr="004C6CA6" w:rsidRDefault="004C6CA6" w:rsidP="004C6CA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4C6CA6">
        <w:rPr>
          <w:rtl/>
        </w:rPr>
        <w:tab/>
      </w:r>
      <w:r w:rsidRPr="004C6CA6">
        <w:rPr>
          <w:rtl/>
        </w:rPr>
        <w:tab/>
        <w:t>القسم الثّاني</w:t>
      </w:r>
      <w:r w:rsidRPr="004C6CA6">
        <w:rPr>
          <w:rtl/>
        </w:rPr>
        <w:tab/>
      </w:r>
      <w:r w:rsidRPr="004C6CA6">
        <w:rPr>
          <w:rtl/>
        </w:rPr>
        <w:br/>
        <w:t xml:space="preserve">المعلومات الخاصّة المتعلّقة بالمواد 1 إلى 7 من </w:t>
      </w:r>
      <w:bookmarkEnd w:id="8"/>
      <w:r w:rsidRPr="004C6CA6">
        <w:rPr>
          <w:rtl/>
        </w:rPr>
        <w:t>الاتفاقية</w:t>
      </w:r>
    </w:p>
    <w:p w:rsidR="004C6CA6" w:rsidRPr="004C6CA6" w:rsidRDefault="004C6CA6" w:rsidP="004C6CA6">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bookmarkStart w:id="9" w:name="_Toc417893374"/>
    </w:p>
    <w:p w:rsidR="004C6CA6" w:rsidRPr="004C6CA6" w:rsidRDefault="004C6CA6" w:rsidP="004C6CA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4C6CA6">
        <w:rPr>
          <w:rtl/>
        </w:rPr>
        <w:tab/>
      </w:r>
      <w:r w:rsidRPr="004C6CA6">
        <w:rPr>
          <w:rtl/>
        </w:rPr>
        <w:tab/>
        <w:t>المادّة 1</w:t>
      </w:r>
      <w:bookmarkEnd w:id="9"/>
    </w:p>
    <w:p w:rsidR="001F30B2" w:rsidRPr="001F30B2" w:rsidRDefault="001F30B2" w:rsidP="001F30B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4C6CA6" w:rsidRPr="004C6CA6" w:rsidRDefault="004C6CA6" w:rsidP="001F30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sidRPr="004C6CA6">
        <w:rPr>
          <w:rtl/>
        </w:rPr>
        <w:tab/>
      </w:r>
      <w:r w:rsidRPr="004C6CA6">
        <w:rPr>
          <w:rFonts w:hint="cs"/>
          <w:rtl/>
        </w:rPr>
        <w:t>أولاً</w:t>
      </w:r>
      <w:r w:rsidRPr="004C6CA6">
        <w:rPr>
          <w:rtl/>
        </w:rPr>
        <w:t>-</w:t>
      </w:r>
      <w:r w:rsidRPr="004C6CA6">
        <w:rPr>
          <w:rtl/>
        </w:rPr>
        <w:tab/>
        <w:t>مبدأ المساواة في الدّستور اللّبناني</w:t>
      </w:r>
    </w:p>
    <w:p w:rsidR="004C6CA6" w:rsidRPr="004C6CA6" w:rsidRDefault="004C6CA6" w:rsidP="001F30B2">
      <w:pPr>
        <w:pStyle w:val="SingleTxt"/>
      </w:pPr>
      <w:r w:rsidRPr="004C6CA6">
        <w:rPr>
          <w:rFonts w:hint="cs"/>
          <w:rtl/>
        </w:rPr>
        <w:t>7-</w:t>
      </w:r>
      <w:r w:rsidRPr="004C6CA6">
        <w:tab/>
      </w:r>
      <w:r w:rsidRPr="004C6CA6">
        <w:rPr>
          <w:rtl/>
        </w:rPr>
        <w:t xml:space="preserve">يعدّ مبدأ المساواة بين المواطنين من </w:t>
      </w:r>
      <w:r w:rsidRPr="004C6CA6">
        <w:rPr>
          <w:rFonts w:hint="cs"/>
          <w:rtl/>
        </w:rPr>
        <w:t>المبادئ</w:t>
      </w:r>
      <w:r w:rsidRPr="004C6CA6">
        <w:rPr>
          <w:rtl/>
        </w:rPr>
        <w:t xml:space="preserve"> الأساسيّة التّي تقوم عليها الدّولة اللّبنانيّة، وهو منصوص عنه بصورة عامّة بحيث يشمل جميع أوجه التّمييز سواءً كانت مبنيّة على أساس العرق أو اللّون أو النّسب أو الأصل القومي أو الإثني أو حتّى الدّين - مع التّحفّظ لجهة تطبيق مبدأ المساواة دون أي تمييز مبني على أساسٍ ديني في مسائل الأحوال الشّخصيّة كون النّظام المعمول به في لبنان في هذا المجال هو نظام طائفي يخضع بموجبه كلّ لبناني إلى قانون الأحوال الشّخصيّة الخاصّ بطائفته. </w:t>
      </w:r>
    </w:p>
    <w:p w:rsidR="004C6CA6" w:rsidRPr="004C6CA6" w:rsidRDefault="004C6CA6" w:rsidP="004C6CA6">
      <w:pPr>
        <w:pStyle w:val="SingleTxt"/>
        <w:rPr>
          <w:rtl/>
        </w:rPr>
      </w:pPr>
      <w:r w:rsidRPr="004C6CA6">
        <w:rPr>
          <w:rtl/>
        </w:rPr>
        <w:tab/>
        <w:t xml:space="preserve">فتنصّ الفقرة "ج" من مقدّمة الدّستور اللّبناني على أنّ الجمهوريّة اللّبنانيّة تقوم على احترام الحريّات العامّة، وفي طليعتها حريّة الرأي والمعتقد، وعلى العدالة الاجتماعية والمساواة في الحقوق والواجبات بين جميع المواطنين دون تمايز أو تفضيل، كما تنصّ المادّة (7) من الدّستور على أنّ كلّ اللبنانيّين سواء لدى القانون وهم يتمتّعون بالسّواء بالحقوق المدنيّة والسّياسيّة ويتحمّلون الفرائض والواجبات العامّة دونما فرق بينهم، وتنصّ المادّة (9) منه على أنّ حريّة </w:t>
      </w:r>
      <w:r w:rsidRPr="004C6CA6">
        <w:rPr>
          <w:rFonts w:hint="cs"/>
          <w:rtl/>
        </w:rPr>
        <w:t>الا</w:t>
      </w:r>
      <w:r w:rsidRPr="004C6CA6">
        <w:rPr>
          <w:rtl/>
        </w:rPr>
        <w:t xml:space="preserve">عتقاد مطلقة، وعلى أنّ الدّولة تكفل حريّة إقامة الشّعائر الدّينيّة تحت حمايتها على ألاّ يكون في ذلك إخلال في النّظام العامّ، وأيضاً تنصّ المادّة (12) من الدّستور على أنّ لكلّ لبناني الحقّ في تولّي الوظائف العامّة لا ميزة لأحد على الآخر إلاّ من حيث </w:t>
      </w:r>
      <w:r w:rsidRPr="004C6CA6">
        <w:rPr>
          <w:rFonts w:hint="cs"/>
          <w:rtl/>
        </w:rPr>
        <w:t>الا</w:t>
      </w:r>
      <w:r w:rsidRPr="004C6CA6">
        <w:rPr>
          <w:rtl/>
        </w:rPr>
        <w:t>ستحقاق والجدارة حسب الشّروط التّي ينصّ عليها القانون.</w:t>
      </w:r>
    </w:p>
    <w:p w:rsidR="001F30B2" w:rsidRPr="001F30B2" w:rsidRDefault="001F30B2" w:rsidP="001F30B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4C6CA6" w:rsidRPr="004C6CA6" w:rsidRDefault="004C6CA6" w:rsidP="001F30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4C6CA6">
        <w:rPr>
          <w:rtl/>
        </w:rPr>
        <w:tab/>
      </w:r>
      <w:r w:rsidRPr="004C6CA6">
        <w:rPr>
          <w:rFonts w:hint="cs"/>
          <w:rtl/>
        </w:rPr>
        <w:t>ثانياً</w:t>
      </w:r>
      <w:r w:rsidRPr="004C6CA6">
        <w:rPr>
          <w:rtl/>
        </w:rPr>
        <w:t>-</w:t>
      </w:r>
      <w:r w:rsidRPr="004C6CA6">
        <w:rPr>
          <w:rtl/>
        </w:rPr>
        <w:tab/>
      </w:r>
      <w:r w:rsidRPr="004C6CA6">
        <w:rPr>
          <w:rFonts w:hint="cs"/>
          <w:rtl/>
        </w:rPr>
        <w:t>ال</w:t>
      </w:r>
      <w:r w:rsidRPr="004C6CA6">
        <w:rPr>
          <w:rtl/>
        </w:rPr>
        <w:t xml:space="preserve">إطار </w:t>
      </w:r>
      <w:r w:rsidRPr="004C6CA6">
        <w:rPr>
          <w:rFonts w:hint="cs"/>
          <w:rtl/>
        </w:rPr>
        <w:t>الجزائي</w:t>
      </w:r>
      <w:r w:rsidRPr="004C6CA6">
        <w:rPr>
          <w:rtl/>
        </w:rPr>
        <w:t xml:space="preserve"> في مجال مكافحة التّمييز العنصري </w:t>
      </w:r>
    </w:p>
    <w:p w:rsidR="004C6CA6" w:rsidRPr="004C6CA6" w:rsidRDefault="004C6CA6" w:rsidP="004C6CA6">
      <w:pPr>
        <w:pStyle w:val="SingleTxt"/>
      </w:pPr>
      <w:r w:rsidRPr="004C6CA6">
        <w:rPr>
          <w:rFonts w:hint="cs"/>
          <w:rtl/>
        </w:rPr>
        <w:t>8-</w:t>
      </w:r>
      <w:r w:rsidRPr="004C6CA6">
        <w:tab/>
      </w:r>
      <w:r w:rsidRPr="004C6CA6">
        <w:rPr>
          <w:rFonts w:hint="cs"/>
          <w:rtl/>
        </w:rPr>
        <w:t>تجرّم</w:t>
      </w:r>
      <w:r w:rsidRPr="004C6CA6">
        <w:rPr>
          <w:rtl/>
        </w:rPr>
        <w:t xml:space="preserve"> </w:t>
      </w:r>
      <w:r w:rsidRPr="004C6CA6">
        <w:rPr>
          <w:rFonts w:hint="cs"/>
          <w:rtl/>
        </w:rPr>
        <w:t>القوانين</w:t>
      </w:r>
      <w:r w:rsidRPr="004C6CA6">
        <w:rPr>
          <w:rtl/>
        </w:rPr>
        <w:t xml:space="preserve"> </w:t>
      </w:r>
      <w:r w:rsidRPr="004C6CA6">
        <w:rPr>
          <w:rFonts w:hint="cs"/>
          <w:rtl/>
        </w:rPr>
        <w:t>اللّبنانيّة،</w:t>
      </w:r>
      <w:r w:rsidRPr="004C6CA6">
        <w:rPr>
          <w:rtl/>
        </w:rPr>
        <w:t xml:space="preserve"> </w:t>
      </w:r>
      <w:r w:rsidRPr="004C6CA6">
        <w:rPr>
          <w:rFonts w:hint="cs"/>
          <w:rtl/>
        </w:rPr>
        <w:t>وتحديداً</w:t>
      </w:r>
      <w:r w:rsidRPr="004C6CA6">
        <w:rPr>
          <w:rtl/>
        </w:rPr>
        <w:t xml:space="preserve"> </w:t>
      </w:r>
      <w:r w:rsidRPr="004C6CA6">
        <w:rPr>
          <w:rFonts w:hint="cs"/>
          <w:rtl/>
        </w:rPr>
        <w:t>قانون</w:t>
      </w:r>
      <w:r w:rsidRPr="004C6CA6">
        <w:rPr>
          <w:rtl/>
        </w:rPr>
        <w:t xml:space="preserve"> </w:t>
      </w:r>
      <w:r w:rsidRPr="004C6CA6">
        <w:rPr>
          <w:rFonts w:hint="cs"/>
          <w:rtl/>
        </w:rPr>
        <w:t>العقوبات</w:t>
      </w:r>
      <w:r w:rsidRPr="004C6CA6">
        <w:rPr>
          <w:rtl/>
        </w:rPr>
        <w:t xml:space="preserve"> </w:t>
      </w:r>
      <w:r w:rsidRPr="004C6CA6">
        <w:rPr>
          <w:rFonts w:hint="cs"/>
          <w:rtl/>
        </w:rPr>
        <w:t>وقانون</w:t>
      </w:r>
      <w:r w:rsidRPr="004C6CA6">
        <w:rPr>
          <w:rtl/>
        </w:rPr>
        <w:t xml:space="preserve"> </w:t>
      </w:r>
      <w:r w:rsidRPr="004C6CA6">
        <w:rPr>
          <w:rFonts w:hint="cs"/>
          <w:rtl/>
        </w:rPr>
        <w:t>المطبوعات</w:t>
      </w:r>
      <w:r w:rsidRPr="004C6CA6">
        <w:rPr>
          <w:rtl/>
        </w:rPr>
        <w:t xml:space="preserve"> </w:t>
      </w:r>
      <w:r w:rsidRPr="004C6CA6">
        <w:rPr>
          <w:rFonts w:hint="cs"/>
          <w:rtl/>
        </w:rPr>
        <w:t>و</w:t>
      </w:r>
      <w:r w:rsidRPr="004C6CA6">
        <w:rPr>
          <w:rtl/>
        </w:rPr>
        <w:t xml:space="preserve">قانون البثّ التّلفزيوني والإذاعي الأفعال التّي تنمّ عن تمييز عنصري، وبشكلٍ عامّ </w:t>
      </w:r>
      <w:r w:rsidRPr="004C6CA6">
        <w:rPr>
          <w:rFonts w:hint="cs"/>
          <w:rtl/>
        </w:rPr>
        <w:t>يعتبر</w:t>
      </w:r>
      <w:r w:rsidRPr="004C6CA6">
        <w:rPr>
          <w:rtl/>
        </w:rPr>
        <w:t xml:space="preserve"> </w:t>
      </w:r>
      <w:r w:rsidRPr="004C6CA6">
        <w:rPr>
          <w:rFonts w:hint="cs"/>
          <w:rtl/>
        </w:rPr>
        <w:t>جنحةً</w:t>
      </w:r>
      <w:r w:rsidRPr="004C6CA6">
        <w:rPr>
          <w:rtl/>
        </w:rPr>
        <w:t xml:space="preserve"> </w:t>
      </w:r>
      <w:r w:rsidRPr="004C6CA6">
        <w:rPr>
          <w:rFonts w:hint="cs"/>
          <w:rtl/>
        </w:rPr>
        <w:t>معاقباً</w:t>
      </w:r>
      <w:r w:rsidRPr="004C6CA6">
        <w:rPr>
          <w:rtl/>
        </w:rPr>
        <w:t xml:space="preserve"> عليها في القانون كلّ عمل يقصد منه إثارة النّعرات المذهبيّة أو العنصريّة أو الحضّ على النّزاع بين الطّوائف ومختلف عناصر الأمّة، كما يعتبر جنحةً </w:t>
      </w:r>
      <w:r w:rsidRPr="004C6CA6">
        <w:rPr>
          <w:rFonts w:hint="cs"/>
          <w:rtl/>
        </w:rPr>
        <w:t>الانتماء</w:t>
      </w:r>
      <w:r w:rsidRPr="004C6CA6">
        <w:rPr>
          <w:rtl/>
        </w:rPr>
        <w:t xml:space="preserve"> إلى جمعيّة أنشئت لهذه الغاية، وكذلك قيام إحدى وسائل </w:t>
      </w:r>
      <w:r w:rsidRPr="004C6CA6">
        <w:rPr>
          <w:rFonts w:hint="cs"/>
          <w:rtl/>
        </w:rPr>
        <w:lastRenderedPageBreak/>
        <w:t>الإعلام</w:t>
      </w:r>
      <w:r w:rsidRPr="004C6CA6">
        <w:rPr>
          <w:rtl/>
        </w:rPr>
        <w:t xml:space="preserve"> بنشر ما من شأنه إثارة النّعرات الطّائفيّة </w:t>
      </w:r>
      <w:r w:rsidRPr="004C6CA6">
        <w:rPr>
          <w:rFonts w:hint="cs"/>
          <w:rtl/>
        </w:rPr>
        <w:t>أو</w:t>
      </w:r>
      <w:r w:rsidRPr="004C6CA6">
        <w:rPr>
          <w:rtl/>
        </w:rPr>
        <w:t xml:space="preserve"> </w:t>
      </w:r>
      <w:r w:rsidRPr="004C6CA6">
        <w:rPr>
          <w:rFonts w:hint="cs"/>
          <w:rtl/>
        </w:rPr>
        <w:t>العنصريّة،</w:t>
      </w:r>
      <w:r w:rsidRPr="004C6CA6">
        <w:rPr>
          <w:rtl/>
        </w:rPr>
        <w:t xml:space="preserve"> </w:t>
      </w:r>
      <w:r w:rsidRPr="004C6CA6">
        <w:rPr>
          <w:rFonts w:hint="cs"/>
          <w:rtl/>
        </w:rPr>
        <w:t>ويعدّ</w:t>
      </w:r>
      <w:r w:rsidRPr="004C6CA6">
        <w:rPr>
          <w:rtl/>
        </w:rPr>
        <w:t xml:space="preserve"> </w:t>
      </w:r>
      <w:r w:rsidRPr="004C6CA6">
        <w:rPr>
          <w:rFonts w:hint="cs"/>
          <w:rtl/>
        </w:rPr>
        <w:t>جنايةً</w:t>
      </w:r>
      <w:r w:rsidRPr="004C6CA6">
        <w:rPr>
          <w:rtl/>
        </w:rPr>
        <w:t xml:space="preserve"> </w:t>
      </w:r>
      <w:r w:rsidRPr="004C6CA6">
        <w:rPr>
          <w:rFonts w:hint="cs"/>
          <w:rtl/>
        </w:rPr>
        <w:t>القيام</w:t>
      </w:r>
      <w:r w:rsidRPr="004C6CA6">
        <w:rPr>
          <w:rtl/>
        </w:rPr>
        <w:t xml:space="preserve"> </w:t>
      </w:r>
      <w:r w:rsidRPr="004C6CA6">
        <w:rPr>
          <w:rFonts w:hint="cs"/>
          <w:rtl/>
        </w:rPr>
        <w:t>بدعوة</w:t>
      </w:r>
      <w:r w:rsidRPr="004C6CA6">
        <w:rPr>
          <w:rtl/>
        </w:rPr>
        <w:t xml:space="preserve"> </w:t>
      </w:r>
      <w:r w:rsidRPr="004C6CA6">
        <w:rPr>
          <w:rFonts w:hint="cs"/>
          <w:rtl/>
        </w:rPr>
        <w:t>ترمي</w:t>
      </w:r>
      <w:r w:rsidRPr="004C6CA6">
        <w:rPr>
          <w:rtl/>
        </w:rPr>
        <w:t xml:space="preserve"> </w:t>
      </w:r>
      <w:r w:rsidRPr="004C6CA6">
        <w:rPr>
          <w:rFonts w:hint="cs"/>
          <w:rtl/>
        </w:rPr>
        <w:t>إلى</w:t>
      </w:r>
      <w:r w:rsidRPr="004C6CA6">
        <w:rPr>
          <w:rtl/>
        </w:rPr>
        <w:t xml:space="preserve"> </w:t>
      </w:r>
      <w:r w:rsidRPr="004C6CA6">
        <w:rPr>
          <w:rFonts w:hint="cs"/>
          <w:rtl/>
        </w:rPr>
        <w:t>إيقاظ</w:t>
      </w:r>
      <w:r w:rsidRPr="004C6CA6">
        <w:rPr>
          <w:rtl/>
        </w:rPr>
        <w:t xml:space="preserve"> </w:t>
      </w:r>
      <w:r w:rsidRPr="004C6CA6">
        <w:rPr>
          <w:rFonts w:hint="cs"/>
          <w:rtl/>
        </w:rPr>
        <w:t>النّعرات</w:t>
      </w:r>
      <w:r w:rsidRPr="004C6CA6">
        <w:rPr>
          <w:rtl/>
        </w:rPr>
        <w:t xml:space="preserve"> </w:t>
      </w:r>
      <w:r w:rsidRPr="004C6CA6">
        <w:rPr>
          <w:rFonts w:hint="cs"/>
          <w:rtl/>
        </w:rPr>
        <w:t>المذهبيّة</w:t>
      </w:r>
      <w:r w:rsidRPr="004C6CA6">
        <w:rPr>
          <w:rtl/>
        </w:rPr>
        <w:t xml:space="preserve"> </w:t>
      </w:r>
      <w:r w:rsidRPr="004C6CA6">
        <w:rPr>
          <w:rFonts w:hint="cs"/>
          <w:rtl/>
        </w:rPr>
        <w:t>أو</w:t>
      </w:r>
      <w:r w:rsidRPr="004C6CA6">
        <w:rPr>
          <w:rtl/>
        </w:rPr>
        <w:t xml:space="preserve"> </w:t>
      </w:r>
      <w:r w:rsidRPr="004C6CA6">
        <w:rPr>
          <w:rFonts w:hint="cs"/>
          <w:rtl/>
        </w:rPr>
        <w:t>العنصريّة</w:t>
      </w:r>
      <w:r w:rsidRPr="004C6CA6">
        <w:rPr>
          <w:rtl/>
        </w:rPr>
        <w:t xml:space="preserve"> </w:t>
      </w:r>
      <w:r w:rsidRPr="004C6CA6">
        <w:rPr>
          <w:rFonts w:hint="cs"/>
          <w:rtl/>
        </w:rPr>
        <w:t>في</w:t>
      </w:r>
      <w:r w:rsidRPr="004C6CA6">
        <w:rPr>
          <w:rtl/>
        </w:rPr>
        <w:t xml:space="preserve"> </w:t>
      </w:r>
      <w:r w:rsidRPr="004C6CA6">
        <w:rPr>
          <w:rFonts w:hint="cs"/>
          <w:rtl/>
        </w:rPr>
        <w:t>زمن</w:t>
      </w:r>
      <w:r w:rsidRPr="004C6CA6">
        <w:rPr>
          <w:rtl/>
        </w:rPr>
        <w:t xml:space="preserve"> </w:t>
      </w:r>
      <w:r w:rsidRPr="004C6CA6">
        <w:rPr>
          <w:rFonts w:hint="cs"/>
          <w:rtl/>
        </w:rPr>
        <w:t>الحرب</w:t>
      </w:r>
      <w:r w:rsidRPr="004C6CA6">
        <w:rPr>
          <w:rtl/>
        </w:rPr>
        <w:t xml:space="preserve"> </w:t>
      </w:r>
      <w:r w:rsidRPr="004C6CA6">
        <w:rPr>
          <w:rFonts w:hint="cs"/>
          <w:rtl/>
        </w:rPr>
        <w:t>أو</w:t>
      </w:r>
      <w:r w:rsidRPr="004C6CA6">
        <w:rPr>
          <w:rtl/>
        </w:rPr>
        <w:t xml:space="preserve"> </w:t>
      </w:r>
      <w:r w:rsidRPr="004C6CA6">
        <w:rPr>
          <w:rFonts w:hint="cs"/>
          <w:rtl/>
        </w:rPr>
        <w:t>عند</w:t>
      </w:r>
      <w:r w:rsidRPr="004C6CA6">
        <w:rPr>
          <w:rtl/>
        </w:rPr>
        <w:t xml:space="preserve"> </w:t>
      </w:r>
      <w:r w:rsidRPr="004C6CA6">
        <w:rPr>
          <w:rFonts w:hint="cs"/>
          <w:rtl/>
        </w:rPr>
        <w:t>توقّع</w:t>
      </w:r>
      <w:r w:rsidRPr="004C6CA6">
        <w:rPr>
          <w:rtl/>
        </w:rPr>
        <w:t xml:space="preserve"> </w:t>
      </w:r>
      <w:r w:rsidRPr="004C6CA6">
        <w:rPr>
          <w:rFonts w:hint="cs"/>
          <w:rtl/>
        </w:rPr>
        <w:t>حصولها</w:t>
      </w:r>
      <w:r w:rsidRPr="004C6CA6">
        <w:rPr>
          <w:vertAlign w:val="superscript"/>
          <w:rtl/>
        </w:rPr>
        <w:t>(</w:t>
      </w:r>
      <w:r w:rsidRPr="004C6CA6">
        <w:rPr>
          <w:vertAlign w:val="superscript"/>
          <w:rtl/>
        </w:rPr>
        <w:footnoteReference w:id="4"/>
      </w:r>
      <w:r w:rsidRPr="004C6CA6">
        <w:rPr>
          <w:vertAlign w:val="superscript"/>
          <w:rtl/>
        </w:rPr>
        <w:t>)</w:t>
      </w:r>
      <w:r w:rsidRPr="004C6CA6">
        <w:rPr>
          <w:rtl/>
        </w:rPr>
        <w:t>.</w:t>
      </w:r>
    </w:p>
    <w:p w:rsidR="001F30B2" w:rsidRPr="001F30B2" w:rsidRDefault="001F30B2" w:rsidP="001F30B2">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bookmarkStart w:id="10" w:name="_Toc417893375"/>
    </w:p>
    <w:p w:rsidR="001F30B2" w:rsidRPr="001F30B2" w:rsidRDefault="001F30B2" w:rsidP="001F30B2">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4C6CA6" w:rsidRPr="004C6CA6" w:rsidRDefault="004C6CA6" w:rsidP="001F30B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4C6CA6">
        <w:rPr>
          <w:rtl/>
        </w:rPr>
        <w:tab/>
      </w:r>
      <w:r w:rsidRPr="004C6CA6">
        <w:rPr>
          <w:rtl/>
        </w:rPr>
        <w:tab/>
        <w:t>المادّة 2</w:t>
      </w:r>
      <w:bookmarkEnd w:id="10"/>
    </w:p>
    <w:p w:rsidR="001F30B2" w:rsidRPr="001F30B2" w:rsidRDefault="001F30B2" w:rsidP="001F30B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4C6CA6" w:rsidRPr="004C6CA6" w:rsidRDefault="004C6CA6" w:rsidP="001F30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sidRPr="004C6CA6">
        <w:rPr>
          <w:rtl/>
        </w:rPr>
        <w:tab/>
      </w:r>
      <w:r w:rsidRPr="004C6CA6">
        <w:rPr>
          <w:rFonts w:hint="cs"/>
          <w:rtl/>
        </w:rPr>
        <w:t>أولاً</w:t>
      </w:r>
      <w:r w:rsidRPr="004C6CA6">
        <w:rPr>
          <w:rtl/>
        </w:rPr>
        <w:t>-</w:t>
      </w:r>
      <w:r w:rsidRPr="004C6CA6">
        <w:rPr>
          <w:rtl/>
        </w:rPr>
        <w:tab/>
        <w:t xml:space="preserve">الخطوات </w:t>
      </w:r>
      <w:r w:rsidRPr="004C6CA6">
        <w:rPr>
          <w:rFonts w:hint="cs"/>
          <w:rtl/>
        </w:rPr>
        <w:t>ال</w:t>
      </w:r>
      <w:r w:rsidRPr="004C6CA6">
        <w:rPr>
          <w:rtl/>
        </w:rPr>
        <w:t>ت</w:t>
      </w:r>
      <w:r w:rsidRPr="004C6CA6">
        <w:rPr>
          <w:rFonts w:hint="cs"/>
          <w:rtl/>
        </w:rPr>
        <w:t>ّ</w:t>
      </w:r>
      <w:r w:rsidRPr="004C6CA6">
        <w:rPr>
          <w:rtl/>
        </w:rPr>
        <w:t>شريعيّة في إطار مكافحة التّمييز بشكلٍ عامّ والتّمييز العنصري بشكلٍ خاصّ</w:t>
      </w:r>
    </w:p>
    <w:p w:rsidR="004C6CA6" w:rsidRPr="004C6CA6" w:rsidRDefault="004C6CA6" w:rsidP="001F30B2">
      <w:pPr>
        <w:pStyle w:val="SingleTxt"/>
      </w:pPr>
      <w:r w:rsidRPr="004C6CA6">
        <w:rPr>
          <w:rFonts w:hint="cs"/>
          <w:rtl/>
        </w:rPr>
        <w:t>9-</w:t>
      </w:r>
      <w:r w:rsidRPr="004C6CA6">
        <w:tab/>
      </w:r>
      <w:r w:rsidRPr="004C6CA6">
        <w:rPr>
          <w:rtl/>
        </w:rPr>
        <w:t xml:space="preserve">أقرّ مجلس النّوّاب اللّبناني عدداً من النّصوص التّشريعيّة ترمي إلى تحقيق المساواة بين مختلف أفراد المجتمع إمّا عن طريق إدخال تعديلات على النّصوص الموجودة أصلاً أو عن طريق إقرار قوانينٍ جديدة. وإنّ المساواة المقصودة في هذا الإطار تشمل مكافحة التّمييز بين مختلف فئات المجتمع على جميع أشكاله بما في ذلك التّمييز بين الرّجل والمرأة الذّي قد يشكّل في بعض الأحيان </w:t>
      </w:r>
      <w:r w:rsidRPr="004C6CA6">
        <w:rPr>
          <w:rFonts w:hint="cs"/>
          <w:rtl/>
        </w:rPr>
        <w:t>ا</w:t>
      </w:r>
      <w:r w:rsidRPr="004C6CA6">
        <w:rPr>
          <w:rtl/>
        </w:rPr>
        <w:t>متداداً لمسألة التّمييز العنصري عندما يترافق معه.</w:t>
      </w:r>
    </w:p>
    <w:p w:rsidR="001F30B2" w:rsidRPr="001F30B2" w:rsidRDefault="001F30B2" w:rsidP="001F30B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4C6CA6" w:rsidRPr="004C6CA6" w:rsidRDefault="004C6CA6" w:rsidP="001F30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4C6CA6">
        <w:rPr>
          <w:rtl/>
        </w:rPr>
        <w:tab/>
        <w:t>(أ)</w:t>
      </w:r>
      <w:r w:rsidRPr="004C6CA6">
        <w:rPr>
          <w:rtl/>
        </w:rPr>
        <w:tab/>
        <w:t>إقرار قانون حماية النّساء وسائر أفراد الأسرة من العنف الأسري</w:t>
      </w:r>
    </w:p>
    <w:p w:rsidR="004C6CA6" w:rsidRPr="004C6CA6" w:rsidRDefault="004C6CA6" w:rsidP="004C6CA6">
      <w:pPr>
        <w:pStyle w:val="SingleTxt"/>
      </w:pPr>
      <w:r w:rsidRPr="004C6CA6">
        <w:rPr>
          <w:rFonts w:hint="cs"/>
          <w:rtl/>
        </w:rPr>
        <w:t>10-</w:t>
      </w:r>
      <w:r w:rsidRPr="004C6CA6">
        <w:tab/>
      </w:r>
      <w:r w:rsidRPr="004C6CA6">
        <w:rPr>
          <w:rtl/>
        </w:rPr>
        <w:t xml:space="preserve">صدر بتاريخ 7 أيّار/مايو 2014 القانون رقم (293) المتعلّق بحماية النّساء وسائر </w:t>
      </w:r>
      <w:r w:rsidRPr="004C6CA6">
        <w:rPr>
          <w:rFonts w:hint="cs"/>
          <w:rtl/>
        </w:rPr>
        <w:t>أ</w:t>
      </w:r>
      <w:r w:rsidRPr="004C6CA6">
        <w:rPr>
          <w:rtl/>
        </w:rPr>
        <w:t>فراد الأسرة من العنف الأسري، ويعرّف هذا القانون الأسرة على أنّها تشمل أّيّ من الزوجين والأب والأم لأيّ منهما والأخوة والأخوات والأصول والفروع شرعيّين كانوا أم غير شرعيّين ومن تجمع بينهم رابطة التبنّي أو المصاهرة حتّى الدرجة الثّانية أو الوصاية أو الولاية أو تكفّل اليتيم أو زوج الأمّ أو زوج الأب، كما يعرّف العنف الأسري على أنّه أي فعل أو امتناع عن فعل أو التّهديد بهما، يرتكب من أحد أعضاء الأسرة ضد فرد أو أكثر من أفراد الأسرة، ويتناول أحد الجرائم</w:t>
      </w:r>
      <w:r w:rsidRPr="004C6CA6">
        <w:rPr>
          <w:rFonts w:hint="eastAsia"/>
          <w:rtl/>
        </w:rPr>
        <w:t> </w:t>
      </w:r>
      <w:r w:rsidRPr="004C6CA6">
        <w:rPr>
          <w:rtl/>
        </w:rPr>
        <w:t>المنصوص عليها في هذا القانون، ويترتّب عنه قتل أو إيذاء جسدي أو نفسي أو جنسي أو</w:t>
      </w:r>
      <w:r w:rsidRPr="004C6CA6">
        <w:rPr>
          <w:rFonts w:hint="eastAsia"/>
          <w:rtl/>
        </w:rPr>
        <w:t> </w:t>
      </w:r>
      <w:r w:rsidRPr="004C6CA6">
        <w:rPr>
          <w:rFonts w:hint="cs"/>
          <w:rtl/>
        </w:rPr>
        <w:t>ا</w:t>
      </w:r>
      <w:r w:rsidRPr="004C6CA6">
        <w:rPr>
          <w:rtl/>
        </w:rPr>
        <w:t>قتصادي.</w:t>
      </w:r>
    </w:p>
    <w:p w:rsidR="004C6CA6" w:rsidRPr="004C6CA6" w:rsidRDefault="004C6CA6" w:rsidP="004C6CA6">
      <w:pPr>
        <w:pStyle w:val="SingleTxt"/>
        <w:rPr>
          <w:rtl/>
        </w:rPr>
      </w:pPr>
      <w:r w:rsidRPr="004C6CA6">
        <w:rPr>
          <w:rtl/>
        </w:rPr>
        <w:tab/>
        <w:t>ويتضمّن القانون المذكور أيضاً تعديلاً لمواد قانون العقوبات المتعلّقة بجرم الزّنا، حيث ساوى بين الرّجل والمرأة في هذا المجال لا سيّما بالنّسبة إلى العقوبة المترّتبة على هذه الجريمة.</w:t>
      </w:r>
    </w:p>
    <w:p w:rsidR="001F30B2" w:rsidRPr="001F30B2" w:rsidRDefault="001F30B2" w:rsidP="001F30B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4C6CA6" w:rsidRPr="004C6CA6" w:rsidRDefault="004C6CA6" w:rsidP="001F30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4C6CA6">
        <w:rPr>
          <w:rtl/>
        </w:rPr>
        <w:tab/>
        <w:t>(ب)</w:t>
      </w:r>
      <w:r w:rsidRPr="004C6CA6">
        <w:rPr>
          <w:rtl/>
        </w:rPr>
        <w:tab/>
        <w:t>إلغاء العذر المخفّف في جريمة الشّرف</w:t>
      </w:r>
    </w:p>
    <w:p w:rsidR="004C6CA6" w:rsidRPr="004C6CA6" w:rsidRDefault="004C6CA6" w:rsidP="004C6CA6">
      <w:pPr>
        <w:pStyle w:val="SingleTxt"/>
        <w:rPr>
          <w:rtl/>
        </w:rPr>
      </w:pPr>
      <w:r w:rsidRPr="004C6CA6">
        <w:rPr>
          <w:rtl/>
        </w:rPr>
        <w:t>11-</w:t>
      </w:r>
      <w:r w:rsidRPr="004C6CA6">
        <w:rPr>
          <w:rtl/>
        </w:rPr>
        <w:tab/>
        <w:t xml:space="preserve">صدر بتاريخ 17 </w:t>
      </w:r>
      <w:r w:rsidRPr="004C6CA6">
        <w:rPr>
          <w:rFonts w:hint="cs"/>
          <w:rtl/>
        </w:rPr>
        <w:t>آب</w:t>
      </w:r>
      <w:r w:rsidRPr="004C6CA6">
        <w:rPr>
          <w:rtl/>
        </w:rPr>
        <w:t>/أغسطس 2011 القانون رقم (162) الذّي ألغى المادّة (562) من قانون العقوبات التّي كانت تفيد من العذر المخفّف مَن (بمعنى "رَجُل") فاجأ زوجه أو أحد أصوله أو فروعه أو أخته في جرم الز</w:t>
      </w:r>
      <w:r w:rsidRPr="004C6CA6">
        <w:rPr>
          <w:rFonts w:hint="cs"/>
          <w:rtl/>
        </w:rPr>
        <w:t>ّنا</w:t>
      </w:r>
      <w:r w:rsidRPr="004C6CA6">
        <w:rPr>
          <w:rtl/>
        </w:rPr>
        <w:t xml:space="preserve"> المشهود أو في حالة الجماع غير المشروع فأقدم على قتل أحدهما أو إيذائه بغير عمد وهو ما يعرف </w:t>
      </w:r>
      <w:r w:rsidRPr="004C6CA6">
        <w:rPr>
          <w:rFonts w:hint="cs"/>
          <w:rtl/>
        </w:rPr>
        <w:t>ﺑ</w:t>
      </w:r>
      <w:r w:rsidRPr="004C6CA6">
        <w:rPr>
          <w:rtl/>
        </w:rPr>
        <w:t xml:space="preserve"> "جريمة الشّرف".</w:t>
      </w:r>
    </w:p>
    <w:p w:rsidR="004C6CA6" w:rsidRPr="004C6CA6" w:rsidRDefault="004C6CA6" w:rsidP="001F30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4C6CA6">
        <w:rPr>
          <w:rtl/>
        </w:rPr>
        <w:lastRenderedPageBreak/>
        <w:tab/>
        <w:t>(ج)</w:t>
      </w:r>
      <w:r w:rsidRPr="004C6CA6">
        <w:rPr>
          <w:rtl/>
        </w:rPr>
        <w:tab/>
        <w:t>إقرار قانون معاقبة جريمة ال</w:t>
      </w:r>
      <w:r w:rsidRPr="004C6CA6">
        <w:rPr>
          <w:rFonts w:hint="cs"/>
          <w:rtl/>
        </w:rPr>
        <w:t>ا</w:t>
      </w:r>
      <w:r w:rsidRPr="004C6CA6">
        <w:rPr>
          <w:rtl/>
        </w:rPr>
        <w:t>تّجار بالأشخاص</w:t>
      </w:r>
    </w:p>
    <w:p w:rsidR="004C6CA6" w:rsidRPr="004C6CA6" w:rsidRDefault="004C6CA6" w:rsidP="004C6CA6">
      <w:pPr>
        <w:pStyle w:val="SingleTxt"/>
      </w:pPr>
      <w:r w:rsidRPr="004C6CA6">
        <w:rPr>
          <w:rFonts w:hint="cs"/>
          <w:rtl/>
        </w:rPr>
        <w:t>12-</w:t>
      </w:r>
      <w:r w:rsidRPr="004C6CA6">
        <w:tab/>
      </w:r>
      <w:r w:rsidRPr="004C6CA6">
        <w:rPr>
          <w:rtl/>
        </w:rPr>
        <w:t xml:space="preserve">انضمّ لبنان بتاريخ 10 أيّار/مايو 2005 إلى </w:t>
      </w:r>
      <w:r w:rsidRPr="004C6CA6">
        <w:rPr>
          <w:rFonts w:hint="cs"/>
          <w:rtl/>
        </w:rPr>
        <w:t>ا</w:t>
      </w:r>
      <w:r w:rsidRPr="004C6CA6">
        <w:rPr>
          <w:rtl/>
        </w:rPr>
        <w:t>تّفاقيّة الأمم المتّحدة لمكافحة الجريمة المنظّمة عبر الوطنيّة، كما انضمّ إلى بروتوكول منع وقمع ومعاقبة الإتّجار بالأشخاص وبخاصّة النّساء والأطفال، وبروتوكول مكافحة تهريب المهاجرين عن طريق البحر والبرّ والجوّ، المكّملين لها.</w:t>
      </w:r>
    </w:p>
    <w:p w:rsidR="004C6CA6" w:rsidRPr="004C6CA6" w:rsidRDefault="004C6CA6" w:rsidP="004C6CA6">
      <w:pPr>
        <w:pStyle w:val="SingleTxt"/>
      </w:pPr>
      <w:r w:rsidRPr="004C6CA6">
        <w:rPr>
          <w:rtl/>
        </w:rPr>
        <w:tab/>
      </w:r>
      <w:r w:rsidRPr="004C6CA6">
        <w:rPr>
          <w:rFonts w:hint="cs"/>
          <w:rtl/>
        </w:rPr>
        <w:t>و</w:t>
      </w:r>
      <w:r w:rsidRPr="004C6CA6">
        <w:rPr>
          <w:rtl/>
        </w:rPr>
        <w:t xml:space="preserve">صدر بتاريخ 24 </w:t>
      </w:r>
      <w:r w:rsidRPr="004C6CA6">
        <w:rPr>
          <w:rFonts w:hint="cs"/>
          <w:rtl/>
        </w:rPr>
        <w:t>آب</w:t>
      </w:r>
      <w:r w:rsidRPr="004C6CA6">
        <w:rPr>
          <w:rtl/>
        </w:rPr>
        <w:t>/أغسطس 2011 القانون رقم (164) المتعلٌّق بمعاقبة جريمة الإتّجار بالأشخاص؛ ويَعتبر هذا القانون استغلالاً مؤدّياً إلى اعتبار الفعل مكوّناً لجرم ا</w:t>
      </w:r>
      <w:r w:rsidRPr="004C6CA6">
        <w:rPr>
          <w:rFonts w:hint="cs"/>
          <w:rtl/>
        </w:rPr>
        <w:t>لا</w:t>
      </w:r>
      <w:r w:rsidRPr="004C6CA6">
        <w:rPr>
          <w:rtl/>
        </w:rPr>
        <w:t xml:space="preserve">تّجار بالأشخاص، </w:t>
      </w:r>
      <w:r w:rsidRPr="004C6CA6">
        <w:rPr>
          <w:rFonts w:hint="cs"/>
          <w:rtl/>
        </w:rPr>
        <w:t>الا</w:t>
      </w:r>
      <w:r w:rsidRPr="004C6CA6">
        <w:rPr>
          <w:rtl/>
        </w:rPr>
        <w:t>ستغلال الجنسي للضحيّة، إرغامها على الدّعارة، على العمل القسري، استرقاقها أو القيام بممارسات شبيهة بالرقّ في حقّها.</w:t>
      </w:r>
    </w:p>
    <w:p w:rsidR="004C6CA6" w:rsidRPr="004C6CA6" w:rsidRDefault="004C6CA6" w:rsidP="004C6CA6">
      <w:pPr>
        <w:pStyle w:val="SingleTxt"/>
      </w:pPr>
      <w:r w:rsidRPr="004C6CA6">
        <w:rPr>
          <w:rFonts w:hint="cs"/>
          <w:rtl/>
        </w:rPr>
        <w:t>13-</w:t>
      </w:r>
      <w:r w:rsidRPr="004C6CA6">
        <w:tab/>
      </w:r>
      <w:r w:rsidRPr="004C6CA6">
        <w:rPr>
          <w:rtl/>
        </w:rPr>
        <w:t xml:space="preserve">ومن أهمّ ما جاء في هذا القانون هو أنّه جعل من جرم الإتّجار بالأشخاص جنايةً، وأنّه تضمّن أحكاماً تتعلّق بحماية الشّهود في مثل هذه القضايا من خلال الحفاظ على سريّة هويّاتهم، كما سمح لضحيّة الجرم بالإقامة في لبنان طيلة المدّة التّي تقتضيها إجراءات التّحقيق، بموجب قرار قضائي يجيز لها ذلك، مراعاةً منه لواقع أنّ الضحايا قد يكونون من العمّال الأجانب الذّين يتمّ استغلالهم لعدم حيازتهم على الأوراق القانونيّة التّي تجيز لهم الإقامة بصورة شرعيّة في لبنان، الأمر الذّي - لولا وجود هذه القاعدة في قانون معاقبة جريمة الإتّجار بالأشخاص - كان من شأنه أن يشكّل رادعاً لهم يحول دونهم وقيامهم بتقديم أي شكوى أو </w:t>
      </w:r>
      <w:r w:rsidRPr="004C6CA6">
        <w:rPr>
          <w:rFonts w:hint="cs"/>
          <w:rtl/>
        </w:rPr>
        <w:t>ا</w:t>
      </w:r>
      <w:r w:rsidRPr="004C6CA6">
        <w:rPr>
          <w:rtl/>
        </w:rPr>
        <w:t xml:space="preserve">دّعاء في حقّ الجاني خشية افتضاح أمرهم وترحيلهم حتّى قبل التماسهم لأيّ نتيجة من شكواهم أو ادّعائهم. </w:t>
      </w:r>
    </w:p>
    <w:p w:rsidR="001F30B2" w:rsidRPr="001F30B2" w:rsidRDefault="001F30B2" w:rsidP="001F30B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4C6CA6" w:rsidRPr="004C6CA6" w:rsidRDefault="004C6CA6" w:rsidP="001F30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4C6CA6">
        <w:rPr>
          <w:rtl/>
        </w:rPr>
        <w:tab/>
      </w:r>
      <w:r w:rsidRPr="004C6CA6">
        <w:rPr>
          <w:rFonts w:hint="cs"/>
          <w:rtl/>
        </w:rPr>
        <w:t>ثانياً</w:t>
      </w:r>
      <w:r w:rsidRPr="004C6CA6">
        <w:rPr>
          <w:rtl/>
        </w:rPr>
        <w:t>-</w:t>
      </w:r>
      <w:r w:rsidRPr="004C6CA6">
        <w:rPr>
          <w:rtl/>
        </w:rPr>
        <w:tab/>
        <w:t>الخطوات والإجراءات المتعلّقة بالأوضاع العامّة للاّجئين الفلسطينيّين</w:t>
      </w:r>
    </w:p>
    <w:p w:rsidR="004C6CA6" w:rsidRPr="004C6CA6" w:rsidRDefault="004C6CA6" w:rsidP="001F30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4C6CA6">
        <w:rPr>
          <w:rtl/>
        </w:rPr>
        <w:tab/>
        <w:t>(أ)</w:t>
      </w:r>
      <w:r w:rsidRPr="004C6CA6">
        <w:rPr>
          <w:rtl/>
        </w:rPr>
        <w:tab/>
        <w:t>تشكيل لجنة الحوار اللّبناني - الفلسطيني</w:t>
      </w:r>
    </w:p>
    <w:p w:rsidR="004C6CA6" w:rsidRPr="004C6CA6" w:rsidRDefault="004C6CA6" w:rsidP="004C6CA6">
      <w:pPr>
        <w:pStyle w:val="SingleTxt"/>
        <w:rPr>
          <w:rtl/>
        </w:rPr>
      </w:pPr>
      <w:r w:rsidRPr="004C6CA6">
        <w:rPr>
          <w:rtl/>
        </w:rPr>
        <w:t>14-</w:t>
      </w:r>
      <w:r w:rsidRPr="004C6CA6">
        <w:rPr>
          <w:rtl/>
        </w:rPr>
        <w:tab/>
        <w:t xml:space="preserve">تمّ في </w:t>
      </w:r>
      <w:r w:rsidRPr="004C6CA6">
        <w:rPr>
          <w:rFonts w:hint="cs"/>
          <w:rtl/>
        </w:rPr>
        <w:t>تشرين</w:t>
      </w:r>
      <w:r w:rsidRPr="004C6CA6">
        <w:rPr>
          <w:rtl/>
        </w:rPr>
        <w:t xml:space="preserve"> </w:t>
      </w:r>
      <w:r w:rsidRPr="004C6CA6">
        <w:rPr>
          <w:rFonts w:hint="cs"/>
          <w:rtl/>
        </w:rPr>
        <w:t>الثاني</w:t>
      </w:r>
      <w:r w:rsidRPr="004C6CA6">
        <w:rPr>
          <w:rtl/>
        </w:rPr>
        <w:t xml:space="preserve">/نوفمبر 2005 تشكيل هيئة حكومية يُشارك فيها ممثّلون من وزارات متعدّدة، تقضي مهمّتّها بتطبيق سياسات الحكومة اللبنانية الخاصة باللاّجئين الفلسطينيين في لبنان، سمّيت </w:t>
      </w:r>
      <w:r w:rsidRPr="004C6CA6">
        <w:rPr>
          <w:rFonts w:hint="cs"/>
          <w:rtl/>
        </w:rPr>
        <w:t>ﺑ</w:t>
      </w:r>
      <w:r w:rsidRPr="004C6CA6">
        <w:rPr>
          <w:rtl/>
        </w:rPr>
        <w:t xml:space="preserve"> "لجنة الحوار اللّبناني - الفلسطيني" وذلك بموجب القرار رقم 89/2005 الصّادر عن مجلس الوزراء. </w:t>
      </w:r>
    </w:p>
    <w:p w:rsidR="004C6CA6" w:rsidRPr="004C6CA6" w:rsidRDefault="004C6CA6" w:rsidP="004C6CA6">
      <w:pPr>
        <w:pStyle w:val="SingleTxt"/>
        <w:rPr>
          <w:rtl/>
        </w:rPr>
      </w:pPr>
      <w:r w:rsidRPr="004C6CA6">
        <w:rPr>
          <w:rtl/>
        </w:rPr>
        <w:tab/>
        <w:t xml:space="preserve">وتؤدّي هذه اللّجنة دوراً </w:t>
      </w:r>
      <w:r w:rsidRPr="004C6CA6">
        <w:rPr>
          <w:rFonts w:hint="cs"/>
          <w:rtl/>
        </w:rPr>
        <w:t>ا</w:t>
      </w:r>
      <w:r w:rsidRPr="004C6CA6">
        <w:rPr>
          <w:rtl/>
        </w:rPr>
        <w:t>ستشارياً وتنفيذيّاً مهمّاً بالنّسبة إلى الحكومة اللّبنانية، فتقدّم لها خبراتها المكتسبة في مجالات مختلفة، وذلك من حيث تنسيق السّياسات بين الوزارات، وإصدار التّوصيات على مستوى السّياسات، كما تقوم بتنسيق عمل الحكومة اللبنانيّة مع وكالة ا</w:t>
      </w:r>
      <w:r w:rsidRPr="004C6CA6">
        <w:rPr>
          <w:rFonts w:hint="cs"/>
          <w:rtl/>
        </w:rPr>
        <w:t>ﻟ</w:t>
      </w:r>
      <w:r w:rsidRPr="004C6CA6">
        <w:rPr>
          <w:rFonts w:hint="eastAsia"/>
          <w:rtl/>
        </w:rPr>
        <w:t> </w:t>
      </w:r>
      <w:r w:rsidRPr="004C6CA6">
        <w:t>UNRWA</w:t>
      </w:r>
      <w:r w:rsidRPr="004C6CA6">
        <w:rPr>
          <w:rtl/>
        </w:rPr>
        <w:t xml:space="preserve"> ومنظّمة التّحرير الفلسطينيّة، والشّركاء اللّبنانيّين والفلسطينيّين، والمجتمع المدني، والمجتمع الدّولي من أجل تحقيق مهمّتها. </w:t>
      </w:r>
    </w:p>
    <w:p w:rsidR="004C6CA6" w:rsidRPr="004C6CA6" w:rsidRDefault="004C6CA6" w:rsidP="004C6CA6">
      <w:pPr>
        <w:pStyle w:val="SingleTxt"/>
        <w:rPr>
          <w:rtl/>
        </w:rPr>
      </w:pPr>
      <w:r w:rsidRPr="004C6CA6">
        <w:rPr>
          <w:rtl/>
        </w:rPr>
        <w:tab/>
        <w:t>ومن بين المهام الموكلة إلى لجنة الحوار اللّبناني - الفلسطيني بموجب مرسوم تشكيلها معالجة المسائل الحياتيّة و</w:t>
      </w:r>
      <w:r w:rsidRPr="004C6CA6">
        <w:rPr>
          <w:rFonts w:hint="cs"/>
          <w:rtl/>
        </w:rPr>
        <w:t>الاجتماعية</w:t>
      </w:r>
      <w:r w:rsidRPr="004C6CA6">
        <w:rPr>
          <w:rtl/>
        </w:rPr>
        <w:t xml:space="preserve"> و</w:t>
      </w:r>
      <w:r w:rsidRPr="004C6CA6">
        <w:rPr>
          <w:rFonts w:hint="cs"/>
          <w:rtl/>
        </w:rPr>
        <w:t>الا</w:t>
      </w:r>
      <w:r w:rsidRPr="004C6CA6">
        <w:rPr>
          <w:rtl/>
        </w:rPr>
        <w:t xml:space="preserve">قتصاديّة والقانونيّة والأمنيّة للفلسطينيّين المقيمين في لبنان </w:t>
      </w:r>
      <w:r w:rsidRPr="004C6CA6">
        <w:rPr>
          <w:rtl/>
        </w:rPr>
        <w:lastRenderedPageBreak/>
        <w:t>داخل المخيّمات أو خارجها، بالتّعاون مع وكالة ا</w:t>
      </w:r>
      <w:r w:rsidRPr="004C6CA6">
        <w:rPr>
          <w:rFonts w:hint="cs"/>
          <w:rtl/>
        </w:rPr>
        <w:t>ﻟ</w:t>
      </w:r>
      <w:r w:rsidRPr="004C6CA6">
        <w:rPr>
          <w:rtl/>
        </w:rPr>
        <w:t xml:space="preserve"> </w:t>
      </w:r>
      <w:r w:rsidRPr="004C6CA6">
        <w:t>UNRWA</w:t>
      </w:r>
      <w:r w:rsidRPr="004C6CA6">
        <w:rPr>
          <w:rtl/>
        </w:rPr>
        <w:t>، ودرس إمكانيّة إقامة علاقات تمثيليّة بين لبنان وفلسطين.</w:t>
      </w:r>
    </w:p>
    <w:p w:rsidR="004C6CA6" w:rsidRPr="004C6CA6" w:rsidRDefault="004C6CA6" w:rsidP="004C6CA6">
      <w:pPr>
        <w:pStyle w:val="SingleTxt"/>
        <w:rPr>
          <w:rtl/>
        </w:rPr>
      </w:pPr>
      <w:r w:rsidRPr="004C6CA6">
        <w:rPr>
          <w:rtl/>
        </w:rPr>
        <w:tab/>
        <w:t>لعبت هذه اللّجنة دوراً إيجابيّاً في تحسين العلاقات اللّبنانيّة - الفلسطينيّة وتطبيق سياسة الحكومة تجاه اللاّجئين الفلسطينيين في لبنان، وتمكّنت من تحقيق إنجازات مختلفة منها: العمل على إصدار بطاقات تعريف لفاقدي الأوراق الثّبوتيّة بالتّعاون مع ممثليّة منظّمة التّحرير الفلسطينيّة، ووكالة ا</w:t>
      </w:r>
      <w:r w:rsidRPr="004C6CA6">
        <w:rPr>
          <w:rFonts w:hint="cs"/>
          <w:rtl/>
        </w:rPr>
        <w:t>ﻟ</w:t>
      </w:r>
      <w:r w:rsidRPr="004C6CA6">
        <w:rPr>
          <w:rtl/>
        </w:rPr>
        <w:t xml:space="preserve"> </w:t>
      </w:r>
      <w:r w:rsidRPr="004C6CA6">
        <w:t>UNRWA</w:t>
      </w:r>
      <w:r w:rsidRPr="004C6CA6">
        <w:rPr>
          <w:rtl/>
        </w:rPr>
        <w:t xml:space="preserve">، وهيئات </w:t>
      </w:r>
      <w:r w:rsidRPr="004C6CA6">
        <w:rPr>
          <w:rFonts w:hint="cs"/>
          <w:rtl/>
        </w:rPr>
        <w:t>المجتمع</w:t>
      </w:r>
      <w:r w:rsidRPr="004C6CA6">
        <w:rPr>
          <w:rtl/>
        </w:rPr>
        <w:t xml:space="preserve"> المدني، والمديريّة العامّة للأمن العامّ في وزارة الدّاخليّة والبلديات، وتشجيع الحوار بين </w:t>
      </w:r>
      <w:r w:rsidRPr="004C6CA6">
        <w:rPr>
          <w:rFonts w:hint="cs"/>
          <w:rtl/>
        </w:rPr>
        <w:t>المجتمع</w:t>
      </w:r>
      <w:r w:rsidRPr="004C6CA6">
        <w:rPr>
          <w:rtl/>
        </w:rPr>
        <w:t xml:space="preserve"> المدني اللّبناني الفلسطيني من جهة ومع الأحزاب السياسيّة كافّة من جهة أخرى، وخلق شبكة للجمعيّات غير الحكو</w:t>
      </w:r>
      <w:r w:rsidRPr="004C6CA6">
        <w:rPr>
          <w:rFonts w:hint="cs"/>
          <w:rtl/>
        </w:rPr>
        <w:t>ميّة</w:t>
      </w:r>
      <w:r w:rsidRPr="004C6CA6">
        <w:rPr>
          <w:rtl/>
        </w:rPr>
        <w:t xml:space="preserve"> اللّبنانية والفلسطينيّة </w:t>
      </w:r>
      <w:r w:rsidRPr="004C6CA6">
        <w:rPr>
          <w:rFonts w:hint="cs"/>
          <w:rtl/>
        </w:rPr>
        <w:t>تهدف</w:t>
      </w:r>
      <w:r w:rsidRPr="004C6CA6">
        <w:rPr>
          <w:rtl/>
        </w:rPr>
        <w:t xml:space="preserve"> إلى التّواصل والتّنسيق بين هذه المنظّمات، ومبادرة تحسين المخيّمات التي أطلقتها الحكومة اللّبنانية في العام 2006 عبر اللّجنة بالتّعاون مع وكالة ا</w:t>
      </w:r>
      <w:r w:rsidRPr="004C6CA6">
        <w:rPr>
          <w:rFonts w:hint="cs"/>
          <w:rtl/>
        </w:rPr>
        <w:t>ﻟ</w:t>
      </w:r>
      <w:r w:rsidRPr="004C6CA6">
        <w:rPr>
          <w:rtl/>
        </w:rPr>
        <w:t xml:space="preserve"> </w:t>
      </w:r>
      <w:r w:rsidRPr="004C6CA6">
        <w:t>UNRWA</w:t>
      </w:r>
      <w:r w:rsidRPr="004C6CA6">
        <w:rPr>
          <w:rtl/>
        </w:rPr>
        <w:t xml:space="preserve"> ومنظّمة التّحرير الفلسطينيّة، حيث تعقد الحكومة اللّبنانيّة في هذا الإط</w:t>
      </w:r>
      <w:r w:rsidRPr="004C6CA6">
        <w:rPr>
          <w:rFonts w:hint="cs"/>
          <w:rtl/>
        </w:rPr>
        <w:t>ار</w:t>
      </w:r>
      <w:r w:rsidRPr="004C6CA6">
        <w:rPr>
          <w:rtl/>
        </w:rPr>
        <w:t xml:space="preserve"> </w:t>
      </w:r>
      <w:r w:rsidRPr="004C6CA6">
        <w:rPr>
          <w:rFonts w:hint="cs"/>
          <w:rtl/>
        </w:rPr>
        <w:t>ا</w:t>
      </w:r>
      <w:r w:rsidRPr="004C6CA6">
        <w:rPr>
          <w:rtl/>
        </w:rPr>
        <w:t>جتماعات دوريّة مع ممثّلي الدّول المانحة من أجل تطوير سبل التّعاون لتمويل مشاريع هذه المبادرة من أجل متابعة تحسين أوضاع المخيمات الفلسطينيّة.</w:t>
      </w:r>
    </w:p>
    <w:p w:rsidR="001F30B2" w:rsidRPr="001F30B2" w:rsidRDefault="001F30B2" w:rsidP="001F30B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4C6CA6" w:rsidRPr="004C6CA6" w:rsidRDefault="004C6CA6" w:rsidP="001F30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sidRPr="004C6CA6">
        <w:rPr>
          <w:rtl/>
        </w:rPr>
        <w:tab/>
        <w:t>(ب)</w:t>
      </w:r>
      <w:r w:rsidRPr="004C6CA6">
        <w:rPr>
          <w:rtl/>
        </w:rPr>
        <w:tab/>
        <w:t>اعتماد الوثائق الصّادرة عن السّلطة الفلسطينيّة فيما يخصّ قيود الأحوال الشخصية</w:t>
      </w:r>
    </w:p>
    <w:p w:rsidR="004C6CA6" w:rsidRPr="004C6CA6" w:rsidRDefault="004C6CA6" w:rsidP="004C6CA6">
      <w:pPr>
        <w:pStyle w:val="SingleTxt"/>
      </w:pPr>
      <w:r w:rsidRPr="004C6CA6">
        <w:rPr>
          <w:rFonts w:hint="cs"/>
          <w:rtl/>
        </w:rPr>
        <w:t>15-</w:t>
      </w:r>
      <w:r w:rsidRPr="004C6CA6">
        <w:tab/>
      </w:r>
      <w:r w:rsidRPr="004C6CA6">
        <w:rPr>
          <w:rtl/>
        </w:rPr>
        <w:t>صدر عن رئاسة مجلس الوزراء بتاريخ 25 تشرين الّثاني/نوفمبر 2011 التّعميم رقم</w:t>
      </w:r>
      <w:r w:rsidRPr="004C6CA6">
        <w:rPr>
          <w:rFonts w:hint="eastAsia"/>
          <w:rtl/>
        </w:rPr>
        <w:t> </w:t>
      </w:r>
      <w:r w:rsidRPr="004C6CA6">
        <w:rPr>
          <w:rtl/>
        </w:rPr>
        <w:t>29/2011 المتعلّق بالأوراق الصّادرة عن السّلطة الفلسطينية ويطُلب فيه إلى جميع الإدارات والمؤسّسات العامّة والبلديّات اعتماد الوثائق الصّادرة عن السّلطة الفلسطينيّة فيما يخص قيود الأحوال الشخصية وتحديداً لجهة قيد الولادات والوفيّات وتسجيل واقعات الزّواج والطّلاق.</w:t>
      </w:r>
      <w:r w:rsidRPr="004C6CA6">
        <w:t xml:space="preserve"> </w:t>
      </w:r>
    </w:p>
    <w:p w:rsidR="001F30B2" w:rsidRPr="001F30B2" w:rsidRDefault="001F30B2" w:rsidP="001F30B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4C6CA6" w:rsidRPr="004C6CA6" w:rsidRDefault="004C6CA6" w:rsidP="001F30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4C6CA6">
        <w:rPr>
          <w:rtl/>
        </w:rPr>
        <w:tab/>
        <w:t>(ج)</w:t>
      </w:r>
      <w:r w:rsidRPr="004C6CA6">
        <w:rPr>
          <w:rtl/>
        </w:rPr>
        <w:tab/>
        <w:t>الحقّ في العمل وفي تعويض الصّرف من الخدمة وتعويض نهاية الخدمة بالنّسبة إلى اللاّجئين الف</w:t>
      </w:r>
      <w:r w:rsidRPr="004C6CA6">
        <w:rPr>
          <w:rFonts w:hint="cs"/>
          <w:rtl/>
        </w:rPr>
        <w:t>ل</w:t>
      </w:r>
      <w:r w:rsidRPr="004C6CA6">
        <w:rPr>
          <w:rtl/>
        </w:rPr>
        <w:t>سطينيّين</w:t>
      </w:r>
    </w:p>
    <w:p w:rsidR="004C6CA6" w:rsidRPr="004C6CA6" w:rsidRDefault="004C6CA6" w:rsidP="004C6CA6">
      <w:pPr>
        <w:pStyle w:val="SingleTxt"/>
      </w:pPr>
      <w:r w:rsidRPr="004C6CA6">
        <w:rPr>
          <w:rFonts w:hint="cs"/>
          <w:rtl/>
        </w:rPr>
        <w:t>16-</w:t>
      </w:r>
      <w:r w:rsidRPr="004C6CA6">
        <w:tab/>
      </w:r>
      <w:r w:rsidRPr="004C6CA6">
        <w:rPr>
          <w:rtl/>
        </w:rPr>
        <w:t xml:space="preserve">بالنّظر إلى قدم تواجد اللاّجئين الفلسطينيّين على الأراضي اللّبنانيّة، يجري منحهم </w:t>
      </w:r>
      <w:r w:rsidRPr="004C6CA6">
        <w:rPr>
          <w:rFonts w:hint="cs"/>
          <w:rtl/>
        </w:rPr>
        <w:t>ا</w:t>
      </w:r>
      <w:r w:rsidRPr="004C6CA6">
        <w:rPr>
          <w:rtl/>
        </w:rPr>
        <w:t>متياز على غيرهم من الأ</w:t>
      </w:r>
      <w:r w:rsidRPr="004C6CA6">
        <w:rPr>
          <w:rFonts w:hint="cs"/>
          <w:rtl/>
        </w:rPr>
        <w:t>ج</w:t>
      </w:r>
      <w:r w:rsidRPr="004C6CA6">
        <w:rPr>
          <w:rtl/>
        </w:rPr>
        <w:t>انب في مجال العمل، حيث تمّ استثناؤهم من أحكام قرار وزير العمل المتعلّق بحصر ممارسة بعض المهن باللّبنانيّين فقط، متى ولدوا في لبنان وكانوا مسجّلين أصولاً في سجلاّت وزارة الدّاخليّة والبلديّات، إنّمّا يبقى من الواجب مراعاة مبدأ تفضيل اللّبناني للعمل على أرضه</w:t>
      </w:r>
      <w:r w:rsidRPr="004C6CA6">
        <w:rPr>
          <w:vertAlign w:val="superscript"/>
          <w:rtl/>
        </w:rPr>
        <w:t>(</w:t>
      </w:r>
      <w:r w:rsidRPr="004C6CA6">
        <w:rPr>
          <w:vertAlign w:val="superscript"/>
          <w:rtl/>
        </w:rPr>
        <w:footnoteReference w:id="5"/>
      </w:r>
      <w:r w:rsidRPr="004C6CA6">
        <w:rPr>
          <w:vertAlign w:val="superscript"/>
          <w:rtl/>
        </w:rPr>
        <w:t>)</w:t>
      </w:r>
      <w:r w:rsidRPr="004C6CA6">
        <w:rPr>
          <w:rtl/>
        </w:rPr>
        <w:t>.</w:t>
      </w:r>
    </w:p>
    <w:p w:rsidR="004C6CA6" w:rsidRPr="004C6CA6" w:rsidRDefault="004C6CA6" w:rsidP="004C6CA6">
      <w:pPr>
        <w:pStyle w:val="SingleTxt"/>
      </w:pPr>
      <w:r w:rsidRPr="004C6CA6">
        <w:rPr>
          <w:rFonts w:hint="cs"/>
          <w:rtl/>
        </w:rPr>
        <w:t>17-</w:t>
      </w:r>
      <w:r w:rsidRPr="004C6CA6">
        <w:tab/>
      </w:r>
      <w:r w:rsidRPr="004C6CA6">
        <w:rPr>
          <w:rtl/>
        </w:rPr>
        <w:t xml:space="preserve">صدر بتاريخ 24 </w:t>
      </w:r>
      <w:r w:rsidRPr="004C6CA6">
        <w:rPr>
          <w:rFonts w:hint="cs"/>
          <w:rtl/>
        </w:rPr>
        <w:t>آب</w:t>
      </w:r>
      <w:r w:rsidRPr="004C6CA6">
        <w:rPr>
          <w:rtl/>
        </w:rPr>
        <w:t xml:space="preserve">/أغسطس 2010، القانون رقم (129) الذّي عدّل الفقرة الثّالثة من المادّة (59) من قانون العمل وأعطى العمّال الفلسطينيّين اللّاجئين المسجّلين أصولاً في سجلاّت وزارة الدّاخليّة والبلديّات - مديريّة الشّؤون السّياسيّة واللاّجئين حقّ </w:t>
      </w:r>
      <w:r w:rsidRPr="004C6CA6">
        <w:rPr>
          <w:rFonts w:hint="cs"/>
          <w:rtl/>
        </w:rPr>
        <w:t>الا</w:t>
      </w:r>
      <w:r w:rsidRPr="004C6CA6">
        <w:rPr>
          <w:rtl/>
        </w:rPr>
        <w:t>ستفادة من تعويض الصّرف من الخدمة بالشروط التي يستفيد فيها العامل اللبناني بعد أنّ أعفاهم من شرط المعاملة بالمثل المفروض بالنّسبة إلى العمّال الأجانب، كما أعفاهم من رسم إجازة العمل.</w:t>
      </w:r>
    </w:p>
    <w:p w:rsidR="004C6CA6" w:rsidRPr="006954D7" w:rsidRDefault="004C6CA6" w:rsidP="004C6CA6">
      <w:pPr>
        <w:pStyle w:val="SingleTxt"/>
        <w:rPr>
          <w:spacing w:val="-1"/>
          <w:w w:val="100"/>
          <w:rtl/>
        </w:rPr>
      </w:pPr>
      <w:r w:rsidRPr="006954D7">
        <w:rPr>
          <w:spacing w:val="-1"/>
          <w:w w:val="100"/>
          <w:rtl/>
        </w:rPr>
        <w:lastRenderedPageBreak/>
        <w:t>18-</w:t>
      </w:r>
      <w:r w:rsidRPr="006954D7">
        <w:rPr>
          <w:spacing w:val="-1"/>
          <w:w w:val="100"/>
          <w:rtl/>
        </w:rPr>
        <w:tab/>
        <w:t xml:space="preserve">كما صدر بالتّاريخ عينه القانون رقم (128) الذّي عدّل الفقرة الثّالثة من المادّة (9) من قانون الضمان </w:t>
      </w:r>
      <w:r w:rsidRPr="006954D7">
        <w:rPr>
          <w:rFonts w:hint="cs"/>
          <w:spacing w:val="-1"/>
          <w:w w:val="100"/>
          <w:rtl/>
        </w:rPr>
        <w:t>الاجتماعي</w:t>
      </w:r>
      <w:r w:rsidRPr="006954D7">
        <w:rPr>
          <w:spacing w:val="-1"/>
          <w:w w:val="100"/>
          <w:rtl/>
        </w:rPr>
        <w:t xml:space="preserve">، وأخضع العمّال اللاّجئين الفلسطينيّين اللّاجئين المسجّلين أصولاً في سجلاّت وزارة الدّاخليّة والبلديّات - مديريّة الشّؤون السّياسيّة واللاّجئين إلى أحكام قانون العمل دون سواه لجهة تعويض نهاية الخدمة وطوارئ العمل، كما منحهم حقّ </w:t>
      </w:r>
      <w:r w:rsidRPr="006954D7">
        <w:rPr>
          <w:rFonts w:hint="cs"/>
          <w:spacing w:val="-1"/>
          <w:w w:val="100"/>
          <w:rtl/>
        </w:rPr>
        <w:t>الا</w:t>
      </w:r>
      <w:r w:rsidRPr="006954D7">
        <w:rPr>
          <w:spacing w:val="-1"/>
          <w:w w:val="100"/>
          <w:rtl/>
        </w:rPr>
        <w:t>ستفادة من تقديمات تعويض نهاية الخدمة بالشروط التي يستفيد فيها العامل اللبناني، بعد أنّ أعفاهم من شرط المعاملة بالمثل المفروض بالنّسبة إلى العمّال الأجانب والمنصوص عنه في قانون العمل وقانون الضمان الاجتماعي.</w:t>
      </w:r>
    </w:p>
    <w:p w:rsidR="001F30B2" w:rsidRPr="001F30B2" w:rsidRDefault="001F30B2" w:rsidP="001F30B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4C6CA6" w:rsidRPr="004C6CA6" w:rsidRDefault="004C6CA6" w:rsidP="001F30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4C6CA6">
        <w:rPr>
          <w:rtl/>
        </w:rPr>
        <w:tab/>
      </w:r>
      <w:r w:rsidRPr="004C6CA6">
        <w:rPr>
          <w:rFonts w:hint="cs"/>
          <w:rtl/>
        </w:rPr>
        <w:t>ثالثاً</w:t>
      </w:r>
      <w:r w:rsidRPr="004C6CA6">
        <w:rPr>
          <w:rtl/>
        </w:rPr>
        <w:t>-</w:t>
      </w:r>
      <w:r w:rsidRPr="004C6CA6">
        <w:rPr>
          <w:rtl/>
        </w:rPr>
        <w:tab/>
        <w:t>الخطوات والإجراءات المتعلّقة بأوضاع العمّال الأجانب</w:t>
      </w:r>
    </w:p>
    <w:p w:rsidR="004C6CA6" w:rsidRPr="004C6CA6" w:rsidRDefault="004C6CA6" w:rsidP="001F30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4C6CA6">
        <w:rPr>
          <w:rtl/>
        </w:rPr>
        <w:tab/>
        <w:t>(أ)</w:t>
      </w:r>
      <w:r w:rsidRPr="004C6CA6">
        <w:rPr>
          <w:rtl/>
        </w:rPr>
        <w:tab/>
        <w:t>إقرار عقد العمل الموحّد</w:t>
      </w:r>
    </w:p>
    <w:p w:rsidR="004C6CA6" w:rsidRPr="004C6CA6" w:rsidRDefault="004C6CA6" w:rsidP="001F30B2">
      <w:pPr>
        <w:pStyle w:val="SingleTxt"/>
      </w:pPr>
      <w:r w:rsidRPr="004C6CA6">
        <w:rPr>
          <w:rFonts w:hint="cs"/>
          <w:rtl/>
        </w:rPr>
        <w:t>19-</w:t>
      </w:r>
      <w:r w:rsidRPr="004C6CA6">
        <w:tab/>
      </w:r>
      <w:r w:rsidRPr="004C6CA6">
        <w:rPr>
          <w:rtl/>
        </w:rPr>
        <w:t xml:space="preserve">أصدر وزير العمل بتاريخ 16 </w:t>
      </w:r>
      <w:r w:rsidRPr="004C6CA6">
        <w:rPr>
          <w:rFonts w:hint="cs"/>
          <w:rtl/>
        </w:rPr>
        <w:t>آذار</w:t>
      </w:r>
      <w:r w:rsidRPr="004C6CA6">
        <w:rPr>
          <w:rtl/>
        </w:rPr>
        <w:t xml:space="preserve">/مارس 2009 القرار رقم 38/1 المتعلّق بعقد العمل الخاصّ بالعمّال/العاملات في الخدمة المنزليّة، الذّي يلزم فيه أصحاب العمل والعمّال في الخدمة المنزليّة باعتماد نموذج عقد عمل موحّد يتضّمن من بين ما يتضمّنه النّص على تعهّد صاحب العمل بعدم استخدام العامل/العاملة في أيّ عمل أو مكان يختلف عن محلّ إقامته - أي محلّ إقامة صاحب العمل، وأن يدفع للعامل/العاملة في نهاية كلّ شهر عمل كامل الأجر الشّهري دون أيّ تأخير غير مبرّر، وأن يؤمّن شروط وظروف العمل اللاّئقة وحاجات العامل/العاملة من مأكل وملبس وإقامة تُحترم فيها الكرامة كما الحقّ في الخصوصيّة، وأن يضمن استشفاء العامل/العاملة بموجب بوليصة تأمين وفق شروط وزارة العمل، كما يتضمّن النّص على حقّ العامل/العاملة في الخدمة المنزليّة بفترة راحة أسبوعيّة لا تقلّ عن أربع وعشرين ساعة متواصلة، وبإجازة سنويّة لمدة ستّة أيام يحدّد توقيتها وشروط </w:t>
      </w:r>
      <w:r w:rsidRPr="004C6CA6">
        <w:rPr>
          <w:rFonts w:hint="cs"/>
          <w:rtl/>
        </w:rPr>
        <w:t>الا</w:t>
      </w:r>
      <w:r w:rsidRPr="004C6CA6">
        <w:rPr>
          <w:rtl/>
        </w:rPr>
        <w:t xml:space="preserve">ستفادة منها باتّفاق الفريقين، وبإجازة مرضيّة بناءً لتقريرٍ طبّي محدّدة بنصف شهر بأجر ونصف شهر بنصف أجر، وبتحديد ساعات العمل اليوميّة بمعدّل عشر ساعات متهاودة في اليوم، وعلى جواز فسخ العقد على مسؤوليّة ربّ العمل في حال تخلّفه عن تسديد أجور العامل/العاملة لمدّة ثلاثة أشهر متعاقبة، أو إذا قام هو أو أحد أفراد عائلته أو المقيمين معه في المنزل </w:t>
      </w:r>
      <w:r w:rsidRPr="004C6CA6">
        <w:rPr>
          <w:rFonts w:hint="cs"/>
          <w:rtl/>
        </w:rPr>
        <w:t>بالا</w:t>
      </w:r>
      <w:r w:rsidRPr="004C6CA6">
        <w:rPr>
          <w:rtl/>
        </w:rPr>
        <w:t xml:space="preserve">عتداء عليه بالضّرب أو الإيذاء أو إذا أقدم أحد هؤلاء على التّحرّش به أو </w:t>
      </w:r>
      <w:r w:rsidRPr="004C6CA6">
        <w:rPr>
          <w:rFonts w:hint="cs"/>
          <w:rtl/>
        </w:rPr>
        <w:t>الا</w:t>
      </w:r>
      <w:r w:rsidRPr="004C6CA6">
        <w:rPr>
          <w:rtl/>
        </w:rPr>
        <w:t xml:space="preserve">عتداء عليه جنسيّاً، أو إذا قام بتشغيله بغير الصّفة التّي استقدمه من أجلها من دون موافقته. </w:t>
      </w:r>
    </w:p>
    <w:p w:rsidR="004C6CA6" w:rsidRPr="004C6CA6" w:rsidRDefault="004C6CA6" w:rsidP="001F30B2">
      <w:pPr>
        <w:pStyle w:val="SingleTxt"/>
        <w:rPr>
          <w:rtl/>
        </w:rPr>
      </w:pPr>
      <w:r w:rsidRPr="004C6CA6">
        <w:rPr>
          <w:rtl/>
        </w:rPr>
        <w:tab/>
        <w:t>إلاّ أنّ إقرار هذا العقد الموحّد لم يترافق مع فرض أيّ جزاء مترتّب على عدم الأخذ به، ما أعاق فعّاليّته العمليّة.</w:t>
      </w:r>
    </w:p>
    <w:p w:rsidR="001F30B2" w:rsidRPr="001F30B2" w:rsidRDefault="001F30B2" w:rsidP="001F30B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4C6CA6" w:rsidRPr="004C6CA6" w:rsidRDefault="004C6CA6" w:rsidP="001F30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4C6CA6">
        <w:rPr>
          <w:rtl/>
        </w:rPr>
        <w:tab/>
        <w:t>(ب)</w:t>
      </w:r>
      <w:r w:rsidRPr="004C6CA6">
        <w:rPr>
          <w:rtl/>
        </w:rPr>
        <w:tab/>
        <w:t>تحديد شروط قبول بوليصة التّأمين على الأجراء الأجانب</w:t>
      </w:r>
    </w:p>
    <w:p w:rsidR="004C6CA6" w:rsidRPr="006954D7" w:rsidRDefault="004C6CA6" w:rsidP="004C6CA6">
      <w:pPr>
        <w:pStyle w:val="SingleTxt"/>
        <w:rPr>
          <w:w w:val="100"/>
        </w:rPr>
      </w:pPr>
      <w:r w:rsidRPr="006954D7">
        <w:rPr>
          <w:rFonts w:hint="cs"/>
          <w:w w:val="100"/>
          <w:rtl/>
        </w:rPr>
        <w:t>20-</w:t>
      </w:r>
      <w:r w:rsidRPr="006954D7">
        <w:rPr>
          <w:w w:val="100"/>
        </w:rPr>
        <w:tab/>
      </w:r>
      <w:r w:rsidRPr="006954D7">
        <w:rPr>
          <w:w w:val="100"/>
          <w:rtl/>
        </w:rPr>
        <w:t xml:space="preserve">أصدر وزير العمل كذلك بتاريخ 14 </w:t>
      </w:r>
      <w:r w:rsidRPr="006954D7">
        <w:rPr>
          <w:rFonts w:hint="cs"/>
          <w:w w:val="100"/>
          <w:rtl/>
        </w:rPr>
        <w:t>نيسان</w:t>
      </w:r>
      <w:r w:rsidRPr="006954D7">
        <w:rPr>
          <w:w w:val="100"/>
          <w:rtl/>
        </w:rPr>
        <w:t xml:space="preserve">/أبريل 2009 القرار رقم 52/1 المتعلّق بتعديل القرار رقم 117/1 تاريخ 6 تمّوز/يوليه 2004 المتعلّق ببوليصة التّأمين على الأجراء الأجانب والعمّال في الخدمة المنزلية وباستبداله بأحكام جديدة. ويحدّد هذا القرار الشّروط المفروضة لقبول بوليصة التّأمين على الأجراء الأجانب، ومن بين الشّروط التّي يفرضها في هذا الإطار، التزام شركة </w:t>
      </w:r>
      <w:r w:rsidRPr="006954D7">
        <w:rPr>
          <w:w w:val="100"/>
          <w:rtl/>
        </w:rPr>
        <w:lastRenderedPageBreak/>
        <w:t xml:space="preserve">التّأمين بتحمّل نفقات نقل جثمان المضمون أو رفاته في حال وفاته إلى وطنه أو إلى مكان إقامته الدّائم في الخارج بمبلغ لا يقلّ عن </w:t>
      </w:r>
      <w:r w:rsidRPr="006954D7">
        <w:rPr>
          <w:rFonts w:hint="cs"/>
          <w:w w:val="100"/>
          <w:rtl/>
        </w:rPr>
        <w:t>ا</w:t>
      </w:r>
      <w:r w:rsidRPr="006954D7">
        <w:rPr>
          <w:w w:val="100"/>
          <w:rtl/>
        </w:rPr>
        <w:t>ثني عشر مليون ليرة لبنانيّة، تعهّدها بدفع مبلغ من المال إلى الأجير في حال إصابته بعطلٍ دائمٍ كلّي أو جزئي ناجم عن حادث، وبدفع نفقات استشفائه في حال إصابته جرّاء حادث أثناء العمل أو خارجه أو إصابته بمرضٍ ما، وبدفع بدل ترحيله في حال وفاة صاحب العمل أو إفلاسه. ويفرض هذا القرار على صاحب العمل تأمين استمراريّة تغطية العامل الأجنبي بموجب بوليصة تأمين طيلة مدّة إقامته في لبنان، هذا وإنّ عقد التّامين هذا هو إلزامي ويجب أن يقدّم مع كلّ طلب إجازة عمل وكلّ طلب تجديد مثل هذه الإجازة.</w:t>
      </w:r>
    </w:p>
    <w:p w:rsidR="001F30B2" w:rsidRPr="001F30B2" w:rsidRDefault="001F30B2" w:rsidP="001F30B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4C6CA6" w:rsidRPr="004C6CA6" w:rsidRDefault="004C6CA6" w:rsidP="001F30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sidRPr="004C6CA6">
        <w:rPr>
          <w:rtl/>
        </w:rPr>
        <w:tab/>
        <w:t>(ج)</w:t>
      </w:r>
      <w:r w:rsidRPr="004C6CA6">
        <w:rPr>
          <w:rtl/>
        </w:rPr>
        <w:tab/>
        <w:t>تنظيم عمل مكاتب استقدام اليد العاملة الأجنبية للعمل في الخدمة المنزليّة</w:t>
      </w:r>
    </w:p>
    <w:p w:rsidR="004C6CA6" w:rsidRPr="004C6CA6" w:rsidRDefault="004C6CA6" w:rsidP="004C6CA6">
      <w:pPr>
        <w:pStyle w:val="SingleTxt"/>
      </w:pPr>
      <w:r w:rsidRPr="004C6CA6">
        <w:rPr>
          <w:rFonts w:hint="cs"/>
          <w:rtl/>
        </w:rPr>
        <w:t>21-</w:t>
      </w:r>
      <w:r w:rsidRPr="004C6CA6">
        <w:tab/>
      </w:r>
      <w:r w:rsidRPr="004C6CA6">
        <w:rPr>
          <w:rtl/>
        </w:rPr>
        <w:t xml:space="preserve">أصدر وزير العمل بتاريخ 3 كانون الثّاني/يناير 2011 القرار رقم 1/1 المتعلّق بتنظيم عمل مكاتب استقدام العاملات الأجنبيّة للعمل في الخدمة المنزليّة، الذّي يفرض على صاحب المؤسّسة أو المفوّض بالتّوقيع عن الشّركة، حتّى يتمكّن من </w:t>
      </w:r>
      <w:r w:rsidRPr="004C6CA6">
        <w:rPr>
          <w:rFonts w:hint="cs"/>
          <w:rtl/>
        </w:rPr>
        <w:t>الا</w:t>
      </w:r>
      <w:r w:rsidRPr="004C6CA6">
        <w:rPr>
          <w:rtl/>
        </w:rPr>
        <w:t xml:space="preserve">ستحصال على ترخيص من وزارة العمل لفتح مكتب لاستقدام العاملات الأجنبيّة من أجل العمل في الخدمة المنزليّة، أنّ يقدّم تعهّداً مسجّلاً ومصدّقاً لدى الكاتب العدل بتطبيق قوانين وأنظمة وزارة العمل وتحمّل المسؤوليّة المترتّبة عن أيّ مخالفة، ويحظّر هذا القرار على هذه المكاتب استقدام العاملة الأجنبيّة على أسماء أصحاب عمل وهميين بغية تشغيلها بأجرٍ يومي أو شهري في أماكن متعدّدة تحت طائلة إلغاء التّرخيص، كما يحظّر على أصحاب المكاتب الحصول على أيّ بدل مادّي مباشر أو غير مباشر من العاملات تحت طائلة إلغاء التّرخيص، ويحظّر على مسؤولي ومستخدمي مكاتب </w:t>
      </w:r>
      <w:r w:rsidRPr="004C6CA6">
        <w:rPr>
          <w:rFonts w:hint="cs"/>
          <w:rtl/>
        </w:rPr>
        <w:t>الا</w:t>
      </w:r>
      <w:r w:rsidRPr="004C6CA6">
        <w:rPr>
          <w:rtl/>
        </w:rPr>
        <w:t>ستقدام التّعرّض ب</w:t>
      </w:r>
      <w:r w:rsidRPr="004C6CA6">
        <w:rPr>
          <w:rFonts w:hint="cs"/>
          <w:rtl/>
        </w:rPr>
        <w:t>الإ</w:t>
      </w:r>
      <w:r w:rsidRPr="004C6CA6">
        <w:rPr>
          <w:rtl/>
        </w:rPr>
        <w:t xml:space="preserve">هانة أو الضّرب لهنّ. وبحسب هذا القرار، في حال حصول خلاف بين مسؤولي ومستخدمي مكاتب </w:t>
      </w:r>
      <w:r w:rsidRPr="004C6CA6">
        <w:rPr>
          <w:rFonts w:hint="cs"/>
          <w:rtl/>
        </w:rPr>
        <w:t>الا</w:t>
      </w:r>
      <w:r w:rsidRPr="004C6CA6">
        <w:rPr>
          <w:rtl/>
        </w:rPr>
        <w:t xml:space="preserve">ستقدام وبين أصحاب العمل أو العاملات، أو بين هؤلاء الأخيرين، يتوجّب إبلاغ وزارة العمل بالموضوع، وتقديم شكوى أمام المراجع المختصّة القضائيّة والإداريّة إذا لزم الأمر، وتقوم دائرة </w:t>
      </w:r>
      <w:r w:rsidRPr="004C6CA6">
        <w:rPr>
          <w:rFonts w:hint="cs"/>
          <w:rtl/>
        </w:rPr>
        <w:t>الا</w:t>
      </w:r>
      <w:r w:rsidRPr="004C6CA6">
        <w:rPr>
          <w:rtl/>
        </w:rPr>
        <w:t xml:space="preserve">ستخدام في مصلحة القوى العاملة بتنظيم ملفّ لكلّ مكتب تضمّ </w:t>
      </w:r>
      <w:r w:rsidRPr="004C6CA6">
        <w:rPr>
          <w:rFonts w:hint="cs"/>
          <w:rtl/>
        </w:rPr>
        <w:t>إ</w:t>
      </w:r>
      <w:r w:rsidRPr="004C6CA6">
        <w:rPr>
          <w:rtl/>
        </w:rPr>
        <w:t>ليه القرارات والشكاوى المتعلّقة به.</w:t>
      </w:r>
    </w:p>
    <w:p w:rsidR="001F30B2" w:rsidRPr="001F30B2" w:rsidRDefault="001F30B2" w:rsidP="001F30B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4C6CA6" w:rsidRPr="004C6CA6" w:rsidRDefault="004C6CA6" w:rsidP="001F30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4C6CA6">
        <w:rPr>
          <w:rtl/>
        </w:rPr>
        <w:tab/>
        <w:t>(د)</w:t>
      </w:r>
      <w:r w:rsidRPr="004C6CA6">
        <w:rPr>
          <w:rtl/>
        </w:rPr>
        <w:tab/>
        <w:t>تشكيل لجنة وطنية بشأن وضع عاملات المنازل الأجنبيّات</w:t>
      </w:r>
    </w:p>
    <w:p w:rsidR="004C6CA6" w:rsidRPr="004C6CA6" w:rsidRDefault="004C6CA6" w:rsidP="004C6CA6">
      <w:pPr>
        <w:pStyle w:val="SingleTxt"/>
      </w:pPr>
      <w:bookmarkStart w:id="11" w:name="_Toc417643842"/>
      <w:bookmarkStart w:id="12" w:name="_Toc417657360"/>
      <w:bookmarkStart w:id="13" w:name="_Toc417657600"/>
      <w:r w:rsidRPr="004C6CA6">
        <w:rPr>
          <w:rFonts w:hint="cs"/>
          <w:rtl/>
        </w:rPr>
        <w:t>22-</w:t>
      </w:r>
      <w:r w:rsidRPr="004C6CA6">
        <w:tab/>
      </w:r>
      <w:r w:rsidRPr="004C6CA6">
        <w:rPr>
          <w:rtl/>
        </w:rPr>
        <w:t>تمّ تشكيل لجنة وطنيّة بشأن وضع عاملات المنازل الأجن</w:t>
      </w:r>
      <w:r w:rsidRPr="004C6CA6">
        <w:rPr>
          <w:rFonts w:hint="cs"/>
          <w:rtl/>
        </w:rPr>
        <w:t>ب</w:t>
      </w:r>
      <w:r w:rsidRPr="004C6CA6">
        <w:rPr>
          <w:rtl/>
        </w:rPr>
        <w:t>يات في لبنان بموجب القرار رقم</w:t>
      </w:r>
      <w:r w:rsidRPr="004C6CA6">
        <w:rPr>
          <w:rFonts w:hint="eastAsia"/>
          <w:rtl/>
        </w:rPr>
        <w:t> </w:t>
      </w:r>
      <w:r w:rsidRPr="004C6CA6">
        <w:rPr>
          <w:rtl/>
        </w:rPr>
        <w:t xml:space="preserve">40/2007 الصّادر عن رئيس مجلس الوزراء بتاريخ 10 </w:t>
      </w:r>
      <w:r w:rsidRPr="004C6CA6">
        <w:rPr>
          <w:rFonts w:hint="cs"/>
          <w:rtl/>
        </w:rPr>
        <w:t>نيسان</w:t>
      </w:r>
      <w:r w:rsidRPr="004C6CA6">
        <w:rPr>
          <w:rtl/>
        </w:rPr>
        <w:t xml:space="preserve">/أبريل 2007، مهمّتها إعداد وتنفيذ المشاريع الهادفة </w:t>
      </w:r>
      <w:r w:rsidRPr="004C6CA6">
        <w:rPr>
          <w:rFonts w:hint="cs"/>
          <w:rtl/>
        </w:rPr>
        <w:t>إ</w:t>
      </w:r>
      <w:r w:rsidRPr="004C6CA6">
        <w:rPr>
          <w:rtl/>
        </w:rPr>
        <w:t>لى تعزيز وحماية العاملات في الخدمة المنزليّة بالتّنسيق مع الإدارات الرّسميّة المعنيّة ومنظمّة العمل الدّوليّة وسائر المنظمّات الدّوليّة والعربيّة المختصّة والهيئات واللّجان الأهليّة الوطنيّة والسّفارات المعنيّة.</w:t>
      </w:r>
      <w:bookmarkEnd w:id="11"/>
      <w:bookmarkEnd w:id="12"/>
      <w:bookmarkEnd w:id="13"/>
    </w:p>
    <w:p w:rsidR="004C6CA6" w:rsidRPr="004C6CA6" w:rsidRDefault="004C6CA6" w:rsidP="001F30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4C6CA6">
        <w:rPr>
          <w:rtl/>
        </w:rPr>
        <w:lastRenderedPageBreak/>
        <w:tab/>
        <w:t>(ه)</w:t>
      </w:r>
      <w:r w:rsidRPr="004C6CA6">
        <w:rPr>
          <w:rtl/>
        </w:rPr>
        <w:tab/>
      </w:r>
      <w:r w:rsidRPr="004C6CA6">
        <w:rPr>
          <w:rFonts w:hint="cs"/>
          <w:rtl/>
        </w:rPr>
        <w:t>الا</w:t>
      </w:r>
      <w:r w:rsidRPr="004C6CA6">
        <w:rPr>
          <w:rtl/>
        </w:rPr>
        <w:t>تّفاقيّات الموقّعة بين الدّولة اللّبنانيّة والدّول الموفدة للعمّال الأجانب</w:t>
      </w:r>
      <w:r w:rsidRPr="006E5715">
        <w:rPr>
          <w:b w:val="0"/>
          <w:bCs w:val="0"/>
          <w:vertAlign w:val="superscript"/>
          <w:rtl/>
        </w:rPr>
        <w:t>(</w:t>
      </w:r>
      <w:r w:rsidRPr="006E5715">
        <w:rPr>
          <w:b w:val="0"/>
          <w:bCs w:val="0"/>
          <w:vertAlign w:val="superscript"/>
          <w:rtl/>
        </w:rPr>
        <w:footnoteReference w:id="6"/>
      </w:r>
      <w:r w:rsidRPr="006E5715">
        <w:rPr>
          <w:b w:val="0"/>
          <w:bCs w:val="0"/>
          <w:vertAlign w:val="superscript"/>
          <w:rtl/>
        </w:rPr>
        <w:t>)</w:t>
      </w:r>
    </w:p>
    <w:p w:rsidR="004C6CA6" w:rsidRPr="004C6CA6" w:rsidRDefault="004C6CA6" w:rsidP="004C6CA6">
      <w:pPr>
        <w:pStyle w:val="SingleTxt"/>
      </w:pPr>
      <w:r w:rsidRPr="004C6CA6">
        <w:rPr>
          <w:rFonts w:hint="cs"/>
          <w:rtl/>
        </w:rPr>
        <w:t>23-</w:t>
      </w:r>
      <w:r w:rsidRPr="004C6CA6">
        <w:tab/>
      </w:r>
      <w:r w:rsidRPr="004C6CA6">
        <w:rPr>
          <w:rtl/>
        </w:rPr>
        <w:t xml:space="preserve">عُقدت </w:t>
      </w:r>
      <w:r w:rsidRPr="004C6CA6">
        <w:rPr>
          <w:rFonts w:hint="cs"/>
          <w:rtl/>
        </w:rPr>
        <w:t>ا</w:t>
      </w:r>
      <w:r w:rsidRPr="004C6CA6">
        <w:rPr>
          <w:rtl/>
        </w:rPr>
        <w:t>تّفاقيّة في مجال التّعاون الفنّي وتنقّل الأيدي العاملة بين وزارة العمل في الجمهوريّة اللّبنانيّة ووزارة القوى العاملة والهجرة في جمهوريّة مصر العربيّة، جرى التّوقيع عليها في القاهرة بتاريخ 30 تشرين الأوّل/أكتوبر 2008، وأبرمت من قبل الجانب اللّبناني بموجب القانون رقم</w:t>
      </w:r>
      <w:r w:rsidRPr="004C6CA6">
        <w:rPr>
          <w:rFonts w:hint="eastAsia"/>
          <w:rtl/>
        </w:rPr>
        <w:t> </w:t>
      </w:r>
      <w:r w:rsidRPr="004C6CA6">
        <w:rPr>
          <w:rtl/>
        </w:rPr>
        <w:t xml:space="preserve">(74) تاريخ 23 </w:t>
      </w:r>
      <w:r w:rsidRPr="004C6CA6">
        <w:rPr>
          <w:rFonts w:hint="cs"/>
          <w:rtl/>
        </w:rPr>
        <w:t>نيسان</w:t>
      </w:r>
      <w:r w:rsidRPr="004C6CA6">
        <w:rPr>
          <w:rtl/>
        </w:rPr>
        <w:t xml:space="preserve">/أبريل 2009، مع الإشارة إلى أنّ هذه </w:t>
      </w:r>
      <w:r w:rsidRPr="004C6CA6">
        <w:rPr>
          <w:rFonts w:hint="cs"/>
          <w:rtl/>
        </w:rPr>
        <w:t>الاتفاقية</w:t>
      </w:r>
      <w:r w:rsidRPr="004C6CA6">
        <w:rPr>
          <w:rtl/>
        </w:rPr>
        <w:t xml:space="preserve"> تسري عملاً بما ورد في المادّة (6) منها من تاريخ التّوقيع عليها. </w:t>
      </w:r>
    </w:p>
    <w:p w:rsidR="004C6CA6" w:rsidRPr="004C6CA6" w:rsidRDefault="004C6CA6" w:rsidP="004C6CA6">
      <w:pPr>
        <w:pStyle w:val="SingleTxt"/>
        <w:rPr>
          <w:rtl/>
        </w:rPr>
      </w:pPr>
      <w:r w:rsidRPr="004C6CA6">
        <w:rPr>
          <w:rtl/>
        </w:rPr>
        <w:tab/>
        <w:t xml:space="preserve">تهدف هذه </w:t>
      </w:r>
      <w:r w:rsidRPr="004C6CA6">
        <w:rPr>
          <w:rFonts w:hint="cs"/>
          <w:rtl/>
        </w:rPr>
        <w:t>الاتفاقية</w:t>
      </w:r>
      <w:r w:rsidRPr="004C6CA6">
        <w:rPr>
          <w:rtl/>
        </w:rPr>
        <w:t xml:space="preserve"> إلى التّعاون المباشر فيما بين الوزارتين المذكورتين من أجل تسهيل وتبسيط إجراءات استخدام عمّال كلا البلدين، ووضع القواعد والنّظم التّي تكفل وضع أحكام هذه المذكّرة موضع التنفيذ، وتتضمّن:</w:t>
      </w:r>
    </w:p>
    <w:p w:rsidR="004C6CA6" w:rsidRPr="004C6CA6" w:rsidRDefault="001F30B2" w:rsidP="006E5715">
      <w:pPr>
        <w:pStyle w:val="SingleTxt"/>
        <w:ind w:left="1930" w:hanging="398"/>
      </w:pPr>
      <w:r>
        <w:rPr>
          <w:rFonts w:hint="cs"/>
          <w:rtl/>
        </w:rPr>
        <w:t>•</w:t>
      </w:r>
      <w:r w:rsidR="004C6CA6" w:rsidRPr="004C6CA6">
        <w:rPr>
          <w:rtl/>
        </w:rPr>
        <w:tab/>
        <w:t xml:space="preserve">وجوب أن يكون استخدام القوى العاملة المصريّة واللّبنانيّة ودخولهما للعمل في كلا البلدين طبقاً للقوانين والأنظمة والإجراءات المعمول بها في كلٍّ منهما في هذا الشأن، مع مراعاة مبدأ المعاملة بالمثل بالنّسبة إلى رسوم تراخيص العمل والإقامة والتّأمينات الاجتماعية، على أن يطبّق الرّسم الأدنى في حالة اختلاف قيمة الرّسوم بين البلدين، والإعفاء المتبادل لعمّال كلا البلدين من </w:t>
      </w:r>
      <w:r w:rsidR="004C6CA6" w:rsidRPr="004C6CA6">
        <w:rPr>
          <w:rFonts w:hint="cs"/>
          <w:rtl/>
        </w:rPr>
        <w:t>الا</w:t>
      </w:r>
      <w:r w:rsidR="004C6CA6" w:rsidRPr="004C6CA6">
        <w:rPr>
          <w:rtl/>
        </w:rPr>
        <w:t xml:space="preserve">شتراك في التّأمينات الاجتماعية إلى حين توقيع </w:t>
      </w:r>
      <w:r w:rsidR="004C6CA6" w:rsidRPr="004C6CA6">
        <w:rPr>
          <w:rFonts w:hint="cs"/>
          <w:rtl/>
        </w:rPr>
        <w:t>ا</w:t>
      </w:r>
      <w:r w:rsidR="004C6CA6" w:rsidRPr="004C6CA6">
        <w:rPr>
          <w:rtl/>
        </w:rPr>
        <w:t xml:space="preserve">تّفاقية ثنائيّة بين الدّولتين في مجال التّأمينات </w:t>
      </w:r>
      <w:r w:rsidR="004C6CA6" w:rsidRPr="004C6CA6">
        <w:rPr>
          <w:rFonts w:hint="cs"/>
          <w:rtl/>
        </w:rPr>
        <w:t>الاجتماعية</w:t>
      </w:r>
      <w:r w:rsidR="004C6CA6" w:rsidRPr="004C6CA6">
        <w:rPr>
          <w:rtl/>
        </w:rPr>
        <w:t>؛</w:t>
      </w:r>
    </w:p>
    <w:p w:rsidR="004C6CA6" w:rsidRPr="004C6CA6" w:rsidRDefault="001F30B2" w:rsidP="006E5715">
      <w:pPr>
        <w:pStyle w:val="SingleTxt"/>
        <w:ind w:left="1930" w:hanging="398"/>
        <w:rPr>
          <w:rtl/>
        </w:rPr>
      </w:pPr>
      <w:r>
        <w:rPr>
          <w:rFonts w:hint="cs"/>
          <w:rtl/>
        </w:rPr>
        <w:t>•</w:t>
      </w:r>
      <w:r w:rsidRPr="004C6CA6">
        <w:rPr>
          <w:rtl/>
        </w:rPr>
        <w:tab/>
      </w:r>
      <w:r w:rsidR="004C6CA6" w:rsidRPr="004C6CA6">
        <w:rPr>
          <w:rtl/>
        </w:rPr>
        <w:t>تعاون الوزارتين من خلال الجهات الرّسميّة والمختصّة في كلٍّ منهما بشأن تبادل المعلومات والبيانات في مجالات العمل المختلفة ودعم مجالات التّعاون الفنّي المتعلّقة بالقوى العاملة، خاصّة في مجالات السّلامة والصّحة المهنيّة والتّدريب المهني وتخطيط القوى العاملة.</w:t>
      </w:r>
    </w:p>
    <w:p w:rsidR="004C6CA6" w:rsidRPr="004C6CA6" w:rsidRDefault="004C6CA6" w:rsidP="004C6CA6">
      <w:pPr>
        <w:pStyle w:val="SingleTxt"/>
      </w:pPr>
      <w:r w:rsidRPr="004C6CA6">
        <w:rPr>
          <w:rtl/>
        </w:rPr>
        <w:tab/>
        <w:t xml:space="preserve">وقد أتت هذه </w:t>
      </w:r>
      <w:r w:rsidRPr="004C6CA6">
        <w:rPr>
          <w:rFonts w:hint="cs"/>
          <w:rtl/>
        </w:rPr>
        <w:t>الاتفاقية</w:t>
      </w:r>
      <w:r w:rsidRPr="004C6CA6">
        <w:rPr>
          <w:rtl/>
        </w:rPr>
        <w:t xml:space="preserve"> لتضاف إلى مذكّرة تفاهم كان قد سبق توقيعها بين وزارة العمل اللّبنانيّة ووزارة القوى العاملة والهجرة المصريّة بتاريخ 8 </w:t>
      </w:r>
      <w:r w:rsidRPr="004C6CA6">
        <w:rPr>
          <w:rFonts w:hint="cs"/>
          <w:rtl/>
        </w:rPr>
        <w:t>آب</w:t>
      </w:r>
      <w:r w:rsidRPr="004C6CA6">
        <w:rPr>
          <w:rtl/>
        </w:rPr>
        <w:t>/أغسطس 1997.</w:t>
      </w:r>
    </w:p>
    <w:p w:rsidR="004C6CA6" w:rsidRPr="004C6CA6" w:rsidRDefault="004C6CA6" w:rsidP="004C6CA6">
      <w:pPr>
        <w:pStyle w:val="SingleTxt"/>
      </w:pPr>
      <w:r w:rsidRPr="004C6CA6">
        <w:rPr>
          <w:rFonts w:hint="cs"/>
          <w:rtl/>
        </w:rPr>
        <w:t>24-</w:t>
      </w:r>
      <w:r w:rsidRPr="004C6CA6">
        <w:tab/>
      </w:r>
      <w:r w:rsidRPr="004C6CA6">
        <w:rPr>
          <w:rtl/>
        </w:rPr>
        <w:t xml:space="preserve">إلى جانب ما ذكر، وقّعت الدّولة اللّبنانيّة بتاريخ 1 </w:t>
      </w:r>
      <w:r w:rsidRPr="004C6CA6">
        <w:rPr>
          <w:rFonts w:hint="cs"/>
          <w:rtl/>
        </w:rPr>
        <w:t>شباط</w:t>
      </w:r>
      <w:r w:rsidRPr="004C6CA6">
        <w:rPr>
          <w:rtl/>
        </w:rPr>
        <w:t xml:space="preserve">/فبراير 2012على مذكّرة تفاهم متعلّقة بالعمل مع دولة الفيليبين ولكنّها لم تبرم بعد، هذا ويوجد مشروع مذكّرة تفاهم متعلّق باليد العاملة بين الدّولة اللّبنانيّة ودولة السّودان ومشروع مذكّرة تفاهم متعلّق بالموضوع عينه بين الدّولة اللّبنانيّة ودولة </w:t>
      </w:r>
      <w:r w:rsidRPr="004C6CA6">
        <w:rPr>
          <w:rFonts w:hint="cs"/>
          <w:rtl/>
        </w:rPr>
        <w:t>سري</w:t>
      </w:r>
      <w:r w:rsidRPr="004C6CA6">
        <w:rPr>
          <w:rtl/>
        </w:rPr>
        <w:t xml:space="preserve"> لانكا، ومشروع </w:t>
      </w:r>
      <w:r w:rsidRPr="004C6CA6">
        <w:rPr>
          <w:rFonts w:hint="cs"/>
          <w:rtl/>
        </w:rPr>
        <w:t>ا</w:t>
      </w:r>
      <w:r w:rsidRPr="004C6CA6">
        <w:rPr>
          <w:rtl/>
        </w:rPr>
        <w:t>تّفاق متعلّق باستقدام العمّال بين الدّولة اللّبنانيّة ودولة أثيوبيا لا تزال جميعها قيد التّفاوض.</w:t>
      </w:r>
    </w:p>
    <w:p w:rsidR="004C6CA6" w:rsidRPr="004C6CA6" w:rsidRDefault="004C6CA6" w:rsidP="001F30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4C6CA6">
        <w:rPr>
          <w:rtl/>
        </w:rPr>
        <w:lastRenderedPageBreak/>
        <w:tab/>
      </w:r>
      <w:r w:rsidRPr="004C6CA6">
        <w:rPr>
          <w:rFonts w:hint="cs"/>
          <w:rtl/>
        </w:rPr>
        <w:t>رابعاً</w:t>
      </w:r>
      <w:r w:rsidRPr="004C6CA6">
        <w:rPr>
          <w:rtl/>
        </w:rPr>
        <w:t>-</w:t>
      </w:r>
      <w:r w:rsidRPr="004C6CA6">
        <w:rPr>
          <w:rtl/>
        </w:rPr>
        <w:tab/>
      </w:r>
      <w:r w:rsidRPr="004C6CA6">
        <w:rPr>
          <w:rFonts w:hint="cs"/>
          <w:rtl/>
        </w:rPr>
        <w:t>ا</w:t>
      </w:r>
      <w:r w:rsidRPr="004C6CA6">
        <w:rPr>
          <w:rtl/>
        </w:rPr>
        <w:t>قتراح القانون المتعلّق بإنشاء الهيئة الوطنيّة لحقوق الإنسان</w:t>
      </w:r>
    </w:p>
    <w:p w:rsidR="004C6CA6" w:rsidRPr="004C6CA6" w:rsidRDefault="004C6CA6" w:rsidP="007673A0">
      <w:pPr>
        <w:pStyle w:val="SingleTxt"/>
        <w:keepNext/>
        <w:keepLines/>
      </w:pPr>
      <w:r w:rsidRPr="004C6CA6">
        <w:rPr>
          <w:rFonts w:hint="cs"/>
          <w:rtl/>
        </w:rPr>
        <w:t>25-</w:t>
      </w:r>
      <w:r w:rsidRPr="004C6CA6">
        <w:tab/>
      </w:r>
      <w:r w:rsidRPr="004C6CA6">
        <w:rPr>
          <w:rtl/>
        </w:rPr>
        <w:t xml:space="preserve">أقرّت لجنة الإدارة والعدل في مجلس النّوّاب </w:t>
      </w:r>
      <w:r w:rsidRPr="004C6CA6">
        <w:rPr>
          <w:rFonts w:hint="cs"/>
          <w:rtl/>
        </w:rPr>
        <w:t>ا</w:t>
      </w:r>
      <w:r w:rsidRPr="004C6CA6">
        <w:rPr>
          <w:rtl/>
        </w:rPr>
        <w:t>قتراح القانون الرّامي إلى إنشاء الهيئة الوطنيّة لحقوق الإنسان المتضمّنة لجنة الوقاية من التّعذيب</w:t>
      </w:r>
      <w:r w:rsidRPr="004C6CA6">
        <w:rPr>
          <w:vertAlign w:val="superscript"/>
          <w:rtl/>
        </w:rPr>
        <w:t>(</w:t>
      </w:r>
      <w:r w:rsidRPr="004C6CA6">
        <w:rPr>
          <w:vertAlign w:val="superscript"/>
          <w:rtl/>
        </w:rPr>
        <w:footnoteReference w:id="7"/>
      </w:r>
      <w:r w:rsidRPr="004C6CA6">
        <w:rPr>
          <w:vertAlign w:val="superscript"/>
          <w:rtl/>
        </w:rPr>
        <w:t>)</w:t>
      </w:r>
      <w:r w:rsidRPr="004C6CA6">
        <w:rPr>
          <w:rtl/>
        </w:rPr>
        <w:t xml:space="preserve">، ويتضمّن هذا </w:t>
      </w:r>
      <w:r w:rsidRPr="004C6CA6">
        <w:rPr>
          <w:rFonts w:hint="cs"/>
          <w:rtl/>
        </w:rPr>
        <w:t>الا</w:t>
      </w:r>
      <w:r w:rsidRPr="004C6CA6">
        <w:rPr>
          <w:rtl/>
        </w:rPr>
        <w:t>قتراح، كما عدّلته لجنة الإدارة والعدل، إنشاء هيئة مستقلّة تتضمّن لجنة دائمة تدعى "لجنة الوقاية من التعذيب". وتضمّ هذه الهيئة أربعة عشر عضواً متفرّغين للعمل فيها، من بينهم قضاة سابقين، وخبراء في القانون الجزائي أو قانون حقوق الإنسان أو القانون العامّ، وخبراء في القانون الدّولي الإنساني، وطبيب شرعي وآخر نفسي، وناشطين في مجال حقوق الإنسان، وعضو من نقابتي الصّحافة والمحرّرين.</w:t>
      </w:r>
    </w:p>
    <w:p w:rsidR="004C6CA6" w:rsidRPr="004C6CA6" w:rsidRDefault="004C6CA6" w:rsidP="004C6CA6">
      <w:pPr>
        <w:pStyle w:val="SingleTxt"/>
      </w:pPr>
      <w:r w:rsidRPr="004C6CA6">
        <w:rPr>
          <w:rtl/>
        </w:rPr>
        <w:tab/>
        <w:t xml:space="preserve">وتعمل هذه الهيئة، وفق ما ينصّ عليه </w:t>
      </w:r>
      <w:r w:rsidRPr="004C6CA6">
        <w:rPr>
          <w:rFonts w:hint="cs"/>
          <w:rtl/>
        </w:rPr>
        <w:t>ا</w:t>
      </w:r>
      <w:r w:rsidRPr="004C6CA6">
        <w:rPr>
          <w:rtl/>
        </w:rPr>
        <w:t>قتراح القانون، على حماية حقوق الإنسان وتعزيزها في لبنان وفق المعايير الواردة في الدّستور اللّبناني والإعلان العالمي لحقوق الإنسان و</w:t>
      </w:r>
      <w:r w:rsidRPr="004C6CA6">
        <w:rPr>
          <w:rFonts w:hint="cs"/>
          <w:rtl/>
        </w:rPr>
        <w:t>الا</w:t>
      </w:r>
      <w:r w:rsidRPr="004C6CA6">
        <w:rPr>
          <w:rtl/>
        </w:rPr>
        <w:t>تّفاقيّات والمعاهدات الدّوليّة المتعلّقة بحقوق الإنسان والقوانين اللّبنانية المتّفقة مع هذه المعايير؛ ومن بين المهام التّي تناط بالهيئة ما يأتي:</w:t>
      </w:r>
    </w:p>
    <w:p w:rsidR="004C6CA6" w:rsidRPr="004C6CA6" w:rsidRDefault="001F30B2" w:rsidP="006E5715">
      <w:pPr>
        <w:pStyle w:val="SingleTxt"/>
        <w:ind w:left="1930" w:hanging="398"/>
        <w:rPr>
          <w:rtl/>
        </w:rPr>
      </w:pPr>
      <w:r>
        <w:rPr>
          <w:rFonts w:hint="cs"/>
          <w:rtl/>
        </w:rPr>
        <w:t>•</w:t>
      </w:r>
      <w:r w:rsidRPr="004C6CA6">
        <w:rPr>
          <w:rtl/>
        </w:rPr>
        <w:tab/>
      </w:r>
      <w:r w:rsidR="004C6CA6" w:rsidRPr="004C6CA6">
        <w:rPr>
          <w:rtl/>
        </w:rPr>
        <w:t>رصد مدى تقيّد لبنان بحقوق الإنسان والقانون الدّولي الإنساني ووضع ونشر التّقارير الخاصّة أو الدّوريّة بشأنها؛</w:t>
      </w:r>
    </w:p>
    <w:p w:rsidR="004C6CA6" w:rsidRPr="004C6CA6" w:rsidRDefault="001F30B2" w:rsidP="006E5715">
      <w:pPr>
        <w:pStyle w:val="SingleTxt"/>
        <w:ind w:left="1930" w:hanging="398"/>
        <w:rPr>
          <w:rtl/>
        </w:rPr>
      </w:pPr>
      <w:r>
        <w:rPr>
          <w:rFonts w:hint="cs"/>
          <w:rtl/>
        </w:rPr>
        <w:t>•</w:t>
      </w:r>
      <w:r w:rsidRPr="004C6CA6">
        <w:rPr>
          <w:rtl/>
        </w:rPr>
        <w:tab/>
      </w:r>
      <w:r w:rsidR="004C6CA6" w:rsidRPr="004C6CA6">
        <w:rPr>
          <w:rtl/>
        </w:rPr>
        <w:t xml:space="preserve">تلقّي الشكاوى والإخبارات التي تردها المتعلّقة بانتهاكات حقوق الإنسان، وإجراء عمليات </w:t>
      </w:r>
      <w:r w:rsidR="004C6CA6" w:rsidRPr="004C6CA6">
        <w:rPr>
          <w:rFonts w:hint="cs"/>
          <w:rtl/>
        </w:rPr>
        <w:t>الا</w:t>
      </w:r>
      <w:r w:rsidR="004C6CA6" w:rsidRPr="004C6CA6">
        <w:rPr>
          <w:rtl/>
        </w:rPr>
        <w:t>ستقصاء واستكمال المعلومات بجميع الوسائل المتاحة، والمساهمة في معالجتها عن طريق المفاوضة والوساطة، أو عن طريق المقاضاة؛</w:t>
      </w:r>
    </w:p>
    <w:p w:rsidR="004C6CA6" w:rsidRPr="004C6CA6" w:rsidRDefault="001F30B2" w:rsidP="006E5715">
      <w:pPr>
        <w:pStyle w:val="SingleTxt"/>
        <w:ind w:left="1930" w:hanging="398"/>
        <w:rPr>
          <w:rtl/>
        </w:rPr>
      </w:pPr>
      <w:r>
        <w:rPr>
          <w:rFonts w:hint="cs"/>
          <w:rtl/>
        </w:rPr>
        <w:t>•</w:t>
      </w:r>
      <w:r w:rsidRPr="004C6CA6">
        <w:rPr>
          <w:rtl/>
        </w:rPr>
        <w:tab/>
      </w:r>
      <w:r w:rsidR="004C6CA6" w:rsidRPr="004C6CA6">
        <w:rPr>
          <w:rtl/>
        </w:rPr>
        <w:t xml:space="preserve">المساهمة في نشر ثقافة حقوق الإنسان وتحفيز برامج التّربية على حقوق </w:t>
      </w:r>
      <w:r w:rsidR="004C6CA6" w:rsidRPr="004C6CA6">
        <w:rPr>
          <w:rFonts w:hint="cs"/>
          <w:rtl/>
        </w:rPr>
        <w:t>الإ</w:t>
      </w:r>
      <w:r w:rsidR="004C6CA6" w:rsidRPr="004C6CA6">
        <w:rPr>
          <w:rtl/>
        </w:rPr>
        <w:t>نسان وتطويرها، ولها على سبيل المثال حثّ وزارة التّربية والتّعليم العالي وسائر الهيئات التّربويّة، والتّعاون معها على تضمين برامجها التّربويّة مواداً نظريّة وتطبيقيّة في حقوق الإنسان والقانون الدّولي الإنساني، والمساهمة في حملات وبرامج إعلانية وإعلاميّة حول معايير وسبل احترام حقوق الإنسان والقانون الدولي الإنساني، وإعداد الدّراسات وتنظيم المؤتمرات والدّورات التّدريبيّة لمختلف الهيئات الرّسميّة والخاصّة في جميع المواضيع الدّاخلة في اختصاصها، وإصدار ونشر وتوزيع الكتب والمنشورات في جميع هذه المواضيع؛</w:t>
      </w:r>
    </w:p>
    <w:p w:rsidR="004C6CA6" w:rsidRPr="004C6CA6" w:rsidRDefault="004C6CA6" w:rsidP="004C6CA6">
      <w:pPr>
        <w:pStyle w:val="SingleTxt"/>
      </w:pPr>
      <w:r w:rsidRPr="004C6CA6">
        <w:rPr>
          <w:rtl/>
        </w:rPr>
        <w:tab/>
        <w:t>وتُعنى الهيئة بمتابعة وتقييم واقع حقوق الإنسان والقانون الدّولي الإنساني في لبنان، ولها في هذا الإطار القيام، على سبيل المثال، بالنشاطات التالية:</w:t>
      </w:r>
    </w:p>
    <w:p w:rsidR="004C6CA6" w:rsidRPr="004C6CA6" w:rsidRDefault="001F30B2" w:rsidP="006E5715">
      <w:pPr>
        <w:pStyle w:val="SingleTxt"/>
        <w:ind w:left="1930" w:hanging="398"/>
        <w:rPr>
          <w:rtl/>
        </w:rPr>
      </w:pPr>
      <w:r>
        <w:rPr>
          <w:rFonts w:hint="cs"/>
          <w:rtl/>
        </w:rPr>
        <w:t>•</w:t>
      </w:r>
      <w:r w:rsidRPr="004C6CA6">
        <w:rPr>
          <w:rtl/>
        </w:rPr>
        <w:tab/>
      </w:r>
      <w:r w:rsidR="004C6CA6" w:rsidRPr="004C6CA6">
        <w:rPr>
          <w:rtl/>
        </w:rPr>
        <w:t>متابعة وتقييم القوانين والمراسيم كافّة والقرارات الإداريّة، وقياسها وفق معايير حقوق الإنسان؛</w:t>
      </w:r>
    </w:p>
    <w:p w:rsidR="004C6CA6" w:rsidRPr="004C6CA6" w:rsidRDefault="001F30B2" w:rsidP="006E5715">
      <w:pPr>
        <w:pStyle w:val="SingleTxt"/>
        <w:ind w:left="1930" w:hanging="398"/>
        <w:rPr>
          <w:rtl/>
        </w:rPr>
      </w:pPr>
      <w:r>
        <w:rPr>
          <w:rFonts w:hint="cs"/>
          <w:rtl/>
        </w:rPr>
        <w:lastRenderedPageBreak/>
        <w:t>•</w:t>
      </w:r>
      <w:r w:rsidRPr="004C6CA6">
        <w:rPr>
          <w:rtl/>
        </w:rPr>
        <w:tab/>
      </w:r>
      <w:r w:rsidR="004C6CA6" w:rsidRPr="004C6CA6">
        <w:rPr>
          <w:rtl/>
        </w:rPr>
        <w:t xml:space="preserve">رصد وتوثيق </w:t>
      </w:r>
      <w:r w:rsidR="004C6CA6" w:rsidRPr="004C6CA6">
        <w:rPr>
          <w:rFonts w:hint="cs"/>
          <w:rtl/>
        </w:rPr>
        <w:t>ا</w:t>
      </w:r>
      <w:r w:rsidR="004C6CA6" w:rsidRPr="004C6CA6">
        <w:rPr>
          <w:rtl/>
        </w:rPr>
        <w:t>نتهاكات حقوق الإنسان والقانون الدّولي الإنساني طيلة فترات النّزاع المسلّح والمتابعة لمحاولة وضع حدّ للإفلات من العقاب؛</w:t>
      </w:r>
    </w:p>
    <w:p w:rsidR="004C6CA6" w:rsidRPr="004C6CA6" w:rsidRDefault="001F30B2" w:rsidP="006E5715">
      <w:pPr>
        <w:pStyle w:val="SingleTxt"/>
        <w:ind w:left="1930" w:hanging="398"/>
      </w:pPr>
      <w:r>
        <w:rPr>
          <w:rFonts w:hint="cs"/>
          <w:rtl/>
        </w:rPr>
        <w:t>•</w:t>
      </w:r>
      <w:r w:rsidRPr="004C6CA6">
        <w:rPr>
          <w:rtl/>
        </w:rPr>
        <w:tab/>
      </w:r>
      <w:r w:rsidR="004C6CA6" w:rsidRPr="004C6CA6">
        <w:rPr>
          <w:rtl/>
        </w:rPr>
        <w:t>وضع تقارير عامّة وتقارير خاصّة تتضمّن توصيات في هذا المجال.</w:t>
      </w:r>
    </w:p>
    <w:p w:rsidR="001F30B2" w:rsidRPr="001F30B2" w:rsidRDefault="001F30B2" w:rsidP="001F30B2">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bookmarkStart w:id="14" w:name="_Toc417893376"/>
    </w:p>
    <w:p w:rsidR="001F30B2" w:rsidRPr="001F30B2" w:rsidRDefault="001F30B2" w:rsidP="001F30B2">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4C6CA6" w:rsidRPr="004C6CA6" w:rsidRDefault="004C6CA6" w:rsidP="001F30B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4C6CA6">
        <w:rPr>
          <w:rtl/>
        </w:rPr>
        <w:tab/>
      </w:r>
      <w:r w:rsidRPr="004C6CA6">
        <w:rPr>
          <w:rtl/>
        </w:rPr>
        <w:tab/>
        <w:t>المادّة 3</w:t>
      </w:r>
      <w:bookmarkEnd w:id="14"/>
    </w:p>
    <w:p w:rsidR="001F30B2" w:rsidRPr="001F30B2" w:rsidRDefault="001F30B2" w:rsidP="001F30B2">
      <w:pPr>
        <w:pStyle w:val="SingleTxt"/>
        <w:spacing w:after="0" w:line="120" w:lineRule="exact"/>
        <w:rPr>
          <w:sz w:val="10"/>
          <w:rtl/>
        </w:rPr>
      </w:pPr>
    </w:p>
    <w:p w:rsidR="004C6CA6" w:rsidRPr="004C6CA6" w:rsidRDefault="004C6CA6" w:rsidP="004C6CA6">
      <w:pPr>
        <w:pStyle w:val="SingleTxt"/>
      </w:pPr>
      <w:r w:rsidRPr="004C6CA6">
        <w:rPr>
          <w:rFonts w:hint="cs"/>
          <w:rtl/>
        </w:rPr>
        <w:t>26-</w:t>
      </w:r>
      <w:r w:rsidRPr="004C6CA6">
        <w:tab/>
      </w:r>
      <w:r w:rsidRPr="004C6CA6">
        <w:rPr>
          <w:rtl/>
        </w:rPr>
        <w:t xml:space="preserve">تعتبر المساواة بين المواطنين وضرورة تحقيق الإنماء المتوازن لجميع المناطق من المبادئ الدّستوريّة التّي تتمسّك بها الدّولة اللّبنانية، فتنصّ الفقرة "ه" من مقدّمة الدّستور على أنّ الجمهوريّة اللّبنانيّة جمهوريّة ديمقراطيّة تقوم على احترام الحريّات العامّة، وعلى العدالة </w:t>
      </w:r>
      <w:r w:rsidRPr="004C6CA6">
        <w:rPr>
          <w:rFonts w:hint="cs"/>
          <w:rtl/>
        </w:rPr>
        <w:t>الاجتماعية</w:t>
      </w:r>
      <w:r w:rsidRPr="004C6CA6">
        <w:rPr>
          <w:rtl/>
        </w:rPr>
        <w:t xml:space="preserve"> والمساواة في الحقوق والواجبات بين جميع المواطنين دون تمايز أو تفضيل، وتنصّ الفقرة "ز" من هذه المقدّمة أنّ الإنماء المتوازن للمناطق ثقافيّاً و</w:t>
      </w:r>
      <w:r w:rsidRPr="004C6CA6">
        <w:rPr>
          <w:rFonts w:hint="cs"/>
          <w:rtl/>
        </w:rPr>
        <w:t>ا</w:t>
      </w:r>
      <w:r w:rsidRPr="004C6CA6">
        <w:rPr>
          <w:rtl/>
        </w:rPr>
        <w:t>جتماعيّاً و</w:t>
      </w:r>
      <w:r w:rsidRPr="004C6CA6">
        <w:rPr>
          <w:rFonts w:hint="cs"/>
          <w:rtl/>
        </w:rPr>
        <w:t>ا</w:t>
      </w:r>
      <w:r w:rsidRPr="004C6CA6">
        <w:rPr>
          <w:rtl/>
        </w:rPr>
        <w:t>قتصاديّاً ركن أساسي من أركان وحدة الدّولة واستقرار النّظام، كما تعتبر الفقرة "ط" منها أنّ أرض لبنان أرض واحدة لكلّ اللّبنانيّين، وأنّ لكلّ لبنانيّ الحقّ في الإقامة على أيّ جزء منها والتّمتّع به في ظلّ سيادة القانون، فلا فرز للشعب على أساس أيّ انتماء كان، ولا تجزئة ولا تقسيم ولا توطين.</w:t>
      </w:r>
    </w:p>
    <w:p w:rsidR="004C6CA6" w:rsidRPr="004C6CA6" w:rsidRDefault="004C6CA6" w:rsidP="004C6CA6">
      <w:pPr>
        <w:pStyle w:val="SingleTxt"/>
        <w:rPr>
          <w:rtl/>
        </w:rPr>
      </w:pPr>
      <w:r w:rsidRPr="004C6CA6">
        <w:rPr>
          <w:rtl/>
        </w:rPr>
        <w:tab/>
        <w:t>ويؤكّد الدّستور على هذه المبادئ في المادّتين (7) و(12) منه حيث تنصّ الأولى على مبدأ المساواة بين كلّ في الحقوق والواجبات العامّة، وتنصّ ال</w:t>
      </w:r>
      <w:r w:rsidRPr="004C6CA6">
        <w:rPr>
          <w:rFonts w:hint="cs"/>
          <w:rtl/>
        </w:rPr>
        <w:t>ثّان</w:t>
      </w:r>
      <w:r w:rsidRPr="004C6CA6">
        <w:rPr>
          <w:rtl/>
        </w:rPr>
        <w:t>ية على تكافؤ الفرص بين اللّبنانيّين في تولّي الوظائف العامّة</w:t>
      </w:r>
      <w:r w:rsidRPr="004C6CA6">
        <w:rPr>
          <w:vertAlign w:val="superscript"/>
          <w:rtl/>
        </w:rPr>
        <w:t>(</w:t>
      </w:r>
      <w:r w:rsidRPr="004C6CA6">
        <w:rPr>
          <w:vertAlign w:val="superscript"/>
          <w:rtl/>
        </w:rPr>
        <w:footnoteReference w:id="8"/>
      </w:r>
      <w:r w:rsidRPr="004C6CA6">
        <w:rPr>
          <w:vertAlign w:val="superscript"/>
          <w:rtl/>
        </w:rPr>
        <w:t>)</w:t>
      </w:r>
      <w:r w:rsidRPr="004C6CA6">
        <w:rPr>
          <w:rtl/>
        </w:rPr>
        <w:t>.</w:t>
      </w:r>
    </w:p>
    <w:p w:rsidR="004C6CA6" w:rsidRPr="004C6CA6" w:rsidRDefault="004C6CA6" w:rsidP="004C6CA6">
      <w:pPr>
        <w:pStyle w:val="SingleTxt"/>
      </w:pPr>
      <w:r w:rsidRPr="004C6CA6">
        <w:rPr>
          <w:rFonts w:hint="cs"/>
          <w:rtl/>
        </w:rPr>
        <w:t>27-</w:t>
      </w:r>
      <w:r w:rsidRPr="004C6CA6">
        <w:tab/>
      </w:r>
      <w:r w:rsidRPr="004C6CA6">
        <w:rPr>
          <w:rtl/>
        </w:rPr>
        <w:t xml:space="preserve">بالرّغم من هذه النّصوص يظهر الواقع وجود تفاوت في درجات النّمو والتّطوّر بين المناطق اللّبنانية، لا سيّما بين المناطق البعيدة عن العاصمة من جهة وهذه الأخيرة والمناطق الأقرب إليها من جهة أخرى، دون أن يكون لهذا التّفاوت ارتباط بأيّ تمييز مبني على أسس عنصريّة. </w:t>
      </w:r>
    </w:p>
    <w:p w:rsidR="004C6CA6" w:rsidRPr="004C6CA6" w:rsidRDefault="004C6CA6" w:rsidP="004C6CA6">
      <w:pPr>
        <w:pStyle w:val="SingleTxt"/>
        <w:rPr>
          <w:rtl/>
        </w:rPr>
      </w:pPr>
      <w:r w:rsidRPr="004C6CA6">
        <w:rPr>
          <w:rtl/>
        </w:rPr>
        <w:tab/>
        <w:t xml:space="preserve">فضلاً عن ذلك، فإنّ كبر عدد اللاّجئين في لبنان، الذّي بات، باعتراف من المجتمع الدّولي، يشكّل ضغطاً كبيراً على البنى التّحتيّة للدّولة ومواردها المحدودة أصلاً، أدى إلى ظهور العديد من المشاكل </w:t>
      </w:r>
      <w:r w:rsidRPr="004C6CA6">
        <w:rPr>
          <w:rFonts w:hint="cs"/>
          <w:rtl/>
        </w:rPr>
        <w:t>الاجتماعية</w:t>
      </w:r>
      <w:r w:rsidRPr="004C6CA6">
        <w:rPr>
          <w:rtl/>
        </w:rPr>
        <w:t xml:space="preserve"> والصّحيّة و</w:t>
      </w:r>
      <w:r w:rsidRPr="004C6CA6">
        <w:rPr>
          <w:rFonts w:hint="cs"/>
          <w:rtl/>
        </w:rPr>
        <w:t>الا</w:t>
      </w:r>
      <w:r w:rsidRPr="004C6CA6">
        <w:rPr>
          <w:rtl/>
        </w:rPr>
        <w:t>قتصاديّة التّي تطال ليس فقط فئات اللاّجئين، وإنّما تمتّد آثارها إلى سائر أفراد البيئات الحاضنة لهذه الفئات، هذا وإنّ التّزايد المستمرّ لهذا العدد يجعل أمر رصد الحاجات وتوفير المتطلّبات اللّازمة لمواجهتها، تحدّياً بحدّ ذاته.</w:t>
      </w:r>
    </w:p>
    <w:p w:rsidR="004C6CA6" w:rsidRPr="004C6CA6" w:rsidRDefault="004C6CA6" w:rsidP="004C6CA6">
      <w:pPr>
        <w:pStyle w:val="SingleTxt"/>
        <w:rPr>
          <w:rtl/>
        </w:rPr>
      </w:pPr>
      <w:r w:rsidRPr="004C6CA6">
        <w:rPr>
          <w:rtl/>
        </w:rPr>
        <w:tab/>
        <w:t xml:space="preserve">في ظلّ هذه الظّروف، تسعى الدّولة اللّبنانيّة إلى اتّخاذ عددٍ من الإجراءات التّي تمكّن من حماية الحقوق </w:t>
      </w:r>
      <w:r w:rsidRPr="004C6CA6">
        <w:rPr>
          <w:rFonts w:hint="cs"/>
          <w:rtl/>
        </w:rPr>
        <w:t>الاجتماعية</w:t>
      </w:r>
      <w:r w:rsidRPr="004C6CA6">
        <w:rPr>
          <w:rtl/>
        </w:rPr>
        <w:t xml:space="preserve"> والثّقافيّة و</w:t>
      </w:r>
      <w:r w:rsidRPr="004C6CA6">
        <w:rPr>
          <w:rFonts w:hint="cs"/>
          <w:rtl/>
        </w:rPr>
        <w:t>الا</w:t>
      </w:r>
      <w:r w:rsidRPr="004C6CA6">
        <w:rPr>
          <w:rtl/>
        </w:rPr>
        <w:t>قتصاديّة لمختلف فئات المجتمع اللّبناني، كما تسعى من خلال مؤسّساتها إلى وضع خطط وطنيّة تهدف إلى تعزيز حماية حقوق الإنسان بصورة عامّة مع ما يتضمّنه ذلك من دعم للفئات الأكثر ضعفاً بهدف تسهيل اندماجها في المجتمع.</w:t>
      </w:r>
    </w:p>
    <w:p w:rsidR="004C6CA6" w:rsidRPr="004C6CA6" w:rsidRDefault="004C6CA6" w:rsidP="001F30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sidRPr="004C6CA6">
        <w:rPr>
          <w:rtl/>
        </w:rPr>
        <w:lastRenderedPageBreak/>
        <w:tab/>
      </w:r>
      <w:r w:rsidRPr="004C6CA6">
        <w:rPr>
          <w:rFonts w:hint="cs"/>
          <w:rtl/>
        </w:rPr>
        <w:t>أولاً</w:t>
      </w:r>
      <w:r w:rsidRPr="004C6CA6">
        <w:rPr>
          <w:rtl/>
        </w:rPr>
        <w:t>-</w:t>
      </w:r>
      <w:r w:rsidRPr="004C6CA6">
        <w:rPr>
          <w:rtl/>
        </w:rPr>
        <w:tab/>
        <w:t>إعلان خطّة وطنيّة لحقوق الإنسان داعمة لفئات المجتمع الأكثر ضعفاً</w:t>
      </w:r>
    </w:p>
    <w:p w:rsidR="004C6CA6" w:rsidRPr="004C6CA6" w:rsidRDefault="004C6CA6" w:rsidP="004C6CA6">
      <w:pPr>
        <w:pStyle w:val="SingleTxt"/>
        <w:rPr>
          <w:rtl/>
        </w:rPr>
      </w:pPr>
      <w:r w:rsidRPr="004C6CA6">
        <w:rPr>
          <w:rtl/>
        </w:rPr>
        <w:t>28-</w:t>
      </w:r>
      <w:r w:rsidRPr="004C6CA6">
        <w:rPr>
          <w:rtl/>
        </w:rPr>
        <w:tab/>
        <w:t xml:space="preserve">أعلنت لجنة حقوق الإنسان النّيابيّة بتاريخ 10 كانون الأوّل/ديسمبر 2012 الخطّة الوطنيّة لحقوق الإنسان تمهيداً لمناقشتها في المجلس النّيابي وإقرارها. </w:t>
      </w:r>
    </w:p>
    <w:p w:rsidR="004C6CA6" w:rsidRPr="004C6CA6" w:rsidRDefault="004C6CA6" w:rsidP="00476CF6">
      <w:pPr>
        <w:pStyle w:val="SingleTxt"/>
      </w:pPr>
      <w:r w:rsidRPr="004C6CA6">
        <w:rPr>
          <w:rtl/>
        </w:rPr>
        <w:tab/>
        <w:t xml:space="preserve">وإنّ هذه الخطّة التّي وُضعت </w:t>
      </w:r>
      <w:r w:rsidRPr="004C6CA6">
        <w:rPr>
          <w:rFonts w:hint="cs"/>
          <w:rtl/>
        </w:rPr>
        <w:t>ا</w:t>
      </w:r>
      <w:r w:rsidRPr="004C6CA6">
        <w:rPr>
          <w:rtl/>
        </w:rPr>
        <w:t>ستجابةً لإعلان وبرنامج عمل فيينا الصّادرين عن المؤتمر الدّولي لحقوق الإنسان</w:t>
      </w:r>
      <w:r w:rsidR="00476CF6">
        <w:rPr>
          <w:rFonts w:hint="cs"/>
          <w:rtl/>
        </w:rPr>
        <w:t xml:space="preserve"> </w:t>
      </w:r>
      <w:r w:rsidRPr="004C6CA6">
        <w:rPr>
          <w:rtl/>
        </w:rPr>
        <w:t>المعقود في فيينا في العام 1993، تمّ إعدادها بمشاركة من اللّجان النيابيّة المختصّة، والوزارات المعنيّة، ومنظمّات حقوق الإنسان، ومنظمّات المجتمع المدني والهيئات الدّوليّة العاملة في لبنان، وبخاصّة مكتب المفوضيّة السّامية لحقوق الإنسان، وقد اعتمدت كمرجعيّة من أجل تقييم واقع حقوق الإنسان في لبنان واقتراح ما يفترض تنفيذه من استراتيجيّات وخطط تنفيذيّة، أحكام الدّستور والعهود والمواثيق و</w:t>
      </w:r>
      <w:r w:rsidRPr="004C6CA6">
        <w:rPr>
          <w:rFonts w:hint="cs"/>
          <w:rtl/>
        </w:rPr>
        <w:t>الا</w:t>
      </w:r>
      <w:r w:rsidRPr="004C6CA6">
        <w:rPr>
          <w:rtl/>
        </w:rPr>
        <w:t xml:space="preserve">تّفاقيّات الدّوليّة ذات الصّلة بحقوق الإنسان والتّي انضمّ إليها لبنان، لا سيّما الإعلان العالمي لحقوق الإنسان والعهدين المتعلّقين بالحقوق المدنيّة والسّياسيّة من جهة والحقوق </w:t>
      </w:r>
      <w:r w:rsidRPr="004C6CA6">
        <w:rPr>
          <w:rFonts w:hint="cs"/>
          <w:rtl/>
        </w:rPr>
        <w:t>الا</w:t>
      </w:r>
      <w:r w:rsidRPr="004C6CA6">
        <w:rPr>
          <w:rtl/>
        </w:rPr>
        <w:t>قتصاديّة و</w:t>
      </w:r>
      <w:r w:rsidRPr="004C6CA6">
        <w:rPr>
          <w:rFonts w:hint="cs"/>
          <w:rtl/>
        </w:rPr>
        <w:t>الاجتماعية</w:t>
      </w:r>
      <w:r w:rsidRPr="004C6CA6">
        <w:rPr>
          <w:rtl/>
        </w:rPr>
        <w:t xml:space="preserve"> والثّقافيّة من جهة أخرى، كما أنّها تتضمّن جميع التّوصيات التّي وافق عليها لبنان في </w:t>
      </w:r>
      <w:r w:rsidRPr="004C6CA6">
        <w:rPr>
          <w:rFonts w:hint="cs"/>
          <w:rtl/>
        </w:rPr>
        <w:t>الا</w:t>
      </w:r>
      <w:r w:rsidRPr="004C6CA6">
        <w:rPr>
          <w:rtl/>
        </w:rPr>
        <w:t xml:space="preserve">ستعراض الدّوري الشّامل في مجلس حقوق الإنسان لدى الأمم المتّحدة بتاريخ 12 </w:t>
      </w:r>
      <w:r w:rsidRPr="004C6CA6">
        <w:rPr>
          <w:rFonts w:hint="cs"/>
          <w:rtl/>
        </w:rPr>
        <w:t>تشرين</w:t>
      </w:r>
      <w:r w:rsidRPr="004C6CA6">
        <w:rPr>
          <w:rtl/>
        </w:rPr>
        <w:t xml:space="preserve"> </w:t>
      </w:r>
      <w:r w:rsidRPr="004C6CA6">
        <w:rPr>
          <w:rFonts w:hint="cs"/>
          <w:rtl/>
        </w:rPr>
        <w:t>الثاني</w:t>
      </w:r>
      <w:r w:rsidRPr="004C6CA6">
        <w:rPr>
          <w:rtl/>
        </w:rPr>
        <w:t>/نوفمبر 2010.</w:t>
      </w:r>
    </w:p>
    <w:p w:rsidR="004C6CA6" w:rsidRPr="004C6CA6" w:rsidRDefault="004C6CA6" w:rsidP="004C6CA6">
      <w:pPr>
        <w:pStyle w:val="SingleTxt"/>
        <w:rPr>
          <w:rtl/>
        </w:rPr>
      </w:pPr>
      <w:r w:rsidRPr="004C6CA6">
        <w:rPr>
          <w:rtl/>
        </w:rPr>
        <w:tab/>
        <w:t xml:space="preserve">حدّدت لجنة حقوق الإنسان النّيابيّة لهذه الخطّة </w:t>
      </w:r>
      <w:r w:rsidRPr="004C6CA6">
        <w:rPr>
          <w:rFonts w:hint="cs"/>
          <w:rtl/>
        </w:rPr>
        <w:t>عدّة</w:t>
      </w:r>
      <w:r w:rsidRPr="004C6CA6">
        <w:rPr>
          <w:rtl/>
        </w:rPr>
        <w:t xml:space="preserve"> مو</w:t>
      </w:r>
      <w:r w:rsidRPr="004C6CA6">
        <w:rPr>
          <w:rFonts w:hint="cs"/>
          <w:rtl/>
        </w:rPr>
        <w:t>ا</w:t>
      </w:r>
      <w:r w:rsidRPr="004C6CA6">
        <w:rPr>
          <w:rtl/>
        </w:rPr>
        <w:t>ض</w:t>
      </w:r>
      <w:r w:rsidRPr="004C6CA6">
        <w:rPr>
          <w:rFonts w:hint="cs"/>
          <w:rtl/>
        </w:rPr>
        <w:t>ي</w:t>
      </w:r>
      <w:r w:rsidRPr="004C6CA6">
        <w:rPr>
          <w:rtl/>
        </w:rPr>
        <w:t>ع اعتبرته</w:t>
      </w:r>
      <w:r w:rsidRPr="004C6CA6">
        <w:rPr>
          <w:rFonts w:hint="cs"/>
          <w:rtl/>
        </w:rPr>
        <w:t>ا</w:t>
      </w:r>
      <w:r w:rsidRPr="004C6CA6">
        <w:rPr>
          <w:rtl/>
        </w:rPr>
        <w:t xml:space="preserve"> من الأولويّات في الفترة الزّمنيّة التّي تتناولها الخطّة المذكورة (من العام 2013 حتّى العام 2019)، على أن يصار إلى بحث غيره</w:t>
      </w:r>
      <w:r w:rsidRPr="004C6CA6">
        <w:rPr>
          <w:rFonts w:hint="cs"/>
          <w:rtl/>
        </w:rPr>
        <w:t>ا</w:t>
      </w:r>
      <w:r w:rsidRPr="004C6CA6">
        <w:rPr>
          <w:rtl/>
        </w:rPr>
        <w:t xml:space="preserve"> من المواضيع تباعاً في المستقبل في الخطط المتتالية لحقوق الإنسان. </w:t>
      </w:r>
    </w:p>
    <w:p w:rsidR="004C6CA6" w:rsidRPr="004C6CA6" w:rsidRDefault="004C6CA6" w:rsidP="004C6CA6">
      <w:pPr>
        <w:pStyle w:val="SingleTxt"/>
        <w:rPr>
          <w:rtl/>
        </w:rPr>
      </w:pPr>
      <w:r w:rsidRPr="004C6CA6">
        <w:rPr>
          <w:rtl/>
        </w:rPr>
        <w:tab/>
        <w:t xml:space="preserve">ومن بين المواضيع التّي تشتمل عليها الخطّة، حقوق المرأة، وحقوق الطّفل، وحقوق الأشخاص ذوي الإعاقة، وحقوق العمّال المهاجرين، والحقوق </w:t>
      </w:r>
      <w:r w:rsidRPr="004C6CA6">
        <w:rPr>
          <w:rFonts w:hint="cs"/>
          <w:rtl/>
        </w:rPr>
        <w:t>الاجتماعية</w:t>
      </w:r>
      <w:r w:rsidRPr="004C6CA6">
        <w:rPr>
          <w:rtl/>
        </w:rPr>
        <w:t xml:space="preserve"> و</w:t>
      </w:r>
      <w:r w:rsidRPr="004C6CA6">
        <w:rPr>
          <w:rFonts w:hint="cs"/>
          <w:rtl/>
        </w:rPr>
        <w:t>الا</w:t>
      </w:r>
      <w:r w:rsidRPr="004C6CA6">
        <w:rPr>
          <w:rtl/>
        </w:rPr>
        <w:t xml:space="preserve">قتصاديّة للاّجئين غير الفلسطينيّين والحقوق </w:t>
      </w:r>
      <w:r w:rsidRPr="004C6CA6">
        <w:rPr>
          <w:rFonts w:hint="cs"/>
          <w:rtl/>
        </w:rPr>
        <w:t>الاجتماعية</w:t>
      </w:r>
      <w:r w:rsidRPr="004C6CA6">
        <w:rPr>
          <w:rtl/>
        </w:rPr>
        <w:t xml:space="preserve"> و</w:t>
      </w:r>
      <w:r w:rsidRPr="004C6CA6">
        <w:rPr>
          <w:rFonts w:hint="cs"/>
          <w:rtl/>
        </w:rPr>
        <w:t>الا</w:t>
      </w:r>
      <w:r w:rsidRPr="004C6CA6">
        <w:rPr>
          <w:rtl/>
        </w:rPr>
        <w:t>قتصاديّة للاّجئين الفلسطينيّين.</w:t>
      </w:r>
    </w:p>
    <w:p w:rsidR="004C6CA6" w:rsidRPr="004C6CA6" w:rsidRDefault="004C6CA6" w:rsidP="004C6CA6">
      <w:pPr>
        <w:pStyle w:val="SingleTxt"/>
        <w:rPr>
          <w:rtl/>
        </w:rPr>
      </w:pPr>
      <w:r w:rsidRPr="004C6CA6">
        <w:rPr>
          <w:rtl/>
        </w:rPr>
        <w:tab/>
        <w:t>تهدف الخطّة الوطنيّة لحقوق الإنسان وفق ما جاء فيها إلى تحديد الخطوات التّشريعيّة والإجرائيّة والتّنفيذيّة اللاّزمة من أجل تعزيز احترام حقوق الإنسان وحمايتها، وتسعى لجنة حقوق الإنسان النّيابيّة من خلالها إلى إرساء معالجة شاملة للمواضيع التّي تتناولها وإرساء مخطّط لمتابعة تطبيقها عبر تحديد أهداف متوسّطة الأمد وطويلة الأمد. تتضمّن الخطّة (357) نقطة تنفيذيّة موجّهة إلى كلٍّ من مجلس النّواب، ومجلس الوزراء، والقضاء، والإدارات العامّة، ومنظّمات المجتمع المدني، ومن ضمنها نشر ثقافة حقوق الإنسان على المستويات كافّة وبجميع الوسائل، لا سيّما لدى الإدارات الرّسميّة، والمؤسّسات الأمنيّة، وعلى المستوى الشّعبي، وإدماج حقوق الإنسان في المناهج الدّراسيّة، وتفعيل دور الإعلام والجمعيّات الأهليّة في نشر ثقافة حقوق الإنسان، كما تتضمّن هذه الخطّة الحثّ على إنشاء الهيئة الوطنيّة لحقوق الإنسان.</w:t>
      </w:r>
    </w:p>
    <w:p w:rsidR="004C6CA6" w:rsidRPr="004C6CA6" w:rsidRDefault="004C6CA6" w:rsidP="001F30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4C6CA6">
        <w:rPr>
          <w:rtl/>
        </w:rPr>
        <w:lastRenderedPageBreak/>
        <w:tab/>
      </w:r>
      <w:r w:rsidRPr="004C6CA6">
        <w:rPr>
          <w:rFonts w:hint="cs"/>
          <w:rtl/>
        </w:rPr>
        <w:t>ثانياً</w:t>
      </w:r>
      <w:r w:rsidRPr="004C6CA6">
        <w:rPr>
          <w:rtl/>
        </w:rPr>
        <w:t>-</w:t>
      </w:r>
      <w:r w:rsidRPr="004C6CA6">
        <w:rPr>
          <w:rtl/>
        </w:rPr>
        <w:tab/>
        <w:t xml:space="preserve">مشاريع وبرامج وزارة الشّؤون </w:t>
      </w:r>
      <w:r w:rsidRPr="004C6CA6">
        <w:rPr>
          <w:rFonts w:hint="cs"/>
          <w:rtl/>
        </w:rPr>
        <w:t>الاجتماعية</w:t>
      </w:r>
      <w:r w:rsidRPr="004C6CA6">
        <w:rPr>
          <w:rtl/>
        </w:rPr>
        <w:t xml:space="preserve"> للتّنمية </w:t>
      </w:r>
      <w:r w:rsidRPr="004C6CA6">
        <w:rPr>
          <w:rFonts w:hint="cs"/>
          <w:rtl/>
        </w:rPr>
        <w:t>الاجتماعية</w:t>
      </w:r>
    </w:p>
    <w:p w:rsidR="004C6CA6" w:rsidRPr="004C6CA6" w:rsidRDefault="004C6CA6" w:rsidP="004C6CA6">
      <w:pPr>
        <w:pStyle w:val="SingleTxt"/>
      </w:pPr>
      <w:r w:rsidRPr="004C6CA6">
        <w:rPr>
          <w:rFonts w:hint="cs"/>
          <w:rtl/>
        </w:rPr>
        <w:t>29-</w:t>
      </w:r>
      <w:r w:rsidRPr="004C6CA6">
        <w:tab/>
      </w:r>
      <w:r w:rsidRPr="004C6CA6">
        <w:rPr>
          <w:rtl/>
        </w:rPr>
        <w:t>أطلقت وزارة الشؤون الاجتماعية "الاستراتيجية الوطنية للتنمية الاجتماعية" با</w:t>
      </w:r>
      <w:r w:rsidRPr="004C6CA6">
        <w:rPr>
          <w:rFonts w:hint="cs"/>
          <w:rtl/>
        </w:rPr>
        <w:t>لا</w:t>
      </w:r>
      <w:r w:rsidRPr="004C6CA6">
        <w:rPr>
          <w:rtl/>
        </w:rPr>
        <w:t xml:space="preserve">رتكاز إلى وثيقة الوفاق الوطني التّي صادقت عليها وزارة الشّؤون </w:t>
      </w:r>
      <w:r w:rsidRPr="004C6CA6">
        <w:rPr>
          <w:rFonts w:hint="cs"/>
          <w:rtl/>
        </w:rPr>
        <w:t>الاجتماعية</w:t>
      </w:r>
      <w:r w:rsidRPr="004C6CA6">
        <w:rPr>
          <w:rtl/>
        </w:rPr>
        <w:t xml:space="preserve"> عام 2010، والّتي تدعو إلى توحيد الرّؤية الآيلة إلى بناء دولة مدنيّة قوامها المواطنيّة، ويلتزم لبنان بموجب هذه الوثيقة بمبادئ المساواة في الحقوق والواجبات وبتحسين الوضع </w:t>
      </w:r>
      <w:r w:rsidRPr="004C6CA6">
        <w:rPr>
          <w:rFonts w:hint="cs"/>
          <w:rtl/>
        </w:rPr>
        <w:t>الاجتماعي</w:t>
      </w:r>
      <w:r w:rsidRPr="004C6CA6">
        <w:rPr>
          <w:rtl/>
        </w:rPr>
        <w:t xml:space="preserve"> و</w:t>
      </w:r>
      <w:r w:rsidRPr="004C6CA6">
        <w:rPr>
          <w:rFonts w:hint="cs"/>
          <w:rtl/>
        </w:rPr>
        <w:t>الا</w:t>
      </w:r>
      <w:r w:rsidRPr="004C6CA6">
        <w:rPr>
          <w:rtl/>
        </w:rPr>
        <w:t>قتصادي.</w:t>
      </w:r>
    </w:p>
    <w:p w:rsidR="004C6CA6" w:rsidRPr="004C6CA6" w:rsidRDefault="004C6CA6" w:rsidP="004C6CA6">
      <w:pPr>
        <w:pStyle w:val="SingleTxt"/>
        <w:rPr>
          <w:rtl/>
        </w:rPr>
      </w:pPr>
      <w:r w:rsidRPr="004C6CA6">
        <w:rPr>
          <w:rtl/>
        </w:rPr>
        <w:tab/>
        <w:t xml:space="preserve">تمّ إعداد </w:t>
      </w:r>
      <w:r w:rsidRPr="004C6CA6">
        <w:rPr>
          <w:rFonts w:hint="cs"/>
          <w:rtl/>
        </w:rPr>
        <w:t>الاستراتيجية</w:t>
      </w:r>
      <w:r w:rsidRPr="004C6CA6">
        <w:rPr>
          <w:rtl/>
        </w:rPr>
        <w:t xml:space="preserve"> الوطنية للتنمية </w:t>
      </w:r>
      <w:r w:rsidRPr="004C6CA6">
        <w:rPr>
          <w:rFonts w:hint="cs"/>
          <w:rtl/>
        </w:rPr>
        <w:t>الاجتماعي</w:t>
      </w:r>
      <w:r w:rsidRPr="004C6CA6">
        <w:rPr>
          <w:rtl/>
        </w:rPr>
        <w:t xml:space="preserve">ة من قبل اللّجنة الوزاريّة للشّؤون الاجتماعية التّي تأسّست في كانون الثاني 2007، والتّي تضمّ ممثلين عن الوزارات والمؤسّسات المعنيّة بالشّأن الاجتماعي ويرأسها رئيس مجلس الوزراء. </w:t>
      </w:r>
    </w:p>
    <w:p w:rsidR="004C6CA6" w:rsidRPr="004C6CA6" w:rsidRDefault="004C6CA6" w:rsidP="004C6CA6">
      <w:pPr>
        <w:pStyle w:val="SingleTxt"/>
        <w:rPr>
          <w:rtl/>
        </w:rPr>
      </w:pPr>
      <w:r w:rsidRPr="004C6CA6">
        <w:rPr>
          <w:rtl/>
        </w:rPr>
        <w:tab/>
        <w:t>تحدّد للاستراتيجية خمسة أهداف عامّة مرجوّة هي: توفير رعاية صحيّة أفضل، تدعيم آليّات الحماية الاجتماعية، تحسين نوعيّة التّعليم، توفير الفرص الوظيفيّة المتكافئة والآمنة، إنعاش المجتم</w:t>
      </w:r>
      <w:r w:rsidRPr="004C6CA6">
        <w:rPr>
          <w:rFonts w:hint="cs"/>
          <w:rtl/>
        </w:rPr>
        <w:t>ع</w:t>
      </w:r>
      <w:r w:rsidRPr="004C6CA6">
        <w:rPr>
          <w:rtl/>
        </w:rPr>
        <w:t xml:space="preserve">ات وتنمية رأس المال الاجتماعي، وذلك بهدف تمهيد الطّريق أمام تحقيق التّنمية المتكاملة وتحسين نوعيّة العيش عبر توفير الخدمات الاجتماعية بشكلٍ أفضل وبالتّساوي وإفساح المزيد من الفرص الاجتماعية - </w:t>
      </w:r>
      <w:r w:rsidRPr="004C6CA6">
        <w:rPr>
          <w:rFonts w:hint="cs"/>
          <w:rtl/>
        </w:rPr>
        <w:t>الاقتصادية</w:t>
      </w:r>
      <w:r w:rsidRPr="004C6CA6">
        <w:rPr>
          <w:rtl/>
        </w:rPr>
        <w:t>.</w:t>
      </w:r>
    </w:p>
    <w:p w:rsidR="004C6CA6" w:rsidRPr="004C6CA6" w:rsidRDefault="004C6CA6" w:rsidP="004C6CA6">
      <w:pPr>
        <w:pStyle w:val="SingleTxt"/>
        <w:rPr>
          <w:rtl/>
        </w:rPr>
      </w:pPr>
      <w:r w:rsidRPr="004C6CA6">
        <w:rPr>
          <w:rtl/>
        </w:rPr>
        <w:tab/>
        <w:t>ومن بين محاور التّدخلّ الأوّليّة التّي تتضمنّها الاستراتيجية، تحسين نوعيّة التّعليم، إرساء تعليم أساسي إلزامي ومجاني للفئة العمريّة ما بين 6 و15 عاماً، وضع آليّة تعاون داخل الحكومة تضمن التّعليم وتوفّر الظّروف الاجتماعية اللاّزمة لنفاذ الجميع إلى التّعليم المجّاني خلال المرحلة المتوسّطة، توفير الفرص الوظيفيّة المتكافئة والآمنة، إنعاش المجتمعات وتنمية رأس المال الاجتماعي، تعزيز الشعور بالهويّة الوطنيّة بين المواطنين بدون تمييز من خلال توفير حماية المواطنين بلا أيّ تمييز من قبل الدّولة فيما يخصّ واجباتهم وحقوقهم المدنية، ما من شأنه أن يعزّز المواطنيّة على حساب المذهبية، تمكين الطبقتين الدنيا والمتوسّطة والعائلات ذات الدّخل المنخفض من التّملّك، رسم سياسة إسكانيّة وطنيّة تهدف إلى زيادة فرص امتلاك المنازل للطّبقة المتوسّطة والعائلات ذات الدّخل المنخفض.</w:t>
      </w:r>
    </w:p>
    <w:p w:rsidR="004C6CA6" w:rsidRPr="004C6CA6" w:rsidRDefault="004C6CA6" w:rsidP="004C6CA6">
      <w:pPr>
        <w:pStyle w:val="SingleTxt"/>
      </w:pPr>
      <w:r w:rsidRPr="004C6CA6">
        <w:rPr>
          <w:rFonts w:hint="cs"/>
          <w:rtl/>
        </w:rPr>
        <w:t>30-</w:t>
      </w:r>
      <w:r w:rsidRPr="004C6CA6">
        <w:tab/>
      </w:r>
      <w:r w:rsidRPr="004C6CA6">
        <w:rPr>
          <w:rtl/>
        </w:rPr>
        <w:t>إلى جانب الاستراتيجية الوطنيّة للتّنمية الاجتماعية، أطلقت وزارة الشّؤون الاجتماعية عدداً من المشاريع الأخرى، في إطار العمل على تحقيق الدّمج الاجتماعي لجميع الفئات، ومن ذلك:</w:t>
      </w:r>
    </w:p>
    <w:p w:rsidR="004C6CA6" w:rsidRPr="004C6CA6" w:rsidRDefault="001F30B2" w:rsidP="006E5715">
      <w:pPr>
        <w:pStyle w:val="SingleTxt"/>
        <w:ind w:left="1930" w:hanging="398"/>
        <w:rPr>
          <w:rtl/>
        </w:rPr>
      </w:pPr>
      <w:r>
        <w:rPr>
          <w:rFonts w:hint="cs"/>
          <w:rtl/>
        </w:rPr>
        <w:t>•</w:t>
      </w:r>
      <w:r w:rsidRPr="004C6CA6">
        <w:rPr>
          <w:rtl/>
        </w:rPr>
        <w:tab/>
      </w:r>
      <w:r w:rsidR="004C6CA6" w:rsidRPr="004C6CA6">
        <w:rPr>
          <w:rtl/>
        </w:rPr>
        <w:t xml:space="preserve">"مشروع الاستجابة للحالة السّوريّة" المرتبط بالأوضاع </w:t>
      </w:r>
      <w:r w:rsidR="004C6CA6" w:rsidRPr="004C6CA6">
        <w:rPr>
          <w:rFonts w:hint="cs"/>
          <w:rtl/>
        </w:rPr>
        <w:t>الاجتماعية</w:t>
      </w:r>
      <w:r w:rsidR="004C6CA6" w:rsidRPr="004C6CA6">
        <w:rPr>
          <w:rtl/>
        </w:rPr>
        <w:t xml:space="preserve"> للاّجئين السّوريّين</w:t>
      </w:r>
      <w:r w:rsidR="004C6CA6" w:rsidRPr="004C6CA6">
        <w:rPr>
          <w:rFonts w:hint="cs"/>
          <w:rtl/>
        </w:rPr>
        <w:t>؛</w:t>
      </w:r>
    </w:p>
    <w:p w:rsidR="004C6CA6" w:rsidRPr="004C6CA6" w:rsidRDefault="001F30B2" w:rsidP="006E5715">
      <w:pPr>
        <w:pStyle w:val="SingleTxt"/>
        <w:ind w:left="1930" w:hanging="398"/>
        <w:rPr>
          <w:rtl/>
        </w:rPr>
      </w:pPr>
      <w:r>
        <w:rPr>
          <w:rFonts w:hint="cs"/>
          <w:rtl/>
        </w:rPr>
        <w:t>•</w:t>
      </w:r>
      <w:r w:rsidRPr="004C6CA6">
        <w:rPr>
          <w:rtl/>
        </w:rPr>
        <w:tab/>
      </w:r>
      <w:r w:rsidR="004C6CA6" w:rsidRPr="004C6CA6">
        <w:rPr>
          <w:rtl/>
        </w:rPr>
        <w:t xml:space="preserve">"برنامج السّكن والتّنمية" الذّي هو مشروع مشترك بين صندوق الأمم المتّحدة للسكّان والوزارة، ويهدف إلى تطوير القدرات في مجال استخدام المعلومات المتوافرة لإدماج الدّيناميّات السكّانية والصحّة الإنجابيّة وقضايا المساواة بين الجنسين في عمليّة التّخطيط التّنموي وعمليّة المتابعة والمراقبة على المستويات الوطني، والقطاعي، والمحلّي من خلال </w:t>
      </w:r>
      <w:r w:rsidR="004C6CA6" w:rsidRPr="004C6CA6">
        <w:rPr>
          <w:rtl/>
        </w:rPr>
        <w:lastRenderedPageBreak/>
        <w:t xml:space="preserve">أنشطة تحدد سنوياً تشمل على سبيل المثال دمج القضايا التّي تعنى بها في خطط التّنمية الوطنيّة ودعم الحوار بشأنها، وقد تمّ في هذا الإطار تنظيم دورات تدريب حول مفهوم الجودة والعناية بكبار السنّ، وورش عمل تتعلّق بدعم المرأة في مواجهة الأزمة </w:t>
      </w:r>
      <w:r w:rsidR="004C6CA6" w:rsidRPr="004C6CA6">
        <w:rPr>
          <w:rFonts w:hint="cs"/>
          <w:rtl/>
        </w:rPr>
        <w:t>الاقتصادية</w:t>
      </w:r>
      <w:r w:rsidR="004C6CA6" w:rsidRPr="004C6CA6">
        <w:rPr>
          <w:rtl/>
        </w:rPr>
        <w:t xml:space="preserve"> في لبنان، بالإضافة إلى غير ذلك من النّشاطات؛</w:t>
      </w:r>
    </w:p>
    <w:p w:rsidR="004C6CA6" w:rsidRPr="004C6CA6" w:rsidRDefault="001F30B2" w:rsidP="006E5715">
      <w:pPr>
        <w:pStyle w:val="SingleTxt"/>
        <w:ind w:left="1930" w:hanging="398"/>
      </w:pPr>
      <w:r>
        <w:rPr>
          <w:rFonts w:hint="cs"/>
          <w:rtl/>
        </w:rPr>
        <w:t>•</w:t>
      </w:r>
      <w:r w:rsidRPr="004C6CA6">
        <w:rPr>
          <w:rtl/>
        </w:rPr>
        <w:tab/>
      </w:r>
      <w:r w:rsidR="004C6CA6" w:rsidRPr="004C6CA6">
        <w:rPr>
          <w:rtl/>
        </w:rPr>
        <w:t>مشروع "تعزيز مشاركة المرأة في الحوكمة والتّنمية المحليّة"، الذّي يتمّ بدعم تقني ومالي من السّفارة الإيطاليّة في لبنان، ويقع في إطار المساهمة في تعزيز قدرة وزارة الشّؤون الاجتماعية على تقليص التّهميش الاجتماعي للمجموعات الأكثر هشاشة في المجتمع اللّبناني من خلال تحقيق المساواة في النّوع الاجتماعي ويهدف إلى تقوية قدرة المرأة اللبنانية على المشاركة بفعاليّة ونشاط في الحكم المحلّي على المستويين التّمثيلي وأخذ القرار. ويسعى المشروع إلى تحقيق هذا الهدف عبر دمج وإدراج وجهة نظر المساواة في النّوع الاجتماعي ضمن استراتيجية وزارة الشّؤون الاجتماعية وسياساتها وخططها، ممّا يضمن التّنفيذ الواضح والمتجانس والفعّال محليّاً من خلال شبكتها الوطنية من المراكز الاجتماعية، وإنّ من بين النّتائج التّي يسعى إلى تحقيقها هذا المشروع، تقليص الهوّة ما بين الجمعيّات النّسائيّة في بيروت والمناطق الرّيفيّة.</w:t>
      </w:r>
    </w:p>
    <w:p w:rsidR="004C6CA6" w:rsidRPr="004C6CA6" w:rsidRDefault="004C6CA6" w:rsidP="004C6CA6">
      <w:pPr>
        <w:pStyle w:val="SingleTxt"/>
        <w:rPr>
          <w:rtl/>
        </w:rPr>
      </w:pPr>
      <w:r w:rsidRPr="004C6CA6">
        <w:rPr>
          <w:rtl/>
        </w:rPr>
        <w:tab/>
        <w:t>هذا ويساهم وجود "دائرة شؤون المرأة" في وزارة الشّؤون الاجتماعية، في التّعاون المباشر مع الهيئات النّسائيّة من جهة، واعتماد أنشطة وبرامج موجّهة نحو التّوعية ودعم المرأة في مختلف الميادين من جهة أخرى.</w:t>
      </w:r>
    </w:p>
    <w:p w:rsidR="001F30B2" w:rsidRPr="001F30B2" w:rsidRDefault="001F30B2" w:rsidP="001F30B2">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bookmarkStart w:id="15" w:name="_Toc417893377"/>
    </w:p>
    <w:p w:rsidR="001F30B2" w:rsidRPr="001F30B2" w:rsidRDefault="001F30B2" w:rsidP="001F30B2">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4C6CA6" w:rsidRPr="004C6CA6" w:rsidRDefault="004C6CA6" w:rsidP="001F30B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4C6CA6">
        <w:rPr>
          <w:rtl/>
        </w:rPr>
        <w:tab/>
      </w:r>
      <w:r w:rsidRPr="004C6CA6">
        <w:rPr>
          <w:rtl/>
        </w:rPr>
        <w:tab/>
        <w:t>المادّة 4</w:t>
      </w:r>
      <w:bookmarkEnd w:id="15"/>
    </w:p>
    <w:p w:rsidR="001F30B2" w:rsidRPr="001F30B2" w:rsidRDefault="001F30B2" w:rsidP="001F30B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4C6CA6" w:rsidRPr="004C6CA6" w:rsidRDefault="004C6CA6" w:rsidP="001F30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4C6CA6">
        <w:rPr>
          <w:rtl/>
        </w:rPr>
        <w:tab/>
      </w:r>
      <w:r w:rsidRPr="004C6CA6">
        <w:rPr>
          <w:rFonts w:hint="cs"/>
          <w:rtl/>
        </w:rPr>
        <w:t>أولاً</w:t>
      </w:r>
      <w:r w:rsidRPr="004C6CA6">
        <w:rPr>
          <w:rtl/>
        </w:rPr>
        <w:t>-</w:t>
      </w:r>
      <w:r w:rsidRPr="004C6CA6">
        <w:rPr>
          <w:rtl/>
        </w:rPr>
        <w:tab/>
        <w:t>المعاقبة على أعمال التّمييز العنصري والتّحريض عليه في النّصوص القانونيّة</w:t>
      </w:r>
    </w:p>
    <w:p w:rsidR="004C6CA6" w:rsidRPr="004C6CA6" w:rsidRDefault="004C6CA6" w:rsidP="004C6CA6">
      <w:pPr>
        <w:pStyle w:val="SingleTxt"/>
        <w:rPr>
          <w:rtl/>
        </w:rPr>
      </w:pPr>
      <w:r w:rsidRPr="004C6CA6">
        <w:rPr>
          <w:rtl/>
        </w:rPr>
        <w:t>31-</w:t>
      </w:r>
      <w:r w:rsidRPr="004C6CA6">
        <w:rPr>
          <w:rtl/>
        </w:rPr>
        <w:tab/>
        <w:t xml:space="preserve">إنّ حريّة الرأي والتّعبير مكرّسة في الفقرة "ج" من مقدّمة الدّستور اللّبناني باعتبارها من ضمانات الدّيمقراطيّة، هذا وتكفل المادّة (9) من الدّستور حريّة </w:t>
      </w:r>
      <w:r w:rsidRPr="004C6CA6">
        <w:rPr>
          <w:rFonts w:hint="cs"/>
          <w:rtl/>
        </w:rPr>
        <w:t>الا</w:t>
      </w:r>
      <w:r w:rsidRPr="004C6CA6">
        <w:rPr>
          <w:rtl/>
        </w:rPr>
        <w:t>عتقاد وممارسة الشّعائر الدّينيّة ضمن إطار النّظام العامّ</w:t>
      </w:r>
      <w:r w:rsidRPr="004C6CA6">
        <w:rPr>
          <w:vertAlign w:val="superscript"/>
          <w:rtl/>
        </w:rPr>
        <w:t>(</w:t>
      </w:r>
      <w:r w:rsidRPr="004C6CA6">
        <w:rPr>
          <w:vertAlign w:val="superscript"/>
          <w:rtl/>
        </w:rPr>
        <w:footnoteReference w:id="9"/>
      </w:r>
      <w:r w:rsidRPr="004C6CA6">
        <w:rPr>
          <w:vertAlign w:val="superscript"/>
          <w:rtl/>
        </w:rPr>
        <w:t>)</w:t>
      </w:r>
      <w:r w:rsidRPr="004C6CA6">
        <w:rPr>
          <w:rtl/>
        </w:rPr>
        <w:t xml:space="preserve">، وتؤكّد على حماية حريّة الرّأي المادّة (13) من الدّستور حيث جاء أنّ حريّة إبداء الرّأي قولاً وكتابةّ وحريّة الطّباعة وحريّة </w:t>
      </w:r>
      <w:r w:rsidRPr="004C6CA6">
        <w:rPr>
          <w:rFonts w:hint="cs"/>
          <w:rtl/>
        </w:rPr>
        <w:t>الا</w:t>
      </w:r>
      <w:r w:rsidRPr="004C6CA6">
        <w:rPr>
          <w:rtl/>
        </w:rPr>
        <w:t>جتماع وحريّة تأليف الجمعيّات كلّها مكفولة ضمن دائرة القانون.</w:t>
      </w:r>
    </w:p>
    <w:p w:rsidR="004C6CA6" w:rsidRPr="004C6CA6" w:rsidRDefault="004C6CA6" w:rsidP="004C6CA6">
      <w:pPr>
        <w:pStyle w:val="SingleTxt"/>
        <w:rPr>
          <w:rtl/>
        </w:rPr>
      </w:pPr>
      <w:r w:rsidRPr="004C6CA6">
        <w:rPr>
          <w:rtl/>
        </w:rPr>
        <w:tab/>
        <w:t xml:space="preserve">ذلك فضلاً عن التزام لبنان بمواد الإعلان العالمي لحقوق الإنسان وفق ما هو وارد في مقدّمة الدّستور، لا سيّما المادّة (19) من هذا الإعلان التّي تنصّ على أنّ لكلّ شخص الحقّ في حريّة الرّأي والتّعبير، ويشمل هذا الحق حرية اعتناق الآراء دون أي تدخل، واستقاء الأنباء والأفكار وتلقّيها وإذاعتها بأيّ وسيلة كانت دون تقيّد بالحدود الجغرافيّة، والمادّة (20) منه التّي </w:t>
      </w:r>
      <w:r w:rsidRPr="004C6CA6">
        <w:rPr>
          <w:rtl/>
        </w:rPr>
        <w:lastRenderedPageBreak/>
        <w:t xml:space="preserve">أقرّت لكلّ شخص الحقّ في حريّة </w:t>
      </w:r>
      <w:r w:rsidRPr="004C6CA6">
        <w:rPr>
          <w:rFonts w:hint="cs"/>
          <w:rtl/>
        </w:rPr>
        <w:t>الا</w:t>
      </w:r>
      <w:r w:rsidRPr="004C6CA6">
        <w:rPr>
          <w:rtl/>
        </w:rPr>
        <w:t xml:space="preserve">شتراك في الجمعيّات والجماعات السّلميّة وبعدم جواز إرغام أحد على </w:t>
      </w:r>
      <w:r w:rsidRPr="004C6CA6">
        <w:rPr>
          <w:rFonts w:hint="cs"/>
          <w:rtl/>
        </w:rPr>
        <w:t>الا</w:t>
      </w:r>
      <w:r w:rsidRPr="004C6CA6">
        <w:rPr>
          <w:rtl/>
        </w:rPr>
        <w:t>نضمام إلى جمعيّة ما.</w:t>
      </w:r>
    </w:p>
    <w:p w:rsidR="004C6CA6" w:rsidRPr="004C6CA6" w:rsidRDefault="004C6CA6" w:rsidP="004C6CA6">
      <w:pPr>
        <w:pStyle w:val="SingleTxt"/>
        <w:rPr>
          <w:rtl/>
        </w:rPr>
      </w:pPr>
      <w:r w:rsidRPr="004C6CA6">
        <w:rPr>
          <w:rtl/>
        </w:rPr>
        <w:t>32-</w:t>
      </w:r>
      <w:r w:rsidRPr="004C6CA6">
        <w:rPr>
          <w:rtl/>
        </w:rPr>
        <w:tab/>
      </w:r>
      <w:r w:rsidRPr="004C6CA6">
        <w:rPr>
          <w:rFonts w:hint="cs"/>
          <w:rtl/>
        </w:rPr>
        <w:t>وبالنّسبة</w:t>
      </w:r>
      <w:r w:rsidRPr="004C6CA6">
        <w:rPr>
          <w:rtl/>
        </w:rPr>
        <w:t xml:space="preserve"> إلى القيود المنظّمة لممارسة هاتين الحريّتين، فتأتي في إطار النّصوص الجزائيّة، حيث تعاقب المادّة (317) من قانون العقوبات على كلّ عمل وكلّ كتابة وكلّ خطاب يقصد منها أو ينتج عنها إثارة النّعرات المذهبيّة أو العنصريّة أو الحضّ على النّزاع بين الطّوائف ومختلف عناصر الأمّة، كما تعاقب المادّة (318) من هذا القانون كلّ شخص ينتمي إلى جمعي</w:t>
      </w:r>
      <w:r w:rsidRPr="004C6CA6">
        <w:rPr>
          <w:rFonts w:hint="cs"/>
          <w:rtl/>
        </w:rPr>
        <w:t>ّ</w:t>
      </w:r>
      <w:r w:rsidRPr="004C6CA6">
        <w:rPr>
          <w:rtl/>
        </w:rPr>
        <w:t>ة أنشئت للغاية المشار إليها في المادّة السابقة. كما وتعتبر المادّة (295) من هذا القانون جنايةً، القيام في لبنان في زمن الحرب أو عند توق</w:t>
      </w:r>
      <w:r w:rsidRPr="004C6CA6">
        <w:rPr>
          <w:rFonts w:hint="cs"/>
          <w:rtl/>
        </w:rPr>
        <w:t>ّ</w:t>
      </w:r>
      <w:r w:rsidRPr="004C6CA6">
        <w:rPr>
          <w:rtl/>
        </w:rPr>
        <w:t xml:space="preserve">ع نشوبها بدعاية ترمي إلى </w:t>
      </w:r>
      <w:r w:rsidRPr="004C6CA6">
        <w:rPr>
          <w:rFonts w:hint="cs"/>
          <w:rtl/>
        </w:rPr>
        <w:t>إ</w:t>
      </w:r>
      <w:r w:rsidRPr="004C6CA6">
        <w:rPr>
          <w:rtl/>
        </w:rPr>
        <w:t>ضعاف الش</w:t>
      </w:r>
      <w:r w:rsidRPr="004C6CA6">
        <w:rPr>
          <w:rFonts w:hint="cs"/>
          <w:rtl/>
        </w:rPr>
        <w:t>ّ</w:t>
      </w:r>
      <w:r w:rsidRPr="004C6CA6">
        <w:rPr>
          <w:rtl/>
        </w:rPr>
        <w:t>عور القومي أو إيقاظ الن</w:t>
      </w:r>
      <w:r w:rsidRPr="004C6CA6">
        <w:rPr>
          <w:rFonts w:hint="cs"/>
          <w:rtl/>
        </w:rPr>
        <w:t>ّ</w:t>
      </w:r>
      <w:r w:rsidRPr="004C6CA6">
        <w:rPr>
          <w:rtl/>
        </w:rPr>
        <w:t>عرات العنصري</w:t>
      </w:r>
      <w:r w:rsidRPr="004C6CA6">
        <w:rPr>
          <w:rFonts w:hint="cs"/>
          <w:rtl/>
        </w:rPr>
        <w:t>ّ</w:t>
      </w:r>
      <w:r w:rsidRPr="004C6CA6">
        <w:rPr>
          <w:rtl/>
        </w:rPr>
        <w:t>ة أو المذهبي</w:t>
      </w:r>
      <w:r w:rsidRPr="004C6CA6">
        <w:rPr>
          <w:rFonts w:hint="cs"/>
          <w:rtl/>
        </w:rPr>
        <w:t>ّ</w:t>
      </w:r>
      <w:r w:rsidRPr="004C6CA6">
        <w:rPr>
          <w:rtl/>
        </w:rPr>
        <w:t>ة.</w:t>
      </w:r>
    </w:p>
    <w:p w:rsidR="004C6CA6" w:rsidRPr="004C6CA6" w:rsidRDefault="004C6CA6" w:rsidP="004C6CA6">
      <w:pPr>
        <w:pStyle w:val="SingleTxt"/>
      </w:pPr>
      <w:r w:rsidRPr="004C6CA6">
        <w:rPr>
          <w:rFonts w:hint="cs"/>
          <w:rtl/>
        </w:rPr>
        <w:t>33-</w:t>
      </w:r>
      <w:r w:rsidRPr="004C6CA6">
        <w:tab/>
      </w:r>
      <w:r w:rsidRPr="004C6CA6">
        <w:rPr>
          <w:rtl/>
        </w:rPr>
        <w:t xml:space="preserve">هذا وينصّ قانون البثّ التّلفزيوني والإذاعي رقم (382) الصّادر بتاريخ 4 تشرين الثّاني/ </w:t>
      </w:r>
      <w:r w:rsidRPr="004C6CA6">
        <w:rPr>
          <w:rFonts w:hint="cs"/>
          <w:rtl/>
        </w:rPr>
        <w:t>نوفمبر</w:t>
      </w:r>
      <w:r w:rsidRPr="004C6CA6">
        <w:rPr>
          <w:rtl/>
        </w:rPr>
        <w:t xml:space="preserve"> 1994 في المادة 3 منه على أنّ الإعلام المرئي والمسموع حرّ؛ وتمارس حريّة الإعلام في إطار أحكام الدّستور والقوانين النّافذة، بما في ذلك الأحكام المتعلّقة بالمساواة ومبدأ عدم التّمييز، بحيث يكون نشر أفكار الكراهيّة والتّعصّب وغير ذلك من الأعمال المؤدّية إلى التّمييز العنصري والفوقيّة بحسب اللّون أو العرق معاقباً عليه بمقتضى أحكام هذه المادّة.</w:t>
      </w:r>
    </w:p>
    <w:p w:rsidR="004C6CA6" w:rsidRPr="004C6CA6" w:rsidRDefault="004C6CA6" w:rsidP="004C6CA6">
      <w:pPr>
        <w:pStyle w:val="SingleTxt"/>
      </w:pPr>
      <w:r w:rsidRPr="004C6CA6">
        <w:rPr>
          <w:rFonts w:hint="cs"/>
          <w:rtl/>
        </w:rPr>
        <w:t>34-</w:t>
      </w:r>
      <w:r w:rsidRPr="004C6CA6">
        <w:tab/>
      </w:r>
      <w:r w:rsidRPr="004C6CA6">
        <w:rPr>
          <w:rtl/>
        </w:rPr>
        <w:t xml:space="preserve">وعلى صعيد المطبوعات، فإنّ المادّة (24) من المرسوم </w:t>
      </w:r>
      <w:r w:rsidRPr="004C6CA6">
        <w:rPr>
          <w:rFonts w:hint="cs"/>
          <w:rtl/>
        </w:rPr>
        <w:t>الا</w:t>
      </w:r>
      <w:r w:rsidRPr="004C6CA6">
        <w:rPr>
          <w:rtl/>
        </w:rPr>
        <w:t xml:space="preserve">شتراعي رقم (104) الصّادر بتاريخ 30 </w:t>
      </w:r>
      <w:r w:rsidRPr="004C6CA6">
        <w:rPr>
          <w:rFonts w:hint="cs"/>
          <w:rtl/>
        </w:rPr>
        <w:t>حزيران</w:t>
      </w:r>
      <w:r w:rsidRPr="004C6CA6">
        <w:rPr>
          <w:rtl/>
        </w:rPr>
        <w:t>/يونيه 1977 الذي عدّل بعض أحكام قانون المطبوعات السّابق، تعاقب كلّ من حرّض على ارتكاب جرم بالنشر والإعلان في المطبوعة الصحفية وغيرها وفقاً لأحكام المادة</w:t>
      </w:r>
      <w:r w:rsidRPr="004C6CA6">
        <w:rPr>
          <w:rFonts w:hint="eastAsia"/>
          <w:rtl/>
        </w:rPr>
        <w:t> </w:t>
      </w:r>
      <w:r w:rsidRPr="004C6CA6">
        <w:rPr>
          <w:rtl/>
        </w:rPr>
        <w:t xml:space="preserve">(218) من قانون العقوبات، كما وتعتبر تحريضاً كلّ كتابة يقصد منها الدعوة إلى الإجرام أو التّشويق إليه، كما تعاقب المادّة (25) من هذا القانون، المعدّلة بموجب القانون رقم (330) تاريخ 18 أيّار/مايو 1994، نشر المطبوعات التّي تتضمّن تحقيراً لإحدى الدّيانات المعترف بها في البلاد أو ما كان من شأنه إثارة النّعرات الطائفيّة أو العنصريّة أو تعكير السّلام العام أو تعريض سلامة الدولة أو سيادتها أو وحدتها أو حدودها أو علاقات لبنان الخارجيّة للمخاطر، وتسمح للنّائب العام </w:t>
      </w:r>
      <w:r w:rsidRPr="004C6CA6">
        <w:rPr>
          <w:rFonts w:hint="cs"/>
          <w:rtl/>
        </w:rPr>
        <w:t>الا</w:t>
      </w:r>
      <w:r w:rsidRPr="004C6CA6">
        <w:rPr>
          <w:rtl/>
        </w:rPr>
        <w:t xml:space="preserve">ستئنافي أن يصادر أعدادها وأن يحيلها إلى القضاء المختصّ، مع </w:t>
      </w:r>
      <w:r w:rsidRPr="004C6CA6">
        <w:rPr>
          <w:rFonts w:hint="cs"/>
          <w:rtl/>
        </w:rPr>
        <w:t>إ</w:t>
      </w:r>
      <w:r w:rsidRPr="004C6CA6">
        <w:rPr>
          <w:rtl/>
        </w:rPr>
        <w:t>مكانية تعطيل المطبوعة لمدة ستة أشهر على الأقل، كما تنصّ على مضاعفة العقوبة بالنّسبة إلى المكرّرين.</w:t>
      </w:r>
    </w:p>
    <w:p w:rsidR="004C6CA6" w:rsidRPr="004C6CA6" w:rsidRDefault="004C6CA6" w:rsidP="004C6CA6">
      <w:pPr>
        <w:pStyle w:val="SingleTxt"/>
      </w:pPr>
      <w:r w:rsidRPr="004C6CA6">
        <w:rPr>
          <w:rFonts w:hint="cs"/>
          <w:rtl/>
        </w:rPr>
        <w:t>35-</w:t>
      </w:r>
      <w:r w:rsidRPr="004C6CA6">
        <w:tab/>
      </w:r>
      <w:r w:rsidRPr="004C6CA6">
        <w:rPr>
          <w:rtl/>
        </w:rPr>
        <w:t xml:space="preserve">وعلى الرّغم من هذا الإطار القانوني في مجال مكافحة التّمييز العنصري، فقد برزت في لبنان مؤخراً تصرّفات غير مشروعة لبعض البلديّات في هذا المجال. فبالنّظر إلى </w:t>
      </w:r>
      <w:r w:rsidRPr="004C6CA6">
        <w:rPr>
          <w:rFonts w:hint="cs"/>
          <w:rtl/>
        </w:rPr>
        <w:t>الا</w:t>
      </w:r>
      <w:r w:rsidRPr="004C6CA6">
        <w:rPr>
          <w:rtl/>
        </w:rPr>
        <w:t xml:space="preserve">ضطرابات والحوادث الأمنيّة التّي شهدتها بعض المناطق التّي تعرف تجمعّات من الأجانب من عمّال ولاجئين بسبب الظّروف الأمنيّة والسياسيّة التّي تعيشها الدّول المجاورة في المنطقة، نتيجةً لتصرّفات البعض منهم حيث حصلت عدّة حوادث تعدٍّ على المواطنين المقيمين في هذه المناطق، عمدت بعض البلدياّت التّي شهدت في إطارها مثل هذه الحوادث الأمنيّة إلى اتّخاذ بعض الإجراءات التّي تهدف إلى الحدّ من هذه التّصرّفات عن طريق حظر تجوّل الأجانب في نطاقها في أوقات محدّدة. </w:t>
      </w:r>
    </w:p>
    <w:p w:rsidR="004C6CA6" w:rsidRPr="004C6CA6" w:rsidRDefault="004C6CA6" w:rsidP="004C6CA6">
      <w:pPr>
        <w:pStyle w:val="SingleTxt"/>
        <w:rPr>
          <w:rtl/>
        </w:rPr>
      </w:pPr>
      <w:r w:rsidRPr="004C6CA6">
        <w:rPr>
          <w:rtl/>
        </w:rPr>
        <w:lastRenderedPageBreak/>
        <w:tab/>
        <w:t xml:space="preserve">وقد برّرت هذه البلديات قرارها بتفلّت الأمن وتزايد الأفعال الجرميّة المرتكبة بالنّظر إلى تكاثر وجود الأجانب وفي ظل هواجس متزايدة لدى المواطنين اللّبنانيين إزاء المخاطر الناجمة عن تدفّق عدد كبير من اللاجئين </w:t>
      </w:r>
      <w:r w:rsidRPr="004C6CA6">
        <w:rPr>
          <w:rFonts w:hint="cs"/>
          <w:rtl/>
        </w:rPr>
        <w:t>إ</w:t>
      </w:r>
      <w:r w:rsidRPr="004C6CA6">
        <w:rPr>
          <w:rtl/>
        </w:rPr>
        <w:t xml:space="preserve">لى لبنان، ذلك في حين أنّ المادّة (74) من قانون البلديّات تنصّ على أنّه لا يحقّ لرئيس البلديّة أن يتعرّض للصّلاحيّات التّي تمنحها القوانين والأنظمة لدوائر الأمن في الدّولة كمنع التجول، الذّي يعود للسّلطة العسكريّة العليا أن تفرضه في حالات </w:t>
      </w:r>
      <w:r w:rsidRPr="004C6CA6">
        <w:rPr>
          <w:rFonts w:hint="cs"/>
          <w:rtl/>
        </w:rPr>
        <w:t>ا</w:t>
      </w:r>
      <w:r w:rsidRPr="004C6CA6">
        <w:rPr>
          <w:rtl/>
        </w:rPr>
        <w:t>ستثنائيّة إعلان حالة الطوارئ أو المنطقة العسكرية.</w:t>
      </w:r>
    </w:p>
    <w:p w:rsidR="001F30B2" w:rsidRPr="001F30B2" w:rsidRDefault="001F30B2" w:rsidP="001F30B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4C6CA6" w:rsidRPr="004C6CA6" w:rsidRDefault="004C6CA6" w:rsidP="001F30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sidRPr="004C6CA6">
        <w:rPr>
          <w:rtl/>
        </w:rPr>
        <w:tab/>
      </w:r>
      <w:r w:rsidRPr="004C6CA6">
        <w:rPr>
          <w:rFonts w:hint="cs"/>
          <w:rtl/>
        </w:rPr>
        <w:t>ثانياً</w:t>
      </w:r>
      <w:r w:rsidRPr="004C6CA6">
        <w:rPr>
          <w:rtl/>
        </w:rPr>
        <w:t>-</w:t>
      </w:r>
      <w:r w:rsidRPr="004C6CA6">
        <w:rPr>
          <w:rtl/>
        </w:rPr>
        <w:tab/>
        <w:t>حظر الن</w:t>
      </w:r>
      <w:r w:rsidRPr="004C6CA6">
        <w:rPr>
          <w:rFonts w:hint="cs"/>
          <w:rtl/>
        </w:rPr>
        <w:t>ّ</w:t>
      </w:r>
      <w:r w:rsidRPr="004C6CA6">
        <w:rPr>
          <w:rtl/>
        </w:rPr>
        <w:t>شاطات الد</w:t>
      </w:r>
      <w:r w:rsidRPr="004C6CA6">
        <w:rPr>
          <w:rFonts w:hint="cs"/>
          <w:rtl/>
        </w:rPr>
        <w:t>ّ</w:t>
      </w:r>
      <w:r w:rsidRPr="004C6CA6">
        <w:rPr>
          <w:rtl/>
        </w:rPr>
        <w:t>عائية التي تقوم على الفوقي</w:t>
      </w:r>
      <w:r w:rsidRPr="004C6CA6">
        <w:rPr>
          <w:rFonts w:hint="cs"/>
          <w:rtl/>
        </w:rPr>
        <w:t>ّ</w:t>
      </w:r>
      <w:r w:rsidRPr="004C6CA6">
        <w:rPr>
          <w:rtl/>
        </w:rPr>
        <w:t xml:space="preserve">ة والتمييز العنصري </w:t>
      </w:r>
      <w:r w:rsidRPr="004C6CA6">
        <w:rPr>
          <w:rFonts w:hint="cs"/>
          <w:rtl/>
        </w:rPr>
        <w:t>فيما</w:t>
      </w:r>
      <w:r w:rsidRPr="004C6CA6">
        <w:rPr>
          <w:rtl/>
        </w:rPr>
        <w:t xml:space="preserve"> </w:t>
      </w:r>
      <w:r w:rsidRPr="004C6CA6">
        <w:rPr>
          <w:rFonts w:hint="cs"/>
          <w:rtl/>
        </w:rPr>
        <w:t>يتعلّق</w:t>
      </w:r>
      <w:r w:rsidRPr="004C6CA6">
        <w:rPr>
          <w:rtl/>
        </w:rPr>
        <w:t xml:space="preserve"> </w:t>
      </w:r>
      <w:r w:rsidRPr="004C6CA6">
        <w:rPr>
          <w:rFonts w:hint="cs"/>
          <w:rtl/>
        </w:rPr>
        <w:t>باليد</w:t>
      </w:r>
      <w:r w:rsidRPr="004C6CA6">
        <w:rPr>
          <w:rtl/>
        </w:rPr>
        <w:t xml:space="preserve"> </w:t>
      </w:r>
      <w:r w:rsidRPr="004C6CA6">
        <w:rPr>
          <w:rFonts w:hint="cs"/>
          <w:rtl/>
        </w:rPr>
        <w:t>العاملة</w:t>
      </w:r>
      <w:r w:rsidRPr="004C6CA6">
        <w:rPr>
          <w:rtl/>
        </w:rPr>
        <w:t xml:space="preserve"> </w:t>
      </w:r>
      <w:r w:rsidRPr="004C6CA6">
        <w:rPr>
          <w:rFonts w:hint="cs"/>
          <w:rtl/>
        </w:rPr>
        <w:t>الأجنبيّة</w:t>
      </w:r>
    </w:p>
    <w:p w:rsidR="004C6CA6" w:rsidRPr="004C6CA6" w:rsidRDefault="004C6CA6" w:rsidP="004C6CA6">
      <w:pPr>
        <w:pStyle w:val="SingleTxt"/>
      </w:pPr>
      <w:r w:rsidRPr="004C6CA6">
        <w:rPr>
          <w:rFonts w:hint="cs"/>
          <w:rtl/>
        </w:rPr>
        <w:t>36-</w:t>
      </w:r>
      <w:r w:rsidRPr="004C6CA6">
        <w:tab/>
      </w:r>
      <w:r w:rsidRPr="004C6CA6">
        <w:rPr>
          <w:rtl/>
        </w:rPr>
        <w:t>أصدر وزير العمل في شهر تشرين الثّاني من العام 2014 مذّكرة تحذيريّة تحمل الرّقم</w:t>
      </w:r>
      <w:r w:rsidRPr="004C6CA6">
        <w:rPr>
          <w:rFonts w:hint="eastAsia"/>
          <w:rtl/>
        </w:rPr>
        <w:t> </w:t>
      </w:r>
      <w:r w:rsidRPr="004C6CA6">
        <w:rPr>
          <w:rtl/>
        </w:rPr>
        <w:t>48/1 طلب فيها من جميع مكاتب استقدام العاملات في الخدمة المنزليّة نزع جميع الإعلانات التّي تحطّ من القيم الإنسانيّة تحت طائلة اعتبارها إتّجاراً بالبشر والملاحقة القضائيّة.</w:t>
      </w:r>
    </w:p>
    <w:p w:rsidR="004C6CA6" w:rsidRPr="004C6CA6" w:rsidRDefault="004C6CA6" w:rsidP="004C6CA6">
      <w:pPr>
        <w:pStyle w:val="SingleTxt"/>
        <w:rPr>
          <w:rtl/>
        </w:rPr>
      </w:pPr>
      <w:r w:rsidRPr="004C6CA6">
        <w:rPr>
          <w:rtl/>
        </w:rPr>
        <w:tab/>
        <w:t xml:space="preserve">وقد اعتبر وزير العمل في هذه المذكّرة أنّ الوزارة تعتبر الإعلانات من هذا النّوع من قبيل الإتّجار بالبشر وتتّخذ لنفسها صفة الادّعاء </w:t>
      </w:r>
      <w:r w:rsidRPr="004C6CA6">
        <w:rPr>
          <w:rFonts w:hint="cs"/>
          <w:rtl/>
        </w:rPr>
        <w:t>ضدّ</w:t>
      </w:r>
      <w:r w:rsidRPr="004C6CA6">
        <w:rPr>
          <w:rtl/>
        </w:rPr>
        <w:t xml:space="preserve"> أيّ مكتب يستعمل الإعلان لترويج أعماله؛ وقد جاءت هذه المذكرة بنتيجة الواقع الذي يعيشه المجتمع اللبناني حيث تعمد مكاتب استقدام العاملات في الخدمة المنزلية </w:t>
      </w:r>
      <w:r w:rsidRPr="004C6CA6">
        <w:rPr>
          <w:rFonts w:hint="cs"/>
          <w:rtl/>
        </w:rPr>
        <w:t>إ</w:t>
      </w:r>
      <w:r w:rsidRPr="004C6CA6">
        <w:rPr>
          <w:rtl/>
        </w:rPr>
        <w:t>لى الإعلان عن نشاطها بواسطة الصحف أو لوحات الإعلانات أو</w:t>
      </w:r>
      <w:r w:rsidRPr="004C6CA6">
        <w:rPr>
          <w:rFonts w:hint="eastAsia"/>
          <w:rtl/>
        </w:rPr>
        <w:t> </w:t>
      </w:r>
      <w:r w:rsidRPr="004C6CA6">
        <w:rPr>
          <w:rtl/>
        </w:rPr>
        <w:t xml:space="preserve">بواسطة اللّصق على الجدران وتستعمل بعض العبارات التي تنمّ عن ممارسة تجارية مثل "نؤمّن لكم خادمة ..."، "كلفة إحضارها </w:t>
      </w:r>
      <w:r w:rsidRPr="004C6CA6">
        <w:rPr>
          <w:rFonts w:hint="cs"/>
          <w:rtl/>
        </w:rPr>
        <w:t>إ</w:t>
      </w:r>
      <w:r w:rsidRPr="004C6CA6">
        <w:rPr>
          <w:rtl/>
        </w:rPr>
        <w:t>لى المنزل ..."، "يمكن تقسيط الكلفة ..."؛ وبموجب هذه المذكّرة تشكّل هذه الإعلانات مخالفة لأحكام قرار تنظيم عمل هذه المكاتب وتدلّ على الطّابع التّجاري الذّي يتنافى مع القوانين المحليّة و</w:t>
      </w:r>
      <w:r w:rsidRPr="004C6CA6">
        <w:rPr>
          <w:rFonts w:hint="cs"/>
          <w:rtl/>
        </w:rPr>
        <w:t>ا</w:t>
      </w:r>
      <w:r w:rsidRPr="004C6CA6">
        <w:rPr>
          <w:rtl/>
        </w:rPr>
        <w:t xml:space="preserve">تفاقيّات العمل الدوليّة التّي انضمّ </w:t>
      </w:r>
      <w:r w:rsidRPr="004C6CA6">
        <w:rPr>
          <w:rFonts w:hint="cs"/>
          <w:rtl/>
        </w:rPr>
        <w:t>إ</w:t>
      </w:r>
      <w:r w:rsidRPr="004C6CA6">
        <w:rPr>
          <w:rtl/>
        </w:rPr>
        <w:t>ليها لبنان.</w:t>
      </w:r>
    </w:p>
    <w:p w:rsidR="004C6CA6" w:rsidRPr="004C6CA6" w:rsidRDefault="004C6CA6" w:rsidP="004C6CA6">
      <w:pPr>
        <w:pStyle w:val="SingleTxt"/>
        <w:rPr>
          <w:rtl/>
        </w:rPr>
      </w:pPr>
      <w:r w:rsidRPr="004C6CA6">
        <w:rPr>
          <w:rtl/>
        </w:rPr>
        <w:tab/>
      </w:r>
      <w:r w:rsidRPr="004C6CA6">
        <w:rPr>
          <w:rFonts w:hint="cs"/>
          <w:rtl/>
        </w:rPr>
        <w:t>وفي</w:t>
      </w:r>
      <w:r w:rsidRPr="004C6CA6">
        <w:rPr>
          <w:rtl/>
        </w:rPr>
        <w:t xml:space="preserve"> الإطار عينه، إنّ القرار المتعلّق بتنظيم عمل مكاتب استقدام العاملات الأجنبيّة للعمل في الخدمة المنزليّة يحظّر على أصحاب المكاتب الإعلان، بأيّ وسيلة كانت، عن نشاطهم المهني تحت طائلة إلغاء التّرخيص.</w:t>
      </w:r>
    </w:p>
    <w:p w:rsidR="001F30B2" w:rsidRPr="001F30B2" w:rsidRDefault="001F30B2" w:rsidP="001F30B2">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bookmarkStart w:id="16" w:name="_Toc417893378"/>
    </w:p>
    <w:p w:rsidR="001F30B2" w:rsidRPr="001F30B2" w:rsidRDefault="001F30B2" w:rsidP="001F30B2">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4C6CA6" w:rsidRPr="004C6CA6" w:rsidRDefault="004C6CA6" w:rsidP="001F30B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4C6CA6">
        <w:rPr>
          <w:rtl/>
        </w:rPr>
        <w:tab/>
      </w:r>
      <w:r w:rsidRPr="004C6CA6">
        <w:rPr>
          <w:rtl/>
        </w:rPr>
        <w:tab/>
        <w:t>المادّة 5</w:t>
      </w:r>
      <w:bookmarkEnd w:id="16"/>
    </w:p>
    <w:p w:rsidR="001F30B2" w:rsidRPr="001F30B2" w:rsidRDefault="001F30B2" w:rsidP="001F30B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4C6CA6" w:rsidRPr="004C6CA6" w:rsidRDefault="004C6CA6" w:rsidP="001F30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sidRPr="004C6CA6">
        <w:rPr>
          <w:rtl/>
        </w:rPr>
        <w:tab/>
      </w:r>
      <w:r w:rsidRPr="004C6CA6">
        <w:rPr>
          <w:rFonts w:hint="cs"/>
          <w:rtl/>
        </w:rPr>
        <w:t>أولاً</w:t>
      </w:r>
      <w:r w:rsidRPr="004C6CA6">
        <w:rPr>
          <w:rtl/>
        </w:rPr>
        <w:t>-</w:t>
      </w:r>
      <w:r w:rsidRPr="004C6CA6">
        <w:rPr>
          <w:rtl/>
        </w:rPr>
        <w:tab/>
        <w:t>الحق في معاملة على قدم المساواة أمام المحاكم وجميع الهيئات الأخرى التي تتولى إقامة العدل</w:t>
      </w:r>
    </w:p>
    <w:p w:rsidR="004C6CA6" w:rsidRPr="004C6CA6" w:rsidRDefault="004C6CA6" w:rsidP="001F30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4C6CA6">
        <w:rPr>
          <w:rtl/>
        </w:rPr>
        <w:tab/>
        <w:t>(أ)</w:t>
      </w:r>
      <w:r w:rsidRPr="004C6CA6">
        <w:rPr>
          <w:rtl/>
        </w:rPr>
        <w:tab/>
        <w:t>الضّمانات القانونيّة لحقّ التّقاضي</w:t>
      </w:r>
    </w:p>
    <w:p w:rsidR="004C6CA6" w:rsidRPr="006954D7" w:rsidRDefault="004C6CA6" w:rsidP="004C6CA6">
      <w:pPr>
        <w:pStyle w:val="SingleTxt"/>
        <w:rPr>
          <w:w w:val="100"/>
        </w:rPr>
      </w:pPr>
      <w:r w:rsidRPr="006954D7">
        <w:rPr>
          <w:rFonts w:hint="cs"/>
          <w:w w:val="100"/>
          <w:rtl/>
        </w:rPr>
        <w:t>37-</w:t>
      </w:r>
      <w:r w:rsidRPr="006954D7">
        <w:rPr>
          <w:w w:val="100"/>
        </w:rPr>
        <w:tab/>
      </w:r>
      <w:r w:rsidRPr="006954D7">
        <w:rPr>
          <w:w w:val="100"/>
          <w:rtl/>
        </w:rPr>
        <w:t xml:space="preserve">تضمن القوانين اللّبنانيّة، وعلى وجه التّحديد المادّة (7) من قانون أصول المحاكمات المدنيّة، حقّ التّقاضي للجميع دون التّمييز بين اللّبناني والأجنبي، حيث تنصّ المادّة المذكورة على أنّ يكون حقّ </w:t>
      </w:r>
      <w:r w:rsidRPr="006954D7">
        <w:rPr>
          <w:rFonts w:hint="cs"/>
          <w:w w:val="100"/>
          <w:rtl/>
        </w:rPr>
        <w:t>الا</w:t>
      </w:r>
      <w:r w:rsidRPr="006954D7">
        <w:rPr>
          <w:w w:val="100"/>
          <w:rtl/>
        </w:rPr>
        <w:t xml:space="preserve">دّعاء وحقّ الدّفاع لكلّ شخص طبيعي أو معنوي، لبناني أو أجنبي. وتجدر الإشارة في هذا </w:t>
      </w:r>
      <w:r w:rsidRPr="006954D7">
        <w:rPr>
          <w:w w:val="100"/>
          <w:rtl/>
        </w:rPr>
        <w:lastRenderedPageBreak/>
        <w:t xml:space="preserve">المجال إلى أنّ المشرّع فرض، في قانون أصول المحاكمات الجزائيّة، تقديم كفالة من قبل المدّعي الأجنبي وذلك بهدف الحدّ من التّعسّف في استعمال الحقّ في </w:t>
      </w:r>
      <w:r w:rsidRPr="006954D7">
        <w:rPr>
          <w:rFonts w:hint="cs"/>
          <w:w w:val="100"/>
          <w:rtl/>
        </w:rPr>
        <w:t>الا</w:t>
      </w:r>
      <w:r w:rsidRPr="006954D7">
        <w:rPr>
          <w:w w:val="100"/>
          <w:rtl/>
        </w:rPr>
        <w:t xml:space="preserve">دّعاء في الدّعاوى الجزائيّة، عن طريق </w:t>
      </w:r>
      <w:r w:rsidRPr="006954D7">
        <w:rPr>
          <w:rFonts w:hint="cs"/>
          <w:w w:val="100"/>
          <w:rtl/>
        </w:rPr>
        <w:t>الا</w:t>
      </w:r>
      <w:r w:rsidRPr="006954D7">
        <w:rPr>
          <w:w w:val="100"/>
          <w:rtl/>
        </w:rPr>
        <w:t>دّعاء في حقّ أحد الأشخاص ومغادرة البلاد، غير أنّه حرص على عدم جعل هذا الشّرط عائقاً أمام الأجنبي في استعمال حقّه في التّقاضي، إذ أجاز للقاضي أن يقرّر إعفاء الأجنبي من تقديم الكفالة إذا كان وضعه المالي لا يمكّنه من دفعها</w:t>
      </w:r>
      <w:r w:rsidRPr="006954D7">
        <w:rPr>
          <w:w w:val="100"/>
          <w:vertAlign w:val="superscript"/>
          <w:rtl/>
        </w:rPr>
        <w:t>(</w:t>
      </w:r>
      <w:r w:rsidRPr="006954D7">
        <w:rPr>
          <w:w w:val="100"/>
          <w:vertAlign w:val="superscript"/>
          <w:rtl/>
        </w:rPr>
        <w:footnoteReference w:id="10"/>
      </w:r>
      <w:r w:rsidRPr="006954D7">
        <w:rPr>
          <w:w w:val="100"/>
          <w:vertAlign w:val="superscript"/>
          <w:rtl/>
        </w:rPr>
        <w:t>)</w:t>
      </w:r>
      <w:r w:rsidRPr="006954D7">
        <w:rPr>
          <w:w w:val="100"/>
          <w:rtl/>
        </w:rPr>
        <w:t>. أمّا في غير ذلك، فلا يتضمّن قانون الرّسوم القضائيّة اللّبناني، كما قانون العمل فيما يتعلّق بالدّعاوى المقامة أمام مجالس العمل التّحكيميّة، أيّ أحكام تمييزيّة بين اللّبناني والأجنبي بالنّسبة إلى النّفقات القضائيّة</w:t>
      </w:r>
      <w:r w:rsidRPr="006954D7">
        <w:rPr>
          <w:w w:val="100"/>
          <w:vertAlign w:val="superscript"/>
          <w:rtl/>
        </w:rPr>
        <w:t>(</w:t>
      </w:r>
      <w:r w:rsidRPr="006954D7">
        <w:rPr>
          <w:w w:val="100"/>
          <w:vertAlign w:val="superscript"/>
          <w:rtl/>
        </w:rPr>
        <w:footnoteReference w:id="11"/>
      </w:r>
      <w:r w:rsidRPr="006954D7">
        <w:rPr>
          <w:w w:val="100"/>
          <w:vertAlign w:val="superscript"/>
          <w:rtl/>
        </w:rPr>
        <w:t>)</w:t>
      </w:r>
      <w:r w:rsidRPr="006954D7">
        <w:rPr>
          <w:w w:val="100"/>
          <w:rtl/>
        </w:rPr>
        <w:t>.</w:t>
      </w:r>
    </w:p>
    <w:p w:rsidR="004C6CA6" w:rsidRPr="006954D7" w:rsidRDefault="004C6CA6" w:rsidP="004C6CA6">
      <w:pPr>
        <w:pStyle w:val="SingleTxt"/>
        <w:rPr>
          <w:spacing w:val="-1"/>
          <w:w w:val="100"/>
        </w:rPr>
      </w:pPr>
      <w:r w:rsidRPr="006954D7">
        <w:rPr>
          <w:spacing w:val="-1"/>
          <w:w w:val="100"/>
          <w:rtl/>
        </w:rPr>
        <w:tab/>
        <w:t xml:space="preserve">هذا وإنّ المادّة (426) من قانون أصول المحاكمات المدنيّة تجيز للأجانب المقيمين بصورة </w:t>
      </w:r>
      <w:r w:rsidRPr="006954D7">
        <w:rPr>
          <w:rFonts w:hint="cs"/>
          <w:spacing w:val="-1"/>
          <w:w w:val="100"/>
          <w:rtl/>
        </w:rPr>
        <w:t>ا</w:t>
      </w:r>
      <w:r w:rsidRPr="006954D7">
        <w:rPr>
          <w:spacing w:val="-1"/>
          <w:w w:val="100"/>
          <w:rtl/>
        </w:rPr>
        <w:t xml:space="preserve">عتياديّة في لبنان </w:t>
      </w:r>
      <w:r w:rsidRPr="006954D7">
        <w:rPr>
          <w:rFonts w:hint="cs"/>
          <w:spacing w:val="-1"/>
          <w:w w:val="100"/>
          <w:rtl/>
        </w:rPr>
        <w:t>الا</w:t>
      </w:r>
      <w:r w:rsidRPr="006954D7">
        <w:rPr>
          <w:spacing w:val="-1"/>
          <w:w w:val="100"/>
          <w:rtl/>
        </w:rPr>
        <w:t>ستفادة من المعونة القضائيّة شرط المعاملة بالمثل، كما أنّ أحكام قانون أصول المحاكمات الجزائيّة اللّبناني التّي توجب على بعض المراجع القضائيّة الجزائيّة، الواضعة يدها على الدّعوى أن تعيّن للمدّعى عليه الذّي يتعذّر عليه تعيين محامٍ، محاميّاً أو أن تعهد بذلك إلى نقيب المحامين، ليتولّى الدّفاع عنه، لم تميّز بين المدّعى عليه اللّبناني وذلك الأجنبي، حيث إنّ تعيين محامٍ للدّفاع عن المدّعى عليه يكون إلزاميّاً في الحالتين</w:t>
      </w:r>
      <w:r w:rsidRPr="006954D7">
        <w:rPr>
          <w:spacing w:val="-1"/>
          <w:w w:val="100"/>
          <w:vertAlign w:val="superscript"/>
          <w:rtl/>
        </w:rPr>
        <w:t>(</w:t>
      </w:r>
      <w:r w:rsidRPr="006954D7">
        <w:rPr>
          <w:spacing w:val="-1"/>
          <w:w w:val="100"/>
          <w:vertAlign w:val="superscript"/>
          <w:rtl/>
        </w:rPr>
        <w:footnoteReference w:id="12"/>
      </w:r>
      <w:r w:rsidRPr="006954D7">
        <w:rPr>
          <w:spacing w:val="-1"/>
          <w:w w:val="100"/>
          <w:vertAlign w:val="superscript"/>
          <w:rtl/>
        </w:rPr>
        <w:t>)</w:t>
      </w:r>
      <w:r w:rsidRPr="006954D7">
        <w:rPr>
          <w:spacing w:val="-1"/>
          <w:w w:val="100"/>
          <w:rtl/>
        </w:rPr>
        <w:t>، وإنّ المحاكم تلتزم بتطبيق هذه القاعدة دون أيّ تمييز.</w:t>
      </w:r>
    </w:p>
    <w:p w:rsidR="004C6CA6" w:rsidRPr="004C6CA6" w:rsidRDefault="004C6CA6" w:rsidP="004C6CA6">
      <w:pPr>
        <w:pStyle w:val="SingleTxt"/>
      </w:pPr>
      <w:r w:rsidRPr="004C6CA6">
        <w:rPr>
          <w:rFonts w:hint="cs"/>
          <w:rtl/>
        </w:rPr>
        <w:t>38-</w:t>
      </w:r>
      <w:r w:rsidRPr="004C6CA6">
        <w:tab/>
      </w:r>
      <w:r w:rsidRPr="004C6CA6">
        <w:rPr>
          <w:rtl/>
        </w:rPr>
        <w:t>على صعيد الأصول والإجراءات القضائيّة، لا سيّما بالنّسبة إلى احترام الحقوق المختلفة وحقوق الدّفاع على وجهٍ خاصّ، فإنّ الأحكام القانونيّة العامّة المتعلّقة بالمحاكم العدليّة والإداريّة لا</w:t>
      </w:r>
      <w:r w:rsidRPr="004C6CA6">
        <w:rPr>
          <w:rFonts w:hint="eastAsia"/>
          <w:rtl/>
        </w:rPr>
        <w:t> </w:t>
      </w:r>
      <w:r w:rsidRPr="004C6CA6">
        <w:rPr>
          <w:rtl/>
        </w:rPr>
        <w:t>تتضمّن أي تمييز مبني على جنسيّة الفرقاء، أو أصلهم، أو جنسهم. ويشمل ذلك الأصول والإجراءات المتعلّقة بالتّقاضي أمام مجلس العمل التّحكيمي، فاختصاص هذا المجلس هو اختصاص موضوعي وليس اختصاصاً شخصيّاً، بمعنى أنّه مرتبط بوصف العقد النّاشئ عنه النّزاع والذّي يجب أنّ يكون عقد عمل وفق المفهوم المحدّد له في قانون العمل أو عقد إجارة عمل أو خدمة وفق ما تحدّده الفقرة الأولى من المادّة (624) من قانون الموجبات والعقود، بصرف النّظر عن جنسيّة الفرقاء.</w:t>
      </w:r>
    </w:p>
    <w:p w:rsidR="004C6CA6" w:rsidRPr="004C6CA6" w:rsidRDefault="004C6CA6" w:rsidP="004C6CA6">
      <w:pPr>
        <w:pStyle w:val="SingleTxt"/>
      </w:pPr>
      <w:r w:rsidRPr="004C6CA6">
        <w:rPr>
          <w:rtl/>
        </w:rPr>
        <w:tab/>
        <w:t>والحال هو عينه بالنّسبة إلى القانون الواجب التّطبيق (أي قانون العمل أو قانون الموجبات والعقود)، فإنّه مرتبط بوصف العقد بصرف النّظر عن جنسيّة المتعاقدين. ويؤكّد اجتهاد مجلس العمل التّحكيمي على هذه المبادئ.</w:t>
      </w:r>
    </w:p>
    <w:p w:rsidR="004C6CA6" w:rsidRPr="006954D7" w:rsidRDefault="004C6CA6" w:rsidP="004C6CA6">
      <w:pPr>
        <w:pStyle w:val="SingleTxt"/>
        <w:rPr>
          <w:w w:val="100"/>
          <w:rtl/>
        </w:rPr>
      </w:pPr>
      <w:r w:rsidRPr="006954D7">
        <w:rPr>
          <w:w w:val="100"/>
          <w:rtl/>
        </w:rPr>
        <w:lastRenderedPageBreak/>
        <w:t>39-</w:t>
      </w:r>
      <w:r w:rsidRPr="006954D7">
        <w:rPr>
          <w:w w:val="100"/>
          <w:rtl/>
        </w:rPr>
        <w:tab/>
        <w:t>فضلاً عن ذلك، فقد سعى المشرّع اللّبناني في القانون رقم (164) المتعلٌّق بمعاقبة جريمة ال</w:t>
      </w:r>
      <w:r w:rsidRPr="006954D7">
        <w:rPr>
          <w:rFonts w:hint="cs"/>
          <w:w w:val="100"/>
          <w:rtl/>
        </w:rPr>
        <w:t>ا</w:t>
      </w:r>
      <w:r w:rsidRPr="006954D7">
        <w:rPr>
          <w:w w:val="100"/>
          <w:rtl/>
        </w:rPr>
        <w:t xml:space="preserve">تّجار بالأشخاص إلى حماية حقّ الأجنبيّ في </w:t>
      </w:r>
      <w:r w:rsidRPr="006954D7">
        <w:rPr>
          <w:rFonts w:hint="cs"/>
          <w:w w:val="100"/>
          <w:rtl/>
        </w:rPr>
        <w:t>الا</w:t>
      </w:r>
      <w:r w:rsidRPr="006954D7">
        <w:rPr>
          <w:w w:val="100"/>
          <w:rtl/>
        </w:rPr>
        <w:t>دّعاء، من خلال السّماح لضحيّة الجرم</w:t>
      </w:r>
      <w:r w:rsidR="006954D7">
        <w:rPr>
          <w:rFonts w:hint="cs"/>
          <w:w w:val="100"/>
          <w:rtl/>
        </w:rPr>
        <w:t xml:space="preserve"> </w:t>
      </w:r>
      <w:r w:rsidRPr="006954D7">
        <w:rPr>
          <w:w w:val="100"/>
          <w:rtl/>
        </w:rPr>
        <w:t>الأجنبيّة بالإقامة في لبنان طيلة المدّة التّي تقتضيها إجراءات التّحقيق، بموجب قرار قضائي يجيز لها ذلك</w:t>
      </w:r>
      <w:r w:rsidRPr="006954D7">
        <w:rPr>
          <w:w w:val="100"/>
          <w:vertAlign w:val="superscript"/>
          <w:rtl/>
        </w:rPr>
        <w:t>(</w:t>
      </w:r>
      <w:r w:rsidRPr="006954D7">
        <w:rPr>
          <w:w w:val="100"/>
          <w:vertAlign w:val="superscript"/>
          <w:rtl/>
        </w:rPr>
        <w:footnoteReference w:id="13"/>
      </w:r>
      <w:r w:rsidRPr="006954D7">
        <w:rPr>
          <w:w w:val="100"/>
          <w:vertAlign w:val="superscript"/>
          <w:rtl/>
        </w:rPr>
        <w:t>)</w:t>
      </w:r>
      <w:r w:rsidRPr="006954D7">
        <w:rPr>
          <w:w w:val="100"/>
          <w:rtl/>
        </w:rPr>
        <w:t>.</w:t>
      </w:r>
    </w:p>
    <w:p w:rsidR="001F30B2" w:rsidRPr="001F30B2" w:rsidRDefault="001F30B2" w:rsidP="001F30B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4C6CA6" w:rsidRPr="004C6CA6" w:rsidRDefault="004C6CA6" w:rsidP="001F30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4C6CA6">
        <w:rPr>
          <w:rtl/>
        </w:rPr>
        <w:tab/>
        <w:t>(ب)</w:t>
      </w:r>
      <w:r w:rsidRPr="004C6CA6">
        <w:rPr>
          <w:rtl/>
        </w:rPr>
        <w:tab/>
        <w:t>التّأكيد على واجب أجهزة الأمن والعدالة احترام حقوق الإنسان وصيانتها وعدم التّمييز</w:t>
      </w:r>
    </w:p>
    <w:p w:rsidR="004C6CA6" w:rsidRPr="004C6CA6" w:rsidRDefault="004C6CA6" w:rsidP="004C6CA6">
      <w:pPr>
        <w:pStyle w:val="SingleTxt"/>
      </w:pPr>
      <w:r w:rsidRPr="004C6CA6">
        <w:rPr>
          <w:rFonts w:hint="cs"/>
          <w:rtl/>
        </w:rPr>
        <w:t>40-</w:t>
      </w:r>
      <w:r w:rsidRPr="004C6CA6">
        <w:tab/>
      </w:r>
      <w:r w:rsidRPr="004C6CA6">
        <w:rPr>
          <w:rtl/>
        </w:rPr>
        <w:t>تسعى أجهزة الأمن والعدالة إلى فرض قاعدة احترام حقوق الإنسان وصيانتها على جميع</w:t>
      </w:r>
      <w:r w:rsidRPr="004C6CA6">
        <w:rPr>
          <w:rFonts w:hint="eastAsia"/>
          <w:rtl/>
        </w:rPr>
        <w:t> </w:t>
      </w:r>
      <w:r w:rsidRPr="004C6CA6">
        <w:rPr>
          <w:rtl/>
        </w:rPr>
        <w:t xml:space="preserve">عناصرها من خلال نشر ثقافة حقوق الإنسان وصيانتها والتّأكيد على واجبهم احترامها والحفاظ عليها. </w:t>
      </w:r>
    </w:p>
    <w:p w:rsidR="004C6CA6" w:rsidRPr="004C6CA6" w:rsidRDefault="004C6CA6" w:rsidP="004C6CA6">
      <w:pPr>
        <w:pStyle w:val="SingleTxt"/>
        <w:rPr>
          <w:rtl/>
        </w:rPr>
      </w:pPr>
      <w:r w:rsidRPr="004C6CA6">
        <w:rPr>
          <w:rtl/>
        </w:rPr>
        <w:t>41-</w:t>
      </w:r>
      <w:r w:rsidRPr="004C6CA6">
        <w:rPr>
          <w:rtl/>
        </w:rPr>
        <w:tab/>
        <w:t xml:space="preserve">في هذا المجال أصدرت المديريّة العامّة لقوى الأمن الدّاخلي مدوّنة قواعد قوى الأمن الدّاخلي في العام 2011 التّي تسعى إلى تحديد واجبات عناصر قوى الأمن الدّاخلي والمعايير القانونيّة والأخلاقيّة التّي عليهم </w:t>
      </w:r>
      <w:r w:rsidRPr="004C6CA6">
        <w:rPr>
          <w:rFonts w:hint="cs"/>
          <w:rtl/>
        </w:rPr>
        <w:t>الا</w:t>
      </w:r>
      <w:r w:rsidRPr="004C6CA6">
        <w:rPr>
          <w:rtl/>
        </w:rPr>
        <w:t xml:space="preserve">لتزام بها، رؤساءً ومرؤوسين، أثناء أدائهم لواجباتهم، كما تنظّمّ علاقاتهم مع الأفراد والمجموعات والسّلطات وترمي إلى ضمان احترام حقوق الإنسان وحماية الحريّات العامّة وفق ما تنصّ عليه التّشريعات الوطنيّة والمواثيق الدّوليّة، وعمّمت المديريّة العامّة المدوّنة على عناصرها. </w:t>
      </w:r>
    </w:p>
    <w:p w:rsidR="004C6CA6" w:rsidRPr="004C6CA6" w:rsidRDefault="004C6CA6" w:rsidP="004C6CA6">
      <w:pPr>
        <w:pStyle w:val="SingleTxt"/>
        <w:rPr>
          <w:rtl/>
        </w:rPr>
      </w:pPr>
      <w:r w:rsidRPr="004C6CA6">
        <w:rPr>
          <w:rtl/>
        </w:rPr>
        <w:tab/>
        <w:t xml:space="preserve">تنصّ مدوّنة القواعد هذه على تضمّن الواجب المهني لعناصر قوى الأمن الدّاخلي، </w:t>
      </w:r>
      <w:r w:rsidRPr="004C6CA6">
        <w:rPr>
          <w:rFonts w:hint="cs"/>
          <w:rtl/>
        </w:rPr>
        <w:t>و</w:t>
      </w:r>
      <w:r w:rsidRPr="004C6CA6">
        <w:rPr>
          <w:rtl/>
        </w:rPr>
        <w:t>واجب احترام الكرامة الإنسانيّة وصون حقوق الإنسان، كما تنصّ على موجب العناصر التزام النّزاهة و</w:t>
      </w:r>
      <w:r w:rsidRPr="004C6CA6">
        <w:rPr>
          <w:rFonts w:hint="cs"/>
          <w:rtl/>
        </w:rPr>
        <w:t>الا</w:t>
      </w:r>
      <w:r w:rsidRPr="004C6CA6">
        <w:rPr>
          <w:rtl/>
        </w:rPr>
        <w:t>ستقامة الذّي يتضمّن واجبهم عدم إساءة استخدام السّلطة، وعلى موجبهم قيامهم بمهامهم بتجرّد أيّ التّعامل مع الجميع بعدل وإنصاف أثناء تطبيق القانون و</w:t>
      </w:r>
      <w:r w:rsidRPr="004C6CA6">
        <w:rPr>
          <w:rFonts w:hint="cs"/>
          <w:rtl/>
        </w:rPr>
        <w:t>الا</w:t>
      </w:r>
      <w:r w:rsidRPr="004C6CA6">
        <w:rPr>
          <w:rtl/>
        </w:rPr>
        <w:t>لتزام بحظر ممارسة التّمييز العنصري أو العرقي أو الطّائفي أو المناطقي أو ذلك المبني على أساس الأصل القومي أو</w:t>
      </w:r>
      <w:r w:rsidRPr="004C6CA6">
        <w:rPr>
          <w:rFonts w:hint="eastAsia"/>
          <w:rtl/>
        </w:rPr>
        <w:t> </w:t>
      </w:r>
      <w:r w:rsidRPr="004C6CA6">
        <w:rPr>
          <w:rtl/>
        </w:rPr>
        <w:t xml:space="preserve">الجنس أو السّن أو الوضع الاجتماعي أو أي أساس آخر، وعلى موجبهم من ناحية السّلوك حيث يفترض بهم التّحلّي بالأخلاق والتّصرّف بلياقة وأدب وإقامة أفضل العلاقات مع الآخرين لكثب ثقتهم والتّعاون معهم. وتتضمّن هذه المدوّنة أيضاً النّصّ على واجب عناصر قوى الأمن الدّاخلي </w:t>
      </w:r>
      <w:r w:rsidRPr="004C6CA6">
        <w:rPr>
          <w:rFonts w:hint="cs"/>
          <w:rtl/>
        </w:rPr>
        <w:t>ا</w:t>
      </w:r>
      <w:r w:rsidRPr="004C6CA6">
        <w:rPr>
          <w:rtl/>
        </w:rPr>
        <w:t xml:space="preserve">لتزام قواعدها والتّقيّد بها، والتّبليغ عن أيّ انتهاك لها، على أن تتّخذ في حقّ المخالفين التّدابير المسلكيّة والقانونيّة المناسبة. </w:t>
      </w:r>
    </w:p>
    <w:p w:rsidR="004C6CA6" w:rsidRPr="004C6CA6" w:rsidRDefault="004C6CA6" w:rsidP="004C6CA6">
      <w:pPr>
        <w:pStyle w:val="SingleTxt"/>
        <w:rPr>
          <w:rtl/>
        </w:rPr>
      </w:pPr>
      <w:r w:rsidRPr="004C6CA6">
        <w:rPr>
          <w:rtl/>
        </w:rPr>
        <w:t>42-</w:t>
      </w:r>
      <w:r w:rsidRPr="004C6CA6">
        <w:rPr>
          <w:rtl/>
        </w:rPr>
        <w:tab/>
        <w:t xml:space="preserve">وعلى صعيد السّلطة القضائيّة، أقرّ كلٌّ من مجلس القضاء الأعلى ومكتب مجلس شورى الدّولة بتاريخ 11 كانون الثّاني/يناير 2005، "وثيقة القواعد الأساسيّة لأخلاقيّات القضاء" التّي أعدّتها لجنة قضائيّة مستقلّة بتكليف من وزير العدل. وتحدّد هذه الوثيقة القواعد الأساسيّة لأخلاقيّات العمل القضائي بثماني قواعد هي </w:t>
      </w:r>
      <w:r w:rsidRPr="004C6CA6">
        <w:rPr>
          <w:rFonts w:hint="cs"/>
          <w:rtl/>
        </w:rPr>
        <w:t>الا</w:t>
      </w:r>
      <w:r w:rsidRPr="004C6CA6">
        <w:rPr>
          <w:rtl/>
        </w:rPr>
        <w:t xml:space="preserve">ستقلال، والتّجرّد، والنّزاهة، والتزام موجب التّحفظ، والشّجاعة الأدبيّة، والتّواضع، والصّدق والشّرف، والأهليّة والنّشاط. وهذه القواعد هي إمّا مستمدّة من النّصوص القانونيّة التّي تشير إليها بصورة مباشرة أو غير مباشرة، أو هي من </w:t>
      </w:r>
      <w:r w:rsidRPr="004C6CA6">
        <w:rPr>
          <w:rtl/>
        </w:rPr>
        <w:lastRenderedPageBreak/>
        <w:t>القواعد المتعارف عليها والمعتمدة حتّى قبل صدور هذه الوثيقة، والمستخرجة من التّجارب القضائيّة السّابقة؛ وهي تشكّل وفق ما صرّح به وزير العدل معظم ما تضمّنته الوثائق العالميّة بالإضافة إلى قاعدتين فرضهما الواقع اللّبناني، وهما القاعدتين الأخيرتين المذكورتين فيما سبق.</w:t>
      </w:r>
    </w:p>
    <w:p w:rsidR="004C6CA6" w:rsidRPr="004C6CA6" w:rsidRDefault="004C6CA6" w:rsidP="004C6CA6">
      <w:pPr>
        <w:pStyle w:val="SingleTxt"/>
        <w:rPr>
          <w:rtl/>
        </w:rPr>
      </w:pPr>
      <w:r w:rsidRPr="004C6CA6">
        <w:rPr>
          <w:rtl/>
        </w:rPr>
        <w:tab/>
        <w:t>وقد جرى تعميم هذه القواعد مجدّداً على القضاة في العام 2010 بعد إصدار "الدّليل إلى واجبات القضاة وأخلاقيّاتهم".</w:t>
      </w:r>
    </w:p>
    <w:p w:rsidR="004C6CA6" w:rsidRPr="004C6CA6" w:rsidRDefault="004C6CA6" w:rsidP="004C6CA6">
      <w:pPr>
        <w:pStyle w:val="SingleTxt"/>
        <w:rPr>
          <w:rtl/>
        </w:rPr>
      </w:pPr>
      <w:r w:rsidRPr="004C6CA6">
        <w:rPr>
          <w:rtl/>
        </w:rPr>
        <w:tab/>
        <w:t xml:space="preserve">وفي تفصيل هذه القواعد، ورد بشكلٍ صريح أنّ المساواة هي وجه من أوجه قاعدة التّجرّد وأنّ مبدأ المساواة يتجلّى بامتناع القاضي عن </w:t>
      </w:r>
      <w:r w:rsidRPr="004C6CA6">
        <w:rPr>
          <w:rFonts w:hint="cs"/>
          <w:rtl/>
        </w:rPr>
        <w:t>الا</w:t>
      </w:r>
      <w:r w:rsidRPr="004C6CA6">
        <w:rPr>
          <w:rtl/>
        </w:rPr>
        <w:t xml:space="preserve">نحياز إلى أيٍّ من المتقاضين بسبب المذهب أو الدّين أو العرق أو اللّون أو الجنسيّة أو العمر أو الجنس أو الحالة المدنيّة أو القدرات الجسديّة أو النّفسيّة، وبقيامه بمعاملة المحامين وأطراف النّزاع والشّهود والمساعدين القضائيّين والخبراء وأيضاً زملائه القضاة، معاملةً لا تمييز فيها بسبب </w:t>
      </w:r>
      <w:r w:rsidRPr="004C6CA6">
        <w:rPr>
          <w:rFonts w:hint="cs"/>
          <w:rtl/>
        </w:rPr>
        <w:t>الا</w:t>
      </w:r>
      <w:r w:rsidRPr="004C6CA6">
        <w:rPr>
          <w:rtl/>
        </w:rPr>
        <w:t>ختلافات المذكورة.</w:t>
      </w:r>
    </w:p>
    <w:p w:rsidR="004C6CA6" w:rsidRPr="004C6CA6" w:rsidRDefault="004C6CA6" w:rsidP="004C6CA6">
      <w:pPr>
        <w:pStyle w:val="SingleTxt"/>
        <w:rPr>
          <w:rtl/>
        </w:rPr>
      </w:pPr>
      <w:r w:rsidRPr="004C6CA6">
        <w:rPr>
          <w:rtl/>
        </w:rPr>
        <w:tab/>
        <w:t xml:space="preserve">إنّ هذه القواعد، وبالرّغم من عدم النّص عليها ضمن قانون أو مرسوم، إلاّ أنّه من المتّفق عليه أنّها تتّسم بطابع الإلزام للقضاة، خاصّة وأنّ معظمها مستمدّ، بصورة مباشرة أو غير مباشرة وفق ما تقدّم من نصوص قانونيّة، من هنا، فإنّ مخالفتها قد تشكّل خطأً مسلكيّاً يؤدّي إلى اتّخاذ إجراءات تأديبيّة أو إداريّة في حق القاضي المخالف، من قبل مجلس القضاء الأعلى أو المجلس التّأديبي للقضاة، تبعاً لدرجة المخالفة. </w:t>
      </w:r>
    </w:p>
    <w:p w:rsidR="001F30B2" w:rsidRPr="001F30B2" w:rsidRDefault="001F30B2" w:rsidP="001F30B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4C6CA6" w:rsidRPr="004C6CA6" w:rsidRDefault="004C6CA6" w:rsidP="001F30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4C6CA6">
        <w:rPr>
          <w:rtl/>
        </w:rPr>
        <w:tab/>
      </w:r>
      <w:r w:rsidRPr="004C6CA6">
        <w:rPr>
          <w:rFonts w:hint="cs"/>
          <w:rtl/>
        </w:rPr>
        <w:t>ثانياً</w:t>
      </w:r>
      <w:r w:rsidRPr="004C6CA6">
        <w:rPr>
          <w:rtl/>
        </w:rPr>
        <w:t>-</w:t>
      </w:r>
      <w:r w:rsidRPr="004C6CA6">
        <w:rPr>
          <w:rtl/>
        </w:rPr>
        <w:tab/>
        <w:t>حق</w:t>
      </w:r>
      <w:r w:rsidRPr="004C6CA6">
        <w:rPr>
          <w:rFonts w:hint="cs"/>
          <w:rtl/>
        </w:rPr>
        <w:t>ّ</w:t>
      </w:r>
      <w:r w:rsidRPr="004C6CA6">
        <w:rPr>
          <w:rtl/>
        </w:rPr>
        <w:t xml:space="preserve"> الفرد في الأمن على شخصه وفي حماية الدّولة له من أيّ عنف أو أذى بدني، يصدر سواء عن موظفين رسميّين أو عن أيّ جماعة أو مؤسسة</w:t>
      </w:r>
    </w:p>
    <w:p w:rsidR="004C6CA6" w:rsidRPr="004C6CA6" w:rsidRDefault="004C6CA6" w:rsidP="001F30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4C6CA6">
        <w:rPr>
          <w:rtl/>
        </w:rPr>
        <w:tab/>
        <w:t>(أ)</w:t>
      </w:r>
      <w:r w:rsidRPr="004C6CA6">
        <w:rPr>
          <w:rtl/>
        </w:rPr>
        <w:tab/>
        <w:t>حظر وملاحقة الأفعال اللا</w:t>
      </w:r>
      <w:r w:rsidRPr="004C6CA6">
        <w:rPr>
          <w:rFonts w:hint="cs"/>
          <w:rtl/>
        </w:rPr>
        <w:t>ّ</w:t>
      </w:r>
      <w:r w:rsidRPr="004C6CA6">
        <w:rPr>
          <w:rtl/>
        </w:rPr>
        <w:t>إنسانيّة</w:t>
      </w:r>
    </w:p>
    <w:p w:rsidR="004C6CA6" w:rsidRPr="004C6CA6" w:rsidRDefault="004C6CA6" w:rsidP="004C6CA6">
      <w:pPr>
        <w:pStyle w:val="SingleTxt"/>
      </w:pPr>
      <w:r w:rsidRPr="004C6CA6">
        <w:rPr>
          <w:rFonts w:hint="cs"/>
          <w:rtl/>
        </w:rPr>
        <w:t>43-</w:t>
      </w:r>
      <w:r w:rsidRPr="004C6CA6">
        <w:tab/>
      </w:r>
      <w:r w:rsidRPr="004C6CA6">
        <w:rPr>
          <w:rtl/>
        </w:rPr>
        <w:t xml:space="preserve">انضم لبنان إلى البروتوكول </w:t>
      </w:r>
      <w:r w:rsidRPr="004C6CA6">
        <w:rPr>
          <w:rFonts w:hint="cs"/>
          <w:rtl/>
        </w:rPr>
        <w:t>الا</w:t>
      </w:r>
      <w:r w:rsidRPr="004C6CA6">
        <w:rPr>
          <w:rtl/>
        </w:rPr>
        <w:t>ختياري لاتّفاقيّة مناهضة التّعذيب وغيره من ضروب المعاملة</w:t>
      </w:r>
      <w:r w:rsidRPr="004C6CA6">
        <w:rPr>
          <w:rFonts w:hint="eastAsia"/>
          <w:rtl/>
        </w:rPr>
        <w:t> </w:t>
      </w:r>
      <w:r w:rsidRPr="004C6CA6">
        <w:rPr>
          <w:rtl/>
        </w:rPr>
        <w:t xml:space="preserve">أو العقوبة القاسية </w:t>
      </w:r>
      <w:r w:rsidRPr="004C6CA6">
        <w:rPr>
          <w:rFonts w:hint="cs"/>
          <w:rtl/>
        </w:rPr>
        <w:t>أ</w:t>
      </w:r>
      <w:r w:rsidRPr="004C6CA6">
        <w:rPr>
          <w:rtl/>
        </w:rPr>
        <w:t xml:space="preserve">و اللاّإنسانيّة أو المهنيّة </w:t>
      </w:r>
      <w:r w:rsidRPr="004C6CA6">
        <w:t>(OPCAT)</w:t>
      </w:r>
      <w:r w:rsidRPr="004C6CA6">
        <w:rPr>
          <w:rtl/>
        </w:rPr>
        <w:t xml:space="preserve"> المعتمد من قبل الجمعيّة العامّة للأمم المتّحدة بتاريخ 18 كانون الأوّل/ديسمبر 2002، بموجب القانون رقم (12) الصّادر بتاريخ 5 </w:t>
      </w:r>
      <w:r w:rsidRPr="004C6CA6">
        <w:rPr>
          <w:rFonts w:hint="cs"/>
          <w:rtl/>
        </w:rPr>
        <w:t>أيلول</w:t>
      </w:r>
      <w:r w:rsidRPr="004C6CA6">
        <w:rPr>
          <w:rtl/>
        </w:rPr>
        <w:t>/سبتمبر 2008.</w:t>
      </w:r>
    </w:p>
    <w:p w:rsidR="004C6CA6" w:rsidRPr="004C6CA6" w:rsidRDefault="004C6CA6" w:rsidP="004C6CA6">
      <w:pPr>
        <w:pStyle w:val="SingleTxt"/>
      </w:pPr>
      <w:r w:rsidRPr="004C6CA6">
        <w:rPr>
          <w:rFonts w:hint="cs"/>
          <w:rtl/>
        </w:rPr>
        <w:t>44-</w:t>
      </w:r>
      <w:r w:rsidRPr="004C6CA6">
        <w:tab/>
      </w:r>
      <w:r w:rsidRPr="004C6CA6">
        <w:rPr>
          <w:rtl/>
        </w:rPr>
        <w:t xml:space="preserve">وتتولّى النّيابة العامّة وفقاً للقواعد العامّة ملاحقة الأفعال التّي تشكّل جرماً جزائيّاً أمام المراجع القضائيّة المختصّة، فضلاً عن ذلك، تقوم المجالس التّأديبيّة الخاصّة بكلّ مؤسّسة باتّخاذ الإجراءات اللاّزمة في حقّ أعضائها. </w:t>
      </w:r>
    </w:p>
    <w:p w:rsidR="004C6CA6" w:rsidRPr="004C6CA6" w:rsidRDefault="004C6CA6" w:rsidP="006954D7">
      <w:pPr>
        <w:pStyle w:val="SingleTxt"/>
      </w:pPr>
      <w:r w:rsidRPr="004C6CA6">
        <w:rPr>
          <w:rFonts w:hint="cs"/>
          <w:rtl/>
        </w:rPr>
        <w:t>45-</w:t>
      </w:r>
      <w:r w:rsidRPr="004C6CA6">
        <w:tab/>
      </w:r>
      <w:r w:rsidRPr="004C6CA6">
        <w:rPr>
          <w:rtl/>
        </w:rPr>
        <w:t xml:space="preserve">وقد صدر في هذا المجال في العام 2007، أوّل قرار قضائي يدين أحد عناصر قوى الأمن الدّاخلي لإقدامه على تعذيب موقوف لانتزاع المعلومات منه، وهي جنحة معاقب عليها في </w:t>
      </w:r>
      <w:r w:rsidRPr="004C6CA6">
        <w:rPr>
          <w:rtl/>
        </w:rPr>
        <w:lastRenderedPageBreak/>
        <w:t>المادّة</w:t>
      </w:r>
      <w:r w:rsidR="006954D7">
        <w:rPr>
          <w:rFonts w:hint="cs"/>
          <w:rtl/>
        </w:rPr>
        <w:t> </w:t>
      </w:r>
      <w:r w:rsidRPr="004C6CA6">
        <w:rPr>
          <w:rtl/>
        </w:rPr>
        <w:t>(401) من قانون العقوبات، وقد قضى هذا الحكم بحبس المدّعى عليه مدّة خمسة عشر يوماً وبإلزامه بالتّعويض على المدّعي المتضرّر</w:t>
      </w:r>
      <w:r w:rsidRPr="004C6CA6">
        <w:rPr>
          <w:vertAlign w:val="superscript"/>
          <w:rtl/>
        </w:rPr>
        <w:t>(</w:t>
      </w:r>
      <w:r w:rsidRPr="004C6CA6">
        <w:rPr>
          <w:vertAlign w:val="superscript"/>
          <w:rtl/>
        </w:rPr>
        <w:footnoteReference w:id="14"/>
      </w:r>
      <w:r w:rsidRPr="004C6CA6">
        <w:rPr>
          <w:vertAlign w:val="superscript"/>
          <w:rtl/>
        </w:rPr>
        <w:t>)</w:t>
      </w:r>
      <w:r w:rsidRPr="004C6CA6">
        <w:rPr>
          <w:rtl/>
        </w:rPr>
        <w:t>.</w:t>
      </w:r>
    </w:p>
    <w:p w:rsidR="001F30B2" w:rsidRPr="001F30B2" w:rsidRDefault="001F30B2" w:rsidP="001F30B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4C6CA6" w:rsidRPr="004C6CA6" w:rsidRDefault="004C6CA6" w:rsidP="001F30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4C6CA6">
        <w:rPr>
          <w:rtl/>
        </w:rPr>
        <w:tab/>
        <w:t>(ب)</w:t>
      </w:r>
      <w:r w:rsidRPr="004C6CA6">
        <w:rPr>
          <w:rtl/>
        </w:rPr>
        <w:tab/>
        <w:t>إرساء وسائل تواصل مع الضّحايا المحتملين وحمايتهم</w:t>
      </w:r>
    </w:p>
    <w:p w:rsidR="004C6CA6" w:rsidRPr="004C6CA6" w:rsidRDefault="004C6CA6" w:rsidP="004C6CA6">
      <w:pPr>
        <w:pStyle w:val="SingleTxt"/>
      </w:pPr>
      <w:r w:rsidRPr="004C6CA6">
        <w:rPr>
          <w:rFonts w:hint="cs"/>
          <w:rtl/>
        </w:rPr>
        <w:t>46-</w:t>
      </w:r>
      <w:r w:rsidRPr="004C6CA6">
        <w:tab/>
      </w:r>
      <w:r w:rsidRPr="004C6CA6">
        <w:rPr>
          <w:rtl/>
        </w:rPr>
        <w:t>أنشأت وزارة العمل في لبنان مكتباً للشّكاوى و</w:t>
      </w:r>
      <w:r w:rsidRPr="004C6CA6">
        <w:rPr>
          <w:rFonts w:hint="cs"/>
          <w:rtl/>
        </w:rPr>
        <w:t>الا</w:t>
      </w:r>
      <w:r w:rsidRPr="004C6CA6">
        <w:rPr>
          <w:rtl/>
        </w:rPr>
        <w:t xml:space="preserve">ستعلامات من أجل تلقّي شكاوى العمّال اللّبنانيّين والأجانب، يمكن </w:t>
      </w:r>
      <w:r w:rsidRPr="004C6CA6">
        <w:rPr>
          <w:rFonts w:hint="cs"/>
          <w:rtl/>
        </w:rPr>
        <w:t>الا</w:t>
      </w:r>
      <w:r w:rsidRPr="004C6CA6">
        <w:rPr>
          <w:rtl/>
        </w:rPr>
        <w:t>تّصال به من خلال خطّ ساخن في جميع الأوقات.</w:t>
      </w:r>
    </w:p>
    <w:p w:rsidR="004C6CA6" w:rsidRPr="004C6CA6" w:rsidRDefault="004C6CA6" w:rsidP="004C6CA6">
      <w:pPr>
        <w:pStyle w:val="SingleTxt"/>
      </w:pPr>
      <w:r w:rsidRPr="004C6CA6">
        <w:rPr>
          <w:rFonts w:hint="cs"/>
          <w:rtl/>
        </w:rPr>
        <w:t>47-</w:t>
      </w:r>
      <w:r w:rsidRPr="004C6CA6">
        <w:tab/>
      </w:r>
      <w:r w:rsidRPr="004C6CA6">
        <w:rPr>
          <w:rtl/>
        </w:rPr>
        <w:t>هذا مع الإشارة إلى أنّ في وزارة العمل دائرة تفتيش ودائرة تحقيق في قضايا العمل، أجرت الوزارة من خلالهما</w:t>
      </w:r>
      <w:r w:rsidRPr="004C6CA6">
        <w:rPr>
          <w:rFonts w:hint="cs"/>
          <w:rtl/>
        </w:rPr>
        <w:t>،</w:t>
      </w:r>
      <w:r w:rsidRPr="004C6CA6">
        <w:rPr>
          <w:rtl/>
        </w:rPr>
        <w:t xml:space="preserve"> في العام 2014، (1193) عمليّة تفتيش دوري وطارئ، (63) عمليّة تحقيق في إجازات عمل ممنوحة لأجانب، (1152) تحقيق في شكاوى عمّاليّة، و(92) تحقيق في شكاوى على مكاتب استقدام عاملات في الخدمة المنزليّة. </w:t>
      </w:r>
    </w:p>
    <w:p w:rsidR="004C6CA6" w:rsidRPr="004C6CA6" w:rsidRDefault="004C6CA6" w:rsidP="004C6CA6">
      <w:pPr>
        <w:pStyle w:val="SingleTxt"/>
        <w:rPr>
          <w:rtl/>
        </w:rPr>
      </w:pPr>
      <w:r w:rsidRPr="004C6CA6">
        <w:rPr>
          <w:rtl/>
        </w:rPr>
        <w:tab/>
        <w:t>كما وقّعت المديريّة العامّة للأمن العامّ بتاريخ 12 كانون الثّاني/يناير 2005 مع رابطة كاريتاس لبنان - مركز الأجانب والهيئة الكاثوليكيّة العالميّة للهجرة مذكّرة تفاهم للتعّاون فيما بينها من أجل تنفيذ مشروع حماية ضحايا ال</w:t>
      </w:r>
      <w:r w:rsidRPr="004C6CA6">
        <w:rPr>
          <w:rFonts w:hint="cs"/>
          <w:rtl/>
        </w:rPr>
        <w:t>ا</w:t>
      </w:r>
      <w:r w:rsidRPr="004C6CA6">
        <w:rPr>
          <w:rtl/>
        </w:rPr>
        <w:t xml:space="preserve">تّجار بالنّساء في لبنان. وبحسب ما هو وارد في المذكّرة، فإنّه يشترط في المستفيدات من هذا المشروع أنّ تكنّ من العاملات الأجنبيّات اللّواتي هن من ضحايا الإتّجار الجسدي أو الجنسي، أو من النّساء الأجنبيّات العاملات في مجال الدّعارة واللّواتي يرغبن في التّوقف عن هذا العمل واللّواتي أجبرن على العمل في هذا المجال بالقوّة أو بالتّهديد المعنوي أو </w:t>
      </w:r>
      <w:r w:rsidRPr="004C6CA6">
        <w:rPr>
          <w:rFonts w:hint="cs"/>
          <w:rtl/>
        </w:rPr>
        <w:t>بالا</w:t>
      </w:r>
      <w:r w:rsidRPr="004C6CA6">
        <w:rPr>
          <w:rtl/>
        </w:rPr>
        <w:t xml:space="preserve">حتيال. </w:t>
      </w:r>
    </w:p>
    <w:p w:rsidR="004C6CA6" w:rsidRPr="004C6CA6" w:rsidRDefault="004C6CA6" w:rsidP="004C6CA6">
      <w:pPr>
        <w:pStyle w:val="SingleTxt"/>
        <w:rPr>
          <w:rtl/>
        </w:rPr>
      </w:pPr>
      <w:r w:rsidRPr="004C6CA6">
        <w:rPr>
          <w:rtl/>
        </w:rPr>
        <w:tab/>
        <w:t xml:space="preserve">يتضمّن المشروع المذكور إنشاء ما سميّ </w:t>
      </w:r>
      <w:r w:rsidRPr="004C6CA6">
        <w:rPr>
          <w:rFonts w:hint="cs"/>
          <w:rtl/>
        </w:rPr>
        <w:t>ﺑ</w:t>
      </w:r>
      <w:r w:rsidRPr="004C6CA6">
        <w:rPr>
          <w:rtl/>
        </w:rPr>
        <w:t xml:space="preserve"> "بيت الأمان" لإيواء ضحايا الإتّجار بشكلٍ مؤقّت، العمل على تأمين العودة الطّوعيّة للضحيّة إلى بلادها بما يتوافق مع أحكام القانون اللّبناني، وتولّي المديريّة العامّة للأمن العامّ ملاحقة مرتكبي جرائم الإتّجار بالبشر وفق القوانين اللّبنانيّة المرعيّة الإجراء. </w:t>
      </w:r>
    </w:p>
    <w:p w:rsidR="004C6CA6" w:rsidRDefault="004C6CA6" w:rsidP="004C6CA6">
      <w:pPr>
        <w:pStyle w:val="SingleTxt"/>
        <w:rPr>
          <w:rtl/>
        </w:rPr>
      </w:pPr>
      <w:r w:rsidRPr="004C6CA6">
        <w:rPr>
          <w:rtl/>
        </w:rPr>
        <w:tab/>
        <w:t xml:space="preserve">وتقوم المديريّة العامّة للأمن العامّ بجمع البيانات المتعلّقة بضحايا الإتّجار بالنّساء وتصنيفها مع الأخذ بعين </w:t>
      </w:r>
      <w:r w:rsidRPr="004C6CA6">
        <w:rPr>
          <w:rFonts w:hint="cs"/>
          <w:rtl/>
        </w:rPr>
        <w:t>الا</w:t>
      </w:r>
      <w:r w:rsidRPr="004C6CA6">
        <w:rPr>
          <w:rtl/>
        </w:rPr>
        <w:t xml:space="preserve">عتبار جنسيّة الضّحايا، أنواع الشّكاوى المقدّمة منهنّ، كيفيّة معالجتها والوضع الإداري للضحيّة بعد </w:t>
      </w:r>
      <w:r w:rsidRPr="004C6CA6">
        <w:rPr>
          <w:rFonts w:hint="cs"/>
          <w:rtl/>
        </w:rPr>
        <w:t>الا</w:t>
      </w:r>
      <w:r w:rsidRPr="004C6CA6">
        <w:rPr>
          <w:rtl/>
        </w:rPr>
        <w:t>نتهاء من معالجة الملّف من قبل الأمن العامّ، وفيما يأتي الجدول المتعلّق بالبيانات الخاصّة بالحالات المسجلّة في العام 2014 بحسب قيود المديريّة العامّة للأمن العامّ:</w:t>
      </w:r>
    </w:p>
    <w:p w:rsidR="001F30B2" w:rsidRPr="001F30B2" w:rsidRDefault="001F30B2" w:rsidP="001F30B2">
      <w:pPr>
        <w:pStyle w:val="SingleTxt"/>
        <w:spacing w:after="0" w:line="120" w:lineRule="exact"/>
        <w:rPr>
          <w:sz w:val="10"/>
          <w:rtl/>
        </w:rPr>
      </w:pPr>
    </w:p>
    <w:p w:rsidR="001F30B2" w:rsidRPr="001F30B2" w:rsidRDefault="001F30B2" w:rsidP="001F30B2">
      <w:pPr>
        <w:pStyle w:val="SingleTxt"/>
        <w:spacing w:after="0" w:line="120" w:lineRule="exact"/>
        <w:rPr>
          <w:sz w:val="10"/>
          <w:rtl/>
        </w:rPr>
      </w:pPr>
    </w:p>
    <w:tbl>
      <w:tblPr>
        <w:bidiVisual/>
        <w:tblW w:w="7559" w:type="dxa"/>
        <w:tblInd w:w="1368" w:type="dxa"/>
        <w:tblLook w:val="04A0" w:firstRow="1" w:lastRow="0" w:firstColumn="1" w:lastColumn="0" w:noHBand="0" w:noVBand="1"/>
      </w:tblPr>
      <w:tblGrid>
        <w:gridCol w:w="4529"/>
        <w:gridCol w:w="3030"/>
      </w:tblGrid>
      <w:tr w:rsidR="004C6CA6" w:rsidRPr="001F30B2" w:rsidTr="001F30B2">
        <w:trPr>
          <w:cantSplit/>
          <w:tblHeader/>
        </w:trPr>
        <w:tc>
          <w:tcPr>
            <w:tcW w:w="7559" w:type="dxa"/>
            <w:gridSpan w:val="2"/>
            <w:tcBorders>
              <w:top w:val="single" w:sz="4" w:space="0" w:color="auto"/>
              <w:bottom w:val="single" w:sz="12" w:space="0" w:color="auto"/>
            </w:tcBorders>
            <w:shd w:val="clear" w:color="auto" w:fill="auto"/>
            <w:vAlign w:val="bottom"/>
          </w:tcPr>
          <w:p w:rsidR="004C6CA6" w:rsidRPr="001F30B2" w:rsidRDefault="004C6CA6" w:rsidP="001F30B2">
            <w:pPr>
              <w:spacing w:before="80" w:after="80" w:line="240" w:lineRule="exact"/>
              <w:rPr>
                <w:i/>
                <w:iCs/>
                <w:sz w:val="16"/>
                <w:szCs w:val="24"/>
                <w:rtl/>
              </w:rPr>
            </w:pPr>
            <w:r w:rsidRPr="001F30B2">
              <w:rPr>
                <w:i/>
                <w:iCs/>
                <w:sz w:val="16"/>
                <w:szCs w:val="24"/>
                <w:rtl/>
              </w:rPr>
              <w:t>أعداد الضّحايا المحتملات المستفيدات بحسب الجنسيّة</w:t>
            </w:r>
          </w:p>
        </w:tc>
      </w:tr>
      <w:tr w:rsidR="001F30B2" w:rsidRPr="001F30B2" w:rsidTr="001F30B2">
        <w:trPr>
          <w:cantSplit/>
          <w:trHeight w:hRule="exact" w:val="115"/>
          <w:tblHeader/>
        </w:trPr>
        <w:tc>
          <w:tcPr>
            <w:tcW w:w="4529" w:type="dxa"/>
            <w:tcBorders>
              <w:top w:val="single" w:sz="12" w:space="0" w:color="auto"/>
            </w:tcBorders>
            <w:shd w:val="clear" w:color="auto" w:fill="auto"/>
            <w:vAlign w:val="bottom"/>
          </w:tcPr>
          <w:p w:rsidR="001F30B2" w:rsidRPr="001F30B2" w:rsidRDefault="001F30B2" w:rsidP="001F30B2">
            <w:pPr>
              <w:spacing w:before="40" w:after="40" w:line="240" w:lineRule="exact"/>
              <w:ind w:right="144"/>
              <w:rPr>
                <w:sz w:val="16"/>
                <w:szCs w:val="24"/>
                <w:rtl/>
              </w:rPr>
            </w:pPr>
          </w:p>
        </w:tc>
        <w:tc>
          <w:tcPr>
            <w:tcW w:w="3030" w:type="dxa"/>
            <w:tcBorders>
              <w:top w:val="single" w:sz="12" w:space="0" w:color="auto"/>
            </w:tcBorders>
            <w:shd w:val="clear" w:color="auto" w:fill="auto"/>
            <w:vAlign w:val="bottom"/>
          </w:tcPr>
          <w:p w:rsidR="001F30B2" w:rsidRPr="001F30B2" w:rsidRDefault="001F30B2" w:rsidP="001F30B2">
            <w:pPr>
              <w:spacing w:before="40" w:after="40" w:line="240" w:lineRule="exact"/>
              <w:rPr>
                <w:sz w:val="16"/>
                <w:szCs w:val="24"/>
                <w:rtl/>
              </w:rPr>
            </w:pPr>
          </w:p>
        </w:tc>
      </w:tr>
      <w:tr w:rsidR="004C6CA6" w:rsidRPr="001F30B2" w:rsidTr="001F30B2">
        <w:trPr>
          <w:cantSplit/>
        </w:trPr>
        <w:tc>
          <w:tcPr>
            <w:tcW w:w="4529" w:type="dxa"/>
            <w:shd w:val="clear" w:color="auto" w:fill="auto"/>
            <w:vAlign w:val="bottom"/>
          </w:tcPr>
          <w:p w:rsidR="004C6CA6" w:rsidRPr="001F30B2" w:rsidRDefault="004C6CA6" w:rsidP="001F30B2">
            <w:pPr>
              <w:spacing w:before="40" w:after="40" w:line="240" w:lineRule="exact"/>
              <w:rPr>
                <w:sz w:val="16"/>
                <w:szCs w:val="24"/>
                <w:rtl/>
              </w:rPr>
            </w:pPr>
            <w:r w:rsidRPr="001F30B2">
              <w:rPr>
                <w:sz w:val="16"/>
                <w:szCs w:val="24"/>
                <w:rtl/>
              </w:rPr>
              <w:t>فيليبينيّة</w:t>
            </w:r>
          </w:p>
        </w:tc>
        <w:tc>
          <w:tcPr>
            <w:tcW w:w="3030" w:type="dxa"/>
            <w:shd w:val="clear" w:color="auto" w:fill="auto"/>
            <w:vAlign w:val="bottom"/>
          </w:tcPr>
          <w:p w:rsidR="004C6CA6" w:rsidRPr="001F30B2" w:rsidRDefault="004C6CA6" w:rsidP="001F30B2">
            <w:pPr>
              <w:spacing w:before="40" w:after="40" w:line="240" w:lineRule="exact"/>
              <w:rPr>
                <w:sz w:val="16"/>
                <w:szCs w:val="24"/>
                <w:rtl/>
              </w:rPr>
            </w:pPr>
            <w:r w:rsidRPr="001F30B2">
              <w:rPr>
                <w:sz w:val="16"/>
                <w:szCs w:val="24"/>
                <w:rtl/>
              </w:rPr>
              <w:t>4</w:t>
            </w:r>
          </w:p>
        </w:tc>
      </w:tr>
      <w:tr w:rsidR="004C6CA6" w:rsidRPr="001F30B2" w:rsidTr="001F30B2">
        <w:trPr>
          <w:cantSplit/>
        </w:trPr>
        <w:tc>
          <w:tcPr>
            <w:tcW w:w="4529" w:type="dxa"/>
            <w:shd w:val="clear" w:color="auto" w:fill="auto"/>
            <w:vAlign w:val="bottom"/>
          </w:tcPr>
          <w:p w:rsidR="004C6CA6" w:rsidRPr="001F30B2" w:rsidRDefault="004C6CA6" w:rsidP="001F30B2">
            <w:pPr>
              <w:spacing w:before="40" w:after="40" w:line="240" w:lineRule="exact"/>
              <w:rPr>
                <w:sz w:val="16"/>
                <w:szCs w:val="24"/>
                <w:rtl/>
              </w:rPr>
            </w:pPr>
            <w:r w:rsidRPr="001F30B2">
              <w:rPr>
                <w:sz w:val="16"/>
                <w:szCs w:val="24"/>
                <w:rtl/>
              </w:rPr>
              <w:t>بنغلادي</w:t>
            </w:r>
            <w:r w:rsidRPr="001F30B2">
              <w:rPr>
                <w:rFonts w:hint="cs"/>
                <w:sz w:val="16"/>
                <w:szCs w:val="24"/>
                <w:rtl/>
              </w:rPr>
              <w:t>شية</w:t>
            </w:r>
          </w:p>
        </w:tc>
        <w:tc>
          <w:tcPr>
            <w:tcW w:w="3030" w:type="dxa"/>
            <w:shd w:val="clear" w:color="auto" w:fill="auto"/>
            <w:vAlign w:val="bottom"/>
          </w:tcPr>
          <w:p w:rsidR="004C6CA6" w:rsidRPr="001F30B2" w:rsidRDefault="004C6CA6" w:rsidP="001F30B2">
            <w:pPr>
              <w:spacing w:before="40" w:after="40" w:line="240" w:lineRule="exact"/>
              <w:rPr>
                <w:sz w:val="16"/>
                <w:szCs w:val="24"/>
                <w:rtl/>
              </w:rPr>
            </w:pPr>
            <w:r w:rsidRPr="001F30B2">
              <w:rPr>
                <w:sz w:val="16"/>
                <w:szCs w:val="24"/>
                <w:rtl/>
              </w:rPr>
              <w:t>5</w:t>
            </w:r>
          </w:p>
        </w:tc>
      </w:tr>
      <w:tr w:rsidR="004C6CA6" w:rsidRPr="001F30B2" w:rsidTr="001F30B2">
        <w:trPr>
          <w:cantSplit/>
        </w:trPr>
        <w:tc>
          <w:tcPr>
            <w:tcW w:w="4529" w:type="dxa"/>
            <w:shd w:val="clear" w:color="auto" w:fill="auto"/>
            <w:vAlign w:val="bottom"/>
          </w:tcPr>
          <w:p w:rsidR="004C6CA6" w:rsidRPr="001F30B2" w:rsidRDefault="004C6CA6" w:rsidP="001F30B2">
            <w:pPr>
              <w:spacing w:before="40" w:after="40" w:line="240" w:lineRule="exact"/>
              <w:rPr>
                <w:sz w:val="16"/>
                <w:szCs w:val="24"/>
                <w:rtl/>
              </w:rPr>
            </w:pPr>
            <w:r w:rsidRPr="001F30B2">
              <w:rPr>
                <w:sz w:val="16"/>
                <w:szCs w:val="24"/>
                <w:rtl/>
              </w:rPr>
              <w:t>كاميرونيّة</w:t>
            </w:r>
          </w:p>
        </w:tc>
        <w:tc>
          <w:tcPr>
            <w:tcW w:w="3030" w:type="dxa"/>
            <w:shd w:val="clear" w:color="auto" w:fill="auto"/>
            <w:vAlign w:val="bottom"/>
          </w:tcPr>
          <w:p w:rsidR="004C6CA6" w:rsidRPr="001F30B2" w:rsidRDefault="004C6CA6" w:rsidP="001F30B2">
            <w:pPr>
              <w:spacing w:before="40" w:after="40" w:line="240" w:lineRule="exact"/>
              <w:rPr>
                <w:sz w:val="16"/>
                <w:szCs w:val="24"/>
                <w:rtl/>
              </w:rPr>
            </w:pPr>
            <w:r w:rsidRPr="001F30B2">
              <w:rPr>
                <w:sz w:val="16"/>
                <w:szCs w:val="24"/>
                <w:rtl/>
              </w:rPr>
              <w:t>2</w:t>
            </w:r>
          </w:p>
        </w:tc>
      </w:tr>
      <w:tr w:rsidR="004C6CA6" w:rsidRPr="001F30B2" w:rsidTr="001F30B2">
        <w:trPr>
          <w:cantSplit/>
        </w:trPr>
        <w:tc>
          <w:tcPr>
            <w:tcW w:w="4529" w:type="dxa"/>
            <w:shd w:val="clear" w:color="auto" w:fill="auto"/>
            <w:vAlign w:val="bottom"/>
          </w:tcPr>
          <w:p w:rsidR="004C6CA6" w:rsidRPr="001F30B2" w:rsidRDefault="004C6CA6" w:rsidP="001F30B2">
            <w:pPr>
              <w:spacing w:before="40" w:after="40" w:line="240" w:lineRule="exact"/>
              <w:rPr>
                <w:sz w:val="16"/>
                <w:szCs w:val="24"/>
                <w:rtl/>
              </w:rPr>
            </w:pPr>
            <w:r w:rsidRPr="001F30B2">
              <w:rPr>
                <w:sz w:val="16"/>
                <w:szCs w:val="24"/>
                <w:rtl/>
              </w:rPr>
              <w:lastRenderedPageBreak/>
              <w:t>نيباليّة</w:t>
            </w:r>
          </w:p>
        </w:tc>
        <w:tc>
          <w:tcPr>
            <w:tcW w:w="3030" w:type="dxa"/>
            <w:shd w:val="clear" w:color="auto" w:fill="auto"/>
            <w:vAlign w:val="bottom"/>
          </w:tcPr>
          <w:p w:rsidR="004C6CA6" w:rsidRPr="001F30B2" w:rsidRDefault="004C6CA6" w:rsidP="001F30B2">
            <w:pPr>
              <w:spacing w:before="40" w:after="40" w:line="240" w:lineRule="exact"/>
              <w:rPr>
                <w:sz w:val="16"/>
                <w:szCs w:val="24"/>
                <w:rtl/>
              </w:rPr>
            </w:pPr>
            <w:r w:rsidRPr="001F30B2">
              <w:rPr>
                <w:sz w:val="16"/>
                <w:szCs w:val="24"/>
                <w:rtl/>
              </w:rPr>
              <w:t>2</w:t>
            </w:r>
          </w:p>
        </w:tc>
      </w:tr>
      <w:tr w:rsidR="004C6CA6" w:rsidRPr="001F30B2" w:rsidTr="001F30B2">
        <w:trPr>
          <w:cantSplit/>
        </w:trPr>
        <w:tc>
          <w:tcPr>
            <w:tcW w:w="4529" w:type="dxa"/>
            <w:shd w:val="clear" w:color="auto" w:fill="auto"/>
            <w:vAlign w:val="bottom"/>
          </w:tcPr>
          <w:p w:rsidR="004C6CA6" w:rsidRPr="001F30B2" w:rsidRDefault="004C6CA6" w:rsidP="001F30B2">
            <w:pPr>
              <w:spacing w:before="40" w:after="40" w:line="240" w:lineRule="exact"/>
              <w:rPr>
                <w:sz w:val="16"/>
                <w:szCs w:val="24"/>
                <w:rtl/>
              </w:rPr>
            </w:pPr>
            <w:r w:rsidRPr="001F30B2">
              <w:rPr>
                <w:sz w:val="16"/>
                <w:szCs w:val="24"/>
                <w:rtl/>
              </w:rPr>
              <w:t>ملغاشيّة</w:t>
            </w:r>
          </w:p>
        </w:tc>
        <w:tc>
          <w:tcPr>
            <w:tcW w:w="3030" w:type="dxa"/>
            <w:shd w:val="clear" w:color="auto" w:fill="auto"/>
            <w:vAlign w:val="bottom"/>
          </w:tcPr>
          <w:p w:rsidR="004C6CA6" w:rsidRPr="001F30B2" w:rsidRDefault="004C6CA6" w:rsidP="001F30B2">
            <w:pPr>
              <w:spacing w:before="40" w:after="40" w:line="240" w:lineRule="exact"/>
              <w:rPr>
                <w:sz w:val="16"/>
                <w:szCs w:val="24"/>
                <w:rtl/>
              </w:rPr>
            </w:pPr>
            <w:r w:rsidRPr="001F30B2">
              <w:rPr>
                <w:sz w:val="16"/>
                <w:szCs w:val="24"/>
                <w:rtl/>
              </w:rPr>
              <w:t>1</w:t>
            </w:r>
          </w:p>
        </w:tc>
      </w:tr>
      <w:tr w:rsidR="004C6CA6" w:rsidRPr="001F30B2" w:rsidTr="001F30B2">
        <w:trPr>
          <w:cantSplit/>
        </w:trPr>
        <w:tc>
          <w:tcPr>
            <w:tcW w:w="4529" w:type="dxa"/>
            <w:shd w:val="clear" w:color="auto" w:fill="auto"/>
            <w:vAlign w:val="bottom"/>
          </w:tcPr>
          <w:p w:rsidR="004C6CA6" w:rsidRPr="001F30B2" w:rsidRDefault="004C6CA6" w:rsidP="001F30B2">
            <w:pPr>
              <w:spacing w:before="40" w:after="40" w:line="240" w:lineRule="exact"/>
              <w:rPr>
                <w:sz w:val="16"/>
                <w:szCs w:val="24"/>
                <w:rtl/>
              </w:rPr>
            </w:pPr>
            <w:r w:rsidRPr="001F30B2">
              <w:rPr>
                <w:sz w:val="16"/>
                <w:szCs w:val="24"/>
                <w:rtl/>
              </w:rPr>
              <w:t>توغوليّة</w:t>
            </w:r>
          </w:p>
        </w:tc>
        <w:tc>
          <w:tcPr>
            <w:tcW w:w="3030" w:type="dxa"/>
            <w:shd w:val="clear" w:color="auto" w:fill="auto"/>
            <w:vAlign w:val="bottom"/>
          </w:tcPr>
          <w:p w:rsidR="004C6CA6" w:rsidRPr="001F30B2" w:rsidRDefault="004C6CA6" w:rsidP="001F30B2">
            <w:pPr>
              <w:spacing w:before="40" w:after="40" w:line="240" w:lineRule="exact"/>
              <w:rPr>
                <w:sz w:val="16"/>
                <w:szCs w:val="24"/>
                <w:rtl/>
              </w:rPr>
            </w:pPr>
            <w:r w:rsidRPr="001F30B2">
              <w:rPr>
                <w:sz w:val="16"/>
                <w:szCs w:val="24"/>
                <w:rtl/>
              </w:rPr>
              <w:t>2</w:t>
            </w:r>
          </w:p>
        </w:tc>
      </w:tr>
      <w:tr w:rsidR="004C6CA6" w:rsidRPr="001F30B2" w:rsidTr="001F30B2">
        <w:trPr>
          <w:cantSplit/>
        </w:trPr>
        <w:tc>
          <w:tcPr>
            <w:tcW w:w="4529" w:type="dxa"/>
            <w:shd w:val="clear" w:color="auto" w:fill="auto"/>
            <w:vAlign w:val="bottom"/>
          </w:tcPr>
          <w:p w:rsidR="004C6CA6" w:rsidRPr="001F30B2" w:rsidRDefault="004C6CA6" w:rsidP="001F30B2">
            <w:pPr>
              <w:spacing w:before="40" w:after="40" w:line="240" w:lineRule="exact"/>
              <w:rPr>
                <w:sz w:val="16"/>
                <w:szCs w:val="24"/>
                <w:rtl/>
              </w:rPr>
            </w:pPr>
            <w:r w:rsidRPr="001F30B2">
              <w:rPr>
                <w:sz w:val="16"/>
                <w:szCs w:val="24"/>
                <w:rtl/>
              </w:rPr>
              <w:t>كونغوليّة</w:t>
            </w:r>
          </w:p>
        </w:tc>
        <w:tc>
          <w:tcPr>
            <w:tcW w:w="3030" w:type="dxa"/>
            <w:shd w:val="clear" w:color="auto" w:fill="auto"/>
            <w:vAlign w:val="bottom"/>
          </w:tcPr>
          <w:p w:rsidR="004C6CA6" w:rsidRPr="001F30B2" w:rsidRDefault="004C6CA6" w:rsidP="001F30B2">
            <w:pPr>
              <w:spacing w:before="40" w:after="40" w:line="240" w:lineRule="exact"/>
              <w:rPr>
                <w:sz w:val="16"/>
                <w:szCs w:val="24"/>
                <w:rtl/>
              </w:rPr>
            </w:pPr>
            <w:r w:rsidRPr="001F30B2">
              <w:rPr>
                <w:sz w:val="16"/>
                <w:szCs w:val="24"/>
                <w:rtl/>
              </w:rPr>
              <w:t>1</w:t>
            </w:r>
          </w:p>
        </w:tc>
      </w:tr>
      <w:tr w:rsidR="004C6CA6" w:rsidRPr="001F30B2" w:rsidTr="001F30B2">
        <w:trPr>
          <w:cantSplit/>
        </w:trPr>
        <w:tc>
          <w:tcPr>
            <w:tcW w:w="4529" w:type="dxa"/>
            <w:shd w:val="clear" w:color="auto" w:fill="auto"/>
            <w:vAlign w:val="bottom"/>
          </w:tcPr>
          <w:p w:rsidR="004C6CA6" w:rsidRPr="001F30B2" w:rsidRDefault="004C6CA6" w:rsidP="001F30B2">
            <w:pPr>
              <w:spacing w:before="40" w:after="40" w:line="240" w:lineRule="exact"/>
              <w:rPr>
                <w:sz w:val="16"/>
                <w:szCs w:val="24"/>
                <w:rtl/>
              </w:rPr>
            </w:pPr>
            <w:r w:rsidRPr="001F30B2">
              <w:rPr>
                <w:sz w:val="16"/>
                <w:szCs w:val="24"/>
                <w:rtl/>
              </w:rPr>
              <w:t>كينيّة</w:t>
            </w:r>
          </w:p>
        </w:tc>
        <w:tc>
          <w:tcPr>
            <w:tcW w:w="3030" w:type="dxa"/>
            <w:shd w:val="clear" w:color="auto" w:fill="auto"/>
            <w:vAlign w:val="bottom"/>
          </w:tcPr>
          <w:p w:rsidR="004C6CA6" w:rsidRPr="001F30B2" w:rsidRDefault="004C6CA6" w:rsidP="001F30B2">
            <w:pPr>
              <w:spacing w:before="40" w:after="40" w:line="240" w:lineRule="exact"/>
              <w:rPr>
                <w:sz w:val="16"/>
                <w:szCs w:val="24"/>
                <w:rtl/>
              </w:rPr>
            </w:pPr>
            <w:r w:rsidRPr="001F30B2">
              <w:rPr>
                <w:sz w:val="16"/>
                <w:szCs w:val="24"/>
                <w:rtl/>
              </w:rPr>
              <w:t>4</w:t>
            </w:r>
          </w:p>
        </w:tc>
      </w:tr>
      <w:tr w:rsidR="004C6CA6" w:rsidRPr="001F30B2" w:rsidTr="001F30B2">
        <w:trPr>
          <w:cantSplit/>
        </w:trPr>
        <w:tc>
          <w:tcPr>
            <w:tcW w:w="4529" w:type="dxa"/>
            <w:shd w:val="clear" w:color="auto" w:fill="auto"/>
            <w:vAlign w:val="bottom"/>
          </w:tcPr>
          <w:p w:rsidR="004C6CA6" w:rsidRPr="001F30B2" w:rsidRDefault="004C6CA6" w:rsidP="001F30B2">
            <w:pPr>
              <w:spacing w:before="40" w:after="40" w:line="240" w:lineRule="exact"/>
              <w:rPr>
                <w:sz w:val="16"/>
                <w:szCs w:val="24"/>
                <w:rtl/>
              </w:rPr>
            </w:pPr>
            <w:r w:rsidRPr="001F30B2">
              <w:rPr>
                <w:sz w:val="16"/>
                <w:szCs w:val="24"/>
                <w:rtl/>
              </w:rPr>
              <w:t>أثيوبيّة</w:t>
            </w:r>
          </w:p>
        </w:tc>
        <w:tc>
          <w:tcPr>
            <w:tcW w:w="3030" w:type="dxa"/>
            <w:shd w:val="clear" w:color="auto" w:fill="auto"/>
            <w:vAlign w:val="bottom"/>
          </w:tcPr>
          <w:p w:rsidR="004C6CA6" w:rsidRPr="001F30B2" w:rsidRDefault="004C6CA6" w:rsidP="001F30B2">
            <w:pPr>
              <w:spacing w:before="40" w:after="40" w:line="240" w:lineRule="exact"/>
              <w:rPr>
                <w:sz w:val="16"/>
                <w:szCs w:val="24"/>
                <w:rtl/>
              </w:rPr>
            </w:pPr>
            <w:r w:rsidRPr="001F30B2">
              <w:rPr>
                <w:sz w:val="16"/>
                <w:szCs w:val="24"/>
                <w:rtl/>
              </w:rPr>
              <w:t>23</w:t>
            </w:r>
          </w:p>
        </w:tc>
      </w:tr>
      <w:tr w:rsidR="004C6CA6" w:rsidRPr="001F30B2" w:rsidTr="001F30B2">
        <w:trPr>
          <w:cantSplit/>
        </w:trPr>
        <w:tc>
          <w:tcPr>
            <w:tcW w:w="4529" w:type="dxa"/>
            <w:tcBorders>
              <w:bottom w:val="single" w:sz="12" w:space="0" w:color="auto"/>
            </w:tcBorders>
            <w:shd w:val="clear" w:color="auto" w:fill="auto"/>
            <w:vAlign w:val="bottom"/>
          </w:tcPr>
          <w:p w:rsidR="004C6CA6" w:rsidRPr="001F30B2" w:rsidRDefault="004C6CA6" w:rsidP="001F30B2">
            <w:pPr>
              <w:spacing w:before="40" w:after="40" w:line="240" w:lineRule="exact"/>
              <w:rPr>
                <w:sz w:val="16"/>
                <w:szCs w:val="24"/>
                <w:rtl/>
              </w:rPr>
            </w:pPr>
            <w:r w:rsidRPr="001F30B2">
              <w:rPr>
                <w:sz w:val="16"/>
                <w:szCs w:val="24"/>
                <w:rtl/>
              </w:rPr>
              <w:t>مدغشقريّة</w:t>
            </w:r>
          </w:p>
        </w:tc>
        <w:tc>
          <w:tcPr>
            <w:tcW w:w="3030" w:type="dxa"/>
            <w:tcBorders>
              <w:bottom w:val="single" w:sz="12" w:space="0" w:color="auto"/>
            </w:tcBorders>
            <w:shd w:val="clear" w:color="auto" w:fill="auto"/>
            <w:vAlign w:val="bottom"/>
          </w:tcPr>
          <w:p w:rsidR="004C6CA6" w:rsidRPr="001F30B2" w:rsidRDefault="004C6CA6" w:rsidP="001F30B2">
            <w:pPr>
              <w:spacing w:before="40" w:after="40" w:line="240" w:lineRule="exact"/>
              <w:rPr>
                <w:sz w:val="16"/>
                <w:szCs w:val="24"/>
                <w:rtl/>
              </w:rPr>
            </w:pPr>
            <w:r w:rsidRPr="001F30B2">
              <w:rPr>
                <w:sz w:val="16"/>
                <w:szCs w:val="24"/>
                <w:rtl/>
              </w:rPr>
              <w:t>1</w:t>
            </w:r>
          </w:p>
        </w:tc>
      </w:tr>
    </w:tbl>
    <w:p w:rsidR="004C6CA6" w:rsidRPr="003D6DE5" w:rsidRDefault="004C6CA6" w:rsidP="003D6DE5">
      <w:pPr>
        <w:pStyle w:val="SingleTxt"/>
        <w:spacing w:after="0" w:line="120" w:lineRule="exact"/>
        <w:rPr>
          <w:sz w:val="10"/>
          <w:rtl/>
        </w:rPr>
      </w:pPr>
    </w:p>
    <w:p w:rsidR="003D6DE5" w:rsidRPr="003D6DE5" w:rsidRDefault="003D6DE5" w:rsidP="003D6DE5">
      <w:pPr>
        <w:pStyle w:val="SingleTxt"/>
        <w:spacing w:after="0" w:line="120" w:lineRule="exact"/>
        <w:rPr>
          <w:sz w:val="10"/>
          <w:rtl/>
        </w:rPr>
      </w:pPr>
    </w:p>
    <w:p w:rsidR="003D6DE5" w:rsidRPr="003D6DE5" w:rsidRDefault="003D6DE5" w:rsidP="003D6DE5">
      <w:pPr>
        <w:pStyle w:val="SingleTxt"/>
        <w:spacing w:after="0" w:line="120" w:lineRule="exact"/>
        <w:rPr>
          <w:sz w:val="10"/>
          <w:rtl/>
        </w:rPr>
      </w:pPr>
    </w:p>
    <w:p w:rsidR="003D6DE5" w:rsidRPr="003D6DE5" w:rsidRDefault="003D6DE5" w:rsidP="003D6DE5">
      <w:pPr>
        <w:pStyle w:val="SingleTxt"/>
        <w:spacing w:after="0" w:line="120" w:lineRule="exact"/>
        <w:rPr>
          <w:sz w:val="10"/>
          <w:rtl/>
        </w:rPr>
      </w:pPr>
    </w:p>
    <w:tbl>
      <w:tblPr>
        <w:bidiVisual/>
        <w:tblW w:w="7531" w:type="dxa"/>
        <w:tblInd w:w="1382" w:type="dxa"/>
        <w:tblLook w:val="04A0" w:firstRow="1" w:lastRow="0" w:firstColumn="1" w:lastColumn="0" w:noHBand="0" w:noVBand="1"/>
      </w:tblPr>
      <w:tblGrid>
        <w:gridCol w:w="6733"/>
        <w:gridCol w:w="798"/>
      </w:tblGrid>
      <w:tr w:rsidR="004C6CA6" w:rsidRPr="001F30B2" w:rsidTr="001F30B2">
        <w:trPr>
          <w:cantSplit/>
          <w:tblHeader/>
        </w:trPr>
        <w:tc>
          <w:tcPr>
            <w:tcW w:w="7531" w:type="dxa"/>
            <w:gridSpan w:val="2"/>
            <w:tcBorders>
              <w:top w:val="single" w:sz="4" w:space="0" w:color="auto"/>
              <w:bottom w:val="single" w:sz="12" w:space="0" w:color="auto"/>
            </w:tcBorders>
            <w:shd w:val="clear" w:color="auto" w:fill="auto"/>
            <w:vAlign w:val="bottom"/>
          </w:tcPr>
          <w:p w:rsidR="004C6CA6" w:rsidRPr="001F30B2" w:rsidRDefault="004C6CA6" w:rsidP="001F30B2">
            <w:pPr>
              <w:spacing w:before="80" w:after="80" w:line="240" w:lineRule="exact"/>
              <w:rPr>
                <w:i/>
                <w:iCs/>
                <w:sz w:val="16"/>
                <w:szCs w:val="24"/>
                <w:rtl/>
              </w:rPr>
            </w:pPr>
            <w:r w:rsidRPr="001F30B2">
              <w:rPr>
                <w:i/>
                <w:iCs/>
                <w:sz w:val="16"/>
                <w:szCs w:val="24"/>
                <w:rtl/>
              </w:rPr>
              <w:t>أنواع الشّكاوى المقدّمة من قبل الضّحايا المحتملات بحسب ورود الشّكوى (يمكن أن تكون ضحيّة محتملة واحدة قد تقدّمت بأكثر من شكوى)</w:t>
            </w:r>
          </w:p>
        </w:tc>
      </w:tr>
      <w:tr w:rsidR="001F30B2" w:rsidRPr="001F30B2" w:rsidTr="001F30B2">
        <w:trPr>
          <w:cantSplit/>
          <w:trHeight w:hRule="exact" w:val="115"/>
          <w:tblHeader/>
        </w:trPr>
        <w:tc>
          <w:tcPr>
            <w:tcW w:w="6733" w:type="dxa"/>
            <w:tcBorders>
              <w:top w:val="single" w:sz="12" w:space="0" w:color="auto"/>
            </w:tcBorders>
            <w:shd w:val="clear" w:color="auto" w:fill="auto"/>
            <w:vAlign w:val="bottom"/>
          </w:tcPr>
          <w:p w:rsidR="001F30B2" w:rsidRPr="001F30B2" w:rsidRDefault="001F30B2" w:rsidP="001F30B2">
            <w:pPr>
              <w:spacing w:before="40" w:after="40" w:line="240" w:lineRule="exact"/>
              <w:ind w:right="144"/>
              <w:rPr>
                <w:sz w:val="16"/>
                <w:szCs w:val="24"/>
                <w:rtl/>
              </w:rPr>
            </w:pPr>
          </w:p>
        </w:tc>
        <w:tc>
          <w:tcPr>
            <w:tcW w:w="798" w:type="dxa"/>
            <w:tcBorders>
              <w:top w:val="single" w:sz="12" w:space="0" w:color="auto"/>
            </w:tcBorders>
            <w:shd w:val="clear" w:color="auto" w:fill="auto"/>
            <w:vAlign w:val="bottom"/>
          </w:tcPr>
          <w:p w:rsidR="001F30B2" w:rsidRPr="001F30B2" w:rsidRDefault="001F30B2" w:rsidP="001F30B2">
            <w:pPr>
              <w:spacing w:before="40" w:after="40" w:line="240" w:lineRule="exact"/>
              <w:rPr>
                <w:sz w:val="16"/>
                <w:szCs w:val="24"/>
                <w:rtl/>
              </w:rPr>
            </w:pPr>
          </w:p>
        </w:tc>
      </w:tr>
      <w:tr w:rsidR="004C6CA6" w:rsidRPr="001F30B2" w:rsidTr="001F30B2">
        <w:trPr>
          <w:cantSplit/>
        </w:trPr>
        <w:tc>
          <w:tcPr>
            <w:tcW w:w="6733" w:type="dxa"/>
            <w:shd w:val="clear" w:color="auto" w:fill="auto"/>
            <w:vAlign w:val="bottom"/>
          </w:tcPr>
          <w:p w:rsidR="004C6CA6" w:rsidRPr="001F30B2" w:rsidRDefault="004C6CA6" w:rsidP="001F30B2">
            <w:pPr>
              <w:spacing w:before="40" w:after="40" w:line="240" w:lineRule="exact"/>
              <w:rPr>
                <w:sz w:val="16"/>
                <w:szCs w:val="24"/>
                <w:rtl/>
              </w:rPr>
            </w:pPr>
            <w:r w:rsidRPr="001F30B2">
              <w:rPr>
                <w:sz w:val="16"/>
                <w:szCs w:val="24"/>
                <w:rtl/>
              </w:rPr>
              <w:t>أجور</w:t>
            </w:r>
          </w:p>
        </w:tc>
        <w:tc>
          <w:tcPr>
            <w:tcW w:w="798" w:type="dxa"/>
            <w:shd w:val="clear" w:color="auto" w:fill="auto"/>
            <w:vAlign w:val="bottom"/>
          </w:tcPr>
          <w:p w:rsidR="004C6CA6" w:rsidRPr="001F30B2" w:rsidRDefault="004C6CA6" w:rsidP="001F30B2">
            <w:pPr>
              <w:spacing w:before="40" w:after="40" w:line="240" w:lineRule="exact"/>
              <w:rPr>
                <w:sz w:val="16"/>
                <w:szCs w:val="24"/>
                <w:rtl/>
              </w:rPr>
            </w:pPr>
            <w:r w:rsidRPr="001F30B2">
              <w:rPr>
                <w:sz w:val="16"/>
                <w:szCs w:val="24"/>
                <w:rtl/>
              </w:rPr>
              <w:t>25</w:t>
            </w:r>
          </w:p>
        </w:tc>
      </w:tr>
      <w:tr w:rsidR="004C6CA6" w:rsidRPr="001F30B2" w:rsidTr="001F30B2">
        <w:trPr>
          <w:cantSplit/>
        </w:trPr>
        <w:tc>
          <w:tcPr>
            <w:tcW w:w="6733" w:type="dxa"/>
            <w:shd w:val="clear" w:color="auto" w:fill="auto"/>
            <w:vAlign w:val="bottom"/>
          </w:tcPr>
          <w:p w:rsidR="004C6CA6" w:rsidRPr="001F30B2" w:rsidRDefault="004C6CA6" w:rsidP="001F30B2">
            <w:pPr>
              <w:spacing w:before="40" w:after="40" w:line="240" w:lineRule="exact"/>
              <w:rPr>
                <w:sz w:val="16"/>
                <w:szCs w:val="24"/>
                <w:rtl/>
              </w:rPr>
            </w:pPr>
            <w:r w:rsidRPr="001F30B2">
              <w:rPr>
                <w:sz w:val="16"/>
                <w:szCs w:val="24"/>
                <w:rtl/>
              </w:rPr>
              <w:t>ضرب</w:t>
            </w:r>
          </w:p>
        </w:tc>
        <w:tc>
          <w:tcPr>
            <w:tcW w:w="798" w:type="dxa"/>
            <w:shd w:val="clear" w:color="auto" w:fill="auto"/>
            <w:vAlign w:val="bottom"/>
          </w:tcPr>
          <w:p w:rsidR="004C6CA6" w:rsidRPr="001F30B2" w:rsidRDefault="004C6CA6" w:rsidP="001F30B2">
            <w:pPr>
              <w:spacing w:before="40" w:after="40" w:line="240" w:lineRule="exact"/>
              <w:rPr>
                <w:sz w:val="16"/>
                <w:szCs w:val="24"/>
                <w:rtl/>
              </w:rPr>
            </w:pPr>
            <w:r w:rsidRPr="001F30B2">
              <w:rPr>
                <w:sz w:val="16"/>
                <w:szCs w:val="24"/>
                <w:rtl/>
              </w:rPr>
              <w:t>31</w:t>
            </w:r>
          </w:p>
        </w:tc>
      </w:tr>
      <w:tr w:rsidR="004C6CA6" w:rsidRPr="001F30B2" w:rsidTr="001F30B2">
        <w:trPr>
          <w:cantSplit/>
        </w:trPr>
        <w:tc>
          <w:tcPr>
            <w:tcW w:w="6733" w:type="dxa"/>
            <w:shd w:val="clear" w:color="auto" w:fill="auto"/>
            <w:vAlign w:val="bottom"/>
          </w:tcPr>
          <w:p w:rsidR="004C6CA6" w:rsidRPr="001F30B2" w:rsidRDefault="004C6CA6" w:rsidP="001F30B2">
            <w:pPr>
              <w:spacing w:before="40" w:after="40" w:line="240" w:lineRule="exact"/>
              <w:rPr>
                <w:sz w:val="16"/>
                <w:szCs w:val="24"/>
                <w:rtl/>
              </w:rPr>
            </w:pPr>
            <w:r w:rsidRPr="001F30B2">
              <w:rPr>
                <w:sz w:val="16"/>
                <w:szCs w:val="24"/>
                <w:rtl/>
              </w:rPr>
              <w:t>سوء معاملة</w:t>
            </w:r>
          </w:p>
        </w:tc>
        <w:tc>
          <w:tcPr>
            <w:tcW w:w="798" w:type="dxa"/>
            <w:shd w:val="clear" w:color="auto" w:fill="auto"/>
            <w:vAlign w:val="bottom"/>
          </w:tcPr>
          <w:p w:rsidR="004C6CA6" w:rsidRPr="001F30B2" w:rsidRDefault="004C6CA6" w:rsidP="001F30B2">
            <w:pPr>
              <w:spacing w:before="40" w:after="40" w:line="240" w:lineRule="exact"/>
              <w:rPr>
                <w:sz w:val="16"/>
                <w:szCs w:val="24"/>
                <w:rtl/>
              </w:rPr>
            </w:pPr>
            <w:r w:rsidRPr="001F30B2">
              <w:rPr>
                <w:sz w:val="16"/>
                <w:szCs w:val="24"/>
                <w:rtl/>
              </w:rPr>
              <w:t>20</w:t>
            </w:r>
          </w:p>
        </w:tc>
      </w:tr>
      <w:tr w:rsidR="004C6CA6" w:rsidRPr="001F30B2" w:rsidTr="001F30B2">
        <w:trPr>
          <w:cantSplit/>
        </w:trPr>
        <w:tc>
          <w:tcPr>
            <w:tcW w:w="6733" w:type="dxa"/>
            <w:shd w:val="clear" w:color="auto" w:fill="auto"/>
            <w:vAlign w:val="bottom"/>
          </w:tcPr>
          <w:p w:rsidR="004C6CA6" w:rsidRPr="001F30B2" w:rsidRDefault="004C6CA6" w:rsidP="001F30B2">
            <w:pPr>
              <w:spacing w:before="40" w:after="40" w:line="240" w:lineRule="exact"/>
              <w:rPr>
                <w:sz w:val="16"/>
                <w:szCs w:val="24"/>
                <w:rtl/>
              </w:rPr>
            </w:pPr>
            <w:r w:rsidRPr="001F30B2">
              <w:rPr>
                <w:sz w:val="16"/>
                <w:szCs w:val="24"/>
                <w:rtl/>
              </w:rPr>
              <w:t>تهديد</w:t>
            </w:r>
          </w:p>
        </w:tc>
        <w:tc>
          <w:tcPr>
            <w:tcW w:w="798" w:type="dxa"/>
            <w:shd w:val="clear" w:color="auto" w:fill="auto"/>
            <w:vAlign w:val="bottom"/>
          </w:tcPr>
          <w:p w:rsidR="004C6CA6" w:rsidRPr="001F30B2" w:rsidRDefault="004C6CA6" w:rsidP="001F30B2">
            <w:pPr>
              <w:spacing w:before="40" w:after="40" w:line="240" w:lineRule="exact"/>
              <w:rPr>
                <w:sz w:val="16"/>
                <w:szCs w:val="24"/>
                <w:rtl/>
              </w:rPr>
            </w:pPr>
            <w:r w:rsidRPr="001F30B2">
              <w:rPr>
                <w:sz w:val="16"/>
                <w:szCs w:val="24"/>
                <w:rtl/>
              </w:rPr>
              <w:t>3</w:t>
            </w:r>
          </w:p>
        </w:tc>
      </w:tr>
      <w:tr w:rsidR="004C6CA6" w:rsidRPr="001F30B2" w:rsidTr="001F30B2">
        <w:trPr>
          <w:cantSplit/>
        </w:trPr>
        <w:tc>
          <w:tcPr>
            <w:tcW w:w="6733" w:type="dxa"/>
            <w:shd w:val="clear" w:color="auto" w:fill="auto"/>
            <w:vAlign w:val="bottom"/>
          </w:tcPr>
          <w:p w:rsidR="004C6CA6" w:rsidRPr="001F30B2" w:rsidRDefault="004C6CA6" w:rsidP="001F30B2">
            <w:pPr>
              <w:spacing w:before="40" w:after="40" w:line="240" w:lineRule="exact"/>
              <w:rPr>
                <w:sz w:val="16"/>
                <w:szCs w:val="24"/>
                <w:rtl/>
              </w:rPr>
            </w:pPr>
            <w:r w:rsidRPr="001F30B2">
              <w:rPr>
                <w:sz w:val="16"/>
                <w:szCs w:val="24"/>
                <w:rtl/>
              </w:rPr>
              <w:t>تحرّش جنسي</w:t>
            </w:r>
          </w:p>
        </w:tc>
        <w:tc>
          <w:tcPr>
            <w:tcW w:w="798" w:type="dxa"/>
            <w:shd w:val="clear" w:color="auto" w:fill="auto"/>
            <w:vAlign w:val="bottom"/>
          </w:tcPr>
          <w:p w:rsidR="004C6CA6" w:rsidRPr="001F30B2" w:rsidRDefault="004C6CA6" w:rsidP="001F30B2">
            <w:pPr>
              <w:spacing w:before="40" w:after="40" w:line="240" w:lineRule="exact"/>
              <w:rPr>
                <w:sz w:val="16"/>
                <w:szCs w:val="24"/>
                <w:rtl/>
              </w:rPr>
            </w:pPr>
            <w:r w:rsidRPr="001F30B2">
              <w:rPr>
                <w:sz w:val="16"/>
                <w:szCs w:val="24"/>
                <w:rtl/>
              </w:rPr>
              <w:t>6</w:t>
            </w:r>
          </w:p>
        </w:tc>
      </w:tr>
      <w:tr w:rsidR="004C6CA6" w:rsidRPr="001F30B2" w:rsidTr="001F30B2">
        <w:trPr>
          <w:cantSplit/>
        </w:trPr>
        <w:tc>
          <w:tcPr>
            <w:tcW w:w="6733" w:type="dxa"/>
            <w:shd w:val="clear" w:color="auto" w:fill="auto"/>
            <w:vAlign w:val="bottom"/>
          </w:tcPr>
          <w:p w:rsidR="004C6CA6" w:rsidRPr="001F30B2" w:rsidRDefault="004C6CA6" w:rsidP="001F30B2">
            <w:pPr>
              <w:spacing w:before="40" w:after="40" w:line="240" w:lineRule="exact"/>
              <w:rPr>
                <w:sz w:val="16"/>
                <w:szCs w:val="24"/>
                <w:rtl/>
              </w:rPr>
            </w:pPr>
            <w:r w:rsidRPr="001F30B2">
              <w:rPr>
                <w:rFonts w:hint="cs"/>
                <w:sz w:val="16"/>
                <w:szCs w:val="24"/>
                <w:rtl/>
              </w:rPr>
              <w:t>ا</w:t>
            </w:r>
            <w:r w:rsidRPr="001F30B2">
              <w:rPr>
                <w:sz w:val="16"/>
                <w:szCs w:val="24"/>
                <w:rtl/>
              </w:rPr>
              <w:t>حتجاز</w:t>
            </w:r>
          </w:p>
        </w:tc>
        <w:tc>
          <w:tcPr>
            <w:tcW w:w="798" w:type="dxa"/>
            <w:shd w:val="clear" w:color="auto" w:fill="auto"/>
            <w:vAlign w:val="bottom"/>
          </w:tcPr>
          <w:p w:rsidR="004C6CA6" w:rsidRPr="001F30B2" w:rsidRDefault="004C6CA6" w:rsidP="001F30B2">
            <w:pPr>
              <w:spacing w:before="40" w:after="40" w:line="240" w:lineRule="exact"/>
              <w:rPr>
                <w:sz w:val="16"/>
                <w:szCs w:val="24"/>
                <w:rtl/>
              </w:rPr>
            </w:pPr>
            <w:r w:rsidRPr="001F30B2">
              <w:rPr>
                <w:sz w:val="16"/>
                <w:szCs w:val="24"/>
                <w:rtl/>
              </w:rPr>
              <w:t>3</w:t>
            </w:r>
          </w:p>
        </w:tc>
      </w:tr>
      <w:tr w:rsidR="004C6CA6" w:rsidRPr="001F30B2" w:rsidTr="001F30B2">
        <w:trPr>
          <w:cantSplit/>
        </w:trPr>
        <w:tc>
          <w:tcPr>
            <w:tcW w:w="6733" w:type="dxa"/>
            <w:shd w:val="clear" w:color="auto" w:fill="auto"/>
            <w:vAlign w:val="bottom"/>
          </w:tcPr>
          <w:p w:rsidR="004C6CA6" w:rsidRPr="001F30B2" w:rsidRDefault="004C6CA6" w:rsidP="001F30B2">
            <w:pPr>
              <w:spacing w:before="40" w:after="40" w:line="240" w:lineRule="exact"/>
              <w:rPr>
                <w:sz w:val="16"/>
                <w:szCs w:val="24"/>
                <w:rtl/>
              </w:rPr>
            </w:pPr>
            <w:r w:rsidRPr="001F30B2">
              <w:rPr>
                <w:rFonts w:hint="cs"/>
                <w:sz w:val="16"/>
                <w:szCs w:val="24"/>
                <w:rtl/>
              </w:rPr>
              <w:t>ا</w:t>
            </w:r>
            <w:r w:rsidRPr="001F30B2">
              <w:rPr>
                <w:sz w:val="16"/>
                <w:szCs w:val="24"/>
                <w:rtl/>
              </w:rPr>
              <w:t>غتصاب</w:t>
            </w:r>
          </w:p>
        </w:tc>
        <w:tc>
          <w:tcPr>
            <w:tcW w:w="798" w:type="dxa"/>
            <w:shd w:val="clear" w:color="auto" w:fill="auto"/>
            <w:vAlign w:val="bottom"/>
          </w:tcPr>
          <w:p w:rsidR="004C6CA6" w:rsidRPr="001F30B2" w:rsidRDefault="004C6CA6" w:rsidP="001F30B2">
            <w:pPr>
              <w:spacing w:before="40" w:after="40" w:line="240" w:lineRule="exact"/>
              <w:rPr>
                <w:sz w:val="16"/>
                <w:szCs w:val="24"/>
                <w:rtl/>
              </w:rPr>
            </w:pPr>
            <w:r w:rsidRPr="001F30B2">
              <w:rPr>
                <w:sz w:val="16"/>
                <w:szCs w:val="24"/>
                <w:rtl/>
              </w:rPr>
              <w:t>1</w:t>
            </w:r>
          </w:p>
        </w:tc>
      </w:tr>
      <w:tr w:rsidR="004C6CA6" w:rsidRPr="001F30B2" w:rsidTr="001F30B2">
        <w:trPr>
          <w:cantSplit/>
        </w:trPr>
        <w:tc>
          <w:tcPr>
            <w:tcW w:w="6733" w:type="dxa"/>
            <w:shd w:val="clear" w:color="auto" w:fill="auto"/>
            <w:vAlign w:val="bottom"/>
          </w:tcPr>
          <w:p w:rsidR="004C6CA6" w:rsidRPr="001F30B2" w:rsidRDefault="004C6CA6" w:rsidP="001F30B2">
            <w:pPr>
              <w:spacing w:before="40" w:after="40" w:line="240" w:lineRule="exact"/>
              <w:rPr>
                <w:sz w:val="16"/>
                <w:szCs w:val="24"/>
                <w:rtl/>
              </w:rPr>
            </w:pPr>
            <w:r w:rsidRPr="001F30B2">
              <w:rPr>
                <w:sz w:val="16"/>
                <w:szCs w:val="24"/>
                <w:rtl/>
              </w:rPr>
              <w:t xml:space="preserve">سوء وجهة </w:t>
            </w:r>
            <w:r w:rsidRPr="001F30B2">
              <w:rPr>
                <w:rFonts w:hint="cs"/>
                <w:sz w:val="16"/>
                <w:szCs w:val="24"/>
                <w:rtl/>
              </w:rPr>
              <w:t>الا</w:t>
            </w:r>
            <w:r w:rsidRPr="001F30B2">
              <w:rPr>
                <w:sz w:val="16"/>
                <w:szCs w:val="24"/>
                <w:rtl/>
              </w:rPr>
              <w:t>ستخدام</w:t>
            </w:r>
          </w:p>
        </w:tc>
        <w:tc>
          <w:tcPr>
            <w:tcW w:w="798" w:type="dxa"/>
            <w:shd w:val="clear" w:color="auto" w:fill="auto"/>
            <w:vAlign w:val="bottom"/>
          </w:tcPr>
          <w:p w:rsidR="004C6CA6" w:rsidRPr="001F30B2" w:rsidRDefault="004C6CA6" w:rsidP="001F30B2">
            <w:pPr>
              <w:spacing w:before="40" w:after="40" w:line="240" w:lineRule="exact"/>
              <w:rPr>
                <w:sz w:val="16"/>
                <w:szCs w:val="24"/>
                <w:rtl/>
              </w:rPr>
            </w:pPr>
            <w:r w:rsidRPr="001F30B2">
              <w:rPr>
                <w:sz w:val="16"/>
                <w:szCs w:val="24"/>
                <w:rtl/>
              </w:rPr>
              <w:t>1</w:t>
            </w:r>
          </w:p>
        </w:tc>
      </w:tr>
      <w:tr w:rsidR="004C6CA6" w:rsidRPr="001F30B2" w:rsidTr="001F30B2">
        <w:trPr>
          <w:cantSplit/>
        </w:trPr>
        <w:tc>
          <w:tcPr>
            <w:tcW w:w="6733" w:type="dxa"/>
            <w:shd w:val="clear" w:color="auto" w:fill="auto"/>
            <w:vAlign w:val="bottom"/>
          </w:tcPr>
          <w:p w:rsidR="004C6CA6" w:rsidRPr="001F30B2" w:rsidRDefault="004C6CA6" w:rsidP="001F30B2">
            <w:pPr>
              <w:spacing w:before="40" w:after="40" w:line="240" w:lineRule="exact"/>
              <w:rPr>
                <w:sz w:val="16"/>
                <w:szCs w:val="24"/>
                <w:rtl/>
              </w:rPr>
            </w:pPr>
            <w:r w:rsidRPr="001F30B2">
              <w:rPr>
                <w:sz w:val="16"/>
                <w:szCs w:val="24"/>
                <w:rtl/>
              </w:rPr>
              <w:t>كثرة العمل</w:t>
            </w:r>
          </w:p>
        </w:tc>
        <w:tc>
          <w:tcPr>
            <w:tcW w:w="798" w:type="dxa"/>
            <w:shd w:val="clear" w:color="auto" w:fill="auto"/>
            <w:vAlign w:val="bottom"/>
          </w:tcPr>
          <w:p w:rsidR="004C6CA6" w:rsidRPr="001F30B2" w:rsidRDefault="004C6CA6" w:rsidP="001F30B2">
            <w:pPr>
              <w:spacing w:before="40" w:after="40" w:line="240" w:lineRule="exact"/>
              <w:rPr>
                <w:sz w:val="16"/>
                <w:szCs w:val="24"/>
                <w:rtl/>
              </w:rPr>
            </w:pPr>
            <w:r w:rsidRPr="001F30B2">
              <w:rPr>
                <w:sz w:val="16"/>
                <w:szCs w:val="24"/>
                <w:rtl/>
              </w:rPr>
              <w:t>7</w:t>
            </w:r>
          </w:p>
        </w:tc>
      </w:tr>
      <w:tr w:rsidR="004C6CA6" w:rsidRPr="001F30B2" w:rsidTr="001F30B2">
        <w:trPr>
          <w:cantSplit/>
        </w:trPr>
        <w:tc>
          <w:tcPr>
            <w:tcW w:w="6733" w:type="dxa"/>
            <w:shd w:val="clear" w:color="auto" w:fill="auto"/>
            <w:vAlign w:val="bottom"/>
          </w:tcPr>
          <w:p w:rsidR="004C6CA6" w:rsidRPr="001F30B2" w:rsidRDefault="004C6CA6" w:rsidP="001F30B2">
            <w:pPr>
              <w:spacing w:before="40" w:after="40" w:line="240" w:lineRule="exact"/>
              <w:rPr>
                <w:sz w:val="16"/>
                <w:szCs w:val="24"/>
                <w:rtl/>
              </w:rPr>
            </w:pPr>
            <w:r w:rsidRPr="001F30B2">
              <w:rPr>
                <w:sz w:val="16"/>
                <w:szCs w:val="24"/>
                <w:rtl/>
              </w:rPr>
              <w:t>الحمل</w:t>
            </w:r>
          </w:p>
        </w:tc>
        <w:tc>
          <w:tcPr>
            <w:tcW w:w="798" w:type="dxa"/>
            <w:shd w:val="clear" w:color="auto" w:fill="auto"/>
            <w:vAlign w:val="bottom"/>
          </w:tcPr>
          <w:p w:rsidR="004C6CA6" w:rsidRPr="001F30B2" w:rsidRDefault="004C6CA6" w:rsidP="001F30B2">
            <w:pPr>
              <w:spacing w:before="40" w:after="40" w:line="240" w:lineRule="exact"/>
              <w:rPr>
                <w:sz w:val="16"/>
                <w:szCs w:val="24"/>
                <w:rtl/>
              </w:rPr>
            </w:pPr>
            <w:r w:rsidRPr="001F30B2">
              <w:rPr>
                <w:sz w:val="16"/>
                <w:szCs w:val="24"/>
                <w:rtl/>
              </w:rPr>
              <w:t>1</w:t>
            </w:r>
          </w:p>
        </w:tc>
      </w:tr>
      <w:tr w:rsidR="004C6CA6" w:rsidRPr="001F30B2" w:rsidTr="001F30B2">
        <w:trPr>
          <w:cantSplit/>
        </w:trPr>
        <w:tc>
          <w:tcPr>
            <w:tcW w:w="6733" w:type="dxa"/>
            <w:shd w:val="clear" w:color="auto" w:fill="auto"/>
            <w:vAlign w:val="bottom"/>
          </w:tcPr>
          <w:p w:rsidR="004C6CA6" w:rsidRPr="001F30B2" w:rsidRDefault="004C6CA6" w:rsidP="001F30B2">
            <w:pPr>
              <w:spacing w:before="40" w:after="40" w:line="240" w:lineRule="exact"/>
              <w:rPr>
                <w:sz w:val="16"/>
                <w:szCs w:val="24"/>
                <w:rtl/>
              </w:rPr>
            </w:pPr>
            <w:r w:rsidRPr="001F30B2">
              <w:rPr>
                <w:sz w:val="16"/>
                <w:szCs w:val="24"/>
                <w:rtl/>
              </w:rPr>
              <w:t>تعدّد الكفلاء</w:t>
            </w:r>
          </w:p>
        </w:tc>
        <w:tc>
          <w:tcPr>
            <w:tcW w:w="798" w:type="dxa"/>
            <w:shd w:val="clear" w:color="auto" w:fill="auto"/>
            <w:vAlign w:val="bottom"/>
          </w:tcPr>
          <w:p w:rsidR="004C6CA6" w:rsidRPr="001F30B2" w:rsidRDefault="004C6CA6" w:rsidP="001F30B2">
            <w:pPr>
              <w:spacing w:before="40" w:after="40" w:line="240" w:lineRule="exact"/>
              <w:rPr>
                <w:sz w:val="16"/>
                <w:szCs w:val="24"/>
                <w:rtl/>
              </w:rPr>
            </w:pPr>
            <w:r w:rsidRPr="001F30B2">
              <w:rPr>
                <w:sz w:val="16"/>
                <w:szCs w:val="24"/>
                <w:rtl/>
              </w:rPr>
              <w:t>2</w:t>
            </w:r>
          </w:p>
        </w:tc>
      </w:tr>
      <w:tr w:rsidR="004C6CA6" w:rsidRPr="001F30B2" w:rsidTr="001F30B2">
        <w:trPr>
          <w:cantSplit/>
        </w:trPr>
        <w:tc>
          <w:tcPr>
            <w:tcW w:w="6733" w:type="dxa"/>
            <w:shd w:val="clear" w:color="auto" w:fill="auto"/>
            <w:vAlign w:val="bottom"/>
          </w:tcPr>
          <w:p w:rsidR="004C6CA6" w:rsidRPr="001F30B2" w:rsidRDefault="004C6CA6" w:rsidP="001F30B2">
            <w:pPr>
              <w:spacing w:before="40" w:after="40" w:line="240" w:lineRule="exact"/>
              <w:rPr>
                <w:sz w:val="16"/>
                <w:szCs w:val="24"/>
                <w:rtl/>
              </w:rPr>
            </w:pPr>
            <w:r w:rsidRPr="001F30B2">
              <w:rPr>
                <w:sz w:val="16"/>
                <w:szCs w:val="24"/>
                <w:rtl/>
              </w:rPr>
              <w:t>المرض</w:t>
            </w:r>
          </w:p>
        </w:tc>
        <w:tc>
          <w:tcPr>
            <w:tcW w:w="798" w:type="dxa"/>
            <w:shd w:val="clear" w:color="auto" w:fill="auto"/>
            <w:vAlign w:val="bottom"/>
          </w:tcPr>
          <w:p w:rsidR="004C6CA6" w:rsidRPr="001F30B2" w:rsidRDefault="004C6CA6" w:rsidP="001F30B2">
            <w:pPr>
              <w:spacing w:before="40" w:after="40" w:line="240" w:lineRule="exact"/>
              <w:rPr>
                <w:sz w:val="16"/>
                <w:szCs w:val="24"/>
                <w:rtl/>
              </w:rPr>
            </w:pPr>
            <w:r w:rsidRPr="001F30B2">
              <w:rPr>
                <w:sz w:val="16"/>
                <w:szCs w:val="24"/>
                <w:rtl/>
              </w:rPr>
              <w:t>1</w:t>
            </w:r>
          </w:p>
        </w:tc>
      </w:tr>
      <w:tr w:rsidR="004C6CA6" w:rsidRPr="001F30B2" w:rsidTr="001F30B2">
        <w:trPr>
          <w:cantSplit/>
        </w:trPr>
        <w:tc>
          <w:tcPr>
            <w:tcW w:w="6733" w:type="dxa"/>
            <w:shd w:val="clear" w:color="auto" w:fill="auto"/>
            <w:vAlign w:val="bottom"/>
          </w:tcPr>
          <w:p w:rsidR="004C6CA6" w:rsidRPr="001F30B2" w:rsidRDefault="004C6CA6" w:rsidP="001F30B2">
            <w:pPr>
              <w:spacing w:before="40" w:after="40" w:line="240" w:lineRule="exact"/>
              <w:rPr>
                <w:sz w:val="16"/>
                <w:szCs w:val="24"/>
                <w:rtl/>
              </w:rPr>
            </w:pPr>
            <w:r w:rsidRPr="001F30B2">
              <w:rPr>
                <w:sz w:val="16"/>
                <w:szCs w:val="24"/>
                <w:rtl/>
              </w:rPr>
              <w:t>استغلال</w:t>
            </w:r>
          </w:p>
        </w:tc>
        <w:tc>
          <w:tcPr>
            <w:tcW w:w="798" w:type="dxa"/>
            <w:shd w:val="clear" w:color="auto" w:fill="auto"/>
            <w:vAlign w:val="bottom"/>
          </w:tcPr>
          <w:p w:rsidR="004C6CA6" w:rsidRPr="001F30B2" w:rsidRDefault="004C6CA6" w:rsidP="001F30B2">
            <w:pPr>
              <w:spacing w:before="40" w:after="40" w:line="240" w:lineRule="exact"/>
              <w:rPr>
                <w:sz w:val="16"/>
                <w:szCs w:val="24"/>
                <w:rtl/>
              </w:rPr>
            </w:pPr>
            <w:r w:rsidRPr="001F30B2">
              <w:rPr>
                <w:sz w:val="16"/>
                <w:szCs w:val="24"/>
                <w:rtl/>
              </w:rPr>
              <w:t>2</w:t>
            </w:r>
          </w:p>
        </w:tc>
      </w:tr>
      <w:tr w:rsidR="004C6CA6" w:rsidRPr="001F30B2" w:rsidTr="001F30B2">
        <w:trPr>
          <w:cantSplit/>
        </w:trPr>
        <w:tc>
          <w:tcPr>
            <w:tcW w:w="6733" w:type="dxa"/>
            <w:tcBorders>
              <w:bottom w:val="single" w:sz="12" w:space="0" w:color="auto"/>
            </w:tcBorders>
            <w:shd w:val="clear" w:color="auto" w:fill="auto"/>
            <w:vAlign w:val="bottom"/>
          </w:tcPr>
          <w:p w:rsidR="004C6CA6" w:rsidRPr="001F30B2" w:rsidRDefault="004C6CA6" w:rsidP="001F30B2">
            <w:pPr>
              <w:spacing w:before="40" w:after="40" w:line="240" w:lineRule="exact"/>
              <w:rPr>
                <w:sz w:val="16"/>
                <w:szCs w:val="24"/>
                <w:rtl/>
              </w:rPr>
            </w:pPr>
            <w:r w:rsidRPr="001F30B2">
              <w:rPr>
                <w:sz w:val="16"/>
                <w:szCs w:val="24"/>
                <w:rtl/>
              </w:rPr>
              <w:t>قاصر</w:t>
            </w:r>
          </w:p>
        </w:tc>
        <w:tc>
          <w:tcPr>
            <w:tcW w:w="798" w:type="dxa"/>
            <w:tcBorders>
              <w:bottom w:val="single" w:sz="12" w:space="0" w:color="auto"/>
            </w:tcBorders>
            <w:shd w:val="clear" w:color="auto" w:fill="auto"/>
            <w:vAlign w:val="bottom"/>
          </w:tcPr>
          <w:p w:rsidR="004C6CA6" w:rsidRPr="001F30B2" w:rsidRDefault="004C6CA6" w:rsidP="001F30B2">
            <w:pPr>
              <w:spacing w:before="40" w:after="40" w:line="240" w:lineRule="exact"/>
              <w:rPr>
                <w:sz w:val="16"/>
                <w:szCs w:val="24"/>
                <w:rtl/>
              </w:rPr>
            </w:pPr>
            <w:r w:rsidRPr="001F30B2">
              <w:rPr>
                <w:sz w:val="16"/>
                <w:szCs w:val="24"/>
                <w:rtl/>
              </w:rPr>
              <w:t>2</w:t>
            </w:r>
          </w:p>
        </w:tc>
      </w:tr>
    </w:tbl>
    <w:p w:rsidR="004C6CA6" w:rsidRPr="003D6DE5" w:rsidRDefault="004C6CA6" w:rsidP="003D6DE5">
      <w:pPr>
        <w:pStyle w:val="SingleTxt"/>
        <w:spacing w:after="0" w:line="120" w:lineRule="exact"/>
        <w:rPr>
          <w:sz w:val="10"/>
          <w:rtl/>
        </w:rPr>
      </w:pPr>
    </w:p>
    <w:p w:rsidR="003D6DE5" w:rsidRPr="003D6DE5" w:rsidRDefault="003D6DE5" w:rsidP="003D6DE5">
      <w:pPr>
        <w:pStyle w:val="SingleTxt"/>
        <w:spacing w:after="0" w:line="120" w:lineRule="exact"/>
        <w:rPr>
          <w:sz w:val="10"/>
          <w:rtl/>
        </w:rPr>
      </w:pPr>
    </w:p>
    <w:p w:rsidR="003D6DE5" w:rsidRPr="003D6DE5" w:rsidRDefault="003D6DE5" w:rsidP="003D6DE5">
      <w:pPr>
        <w:pStyle w:val="SingleTxt"/>
        <w:spacing w:after="0" w:line="120" w:lineRule="exact"/>
        <w:rPr>
          <w:sz w:val="10"/>
          <w:rtl/>
        </w:rPr>
      </w:pPr>
    </w:p>
    <w:p w:rsidR="003D6DE5" w:rsidRPr="003D6DE5" w:rsidRDefault="003D6DE5" w:rsidP="003D6DE5">
      <w:pPr>
        <w:pStyle w:val="SingleTxt"/>
        <w:spacing w:after="0" w:line="120" w:lineRule="exact"/>
        <w:rPr>
          <w:sz w:val="10"/>
          <w:rtl/>
        </w:rPr>
      </w:pPr>
    </w:p>
    <w:tbl>
      <w:tblPr>
        <w:bidiVisual/>
        <w:tblW w:w="7531" w:type="dxa"/>
        <w:tblInd w:w="1382" w:type="dxa"/>
        <w:tblLayout w:type="fixed"/>
        <w:tblLook w:val="04A0" w:firstRow="1" w:lastRow="0" w:firstColumn="1" w:lastColumn="0" w:noHBand="0" w:noVBand="1"/>
      </w:tblPr>
      <w:tblGrid>
        <w:gridCol w:w="6719"/>
        <w:gridCol w:w="812"/>
      </w:tblGrid>
      <w:tr w:rsidR="004C6CA6" w:rsidRPr="001F30B2" w:rsidTr="001F30B2">
        <w:trPr>
          <w:cantSplit/>
          <w:tblHeader/>
        </w:trPr>
        <w:tc>
          <w:tcPr>
            <w:tcW w:w="7531" w:type="dxa"/>
            <w:gridSpan w:val="2"/>
            <w:tcBorders>
              <w:top w:val="single" w:sz="4" w:space="0" w:color="auto"/>
              <w:bottom w:val="single" w:sz="12" w:space="0" w:color="auto"/>
            </w:tcBorders>
            <w:shd w:val="clear" w:color="auto" w:fill="auto"/>
            <w:vAlign w:val="bottom"/>
          </w:tcPr>
          <w:p w:rsidR="004C6CA6" w:rsidRPr="001F30B2" w:rsidRDefault="004C6CA6" w:rsidP="001F30B2">
            <w:pPr>
              <w:spacing w:before="80" w:after="80" w:line="240" w:lineRule="exact"/>
              <w:rPr>
                <w:i/>
                <w:iCs/>
                <w:sz w:val="16"/>
                <w:szCs w:val="24"/>
                <w:rtl/>
              </w:rPr>
            </w:pPr>
            <w:r w:rsidRPr="001F30B2">
              <w:rPr>
                <w:i/>
                <w:iCs/>
                <w:sz w:val="16"/>
                <w:szCs w:val="24"/>
                <w:rtl/>
              </w:rPr>
              <w:t>المعالجات</w:t>
            </w:r>
          </w:p>
        </w:tc>
      </w:tr>
      <w:tr w:rsidR="001F30B2" w:rsidRPr="001F30B2" w:rsidTr="001F30B2">
        <w:trPr>
          <w:cantSplit/>
          <w:trHeight w:hRule="exact" w:val="115"/>
          <w:tblHeader/>
        </w:trPr>
        <w:tc>
          <w:tcPr>
            <w:tcW w:w="6719" w:type="dxa"/>
            <w:tcBorders>
              <w:top w:val="single" w:sz="12" w:space="0" w:color="auto"/>
            </w:tcBorders>
            <w:shd w:val="clear" w:color="auto" w:fill="auto"/>
            <w:vAlign w:val="bottom"/>
          </w:tcPr>
          <w:p w:rsidR="001F30B2" w:rsidRPr="001F30B2" w:rsidRDefault="001F30B2" w:rsidP="001F30B2">
            <w:pPr>
              <w:spacing w:before="40" w:after="40" w:line="240" w:lineRule="exact"/>
              <w:ind w:right="144"/>
              <w:rPr>
                <w:sz w:val="16"/>
                <w:szCs w:val="24"/>
                <w:rtl/>
              </w:rPr>
            </w:pPr>
          </w:p>
        </w:tc>
        <w:tc>
          <w:tcPr>
            <w:tcW w:w="812" w:type="dxa"/>
            <w:tcBorders>
              <w:top w:val="single" w:sz="12" w:space="0" w:color="auto"/>
            </w:tcBorders>
            <w:shd w:val="clear" w:color="auto" w:fill="auto"/>
            <w:vAlign w:val="bottom"/>
          </w:tcPr>
          <w:p w:rsidR="001F30B2" w:rsidRPr="001F30B2" w:rsidRDefault="001F30B2" w:rsidP="001F30B2">
            <w:pPr>
              <w:spacing w:before="40" w:after="40" w:line="240" w:lineRule="exact"/>
              <w:rPr>
                <w:sz w:val="16"/>
                <w:szCs w:val="24"/>
                <w:rtl/>
              </w:rPr>
            </w:pPr>
          </w:p>
        </w:tc>
      </w:tr>
      <w:tr w:rsidR="004C6CA6" w:rsidRPr="001F30B2" w:rsidTr="001F30B2">
        <w:trPr>
          <w:cantSplit/>
        </w:trPr>
        <w:tc>
          <w:tcPr>
            <w:tcW w:w="6719" w:type="dxa"/>
            <w:shd w:val="clear" w:color="auto" w:fill="auto"/>
            <w:vAlign w:val="bottom"/>
          </w:tcPr>
          <w:p w:rsidR="004C6CA6" w:rsidRPr="001F30B2" w:rsidRDefault="004C6CA6" w:rsidP="001F30B2">
            <w:pPr>
              <w:spacing w:before="40" w:after="40" w:line="240" w:lineRule="exact"/>
              <w:rPr>
                <w:sz w:val="16"/>
                <w:szCs w:val="24"/>
                <w:rtl/>
              </w:rPr>
            </w:pPr>
            <w:r w:rsidRPr="001F30B2">
              <w:rPr>
                <w:sz w:val="16"/>
                <w:szCs w:val="24"/>
                <w:rtl/>
              </w:rPr>
              <w:t>عدم ثبوت صحّة الشّكوى</w:t>
            </w:r>
          </w:p>
        </w:tc>
        <w:tc>
          <w:tcPr>
            <w:tcW w:w="812" w:type="dxa"/>
            <w:shd w:val="clear" w:color="auto" w:fill="auto"/>
            <w:vAlign w:val="bottom"/>
          </w:tcPr>
          <w:p w:rsidR="004C6CA6" w:rsidRPr="001F30B2" w:rsidRDefault="004C6CA6" w:rsidP="001F30B2">
            <w:pPr>
              <w:spacing w:before="40" w:after="40" w:line="240" w:lineRule="exact"/>
              <w:rPr>
                <w:sz w:val="16"/>
                <w:szCs w:val="24"/>
                <w:rtl/>
              </w:rPr>
            </w:pPr>
            <w:r w:rsidRPr="001F30B2">
              <w:rPr>
                <w:sz w:val="16"/>
                <w:szCs w:val="24"/>
                <w:rtl/>
              </w:rPr>
              <w:t>14</w:t>
            </w:r>
          </w:p>
        </w:tc>
      </w:tr>
      <w:tr w:rsidR="004C6CA6" w:rsidRPr="001F30B2" w:rsidTr="001F30B2">
        <w:trPr>
          <w:cantSplit/>
        </w:trPr>
        <w:tc>
          <w:tcPr>
            <w:tcW w:w="6719" w:type="dxa"/>
            <w:shd w:val="clear" w:color="auto" w:fill="auto"/>
            <w:vAlign w:val="bottom"/>
          </w:tcPr>
          <w:p w:rsidR="004C6CA6" w:rsidRPr="001F30B2" w:rsidRDefault="004C6CA6" w:rsidP="001F30B2">
            <w:pPr>
              <w:spacing w:before="40" w:after="40" w:line="240" w:lineRule="exact"/>
              <w:rPr>
                <w:sz w:val="16"/>
                <w:szCs w:val="24"/>
                <w:rtl/>
              </w:rPr>
            </w:pPr>
            <w:r w:rsidRPr="001F30B2">
              <w:rPr>
                <w:sz w:val="16"/>
                <w:szCs w:val="24"/>
                <w:rtl/>
              </w:rPr>
              <w:t>مغادرة الضحيّة المحتملة إلى بلادها</w:t>
            </w:r>
          </w:p>
        </w:tc>
        <w:tc>
          <w:tcPr>
            <w:tcW w:w="812" w:type="dxa"/>
            <w:shd w:val="clear" w:color="auto" w:fill="auto"/>
            <w:vAlign w:val="bottom"/>
          </w:tcPr>
          <w:p w:rsidR="004C6CA6" w:rsidRPr="001F30B2" w:rsidRDefault="004C6CA6" w:rsidP="001F30B2">
            <w:pPr>
              <w:spacing w:before="40" w:after="40" w:line="240" w:lineRule="exact"/>
              <w:rPr>
                <w:sz w:val="16"/>
                <w:szCs w:val="24"/>
                <w:rtl/>
              </w:rPr>
            </w:pPr>
            <w:r w:rsidRPr="001F30B2">
              <w:rPr>
                <w:sz w:val="16"/>
                <w:szCs w:val="24"/>
                <w:rtl/>
              </w:rPr>
              <w:t>22</w:t>
            </w:r>
          </w:p>
        </w:tc>
      </w:tr>
      <w:tr w:rsidR="004C6CA6" w:rsidRPr="001F30B2" w:rsidTr="001F30B2">
        <w:trPr>
          <w:cantSplit/>
        </w:trPr>
        <w:tc>
          <w:tcPr>
            <w:tcW w:w="6719" w:type="dxa"/>
            <w:shd w:val="clear" w:color="auto" w:fill="auto"/>
            <w:vAlign w:val="bottom"/>
          </w:tcPr>
          <w:p w:rsidR="004C6CA6" w:rsidRPr="001F30B2" w:rsidRDefault="004C6CA6" w:rsidP="001F30B2">
            <w:pPr>
              <w:spacing w:before="40" w:after="40" w:line="240" w:lineRule="exact"/>
              <w:rPr>
                <w:sz w:val="16"/>
                <w:szCs w:val="24"/>
                <w:rtl/>
              </w:rPr>
            </w:pPr>
            <w:r w:rsidRPr="001F30B2">
              <w:rPr>
                <w:sz w:val="16"/>
                <w:szCs w:val="24"/>
                <w:rtl/>
              </w:rPr>
              <w:t>توصّل الطّرفين إلى تسوية</w:t>
            </w:r>
          </w:p>
        </w:tc>
        <w:tc>
          <w:tcPr>
            <w:tcW w:w="812" w:type="dxa"/>
            <w:shd w:val="clear" w:color="auto" w:fill="auto"/>
            <w:vAlign w:val="bottom"/>
          </w:tcPr>
          <w:p w:rsidR="004C6CA6" w:rsidRPr="001F30B2" w:rsidRDefault="004C6CA6" w:rsidP="001F30B2">
            <w:pPr>
              <w:spacing w:before="40" w:after="40" w:line="240" w:lineRule="exact"/>
              <w:rPr>
                <w:sz w:val="16"/>
                <w:szCs w:val="24"/>
                <w:rtl/>
              </w:rPr>
            </w:pPr>
            <w:r w:rsidRPr="001F30B2">
              <w:rPr>
                <w:sz w:val="16"/>
                <w:szCs w:val="24"/>
                <w:rtl/>
              </w:rPr>
              <w:t>1</w:t>
            </w:r>
          </w:p>
        </w:tc>
      </w:tr>
      <w:tr w:rsidR="004C6CA6" w:rsidRPr="001F30B2" w:rsidTr="001F30B2">
        <w:trPr>
          <w:cantSplit/>
        </w:trPr>
        <w:tc>
          <w:tcPr>
            <w:tcW w:w="6719" w:type="dxa"/>
            <w:shd w:val="clear" w:color="auto" w:fill="auto"/>
            <w:vAlign w:val="bottom"/>
          </w:tcPr>
          <w:p w:rsidR="004C6CA6" w:rsidRPr="001F30B2" w:rsidRDefault="004C6CA6" w:rsidP="001F30B2">
            <w:pPr>
              <w:spacing w:before="40" w:after="40" w:line="240" w:lineRule="exact"/>
              <w:rPr>
                <w:sz w:val="16"/>
                <w:szCs w:val="24"/>
                <w:rtl/>
              </w:rPr>
            </w:pPr>
            <w:r w:rsidRPr="001F30B2">
              <w:rPr>
                <w:sz w:val="16"/>
                <w:szCs w:val="24"/>
                <w:rtl/>
              </w:rPr>
              <w:t>مغادرة الضحيّة المحتملة للعمل لدى كفيلها</w:t>
            </w:r>
          </w:p>
        </w:tc>
        <w:tc>
          <w:tcPr>
            <w:tcW w:w="812" w:type="dxa"/>
            <w:shd w:val="clear" w:color="auto" w:fill="auto"/>
            <w:vAlign w:val="bottom"/>
          </w:tcPr>
          <w:p w:rsidR="004C6CA6" w:rsidRPr="001F30B2" w:rsidRDefault="004C6CA6" w:rsidP="001F30B2">
            <w:pPr>
              <w:spacing w:before="40" w:after="40" w:line="240" w:lineRule="exact"/>
              <w:rPr>
                <w:sz w:val="16"/>
                <w:szCs w:val="24"/>
                <w:rtl/>
              </w:rPr>
            </w:pPr>
            <w:r w:rsidRPr="001F30B2">
              <w:rPr>
                <w:sz w:val="16"/>
                <w:szCs w:val="24"/>
                <w:rtl/>
              </w:rPr>
              <w:t>2</w:t>
            </w:r>
          </w:p>
        </w:tc>
      </w:tr>
      <w:tr w:rsidR="004C6CA6" w:rsidRPr="001F30B2" w:rsidTr="001F30B2">
        <w:trPr>
          <w:cantSplit/>
        </w:trPr>
        <w:tc>
          <w:tcPr>
            <w:tcW w:w="6719" w:type="dxa"/>
            <w:shd w:val="clear" w:color="auto" w:fill="auto"/>
            <w:vAlign w:val="bottom"/>
          </w:tcPr>
          <w:p w:rsidR="004C6CA6" w:rsidRPr="001F30B2" w:rsidRDefault="004C6CA6" w:rsidP="001F30B2">
            <w:pPr>
              <w:spacing w:before="40" w:after="40" w:line="240" w:lineRule="exact"/>
              <w:rPr>
                <w:sz w:val="16"/>
                <w:szCs w:val="24"/>
                <w:rtl/>
              </w:rPr>
            </w:pPr>
            <w:r w:rsidRPr="001F30B2">
              <w:rPr>
                <w:sz w:val="16"/>
                <w:szCs w:val="24"/>
                <w:rtl/>
              </w:rPr>
              <w:t>إخضاع بحق الكفيل</w:t>
            </w:r>
          </w:p>
        </w:tc>
        <w:tc>
          <w:tcPr>
            <w:tcW w:w="812" w:type="dxa"/>
            <w:shd w:val="clear" w:color="auto" w:fill="auto"/>
            <w:vAlign w:val="bottom"/>
          </w:tcPr>
          <w:p w:rsidR="004C6CA6" w:rsidRPr="001F30B2" w:rsidRDefault="004C6CA6" w:rsidP="001F30B2">
            <w:pPr>
              <w:spacing w:before="40" w:after="40" w:line="240" w:lineRule="exact"/>
              <w:rPr>
                <w:sz w:val="16"/>
                <w:szCs w:val="24"/>
                <w:rtl/>
              </w:rPr>
            </w:pPr>
            <w:r w:rsidRPr="001F30B2">
              <w:rPr>
                <w:sz w:val="16"/>
                <w:szCs w:val="24"/>
                <w:rtl/>
              </w:rPr>
              <w:t>3</w:t>
            </w:r>
          </w:p>
        </w:tc>
      </w:tr>
      <w:tr w:rsidR="004C6CA6" w:rsidRPr="001F30B2" w:rsidTr="001F30B2">
        <w:trPr>
          <w:cantSplit/>
        </w:trPr>
        <w:tc>
          <w:tcPr>
            <w:tcW w:w="6719" w:type="dxa"/>
            <w:shd w:val="clear" w:color="auto" w:fill="auto"/>
            <w:vAlign w:val="bottom"/>
          </w:tcPr>
          <w:p w:rsidR="004C6CA6" w:rsidRPr="001F30B2" w:rsidRDefault="004C6CA6" w:rsidP="001F30B2">
            <w:pPr>
              <w:spacing w:before="40" w:after="40" w:line="240" w:lineRule="exact"/>
              <w:rPr>
                <w:sz w:val="16"/>
                <w:szCs w:val="24"/>
                <w:rtl/>
              </w:rPr>
            </w:pPr>
            <w:r w:rsidRPr="001F30B2">
              <w:rPr>
                <w:sz w:val="16"/>
                <w:szCs w:val="24"/>
                <w:rtl/>
              </w:rPr>
              <w:t>إحالة الملف أمام القضاء المختصّ</w:t>
            </w:r>
          </w:p>
        </w:tc>
        <w:tc>
          <w:tcPr>
            <w:tcW w:w="812" w:type="dxa"/>
            <w:shd w:val="clear" w:color="auto" w:fill="auto"/>
            <w:vAlign w:val="bottom"/>
          </w:tcPr>
          <w:p w:rsidR="004C6CA6" w:rsidRPr="001F30B2" w:rsidRDefault="004C6CA6" w:rsidP="001F30B2">
            <w:pPr>
              <w:spacing w:before="40" w:after="40" w:line="240" w:lineRule="exact"/>
              <w:rPr>
                <w:sz w:val="16"/>
                <w:szCs w:val="24"/>
                <w:rtl/>
              </w:rPr>
            </w:pPr>
            <w:r w:rsidRPr="001F30B2">
              <w:rPr>
                <w:sz w:val="16"/>
                <w:szCs w:val="24"/>
                <w:rtl/>
              </w:rPr>
              <w:t>3</w:t>
            </w:r>
          </w:p>
        </w:tc>
      </w:tr>
      <w:tr w:rsidR="004C6CA6" w:rsidRPr="001F30B2" w:rsidTr="001F30B2">
        <w:trPr>
          <w:cantSplit/>
        </w:trPr>
        <w:tc>
          <w:tcPr>
            <w:tcW w:w="6719" w:type="dxa"/>
            <w:shd w:val="clear" w:color="auto" w:fill="auto"/>
            <w:vAlign w:val="bottom"/>
          </w:tcPr>
          <w:p w:rsidR="004C6CA6" w:rsidRPr="001F30B2" w:rsidRDefault="004C6CA6" w:rsidP="001F30B2">
            <w:pPr>
              <w:spacing w:before="40" w:after="40" w:line="240" w:lineRule="exact"/>
              <w:rPr>
                <w:sz w:val="16"/>
                <w:szCs w:val="24"/>
                <w:rtl/>
              </w:rPr>
            </w:pPr>
            <w:r w:rsidRPr="001F30B2">
              <w:rPr>
                <w:sz w:val="16"/>
                <w:szCs w:val="24"/>
                <w:rtl/>
              </w:rPr>
              <w:t>إحالة ملف الأجور أمام المحاكمة المختصّة وعدم ثبوت سائر الشّكاوى</w:t>
            </w:r>
          </w:p>
        </w:tc>
        <w:tc>
          <w:tcPr>
            <w:tcW w:w="812" w:type="dxa"/>
            <w:shd w:val="clear" w:color="auto" w:fill="auto"/>
            <w:vAlign w:val="bottom"/>
          </w:tcPr>
          <w:p w:rsidR="004C6CA6" w:rsidRPr="001F30B2" w:rsidRDefault="004C6CA6" w:rsidP="001F30B2">
            <w:pPr>
              <w:spacing w:before="40" w:after="40" w:line="240" w:lineRule="exact"/>
              <w:rPr>
                <w:sz w:val="16"/>
                <w:szCs w:val="24"/>
                <w:rtl/>
              </w:rPr>
            </w:pPr>
            <w:r w:rsidRPr="001F30B2">
              <w:rPr>
                <w:sz w:val="16"/>
                <w:szCs w:val="24"/>
                <w:rtl/>
              </w:rPr>
              <w:t>5</w:t>
            </w:r>
          </w:p>
        </w:tc>
      </w:tr>
      <w:tr w:rsidR="004C6CA6" w:rsidRPr="001F30B2" w:rsidTr="001F30B2">
        <w:trPr>
          <w:cantSplit/>
        </w:trPr>
        <w:tc>
          <w:tcPr>
            <w:tcW w:w="6719" w:type="dxa"/>
            <w:shd w:val="clear" w:color="auto" w:fill="auto"/>
            <w:vAlign w:val="bottom"/>
          </w:tcPr>
          <w:p w:rsidR="004C6CA6" w:rsidRPr="001F30B2" w:rsidRDefault="004C6CA6" w:rsidP="001F30B2">
            <w:pPr>
              <w:spacing w:before="40" w:after="40" w:line="240" w:lineRule="exact"/>
              <w:rPr>
                <w:sz w:val="16"/>
                <w:szCs w:val="24"/>
                <w:rtl/>
              </w:rPr>
            </w:pPr>
            <w:r w:rsidRPr="001F30B2">
              <w:rPr>
                <w:sz w:val="16"/>
                <w:szCs w:val="24"/>
                <w:rtl/>
              </w:rPr>
              <w:t>استحصال الضحيّة على قسم من حقوقها</w:t>
            </w:r>
          </w:p>
        </w:tc>
        <w:tc>
          <w:tcPr>
            <w:tcW w:w="812" w:type="dxa"/>
            <w:shd w:val="clear" w:color="auto" w:fill="auto"/>
            <w:vAlign w:val="bottom"/>
          </w:tcPr>
          <w:p w:rsidR="004C6CA6" w:rsidRPr="001F30B2" w:rsidRDefault="004C6CA6" w:rsidP="001F30B2">
            <w:pPr>
              <w:spacing w:before="40" w:after="40" w:line="240" w:lineRule="exact"/>
              <w:rPr>
                <w:sz w:val="16"/>
                <w:szCs w:val="24"/>
                <w:rtl/>
              </w:rPr>
            </w:pPr>
            <w:r w:rsidRPr="001F30B2">
              <w:rPr>
                <w:sz w:val="16"/>
                <w:szCs w:val="24"/>
                <w:rtl/>
              </w:rPr>
              <w:t>3</w:t>
            </w:r>
          </w:p>
        </w:tc>
      </w:tr>
      <w:tr w:rsidR="004C6CA6" w:rsidRPr="001F30B2" w:rsidTr="001F30B2">
        <w:trPr>
          <w:cantSplit/>
        </w:trPr>
        <w:tc>
          <w:tcPr>
            <w:tcW w:w="6719" w:type="dxa"/>
            <w:shd w:val="clear" w:color="auto" w:fill="auto"/>
            <w:vAlign w:val="bottom"/>
          </w:tcPr>
          <w:p w:rsidR="004C6CA6" w:rsidRPr="001F30B2" w:rsidRDefault="004C6CA6" w:rsidP="001F30B2">
            <w:pPr>
              <w:spacing w:before="40" w:after="40" w:line="240" w:lineRule="exact"/>
              <w:rPr>
                <w:sz w:val="16"/>
                <w:szCs w:val="24"/>
                <w:rtl/>
              </w:rPr>
            </w:pPr>
            <w:r w:rsidRPr="001F30B2">
              <w:rPr>
                <w:sz w:val="16"/>
                <w:szCs w:val="24"/>
                <w:rtl/>
              </w:rPr>
              <w:t>استحصال الضحيّة على حقوقها المادّيّة وعدم ثبوت سائر الادعاءات</w:t>
            </w:r>
          </w:p>
        </w:tc>
        <w:tc>
          <w:tcPr>
            <w:tcW w:w="812" w:type="dxa"/>
            <w:shd w:val="clear" w:color="auto" w:fill="auto"/>
            <w:vAlign w:val="bottom"/>
          </w:tcPr>
          <w:p w:rsidR="004C6CA6" w:rsidRPr="001F30B2" w:rsidRDefault="004C6CA6" w:rsidP="001F30B2">
            <w:pPr>
              <w:spacing w:before="40" w:after="40" w:line="240" w:lineRule="exact"/>
              <w:rPr>
                <w:sz w:val="16"/>
                <w:szCs w:val="24"/>
                <w:rtl/>
              </w:rPr>
            </w:pPr>
            <w:r w:rsidRPr="001F30B2">
              <w:rPr>
                <w:sz w:val="16"/>
                <w:szCs w:val="24"/>
                <w:rtl/>
              </w:rPr>
              <w:t>8</w:t>
            </w:r>
          </w:p>
        </w:tc>
      </w:tr>
      <w:tr w:rsidR="004C6CA6" w:rsidRPr="001F30B2" w:rsidTr="001F30B2">
        <w:trPr>
          <w:cantSplit/>
        </w:trPr>
        <w:tc>
          <w:tcPr>
            <w:tcW w:w="6719" w:type="dxa"/>
            <w:shd w:val="clear" w:color="auto" w:fill="auto"/>
            <w:vAlign w:val="bottom"/>
          </w:tcPr>
          <w:p w:rsidR="004C6CA6" w:rsidRPr="001F30B2" w:rsidRDefault="004C6CA6" w:rsidP="001F30B2">
            <w:pPr>
              <w:spacing w:before="40" w:after="40" w:line="240" w:lineRule="exact"/>
              <w:rPr>
                <w:sz w:val="16"/>
                <w:szCs w:val="24"/>
                <w:rtl/>
              </w:rPr>
            </w:pPr>
            <w:r w:rsidRPr="001F30B2">
              <w:rPr>
                <w:sz w:val="16"/>
                <w:szCs w:val="24"/>
                <w:rtl/>
              </w:rPr>
              <w:t>صدور تعميم عن المدير العامّ للأمن العامّ بضرورة التّدخلّ الفوري في مثل هذه الحالات</w:t>
            </w:r>
          </w:p>
        </w:tc>
        <w:tc>
          <w:tcPr>
            <w:tcW w:w="812" w:type="dxa"/>
            <w:shd w:val="clear" w:color="auto" w:fill="auto"/>
            <w:vAlign w:val="bottom"/>
          </w:tcPr>
          <w:p w:rsidR="004C6CA6" w:rsidRPr="001F30B2" w:rsidRDefault="004C6CA6" w:rsidP="001F30B2">
            <w:pPr>
              <w:spacing w:before="40" w:after="40" w:line="240" w:lineRule="exact"/>
              <w:rPr>
                <w:sz w:val="16"/>
                <w:szCs w:val="24"/>
                <w:rtl/>
              </w:rPr>
            </w:pPr>
            <w:r w:rsidRPr="001F30B2">
              <w:rPr>
                <w:sz w:val="16"/>
                <w:szCs w:val="24"/>
                <w:rtl/>
              </w:rPr>
              <w:t>1</w:t>
            </w:r>
          </w:p>
        </w:tc>
      </w:tr>
      <w:tr w:rsidR="004C6CA6" w:rsidRPr="001F30B2" w:rsidTr="001F30B2">
        <w:trPr>
          <w:cantSplit/>
        </w:trPr>
        <w:tc>
          <w:tcPr>
            <w:tcW w:w="6719" w:type="dxa"/>
            <w:tcBorders>
              <w:bottom w:val="single" w:sz="12" w:space="0" w:color="auto"/>
            </w:tcBorders>
            <w:shd w:val="clear" w:color="auto" w:fill="auto"/>
            <w:vAlign w:val="bottom"/>
          </w:tcPr>
          <w:p w:rsidR="004C6CA6" w:rsidRPr="001F30B2" w:rsidRDefault="004C6CA6" w:rsidP="001F30B2">
            <w:pPr>
              <w:spacing w:before="40" w:after="40" w:line="240" w:lineRule="exact"/>
              <w:rPr>
                <w:sz w:val="16"/>
                <w:szCs w:val="24"/>
                <w:rtl/>
              </w:rPr>
            </w:pPr>
            <w:r w:rsidRPr="001F30B2">
              <w:rPr>
                <w:sz w:val="16"/>
                <w:szCs w:val="24"/>
                <w:rtl/>
              </w:rPr>
              <w:t>وجود الكفيل خارج لبنان</w:t>
            </w:r>
          </w:p>
        </w:tc>
        <w:tc>
          <w:tcPr>
            <w:tcW w:w="812" w:type="dxa"/>
            <w:tcBorders>
              <w:bottom w:val="single" w:sz="12" w:space="0" w:color="auto"/>
            </w:tcBorders>
            <w:shd w:val="clear" w:color="auto" w:fill="auto"/>
            <w:vAlign w:val="bottom"/>
          </w:tcPr>
          <w:p w:rsidR="004C6CA6" w:rsidRPr="001F30B2" w:rsidRDefault="004C6CA6" w:rsidP="001F30B2">
            <w:pPr>
              <w:spacing w:before="40" w:after="40" w:line="240" w:lineRule="exact"/>
              <w:rPr>
                <w:sz w:val="16"/>
                <w:szCs w:val="24"/>
                <w:rtl/>
              </w:rPr>
            </w:pPr>
            <w:r w:rsidRPr="001F30B2">
              <w:rPr>
                <w:sz w:val="16"/>
                <w:szCs w:val="24"/>
                <w:rtl/>
              </w:rPr>
              <w:t>1</w:t>
            </w:r>
          </w:p>
        </w:tc>
      </w:tr>
    </w:tbl>
    <w:p w:rsidR="004C6CA6" w:rsidRPr="004C6CA6" w:rsidRDefault="004C6CA6" w:rsidP="001F30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4C6CA6">
        <w:rPr>
          <w:rtl/>
        </w:rPr>
        <w:lastRenderedPageBreak/>
        <w:tab/>
        <w:t>(ج)</w:t>
      </w:r>
      <w:r w:rsidRPr="004C6CA6">
        <w:rPr>
          <w:rtl/>
        </w:rPr>
        <w:tab/>
        <w:t>الحماية القضائيّة للدّاخلين خلسة إلى لبنان وتطبيق مبدأ عدم التّرحيل</w:t>
      </w:r>
    </w:p>
    <w:p w:rsidR="004C6CA6" w:rsidRPr="004C6CA6" w:rsidRDefault="004C6CA6" w:rsidP="004C6CA6">
      <w:pPr>
        <w:pStyle w:val="SingleTxt"/>
      </w:pPr>
      <w:r w:rsidRPr="004C6CA6">
        <w:rPr>
          <w:rFonts w:hint="cs"/>
          <w:rtl/>
        </w:rPr>
        <w:t>48-</w:t>
      </w:r>
      <w:r w:rsidRPr="004C6CA6">
        <w:tab/>
      </w:r>
      <w:r w:rsidRPr="004C6CA6">
        <w:rPr>
          <w:rtl/>
        </w:rPr>
        <w:t xml:space="preserve">تطبّق المديريّة العامّة للأمن العامّ المعايير الدّوليّة الخاصّة باللاّجئين وأهمّها مبدأ عدم الطّرد الذّي يمنع الدّول من </w:t>
      </w:r>
      <w:r w:rsidRPr="004C6CA6">
        <w:rPr>
          <w:rFonts w:hint="cs"/>
          <w:rtl/>
        </w:rPr>
        <w:t>إعادتهم</w:t>
      </w:r>
      <w:r w:rsidRPr="004C6CA6">
        <w:rPr>
          <w:rtl/>
        </w:rPr>
        <w:t xml:space="preserve"> قسراً إلى البلدان التّي تتعرّض فيها </w:t>
      </w:r>
      <w:r w:rsidRPr="004C6CA6">
        <w:rPr>
          <w:rFonts w:hint="cs"/>
          <w:rtl/>
        </w:rPr>
        <w:t>حياتهم</w:t>
      </w:r>
      <w:r w:rsidRPr="004C6CA6">
        <w:rPr>
          <w:rtl/>
        </w:rPr>
        <w:t xml:space="preserve"> للخطر، ولا يتّم التّرحيل إلاّ بموجب قرار سلطة ذات صلاحية.</w:t>
      </w:r>
    </w:p>
    <w:p w:rsidR="004C6CA6" w:rsidRPr="004C6CA6" w:rsidRDefault="004C6CA6" w:rsidP="004C6CA6">
      <w:pPr>
        <w:pStyle w:val="SingleTxt"/>
      </w:pPr>
      <w:r w:rsidRPr="004C6CA6">
        <w:rPr>
          <w:rtl/>
        </w:rPr>
        <w:tab/>
        <w:t xml:space="preserve">وقد أصدر القضاء اللبناني عدّة قرارات قضت بعدم ترحيل طالبي لجوء كانوا قد دخلوا خلسة إلى الأراضي اللّبنانية، خشية تعرّضهم للتّعذيب في بلد المصدر، تطبيقاً للنّصوص الواردة في </w:t>
      </w:r>
      <w:r w:rsidRPr="004C6CA6">
        <w:rPr>
          <w:rFonts w:hint="cs"/>
          <w:rtl/>
        </w:rPr>
        <w:t>ا</w:t>
      </w:r>
      <w:r w:rsidRPr="004C6CA6">
        <w:rPr>
          <w:rtl/>
        </w:rPr>
        <w:t xml:space="preserve">تّفاقية مناهضة التّعذيب وغيره من ضروب المعاملة أو العقوبة القاسية أو اللاّإنسانية أو المهينة، وتحديداً المادّة (3) منها التّي تنصّ على أنّه لا يجوز لأيّ دولة طرف أن تطرد أيّ شخص أو أن تعيده (أن تردّه) أو أن تسلّمه إلى دولة أخرى، إذا توافرت لديها أسباب حقيقيّة تدعو إلى </w:t>
      </w:r>
      <w:r w:rsidRPr="004C6CA6">
        <w:rPr>
          <w:rFonts w:hint="cs"/>
          <w:rtl/>
        </w:rPr>
        <w:t>الاعتقاد</w:t>
      </w:r>
      <w:r w:rsidRPr="004C6CA6">
        <w:rPr>
          <w:rtl/>
        </w:rPr>
        <w:t xml:space="preserve"> بأنّه سيكون في خطر التّعرّض للتّعذيب.</w:t>
      </w:r>
    </w:p>
    <w:p w:rsidR="004C6CA6" w:rsidRPr="004C6CA6" w:rsidRDefault="004C6CA6" w:rsidP="004C6CA6">
      <w:pPr>
        <w:pStyle w:val="SingleTxt"/>
      </w:pPr>
      <w:r w:rsidRPr="004C6CA6">
        <w:rPr>
          <w:rFonts w:hint="cs"/>
          <w:rtl/>
        </w:rPr>
        <w:t>49-</w:t>
      </w:r>
      <w:r w:rsidRPr="004C6CA6">
        <w:tab/>
      </w:r>
      <w:r w:rsidRPr="004C6CA6">
        <w:rPr>
          <w:rtl/>
        </w:rPr>
        <w:t>فضلاً عن ذلك، فقد صدرت عن المحاكم اللّبنانيّة عدّة قرارات قضت بإبطال التّعقّبات في حقّ الأجانب اللاّجئين إلى لبنان بسبب الأوضاع الأمنيّة والذّين دخلوا إلى البلاد بصورة غير مشروعة والمدّعى عليهم بجرم الدّخول خلسة إلى البلاد المعاقب عليه في المادّة (32) من قانون تنظيم الدّخول إلى لبنان والإقامة فيه والخروج منه، لانطباق حالة الضّرورة على وضعهم. وقد ذهب أحد الأحكام أبعد من ذلك، حيث اعتبرت المحكمة أنّ الشّخص المعرّضة حياته وأمنه للخطر بسبب الأوضاع الأمنيّة السيّئة التّي تمرّ فيها بلاده هو شخص معرّض "</w:t>
      </w:r>
      <w:r w:rsidRPr="004C6CA6">
        <w:rPr>
          <w:rFonts w:hint="cs"/>
          <w:rtl/>
        </w:rPr>
        <w:t>للا</w:t>
      </w:r>
      <w:r w:rsidRPr="004C6CA6">
        <w:rPr>
          <w:rtl/>
        </w:rPr>
        <w:t>ضطهاد"، ولديه، بحسب أحكام المادّة (14) من الإعلان العالمي لحقوق الإنسان والذّي تلتزم به الدّولة اللّبنانيّة وفق ما تنصّ عليه مقدّمة الدّستور، الحقّ الطّبيعي الملازم لإنسانيّته (</w:t>
      </w:r>
      <w:r w:rsidRPr="004C6CA6">
        <w:t>droit naturel</w:t>
      </w:r>
      <w:r w:rsidRPr="004C6CA6">
        <w:rPr>
          <w:rtl/>
        </w:rPr>
        <w:t xml:space="preserve">) بالدّخول إلى بلد آخر آمنٍ من أجل دفع هذا </w:t>
      </w:r>
      <w:r w:rsidRPr="004C6CA6">
        <w:rPr>
          <w:rFonts w:hint="cs"/>
          <w:rtl/>
        </w:rPr>
        <w:t>الا</w:t>
      </w:r>
      <w:r w:rsidRPr="004C6CA6">
        <w:rPr>
          <w:rtl/>
        </w:rPr>
        <w:t xml:space="preserve">ضطهاد أو الهروب منه وتأمين الحماية لنفسه ولعائلته، وآلت المحكمة </w:t>
      </w:r>
      <w:r w:rsidRPr="004C6CA6">
        <w:rPr>
          <w:rFonts w:hint="cs"/>
          <w:rtl/>
        </w:rPr>
        <w:t>إ</w:t>
      </w:r>
      <w:r w:rsidRPr="004C6CA6">
        <w:rPr>
          <w:rtl/>
        </w:rPr>
        <w:t xml:space="preserve">لى إبطال التّعقبات في حقّ مواطن سوري دخل </w:t>
      </w:r>
      <w:r w:rsidRPr="004C6CA6">
        <w:rPr>
          <w:rFonts w:hint="cs"/>
          <w:rtl/>
        </w:rPr>
        <w:t>إ</w:t>
      </w:r>
      <w:r w:rsidRPr="004C6CA6">
        <w:rPr>
          <w:rtl/>
        </w:rPr>
        <w:t>لى لبنان هرباً من العنف في بلده دون المرور بمراكز الأمن العامّ سنداً لأحكام المادّة (183) من قانون العقوبات التّي تزيل الصّفة الجرميّة عن الفعل المرتكب في ممارسة حق بغير تجاوز</w:t>
      </w:r>
      <w:r w:rsidRPr="004C6CA6">
        <w:rPr>
          <w:vertAlign w:val="superscript"/>
          <w:rtl/>
        </w:rPr>
        <w:t>(</w:t>
      </w:r>
      <w:r w:rsidRPr="004C6CA6">
        <w:rPr>
          <w:vertAlign w:val="superscript"/>
          <w:rtl/>
        </w:rPr>
        <w:footnoteReference w:id="15"/>
      </w:r>
      <w:r w:rsidRPr="004C6CA6">
        <w:rPr>
          <w:vertAlign w:val="superscript"/>
          <w:rtl/>
        </w:rPr>
        <w:t>)</w:t>
      </w:r>
      <w:r w:rsidRPr="004C6CA6">
        <w:rPr>
          <w:rtl/>
        </w:rPr>
        <w:t xml:space="preserve">. </w:t>
      </w:r>
    </w:p>
    <w:p w:rsidR="004C6CA6" w:rsidRPr="004C6CA6" w:rsidRDefault="004C6CA6" w:rsidP="004C6CA6">
      <w:pPr>
        <w:pStyle w:val="SingleTxt"/>
        <w:rPr>
          <w:rtl/>
        </w:rPr>
      </w:pPr>
      <w:r w:rsidRPr="004C6CA6">
        <w:rPr>
          <w:rtl/>
        </w:rPr>
        <w:tab/>
        <w:t xml:space="preserve">وتجدر الإشارة هنا إلى أنّ اعتماد هذا التّعليل الأخير وبالتّالي منع التّعقّبات في حقّ المدّعى عليه في جرم الدّخول خلسة إلى لبنان، ليس تلقائيّاً، ويشترط تحقّق شرط عدم التّجاوز في استعمال حقّ اللّجوء هرباً من </w:t>
      </w:r>
      <w:r w:rsidRPr="004C6CA6">
        <w:rPr>
          <w:rFonts w:hint="cs"/>
          <w:rtl/>
        </w:rPr>
        <w:t>الا</w:t>
      </w:r>
      <w:r w:rsidRPr="004C6CA6">
        <w:rPr>
          <w:rtl/>
        </w:rPr>
        <w:t xml:space="preserve">ضطهاد، ويتمّ تقدير مدى استيفاء هذه الشّروط في كلّ حالة على حدة، تبعاً للظّروف التّي رافقت اللّجوء إلى لبنان، لا سيّما من النّاحية الأمنيّة بالنّسبة إلى المدّعى عليه؛ وإنّ شرط عدم التّجاوز هذا يعني عمليّاً أن يكون ثمّة استحالة أمام المدّعى عليه، في الظّروف التّي وُجد فيها، لإتّباع الأصول القانونيّة في الدّخول إلى البلاد. </w:t>
      </w:r>
    </w:p>
    <w:p w:rsidR="004C6CA6" w:rsidRPr="004C6CA6" w:rsidRDefault="004C6CA6" w:rsidP="001F30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4C6CA6">
        <w:rPr>
          <w:rtl/>
        </w:rPr>
        <w:lastRenderedPageBreak/>
        <w:tab/>
      </w:r>
      <w:r w:rsidRPr="004C6CA6">
        <w:rPr>
          <w:rFonts w:hint="cs"/>
          <w:rtl/>
        </w:rPr>
        <w:t>ثالثاً</w:t>
      </w:r>
      <w:r w:rsidRPr="004C6CA6">
        <w:rPr>
          <w:rtl/>
        </w:rPr>
        <w:t>-</w:t>
      </w:r>
      <w:r w:rsidRPr="004C6CA6">
        <w:rPr>
          <w:rtl/>
        </w:rPr>
        <w:tab/>
        <w:t>الحقوق السياسية</w:t>
      </w:r>
    </w:p>
    <w:p w:rsidR="004C6CA6" w:rsidRPr="004C6CA6" w:rsidRDefault="004C6CA6" w:rsidP="001F30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4C6CA6">
        <w:rPr>
          <w:rtl/>
        </w:rPr>
        <w:tab/>
      </w:r>
      <w:r w:rsidRPr="004C6CA6">
        <w:rPr>
          <w:rtl/>
        </w:rPr>
        <w:tab/>
        <w:t xml:space="preserve">حقّ </w:t>
      </w:r>
      <w:r w:rsidRPr="004C6CA6">
        <w:rPr>
          <w:rFonts w:hint="cs"/>
          <w:rtl/>
        </w:rPr>
        <w:t>الا</w:t>
      </w:r>
      <w:r w:rsidRPr="004C6CA6">
        <w:rPr>
          <w:rtl/>
        </w:rPr>
        <w:t>نتخاب</w:t>
      </w:r>
    </w:p>
    <w:p w:rsidR="004C6CA6" w:rsidRPr="004C6CA6" w:rsidRDefault="004C6CA6" w:rsidP="004C6CA6">
      <w:pPr>
        <w:pStyle w:val="SingleTxt"/>
      </w:pPr>
      <w:r w:rsidRPr="004C6CA6">
        <w:rPr>
          <w:rFonts w:hint="cs"/>
          <w:rtl/>
        </w:rPr>
        <w:t>50-</w:t>
      </w:r>
      <w:r w:rsidRPr="004C6CA6">
        <w:tab/>
      </w:r>
      <w:r w:rsidRPr="004C6CA6">
        <w:rPr>
          <w:rtl/>
        </w:rPr>
        <w:t xml:space="preserve">يعترف الدّستور لكلّ لبناني بالحقّ بأن يكون ناخباً، فتنصّ المادّة (21) منه على أنّ لكلّ وطني لبناني بلغ من العمر إحدى وعشرين سنةً كاملةً الحقّ في أن يكون ناخباً على أن تتوفّر فيه الشروط المطلوبة بمقتضى قانون </w:t>
      </w:r>
      <w:r w:rsidRPr="004C6CA6">
        <w:rPr>
          <w:rFonts w:hint="cs"/>
          <w:rtl/>
        </w:rPr>
        <w:t>الا</w:t>
      </w:r>
      <w:r w:rsidRPr="004C6CA6">
        <w:rPr>
          <w:rtl/>
        </w:rPr>
        <w:t>نتخاب.</w:t>
      </w:r>
    </w:p>
    <w:p w:rsidR="004C6CA6" w:rsidRPr="004C6CA6" w:rsidRDefault="004C6CA6" w:rsidP="004C6CA6">
      <w:pPr>
        <w:pStyle w:val="SingleTxt"/>
      </w:pPr>
      <w:r w:rsidRPr="004C6CA6">
        <w:rPr>
          <w:rFonts w:hint="cs"/>
          <w:rtl/>
        </w:rPr>
        <w:t>51-</w:t>
      </w:r>
      <w:r w:rsidRPr="004C6CA6">
        <w:tab/>
      </w:r>
      <w:r w:rsidRPr="004C6CA6">
        <w:rPr>
          <w:rtl/>
        </w:rPr>
        <w:t>بالنّظر إلى التّنوّع الطّائفي الكبير الذّي يعرفه المجتمع اللّبناني، حيث توجد ثماني عشرة طائفة مختلفة معترف بها من قبل الدّولة، يتوزّع أفرادها على مختلف الأراضي اللّبنانيّة، وبهدف الحرص على حماية الحقوق السياسيّة لمختلف أفراد هذه الطّوائف، تمّ اللّجوء إلى اعتماد نظام سياسي طائفي - دون أنّ يغيّر ذلك من كون الدّولة اللّبنانيّة دولةً علمانيّةً - الغاية منه تأمين مشاركة جميع المواطنين دون تمييز في الحياة السياسيّة، من خلال تحقيق تمثيل الطّوائف كافّة في المجلس النّيابي، حيث عملاً بما جاء في وثيقة الوفاق الوطني العائدة إلى العام 1989، توزّع المقاعد النّيابيّة بالتسّاوي بين المسيحيّين والمسلمين، ونسبيّاً بين طوائف كلٍّ من الفئتين وبين المناطق</w:t>
      </w:r>
      <w:r w:rsidRPr="004C6CA6">
        <w:rPr>
          <w:vertAlign w:val="superscript"/>
          <w:rtl/>
        </w:rPr>
        <w:t>(</w:t>
      </w:r>
      <w:r w:rsidRPr="004C6CA6">
        <w:rPr>
          <w:vertAlign w:val="superscript"/>
          <w:rtl/>
        </w:rPr>
        <w:footnoteReference w:id="16"/>
      </w:r>
      <w:r w:rsidRPr="004C6CA6">
        <w:rPr>
          <w:vertAlign w:val="superscript"/>
          <w:rtl/>
        </w:rPr>
        <w:t>)</w:t>
      </w:r>
      <w:r w:rsidRPr="004C6CA6">
        <w:rPr>
          <w:rtl/>
        </w:rPr>
        <w:t xml:space="preserve">، على أن يبقى عضو مجلس النوّاب المنتخب ممثلاًّ للأمّة جمعاء وليس فقط للطّائفة أو الدّائرة </w:t>
      </w:r>
      <w:r w:rsidRPr="004C6CA6">
        <w:rPr>
          <w:rFonts w:hint="cs"/>
          <w:rtl/>
        </w:rPr>
        <w:t>الا</w:t>
      </w:r>
      <w:r w:rsidRPr="004C6CA6">
        <w:rPr>
          <w:rtl/>
        </w:rPr>
        <w:t>نتخابيّة المنتخب عنها وفق ما تنصّ عليه المادّة (27) من الدّستور.</w:t>
      </w:r>
    </w:p>
    <w:p w:rsidR="004C6CA6" w:rsidRPr="004C6CA6" w:rsidRDefault="004C6CA6" w:rsidP="004C6CA6">
      <w:pPr>
        <w:pStyle w:val="SingleTxt"/>
        <w:rPr>
          <w:rtl/>
        </w:rPr>
      </w:pPr>
      <w:r w:rsidRPr="004C6CA6">
        <w:rPr>
          <w:rtl/>
        </w:rPr>
        <w:tab/>
        <w:t xml:space="preserve">يعتبر هذا النّظام السّياسي الطّائفي من ضمانات العيش المشترك بين اللّبنانيّين، وتسعى الحكومات المتعاقبة إلى إعادة النّظر في قانون </w:t>
      </w:r>
      <w:r w:rsidRPr="004C6CA6">
        <w:rPr>
          <w:rFonts w:hint="cs"/>
          <w:rtl/>
        </w:rPr>
        <w:t>الا</w:t>
      </w:r>
      <w:r w:rsidRPr="004C6CA6">
        <w:rPr>
          <w:rtl/>
        </w:rPr>
        <w:t>نتخابات النّيابيّة، بشكلٍ يراعي القواعد التّي تضمن هذا العيش المشترك وتؤمّن صحّة التّمثيل السّياسي لدى فئات الشّعب وفعّاليّة هذا التّمثيل في ضوء المتغيّرات على الصّعيد الدّيمغرافي والتّوزّع السّكاني، وذلك إلى حين إلغاء الطّائفيّة السّياسيّة الذّي يُعتبر وفق الفقرة "ح" من مقدّمة الدّستور هدفاً وطنيّاً أساسيّاً يقتضي العمل على تحقيقه وفق خطّة مرحليّة.</w:t>
      </w:r>
    </w:p>
    <w:p w:rsidR="004C6CA6" w:rsidRPr="004C6CA6" w:rsidRDefault="004C6CA6" w:rsidP="004C6CA6">
      <w:pPr>
        <w:pStyle w:val="SingleTxt"/>
        <w:rPr>
          <w:rtl/>
        </w:rPr>
      </w:pPr>
      <w:r w:rsidRPr="004C6CA6">
        <w:rPr>
          <w:rtl/>
        </w:rPr>
        <w:tab/>
        <w:t>فإلغاء الطّائفيّة السّياسيّة في لبنان يحمل الكثير من المتغيّرات التّي تمسّ الثّقافة المترسّخة في ذهن اللّبنانيّين، ويعتبر لبنان، دولةً وأفراداً، أنّ هذا التّغيير لا بدّ من أن يتمّ بهدوء عند تحقّق المناخ الملائم له، وأنّ المناخ السّليم للتّخلّي عن النّظام السّياسي الطّائفي غير متوفّر في الوقت الرّاهن لا</w:t>
      </w:r>
      <w:r w:rsidRPr="004C6CA6">
        <w:rPr>
          <w:rFonts w:hint="eastAsia"/>
          <w:rtl/>
        </w:rPr>
        <w:t> </w:t>
      </w:r>
      <w:r w:rsidRPr="004C6CA6">
        <w:rPr>
          <w:rtl/>
        </w:rPr>
        <w:t>سيّما بالنّظر إلى ما تشهده دول المنطقة من نزاعات وحوادث أمنيّة، كان لها انعكاسات على الوضع الدّاخلي اللّبناني.</w:t>
      </w:r>
    </w:p>
    <w:p w:rsidR="004C6CA6" w:rsidRPr="004C6CA6" w:rsidRDefault="004C6CA6" w:rsidP="001F30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4C6CA6">
        <w:rPr>
          <w:rtl/>
        </w:rPr>
        <w:lastRenderedPageBreak/>
        <w:tab/>
      </w:r>
      <w:r w:rsidRPr="004C6CA6">
        <w:rPr>
          <w:rFonts w:hint="cs"/>
          <w:rtl/>
        </w:rPr>
        <w:t>رابعاً</w:t>
      </w:r>
      <w:r w:rsidRPr="004C6CA6">
        <w:rPr>
          <w:rtl/>
        </w:rPr>
        <w:t>-</w:t>
      </w:r>
      <w:r w:rsidRPr="004C6CA6">
        <w:rPr>
          <w:rtl/>
        </w:rPr>
        <w:tab/>
      </w:r>
      <w:r w:rsidRPr="004C6CA6">
        <w:rPr>
          <w:rFonts w:hint="cs"/>
          <w:rtl/>
        </w:rPr>
        <w:t>ا</w:t>
      </w:r>
      <w:r w:rsidRPr="004C6CA6">
        <w:rPr>
          <w:rtl/>
        </w:rPr>
        <w:t>لحقوق المدنية الأخرى</w:t>
      </w:r>
    </w:p>
    <w:p w:rsidR="004C6CA6" w:rsidRPr="004C6CA6" w:rsidRDefault="001F30B2" w:rsidP="001F30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4C6CA6" w:rsidRPr="004C6CA6">
        <w:rPr>
          <w:rtl/>
        </w:rPr>
        <w:t>(أ)</w:t>
      </w:r>
      <w:r w:rsidR="004C6CA6" w:rsidRPr="004C6CA6">
        <w:rPr>
          <w:rtl/>
        </w:rPr>
        <w:tab/>
        <w:t>الحق في حريّة التّنقل والحق في مغادرة أيّ بلد، بما في ذلك بلده، وفي العودة إلى بلده</w:t>
      </w:r>
    </w:p>
    <w:p w:rsidR="004C6CA6" w:rsidRPr="004C6CA6" w:rsidRDefault="004C6CA6" w:rsidP="004C6CA6">
      <w:pPr>
        <w:pStyle w:val="SingleTxt"/>
      </w:pPr>
      <w:r w:rsidRPr="004C6CA6">
        <w:rPr>
          <w:rFonts w:hint="cs"/>
          <w:rtl/>
        </w:rPr>
        <w:t>52-</w:t>
      </w:r>
      <w:r w:rsidRPr="004C6CA6">
        <w:tab/>
      </w:r>
      <w:r w:rsidRPr="004C6CA6">
        <w:rPr>
          <w:rtl/>
        </w:rPr>
        <w:t>إنّ حقّ الشّخص في حريّة التّنقّل وحقّه في مغادرة أيّ بلد وفي العودة إلى بلاده محميّان في إطار الحماية العامّة المقرّرة للحريّة الشّخصيّة حيث تنصّ المادّة (8) من الدّستور على أنّ الحريّة الشّخصيّة مصونة وفي حمى القانون، ولا يمكن أن يقبض على أحد أو يوقف إلاّ وفقاً لأحكام القانون، كما تضمن حماية هذين الحقّين مقدّمة الدّستور اللّبناني التّي تنصّ في الفقرة "ب" منها على أنّ لبنان عضو مؤسّس وعامل في منظمّة الأمم المتّحدة وملتزم مواثيقها والإعلان العالمي لحقوق الإنسان وتجسّد الدولة هذه المبادئ في جميع الحقول والمجالات دون استثناء، ذلك أنّ حريّة الشّخص في التّنقل وحقّه في مغادرة أيّ بلد هما من الحقوق والحريّات المكفولة بموجب مواثيق ومعاهدات دوليّة لبنان عضو فيها، لا سيّما الإعلان العالمي لحقوق الإنسان والعهد الدّولي الخاصّ بالحقوق المدنيّة والسياسيّة.</w:t>
      </w:r>
    </w:p>
    <w:p w:rsidR="004C6CA6" w:rsidRPr="004C6CA6" w:rsidRDefault="004C6CA6" w:rsidP="004C6CA6">
      <w:pPr>
        <w:pStyle w:val="SingleTxt"/>
      </w:pPr>
      <w:r w:rsidRPr="004C6CA6">
        <w:rPr>
          <w:rFonts w:hint="cs"/>
          <w:rtl/>
        </w:rPr>
        <w:t>53-</w:t>
      </w:r>
      <w:r w:rsidRPr="004C6CA6">
        <w:tab/>
      </w:r>
      <w:r w:rsidRPr="004C6CA6">
        <w:rPr>
          <w:rtl/>
        </w:rPr>
        <w:t>بالرّغم من هذا الإطار القانوني الحامي للحقّين موضوع البحث، فقد درجت العادة في لبنان على أن يقوم بعض أرباب العمل - الكفلاء للعمّال الأجانب، وعلى وجه خاصّ العمّال الأجانب في الخدمة المنزليّة، باحتجاز جوازات السّفر الخاصّة بهؤلاء العمّال.</w:t>
      </w:r>
    </w:p>
    <w:p w:rsidR="004C6CA6" w:rsidRPr="004C6CA6" w:rsidRDefault="004C6CA6" w:rsidP="004C6CA6">
      <w:pPr>
        <w:pStyle w:val="SingleTxt"/>
      </w:pPr>
      <w:r w:rsidRPr="004C6CA6">
        <w:rPr>
          <w:rFonts w:hint="cs"/>
          <w:rtl/>
        </w:rPr>
        <w:t>54-</w:t>
      </w:r>
      <w:r w:rsidRPr="004C6CA6">
        <w:tab/>
      </w:r>
      <w:r w:rsidRPr="004C6CA6">
        <w:rPr>
          <w:rtl/>
        </w:rPr>
        <w:t xml:space="preserve">في هذا الإطار، تصدر عدّة قرارات عن القضاء اللّبناني تقضي بعدم مشروعيّة هذه الممارسة - أي حجز </w:t>
      </w:r>
      <w:r w:rsidRPr="004C6CA6">
        <w:rPr>
          <w:rFonts w:hint="cs"/>
          <w:rtl/>
        </w:rPr>
        <w:t>ج</w:t>
      </w:r>
      <w:r w:rsidRPr="004C6CA6">
        <w:rPr>
          <w:rtl/>
        </w:rPr>
        <w:t>واز سفر العامل الأجنبي</w:t>
      </w:r>
      <w:r w:rsidRPr="004C6CA6">
        <w:rPr>
          <w:vertAlign w:val="superscript"/>
          <w:rtl/>
        </w:rPr>
        <w:t>(</w:t>
      </w:r>
      <w:r w:rsidRPr="004C6CA6">
        <w:rPr>
          <w:vertAlign w:val="superscript"/>
          <w:rtl/>
        </w:rPr>
        <w:footnoteReference w:id="17"/>
      </w:r>
      <w:r w:rsidRPr="004C6CA6">
        <w:rPr>
          <w:vertAlign w:val="superscript"/>
          <w:rtl/>
        </w:rPr>
        <w:t>)</w:t>
      </w:r>
      <w:r w:rsidRPr="004C6CA6">
        <w:rPr>
          <w:rtl/>
        </w:rPr>
        <w:t xml:space="preserve">، وفي هذا الإطار صدر قرار عن قضاء الأمور المستعجلة قضى بإلزام ربّة العمل السّابقة - والكفيلة السّابقة - للعاملة الأجنبيّة المستدعية بإعادة جواز السّفر الخاصّ بهذه الأخيرة على اعتبار أنّ جواز السّفر هو المستند الذّي يمكّن الشّخص من مغادرة أيّ بلد، ويمكّن الأجنبي من التّنقل داخل البلد الأجنبي المتواجد فيه ومن الحصول على الخدمات الأساسيّة فيه كونه يشكّل وسيلة تعريفه، وأنّ حجز جواز السّفر الخاصّ بالعاملة الأجنبيّة يشكّل تبعاً لذلك انتهاكاً لحقّها في حريّة التّنقل وحقّها في مغادرة البلاد المحميّين بموجب المادّة (13) من الإعلان العالمي لحقوق الإنسان والمادّة (12) من العهد الدّولي الخاصّ بالحقوق المدنيّة والسياسيّة اللّذين انضمّ إليهما لبنان، بالإضافة إلى غيرهما من حقوقها الأساسيّة، كما اعتبر القرار أنّ هذه الممارسة تخفي تمييزاً غير مبرّرٍ بين العامل اللّبناني والعامل الأجنبي وأنّ في ذلك مخالفة لتعهدّات لبنان الدّوليّة، وقد استند القرار صراحةً لهذه الجهة إلى مبدأ المساواة في الحقوق وحظر التّمييز لأيّ سببٍ كان المنصوص عنه في المادّة (26) من العهد الدّولي الخاصّ بالحقوق المدنيّة والسياسيّة، وإلى نصّي المادّتين (4) و(5) من الاتفاقية الدّوليّة للقضاء على جميع أشكال التّمييز العنصري لا سيّما ما تنصّ عليه هذه المادّة الأخيرة لجهة حقّ الشّخص في حريّة التّنقل وفي مغادرة أيّ بلد، بما في ذلك بلده، وفي العودة إلى بلده. هذا وقد جاء في القرار أنّ الأعباء الماليّة التّي يرتّبها استقدام العامل </w:t>
      </w:r>
      <w:r w:rsidRPr="004C6CA6">
        <w:rPr>
          <w:rFonts w:hint="cs"/>
          <w:rtl/>
        </w:rPr>
        <w:t>الأجنبي</w:t>
      </w:r>
      <w:r w:rsidRPr="004C6CA6">
        <w:rPr>
          <w:rtl/>
        </w:rPr>
        <w:t xml:space="preserve"> إلى لبنان على ربّ العمل، لا يمكن أن تشكّل مبرّراً لحجز </w:t>
      </w:r>
      <w:r w:rsidRPr="004C6CA6">
        <w:rPr>
          <w:rtl/>
        </w:rPr>
        <w:lastRenderedPageBreak/>
        <w:t>جواز سفر هذا العامل، إذ أنّ حجز حريّة العامل الأجنبي لا يمكن أن يكون وسيلة لضمان الحقوق الماديّة، كما لا يمكن أن يكون ضمانة لعدم ترك العامل الأجنبي للعمل</w:t>
      </w:r>
      <w:r w:rsidRPr="004C6CA6">
        <w:rPr>
          <w:vertAlign w:val="superscript"/>
          <w:rtl/>
        </w:rPr>
        <w:t>(</w:t>
      </w:r>
      <w:r w:rsidRPr="004C6CA6">
        <w:rPr>
          <w:vertAlign w:val="superscript"/>
          <w:rtl/>
        </w:rPr>
        <w:footnoteReference w:id="18"/>
      </w:r>
      <w:r w:rsidRPr="004C6CA6">
        <w:rPr>
          <w:vertAlign w:val="superscript"/>
          <w:rtl/>
        </w:rPr>
        <w:t>)</w:t>
      </w:r>
      <w:r w:rsidRPr="004C6CA6">
        <w:rPr>
          <w:rtl/>
        </w:rPr>
        <w:t>.</w:t>
      </w:r>
    </w:p>
    <w:p w:rsidR="004C6CA6" w:rsidRPr="004C6CA6" w:rsidRDefault="004C6CA6" w:rsidP="004C6CA6">
      <w:pPr>
        <w:pStyle w:val="SingleTxt"/>
      </w:pPr>
      <w:r w:rsidRPr="004C6CA6">
        <w:rPr>
          <w:rFonts w:hint="cs"/>
          <w:rtl/>
        </w:rPr>
        <w:t>55-</w:t>
      </w:r>
      <w:r w:rsidRPr="004C6CA6">
        <w:tab/>
      </w:r>
      <w:r w:rsidRPr="004C6CA6">
        <w:rPr>
          <w:rtl/>
        </w:rPr>
        <w:t>هذا ويعمد عناصر المديريّة العامّة للأمن العامّ إلى تسليم جوزات السّفر الخاصّة بالعمّال الأجانب باليد إلى هؤلاء العمّال شخصيّاً عند وصولهم إلى لبنان وبعد إنجاز المعاملات القانونيّة اللّازمة، بعد أن كان هذا التّسليم يتمّ في يد الكفلاء في السّابق.</w:t>
      </w:r>
    </w:p>
    <w:p w:rsidR="001F30B2" w:rsidRPr="001F30B2" w:rsidRDefault="001F30B2" w:rsidP="001F30B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4C6CA6" w:rsidRPr="004C6CA6" w:rsidRDefault="004C6CA6" w:rsidP="001F30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4C6CA6">
        <w:rPr>
          <w:rtl/>
        </w:rPr>
        <w:tab/>
        <w:t>(</w:t>
      </w:r>
      <w:r w:rsidRPr="004C6CA6">
        <w:rPr>
          <w:rFonts w:hint="cs"/>
          <w:rtl/>
        </w:rPr>
        <w:t>ب</w:t>
      </w:r>
      <w:r w:rsidRPr="004C6CA6">
        <w:rPr>
          <w:rtl/>
        </w:rPr>
        <w:t>)</w:t>
      </w:r>
      <w:r w:rsidRPr="004C6CA6">
        <w:rPr>
          <w:rtl/>
        </w:rPr>
        <w:tab/>
        <w:t>الحقّ في الجنسيّة</w:t>
      </w:r>
    </w:p>
    <w:p w:rsidR="004C6CA6" w:rsidRPr="004C6CA6" w:rsidRDefault="004C6CA6" w:rsidP="004C6CA6">
      <w:pPr>
        <w:pStyle w:val="SingleTxt"/>
      </w:pPr>
      <w:r w:rsidRPr="004C6CA6">
        <w:rPr>
          <w:rFonts w:hint="cs"/>
          <w:rtl/>
        </w:rPr>
        <w:t>56-</w:t>
      </w:r>
      <w:r w:rsidRPr="004C6CA6">
        <w:tab/>
      </w:r>
      <w:r w:rsidRPr="004C6CA6">
        <w:rPr>
          <w:rtl/>
        </w:rPr>
        <w:t xml:space="preserve">ينظّم أحكام اكتساب الجنسيّة اللّبنانيّة القرار رقم (15) الصّادر بتاريخ 19 كانون الثّاني/ </w:t>
      </w:r>
      <w:r w:rsidRPr="004C6CA6">
        <w:rPr>
          <w:rFonts w:hint="cs"/>
          <w:rtl/>
        </w:rPr>
        <w:t>يناير</w:t>
      </w:r>
      <w:r w:rsidRPr="004C6CA6">
        <w:rPr>
          <w:rtl/>
        </w:rPr>
        <w:t xml:space="preserve"> 1925، ويعتمد هذا القانون مبدأ البنوّة من أب إلى </w:t>
      </w:r>
      <w:r w:rsidRPr="004C6CA6">
        <w:rPr>
          <w:rFonts w:hint="cs"/>
          <w:rtl/>
        </w:rPr>
        <w:t>ا</w:t>
      </w:r>
      <w:r w:rsidRPr="004C6CA6">
        <w:rPr>
          <w:rtl/>
        </w:rPr>
        <w:t>بن في اكتساب الجنسيّة ولا</w:t>
      </w:r>
      <w:r w:rsidRPr="004C6CA6">
        <w:rPr>
          <w:rFonts w:hint="eastAsia"/>
          <w:rtl/>
        </w:rPr>
        <w:t> </w:t>
      </w:r>
      <w:r w:rsidRPr="004C6CA6">
        <w:rPr>
          <w:rtl/>
        </w:rPr>
        <w:t xml:space="preserve">يعطي المرأة اللّبنانيّة حقّ منح أولادها من زوج غير لبناني الجنسيّة اللّبنانيّة، ولا يزال المشرّع اللّبناني متمسّكاً بهذه القاعدة عملاً </w:t>
      </w:r>
      <w:r w:rsidRPr="004C6CA6">
        <w:rPr>
          <w:rFonts w:hint="cs"/>
          <w:rtl/>
        </w:rPr>
        <w:t>ب</w:t>
      </w:r>
      <w:r w:rsidRPr="004C6CA6">
        <w:rPr>
          <w:rtl/>
        </w:rPr>
        <w:t xml:space="preserve">مبدأ رفض التّوطين المكرّس في الفقرة "ط" من مقدّمة الدّستور، مع الإشارة إلى أنّه ليس في هذه الأحكام مخالفة </w:t>
      </w:r>
      <w:r w:rsidRPr="004C6CA6">
        <w:rPr>
          <w:rFonts w:hint="cs"/>
          <w:rtl/>
        </w:rPr>
        <w:t>للاتفاقية</w:t>
      </w:r>
      <w:r w:rsidRPr="004C6CA6">
        <w:rPr>
          <w:rtl/>
        </w:rPr>
        <w:t xml:space="preserve"> الدّوليّة للقضاء على جميع أشكال التّمييز العنصري، وفق ما تنصّ عليه الفقرة (3) من مادّتها الأولى، كون هذه الأحكام عامّة تسري على جميع الأجانب ولا تتضمّن تمييزاً موجّهاً ضدّ جنسيّة ما.</w:t>
      </w:r>
    </w:p>
    <w:p w:rsidR="004C6CA6" w:rsidRPr="004C6CA6" w:rsidRDefault="004C6CA6" w:rsidP="004C6CA6">
      <w:pPr>
        <w:pStyle w:val="SingleTxt"/>
      </w:pPr>
      <w:r w:rsidRPr="004C6CA6">
        <w:rPr>
          <w:rFonts w:hint="cs"/>
          <w:rtl/>
        </w:rPr>
        <w:t>57-</w:t>
      </w:r>
      <w:r w:rsidRPr="004C6CA6">
        <w:tab/>
      </w:r>
      <w:r w:rsidRPr="004C6CA6">
        <w:rPr>
          <w:rtl/>
        </w:rPr>
        <w:t>وقد أرسى القضاء اللّبناني حق المرأة الأجنبيّة المقترنة بلبناني باكتساب الجنسيّة اللّبنانيّة بعد مرور سنة على تسجيل زواجها، دون تفريق بين المرأة الأجنبيّة المحدّدة الهويّة والأجنبيّة غير المحدّدة الهوية، كما أكّد على حقّ المرأة الأجنبيّة المقترنة بلبناني باكتساب الجنسيّة اللّبنانيّة بعد مرور سنة على تسجيل الزّواج دونما حاجة إلى موافقة الزّوج.</w:t>
      </w:r>
    </w:p>
    <w:p w:rsidR="004C6CA6" w:rsidRPr="004C6CA6" w:rsidRDefault="004C6CA6" w:rsidP="00476CF6">
      <w:pPr>
        <w:pStyle w:val="SingleTxt"/>
        <w:rPr>
          <w:rtl/>
        </w:rPr>
      </w:pPr>
      <w:r w:rsidRPr="004C6CA6">
        <w:rPr>
          <w:rtl/>
        </w:rPr>
        <w:t>58-</w:t>
      </w:r>
      <w:r w:rsidRPr="004C6CA6">
        <w:rPr>
          <w:rtl/>
        </w:rPr>
        <w:tab/>
        <w:t>وبهدف التّخفيف من وطأة قانون الجنسيّة بالنّسبة إلى أسرة اللّبنانيّة المتزوّجة من أجنبي، جاء المرسوم رقم (4186) تاريخ 31 أيّار/مايو 2010 يجيز لمدير عامّ الأمن العامّ منح إقامات مجاملة لمدّة ثلاث سنوات قابلة للتّجديد إلى زوج اللّبنانية الأجنبي، بعد انقضاء مدّة سنة على</w:t>
      </w:r>
      <w:r w:rsidRPr="004C6CA6">
        <w:rPr>
          <w:rFonts w:hint="eastAsia"/>
          <w:rtl/>
        </w:rPr>
        <w:t> </w:t>
      </w:r>
      <w:r w:rsidRPr="004C6CA6">
        <w:rPr>
          <w:rtl/>
        </w:rPr>
        <w:t xml:space="preserve">زواجه منها وأولاد اللّبنانيّة من زوج أجنبي سواء كانوا راشدين أو قاصرين من جهة، يعملون أو لا يعملون من جهة أخرى، بعد أن كان المرسوم رقم (10955) تاريخ 17 </w:t>
      </w:r>
      <w:r w:rsidRPr="004C6CA6">
        <w:rPr>
          <w:rFonts w:hint="cs"/>
          <w:rtl/>
        </w:rPr>
        <w:t>أيلول</w:t>
      </w:r>
      <w:r w:rsidRPr="004C6CA6">
        <w:rPr>
          <w:rtl/>
        </w:rPr>
        <w:t>/</w:t>
      </w:r>
      <w:r w:rsidR="00476CF6">
        <w:rPr>
          <w:rFonts w:hint="cs"/>
          <w:rtl/>
        </w:rPr>
        <w:t xml:space="preserve"> </w:t>
      </w:r>
      <w:r w:rsidRPr="004C6CA6">
        <w:rPr>
          <w:rtl/>
        </w:rPr>
        <w:t>سبتمبر</w:t>
      </w:r>
      <w:r w:rsidR="00476CF6">
        <w:rPr>
          <w:rFonts w:hint="eastAsia"/>
          <w:rtl/>
        </w:rPr>
        <w:t> </w:t>
      </w:r>
      <w:r w:rsidRPr="004C6CA6">
        <w:rPr>
          <w:rtl/>
        </w:rPr>
        <w:t>2003 يجيز منح مثل هذه الإقامة إلى العربي أو الأجنبي من والدة لبنانيّة إذا كان لا</w:t>
      </w:r>
      <w:r w:rsidR="00476CF6">
        <w:rPr>
          <w:rFonts w:hint="cs"/>
          <w:rtl/>
        </w:rPr>
        <w:t> </w:t>
      </w:r>
      <w:r w:rsidRPr="004C6CA6">
        <w:rPr>
          <w:rtl/>
        </w:rPr>
        <w:t>يعمل.</w:t>
      </w:r>
    </w:p>
    <w:p w:rsidR="001F30B2" w:rsidRPr="001F30B2" w:rsidRDefault="001F30B2" w:rsidP="001F30B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4C6CA6" w:rsidRPr="004C6CA6" w:rsidRDefault="004C6CA6" w:rsidP="001F30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4C6CA6">
        <w:rPr>
          <w:rtl/>
        </w:rPr>
        <w:tab/>
        <w:t>(ج)</w:t>
      </w:r>
      <w:r w:rsidRPr="004C6CA6">
        <w:rPr>
          <w:rtl/>
        </w:rPr>
        <w:tab/>
        <w:t>حريّة الدّين وحريّة الزّواج</w:t>
      </w:r>
    </w:p>
    <w:p w:rsidR="004C6CA6" w:rsidRPr="004C6CA6" w:rsidRDefault="004C6CA6" w:rsidP="006954D7">
      <w:pPr>
        <w:pStyle w:val="SingleTxt"/>
      </w:pPr>
      <w:r w:rsidRPr="004C6CA6">
        <w:rPr>
          <w:rFonts w:hint="cs"/>
          <w:rtl/>
        </w:rPr>
        <w:t>59-</w:t>
      </w:r>
      <w:r w:rsidRPr="004C6CA6">
        <w:tab/>
      </w:r>
      <w:r w:rsidRPr="004C6CA6">
        <w:rPr>
          <w:rtl/>
        </w:rPr>
        <w:t>إنّ حريّة الزّواج في لبنان محميّة في إطار حماية الحريّة الشّخصيّة بصورة عامّة. ويخضع كلّ لبنانيّ فيما يتعلّق بمسائل الزّواج إلى نظام طائفته وفق ما تنصّ عليه المادّة (10) من القرار (60</w:t>
      </w:r>
      <w:r w:rsidR="006954D7">
        <w:rPr>
          <w:rFonts w:hint="cs"/>
          <w:rtl/>
        </w:rPr>
        <w:t> </w:t>
      </w:r>
      <w:r w:rsidRPr="004C6CA6">
        <w:rPr>
          <w:rtl/>
        </w:rPr>
        <w:t xml:space="preserve">ل. ر.) المتعلّق بتنظيم الطّوائف الدّينيّة في لبنان. وتنصّ هذه المادّة كذلك على أن يخضع </w:t>
      </w:r>
      <w:r w:rsidRPr="004C6CA6">
        <w:rPr>
          <w:rtl/>
        </w:rPr>
        <w:lastRenderedPageBreak/>
        <w:t>اللّبنانيّون المنتمون إلى طائفة تابعة للحقّ العادي إلى القانون المدني في كلّ ما يتعلّق بأحوالهم الشّخصيّة، غير أنّه لم يصدر حتّى تاريخه قانون مدني للأحوال الشّخصيّة في لبنان، ولكن القانون اللّبناني يعترف بالمفاعيل القانونيّة كافّة للزّواج المدني المعقود في الخارج من قبل لبناني إذا عُقد وفق الشّكل المتّبع في البلد الذّي تمّ فيه، ويُخضعه لاختصاص المحاكم المدنيّة التّي تطبّق بشأنه القانون المدني الأجنبي المختار من قبل الزّوجين مع استثناء بالنّسبة إلى الحالة التّي يكون فيها كلا الزّوجين من الطّوائف المحمّديّة وأحدهما على الأقلّ لبنانيّاً إذ يبقى الزّواج في هذه الحالة خاضعاً لاختصاص المحاكم الشّرعيّة أو المذهبيّة والتّي تطبّق كلّ منها القانون الطّائفي الخاصّ بها</w:t>
      </w:r>
      <w:r w:rsidRPr="004C6CA6">
        <w:rPr>
          <w:vertAlign w:val="superscript"/>
          <w:rtl/>
        </w:rPr>
        <w:t>(</w:t>
      </w:r>
      <w:r w:rsidRPr="004C6CA6">
        <w:rPr>
          <w:vertAlign w:val="superscript"/>
          <w:rtl/>
        </w:rPr>
        <w:footnoteReference w:id="19"/>
      </w:r>
      <w:r w:rsidRPr="004C6CA6">
        <w:rPr>
          <w:vertAlign w:val="superscript"/>
          <w:rtl/>
        </w:rPr>
        <w:t>)</w:t>
      </w:r>
      <w:r w:rsidRPr="004C6CA6">
        <w:rPr>
          <w:rtl/>
        </w:rPr>
        <w:t xml:space="preserve">. </w:t>
      </w:r>
    </w:p>
    <w:p w:rsidR="004C6CA6" w:rsidRPr="004C6CA6" w:rsidRDefault="004C6CA6" w:rsidP="004C6CA6">
      <w:pPr>
        <w:pStyle w:val="SingleTxt"/>
        <w:rPr>
          <w:rtl/>
        </w:rPr>
      </w:pPr>
      <w:r w:rsidRPr="004C6CA6">
        <w:rPr>
          <w:rtl/>
        </w:rPr>
        <w:tab/>
      </w:r>
      <w:r w:rsidRPr="004C6CA6">
        <w:rPr>
          <w:rFonts w:hint="cs"/>
          <w:rtl/>
        </w:rPr>
        <w:t>و</w:t>
      </w:r>
      <w:r w:rsidRPr="004C6CA6">
        <w:rPr>
          <w:rtl/>
        </w:rPr>
        <w:t>يلجأ اللّبنانيّون عادةً إلى إبرام عقد زواج مدني في بلد أجنبي يعترف قانونه بمثل هذا الزّواج إذا كانوا راغبين في عقد زواج غير خاضع لقانون طائفي، لا سيّما متى كا</w:t>
      </w:r>
      <w:r w:rsidR="003D6DE5">
        <w:rPr>
          <w:rtl/>
        </w:rPr>
        <w:t>ن الزّوجان من طائفتين مختلفتين.</w:t>
      </w:r>
      <w:r w:rsidR="003D6DE5">
        <w:rPr>
          <w:rFonts w:hint="cs"/>
          <w:rtl/>
        </w:rPr>
        <w:t xml:space="preserve"> </w:t>
      </w:r>
    </w:p>
    <w:p w:rsidR="004C6CA6" w:rsidRPr="004C6CA6" w:rsidRDefault="004C6CA6" w:rsidP="004C6CA6">
      <w:pPr>
        <w:pStyle w:val="SingleTxt"/>
      </w:pPr>
      <w:r w:rsidRPr="004C6CA6">
        <w:rPr>
          <w:rFonts w:hint="cs"/>
          <w:rtl/>
        </w:rPr>
        <w:t>60-</w:t>
      </w:r>
      <w:r w:rsidRPr="004C6CA6">
        <w:tab/>
      </w:r>
      <w:r w:rsidRPr="004C6CA6">
        <w:rPr>
          <w:rtl/>
        </w:rPr>
        <w:t xml:space="preserve">وعلى إثر تحرّك قامت به جمعيّات المجتمع المدني في مسعى منها لإحراز تقدّم في مجال إلغاء النّظام السّياسي الطّائفي، ووضع حدّ لمسألة خضوع اللّبنانيّين لأحكام قوانين الأحوال الشّخصيّة الخاصّة بالطّوائف التّي ينتمون إليها، تقدّم عدد من اللّبنانيّين بطلبات شطب ذكر طوائفهم من سجلاّت النّفوس الخاصّة بهم، فأصدر وزير الداخلية والبلديّات بتاريخ 21 تشرين الأوّل/أكتوبر 2008 قراراً يقضى بوجوب إجابة هذه الطّلبات، وعاد وأصدر بتاريخ 6 </w:t>
      </w:r>
      <w:r w:rsidRPr="004C6CA6">
        <w:rPr>
          <w:rFonts w:hint="cs"/>
          <w:rtl/>
        </w:rPr>
        <w:t>شباط</w:t>
      </w:r>
      <w:r w:rsidRPr="004C6CA6">
        <w:rPr>
          <w:rtl/>
        </w:rPr>
        <w:t xml:space="preserve">/ </w:t>
      </w:r>
      <w:r w:rsidRPr="004C6CA6">
        <w:rPr>
          <w:rFonts w:hint="cs"/>
          <w:rtl/>
        </w:rPr>
        <w:t>فبراير</w:t>
      </w:r>
      <w:r w:rsidRPr="004C6CA6">
        <w:rPr>
          <w:rtl/>
        </w:rPr>
        <w:t xml:space="preserve"> 2009 تعميماً يؤكّد فيه على حق كل مواطن في عدم التّصريح عن القيد الطائفي الخاصّ به في سجلاّت الأحوال الشخصية، أو شطب هذا القيد، على اعتبار أنّ هذا الحق مستمد من أحكام الدستور ومن الإعلان العالمي لحقوق الإنسان، وعلى وجوب قبول عدم تصريح صاحب العلاقة عن القيد الطائفي وطلبات شطب القيد الطائفي من سجلات النفوس. </w:t>
      </w:r>
    </w:p>
    <w:p w:rsidR="004C6CA6" w:rsidRPr="004C6CA6" w:rsidRDefault="004C6CA6" w:rsidP="004C6CA6">
      <w:pPr>
        <w:pStyle w:val="SingleTxt"/>
      </w:pPr>
      <w:r w:rsidRPr="004C6CA6">
        <w:rPr>
          <w:rFonts w:hint="cs"/>
          <w:rtl/>
        </w:rPr>
        <w:t>61-</w:t>
      </w:r>
      <w:r w:rsidRPr="004C6CA6">
        <w:tab/>
      </w:r>
      <w:r w:rsidRPr="004C6CA6">
        <w:rPr>
          <w:rtl/>
        </w:rPr>
        <w:t xml:space="preserve">ساهم هذا التّحرّك في عقد أوّل زواج مدني في لبنان بين لبنانيّين أقدما على شطب القيد الطّائفي الخاصّ بكلٍّ منهما من سجلاًت النّفوس، بالاستناد إلى ما تنصّ عليه المادّة (10) من القرار (60 ل. ر.) السّابقة الذّكر بالنّسبة إلى طائفة الحقّ العادي، وقد تمّ تسجيل الوثيقة الخاصّة بهذا الزّواج في سجلاّت النّفوس تبعاً لرأي صدر عن الهيئة </w:t>
      </w:r>
      <w:r w:rsidRPr="004C6CA6">
        <w:rPr>
          <w:rFonts w:hint="cs"/>
          <w:rtl/>
        </w:rPr>
        <w:t>الا</w:t>
      </w:r>
      <w:r w:rsidRPr="004C6CA6">
        <w:rPr>
          <w:rtl/>
        </w:rPr>
        <w:t>ستشاريّة العليا في وزارة العدل بتاريخ</w:t>
      </w:r>
      <w:r w:rsidRPr="004C6CA6">
        <w:rPr>
          <w:rFonts w:hint="eastAsia"/>
          <w:rtl/>
        </w:rPr>
        <w:t> </w:t>
      </w:r>
      <w:r w:rsidRPr="004C6CA6">
        <w:rPr>
          <w:rtl/>
        </w:rPr>
        <w:t xml:space="preserve">11 </w:t>
      </w:r>
      <w:r w:rsidRPr="004C6CA6">
        <w:rPr>
          <w:rFonts w:hint="cs"/>
          <w:rtl/>
        </w:rPr>
        <w:t>شباط</w:t>
      </w:r>
      <w:r w:rsidRPr="004C6CA6">
        <w:rPr>
          <w:rtl/>
        </w:rPr>
        <w:t xml:space="preserve">/فبراير 2013 أكّدت فيه هذه الهيئة على حقّ اللّبناني الذّي لا ينتمي إلى أيّ طائفة أن يعقد زواجاً مدنيّاً في لبنان مستندةً في ذلك إلى النّصوص الدّستوريّة والمواثيق الدّوليّة التّي تكرّس حق حريّة المعتقد والحقّ في الزّواج. كما اعتبرت الهيئة </w:t>
      </w:r>
      <w:r w:rsidRPr="004C6CA6">
        <w:rPr>
          <w:rFonts w:hint="cs"/>
          <w:rtl/>
        </w:rPr>
        <w:t>الا</w:t>
      </w:r>
      <w:r w:rsidRPr="004C6CA6">
        <w:rPr>
          <w:rtl/>
        </w:rPr>
        <w:t xml:space="preserve">ستشاريّة العليا أنّه في ظلّ غياب قانون مدني لبناني يرعى الزّواج لناحية مفاعيله وآثاره، يطبّق مبدأ حريّة الإرادة، بحيث يعود للزّوجين أن يعيّنا في العقد المبرم بينهما القانون المدني الذّي يتمّ اختياره من قبلهما ليرعى عقد زواجهما بالنّسبة إلى آثار الزّواج كافّة، لا سيّما الآثار الشّخصيّة والآثار الماليّة لهذا الزّواج. </w:t>
      </w:r>
    </w:p>
    <w:p w:rsidR="004C6CA6" w:rsidRPr="004C6CA6" w:rsidRDefault="004C6CA6" w:rsidP="001F30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4C6CA6">
        <w:rPr>
          <w:rtl/>
        </w:rPr>
        <w:lastRenderedPageBreak/>
        <w:tab/>
      </w:r>
      <w:r w:rsidRPr="004C6CA6">
        <w:rPr>
          <w:rFonts w:hint="cs"/>
          <w:rtl/>
        </w:rPr>
        <w:t>خامساً</w:t>
      </w:r>
      <w:r w:rsidRPr="004C6CA6">
        <w:rPr>
          <w:rtl/>
        </w:rPr>
        <w:t>-</w:t>
      </w:r>
      <w:r w:rsidRPr="004C6CA6">
        <w:rPr>
          <w:rtl/>
        </w:rPr>
        <w:tab/>
        <w:t xml:space="preserve">الحقوق </w:t>
      </w:r>
      <w:r w:rsidRPr="004C6CA6">
        <w:rPr>
          <w:rFonts w:hint="cs"/>
          <w:rtl/>
        </w:rPr>
        <w:t>الا</w:t>
      </w:r>
      <w:r w:rsidRPr="004C6CA6">
        <w:rPr>
          <w:rtl/>
        </w:rPr>
        <w:t>قتصاديّة والاجتماعية والثّقافيّة</w:t>
      </w:r>
    </w:p>
    <w:p w:rsidR="004C6CA6" w:rsidRPr="004C6CA6" w:rsidRDefault="004C6CA6" w:rsidP="001F30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4C6CA6">
        <w:rPr>
          <w:rtl/>
        </w:rPr>
        <w:tab/>
      </w:r>
      <w:r w:rsidRPr="004C6CA6">
        <w:rPr>
          <w:rtl/>
        </w:rPr>
        <w:tab/>
        <w:t>الخطوات الرّامية إلى ضمان حقّ التّعليم للجميع</w:t>
      </w:r>
    </w:p>
    <w:p w:rsidR="004C6CA6" w:rsidRPr="004C6CA6" w:rsidRDefault="004C6CA6" w:rsidP="004C6CA6">
      <w:pPr>
        <w:pStyle w:val="SingleTxt"/>
      </w:pPr>
      <w:r w:rsidRPr="004C6CA6">
        <w:rPr>
          <w:rFonts w:hint="cs"/>
          <w:rtl/>
        </w:rPr>
        <w:t>62-</w:t>
      </w:r>
      <w:r w:rsidRPr="004C6CA6">
        <w:tab/>
      </w:r>
      <w:r w:rsidRPr="004C6CA6">
        <w:rPr>
          <w:rtl/>
        </w:rPr>
        <w:t xml:space="preserve">صدر بتاريخ 17 </w:t>
      </w:r>
      <w:r w:rsidRPr="004C6CA6">
        <w:rPr>
          <w:rFonts w:hint="cs"/>
          <w:rtl/>
        </w:rPr>
        <w:t>آب</w:t>
      </w:r>
      <w:r w:rsidRPr="004C6CA6">
        <w:rPr>
          <w:rtl/>
        </w:rPr>
        <w:t xml:space="preserve">/أغسطس 2011 القانون رقم (150) الذّي ينصّ على أنّ التّعليم إلزاميّ في مرحلة التّعليم الأساسي، ومتاح مجّاناً في </w:t>
      </w:r>
      <w:r w:rsidRPr="004C6CA6">
        <w:rPr>
          <w:rFonts w:hint="cs"/>
          <w:rtl/>
        </w:rPr>
        <w:t>المدارس</w:t>
      </w:r>
      <w:r w:rsidRPr="004C6CA6">
        <w:rPr>
          <w:rtl/>
        </w:rPr>
        <w:t xml:space="preserve"> </w:t>
      </w:r>
      <w:r w:rsidRPr="004C6CA6">
        <w:rPr>
          <w:rFonts w:hint="cs"/>
          <w:rtl/>
        </w:rPr>
        <w:t>الرسمية</w:t>
      </w:r>
      <w:r w:rsidRPr="004C6CA6">
        <w:rPr>
          <w:rtl/>
        </w:rPr>
        <w:t xml:space="preserve">، وهو حقّ لكلّ لبنانيّ في سنّ الدّراسة لهذه </w:t>
      </w:r>
      <w:r w:rsidRPr="004C6CA6">
        <w:rPr>
          <w:rFonts w:hint="cs"/>
          <w:rtl/>
        </w:rPr>
        <w:t>المرحلة</w:t>
      </w:r>
      <w:r w:rsidRPr="004C6CA6">
        <w:rPr>
          <w:rtl/>
        </w:rPr>
        <w:t xml:space="preserve">، ذلك بعد أن كان النّص القانوني القديم ينصّ على إلزاميّة التّعليم ومجّانيّته فقط بالنّسبة إلى المرحلة </w:t>
      </w:r>
      <w:r w:rsidRPr="004C6CA6">
        <w:rPr>
          <w:rFonts w:hint="cs"/>
          <w:rtl/>
        </w:rPr>
        <w:t>الا</w:t>
      </w:r>
      <w:r w:rsidRPr="004C6CA6">
        <w:rPr>
          <w:rtl/>
        </w:rPr>
        <w:t>بتدائيّة.</w:t>
      </w:r>
    </w:p>
    <w:p w:rsidR="004C6CA6" w:rsidRPr="004C6CA6" w:rsidRDefault="004C6CA6" w:rsidP="004C6CA6">
      <w:pPr>
        <w:pStyle w:val="SingleTxt"/>
      </w:pPr>
      <w:r w:rsidRPr="004C6CA6">
        <w:rPr>
          <w:rFonts w:hint="cs"/>
          <w:rtl/>
        </w:rPr>
        <w:t>63-</w:t>
      </w:r>
      <w:r w:rsidRPr="004C6CA6">
        <w:tab/>
      </w:r>
      <w:r w:rsidRPr="004C6CA6">
        <w:rPr>
          <w:rtl/>
        </w:rPr>
        <w:t xml:space="preserve">فيما يتعلّق باللاّجئين، وبالنّظر إلى تزايد عدد التّلامذة غير اللّبنانيّين بشكلٍ كبير نتيجة حركة اللّجوء السّوري إلى لبنان، صدرت مؤخراً تعاميم تنظيميّة لقبول التّلامذة غير اللّبنانيّين في المدارس الرّسميّة عن وزير التّربية والتّعليم العالي. </w:t>
      </w:r>
    </w:p>
    <w:p w:rsidR="004C6CA6" w:rsidRPr="004C6CA6" w:rsidRDefault="004C6CA6" w:rsidP="004C6CA6">
      <w:pPr>
        <w:pStyle w:val="SingleTxt"/>
        <w:rPr>
          <w:rtl/>
        </w:rPr>
      </w:pPr>
      <w:r w:rsidRPr="004C6CA6">
        <w:rPr>
          <w:rtl/>
        </w:rPr>
        <w:tab/>
        <w:t xml:space="preserve">وقد تمّ وضع برامج دعم التّعليم تشمل تغطية تكاليف الرّسوم الدّراسيّة والكتب وإعداد البرامج التّعليميّة </w:t>
      </w:r>
      <w:r w:rsidRPr="004C6CA6">
        <w:rPr>
          <w:rFonts w:hint="cs"/>
          <w:rtl/>
        </w:rPr>
        <w:t>الا</w:t>
      </w:r>
      <w:r w:rsidRPr="004C6CA6">
        <w:rPr>
          <w:rtl/>
        </w:rPr>
        <w:t>ستلحاقيّة والمعجلّة للطّلاب النّازحين المعرّضين لخطر التّسرّب من المدرسة من قبل وكالة ا</w:t>
      </w:r>
      <w:r w:rsidRPr="004C6CA6">
        <w:rPr>
          <w:rFonts w:hint="cs"/>
          <w:rtl/>
        </w:rPr>
        <w:t>ﻟ</w:t>
      </w:r>
      <w:r w:rsidRPr="004C6CA6">
        <w:rPr>
          <w:rtl/>
        </w:rPr>
        <w:t xml:space="preserve"> </w:t>
      </w:r>
      <w:r w:rsidRPr="004C6CA6">
        <w:t>UNHCR</w:t>
      </w:r>
      <w:r w:rsidRPr="004C6CA6">
        <w:rPr>
          <w:rtl/>
        </w:rPr>
        <w:t>، وجرى في هذا الإطار تنظيم دوام بعد الظّهر من أجل تدريس مرحلة التّعليم الأساسي لاستيعاب التّلامذة الوافدين بسبب الأزمة السّوريّة في بعض المدارس الرّسميّة التّي جرى اعتمادها لهذه الغاية. وهناك تساهل من قبل وزارة التّربية والتّعليم العالي فيما يتعلّق با</w:t>
      </w:r>
      <w:r w:rsidRPr="004C6CA6">
        <w:rPr>
          <w:rFonts w:hint="cs"/>
          <w:rtl/>
        </w:rPr>
        <w:t>لا</w:t>
      </w:r>
      <w:r w:rsidRPr="004C6CA6">
        <w:rPr>
          <w:rtl/>
        </w:rPr>
        <w:t>متحانات لشهادة الصّفّ التّاسع بالنّسبة إلى التّلامذة الذّين لا يملكون وثائق مثبتة للدّراسات المنجزة في سوريا.</w:t>
      </w:r>
    </w:p>
    <w:p w:rsidR="004C6CA6" w:rsidRPr="004C6CA6" w:rsidRDefault="004C6CA6" w:rsidP="004C6CA6">
      <w:pPr>
        <w:pStyle w:val="SingleTxt"/>
        <w:rPr>
          <w:rtl/>
        </w:rPr>
      </w:pPr>
      <w:r w:rsidRPr="004C6CA6">
        <w:rPr>
          <w:rtl/>
        </w:rPr>
        <w:tab/>
        <w:t xml:space="preserve">وتجدر الإشارة إلى أنّه تقوم في بعض الأحيان منظّمات مانحة بتغطية كلفة انتساب التّلامذة اللاّجئين من غير السّوريّين أيضاً، وهذا ما كان عليه الحال بالنّسبة إلى التّلامذة العراقيّين الوافدين مؤخراً إلى لبنان عن العام الدّراسي 2014-2015. </w:t>
      </w:r>
    </w:p>
    <w:p w:rsidR="004C6CA6" w:rsidRDefault="004C6CA6" w:rsidP="004C6CA6">
      <w:pPr>
        <w:pStyle w:val="SingleTxt"/>
        <w:rPr>
          <w:rtl/>
        </w:rPr>
      </w:pPr>
      <w:r w:rsidRPr="004C6CA6">
        <w:rPr>
          <w:rtl/>
        </w:rPr>
        <w:t>64-</w:t>
      </w:r>
      <w:r w:rsidRPr="004C6CA6">
        <w:rPr>
          <w:rtl/>
        </w:rPr>
        <w:tab/>
        <w:t>فيما يأتي بيان لتطوّر عدد التّلامذة الأجانب في المدارس اللّبنانيّة، من خلال جدولين بأعداد التّلامذة حسب الجنسيّة وقطاع التّعليم في العامين الدّراسيّين 2004-2005 (بداية المدّة المتعلّق بها هذا التّقرير) و2013-2014 وفق سجلاّت وزارة التّربية والتّعليم العالي:</w:t>
      </w:r>
    </w:p>
    <w:p w:rsidR="007673A0" w:rsidRPr="007673A0" w:rsidRDefault="007673A0" w:rsidP="007673A0">
      <w:pPr>
        <w:pStyle w:val="SingleTxt"/>
        <w:spacing w:after="0" w:line="120" w:lineRule="exact"/>
        <w:rPr>
          <w:sz w:val="10"/>
          <w:rtl/>
        </w:rPr>
      </w:pPr>
    </w:p>
    <w:p w:rsidR="007673A0" w:rsidRPr="007673A0" w:rsidRDefault="007673A0" w:rsidP="007673A0">
      <w:pPr>
        <w:pStyle w:val="SingleTxt"/>
        <w:spacing w:after="0" w:line="120" w:lineRule="exact"/>
        <w:rPr>
          <w:sz w:val="10"/>
          <w:rtl/>
        </w:rPr>
      </w:pPr>
    </w:p>
    <w:tbl>
      <w:tblPr>
        <w:bidiVisual/>
        <w:tblW w:w="7601" w:type="dxa"/>
        <w:tblInd w:w="1284" w:type="dxa"/>
        <w:tblLook w:val="04A0" w:firstRow="1" w:lastRow="0" w:firstColumn="1" w:lastColumn="0" w:noHBand="0" w:noVBand="1"/>
      </w:tblPr>
      <w:tblGrid>
        <w:gridCol w:w="1317"/>
        <w:gridCol w:w="2141"/>
        <w:gridCol w:w="1791"/>
        <w:gridCol w:w="2352"/>
      </w:tblGrid>
      <w:tr w:rsidR="007673A0" w:rsidRPr="003D6DE5" w:rsidTr="007673A0">
        <w:trPr>
          <w:cantSplit/>
          <w:tblHeader/>
        </w:trPr>
        <w:tc>
          <w:tcPr>
            <w:tcW w:w="7601" w:type="dxa"/>
            <w:gridSpan w:val="4"/>
            <w:tcBorders>
              <w:top w:val="single" w:sz="4" w:space="0" w:color="auto"/>
              <w:bottom w:val="single" w:sz="12" w:space="0" w:color="auto"/>
            </w:tcBorders>
            <w:shd w:val="clear" w:color="auto" w:fill="auto"/>
            <w:vAlign w:val="bottom"/>
          </w:tcPr>
          <w:p w:rsidR="007673A0" w:rsidRPr="003D6DE5" w:rsidRDefault="007673A0" w:rsidP="007673A0">
            <w:pPr>
              <w:spacing w:before="80" w:after="80" w:line="240" w:lineRule="exact"/>
              <w:rPr>
                <w:i/>
                <w:iCs/>
                <w:sz w:val="16"/>
                <w:szCs w:val="24"/>
                <w:rtl/>
              </w:rPr>
            </w:pPr>
            <w:r w:rsidRPr="003D6DE5">
              <w:rPr>
                <w:i/>
                <w:iCs/>
                <w:sz w:val="16"/>
                <w:szCs w:val="24"/>
                <w:rtl/>
              </w:rPr>
              <w:t>توزّع التّلاميذ حسب الجنسيّة وقطاع التّعليم في العام الدّراسي 2004-2005</w:t>
            </w:r>
          </w:p>
        </w:tc>
      </w:tr>
      <w:tr w:rsidR="007673A0" w:rsidRPr="003D6DE5" w:rsidTr="007673A0">
        <w:trPr>
          <w:cantSplit/>
          <w:trHeight w:hRule="exact" w:val="115"/>
          <w:tblHeader/>
        </w:trPr>
        <w:tc>
          <w:tcPr>
            <w:tcW w:w="1317" w:type="dxa"/>
            <w:tcBorders>
              <w:top w:val="single" w:sz="12" w:space="0" w:color="auto"/>
            </w:tcBorders>
            <w:shd w:val="clear" w:color="auto" w:fill="auto"/>
            <w:vAlign w:val="bottom"/>
          </w:tcPr>
          <w:p w:rsidR="007673A0" w:rsidRPr="003D6DE5" w:rsidRDefault="007673A0" w:rsidP="007673A0">
            <w:pPr>
              <w:spacing w:before="40" w:after="40" w:line="240" w:lineRule="exact"/>
              <w:ind w:right="144"/>
              <w:rPr>
                <w:b/>
                <w:bCs/>
                <w:sz w:val="16"/>
                <w:szCs w:val="24"/>
                <w:rtl/>
              </w:rPr>
            </w:pPr>
          </w:p>
        </w:tc>
        <w:tc>
          <w:tcPr>
            <w:tcW w:w="2141" w:type="dxa"/>
            <w:tcBorders>
              <w:top w:val="single" w:sz="12" w:space="0" w:color="auto"/>
            </w:tcBorders>
            <w:shd w:val="clear" w:color="auto" w:fill="auto"/>
            <w:noWrap/>
            <w:vAlign w:val="bottom"/>
          </w:tcPr>
          <w:p w:rsidR="007673A0" w:rsidRPr="003D6DE5" w:rsidRDefault="007673A0" w:rsidP="007673A0">
            <w:pPr>
              <w:spacing w:before="40" w:after="40" w:line="240" w:lineRule="exact"/>
              <w:ind w:right="144"/>
              <w:rPr>
                <w:sz w:val="16"/>
                <w:szCs w:val="24"/>
                <w:rtl/>
              </w:rPr>
            </w:pPr>
          </w:p>
        </w:tc>
        <w:tc>
          <w:tcPr>
            <w:tcW w:w="1791" w:type="dxa"/>
            <w:tcBorders>
              <w:top w:val="single" w:sz="12" w:space="0" w:color="auto"/>
            </w:tcBorders>
            <w:shd w:val="clear" w:color="auto" w:fill="auto"/>
            <w:noWrap/>
            <w:vAlign w:val="bottom"/>
          </w:tcPr>
          <w:p w:rsidR="007673A0" w:rsidRPr="003D6DE5" w:rsidRDefault="007673A0" w:rsidP="007673A0">
            <w:pPr>
              <w:spacing w:before="40" w:after="40" w:line="240" w:lineRule="exact"/>
              <w:ind w:right="144"/>
              <w:rPr>
                <w:sz w:val="16"/>
                <w:szCs w:val="24"/>
                <w:rtl/>
              </w:rPr>
            </w:pPr>
          </w:p>
        </w:tc>
        <w:tc>
          <w:tcPr>
            <w:tcW w:w="2352" w:type="dxa"/>
            <w:tcBorders>
              <w:top w:val="single" w:sz="12" w:space="0" w:color="auto"/>
            </w:tcBorders>
            <w:shd w:val="clear" w:color="auto" w:fill="auto"/>
            <w:vAlign w:val="bottom"/>
          </w:tcPr>
          <w:p w:rsidR="007673A0" w:rsidRPr="003D6DE5" w:rsidRDefault="007673A0" w:rsidP="007673A0">
            <w:pPr>
              <w:spacing w:before="40" w:after="40" w:line="240" w:lineRule="exact"/>
              <w:rPr>
                <w:sz w:val="16"/>
                <w:szCs w:val="24"/>
                <w:rtl/>
              </w:rPr>
            </w:pPr>
          </w:p>
        </w:tc>
      </w:tr>
      <w:tr w:rsidR="007673A0" w:rsidRPr="003D6DE5" w:rsidTr="007673A0">
        <w:trPr>
          <w:cantSplit/>
        </w:trPr>
        <w:tc>
          <w:tcPr>
            <w:tcW w:w="1317" w:type="dxa"/>
            <w:shd w:val="clear" w:color="auto" w:fill="auto"/>
            <w:vAlign w:val="bottom"/>
          </w:tcPr>
          <w:p w:rsidR="007673A0" w:rsidRPr="003D6DE5" w:rsidRDefault="007673A0" w:rsidP="007673A0">
            <w:pPr>
              <w:spacing w:before="40" w:after="40" w:line="240" w:lineRule="exact"/>
              <w:rPr>
                <w:sz w:val="16"/>
                <w:szCs w:val="24"/>
                <w:rtl/>
              </w:rPr>
            </w:pPr>
            <w:r w:rsidRPr="003D6DE5">
              <w:rPr>
                <w:sz w:val="16"/>
                <w:szCs w:val="24"/>
                <w:rtl/>
              </w:rPr>
              <w:t>الجنسيّة</w:t>
            </w:r>
          </w:p>
        </w:tc>
        <w:tc>
          <w:tcPr>
            <w:tcW w:w="2141" w:type="dxa"/>
            <w:shd w:val="clear" w:color="auto" w:fill="auto"/>
            <w:noWrap/>
            <w:vAlign w:val="bottom"/>
          </w:tcPr>
          <w:p w:rsidR="007673A0" w:rsidRPr="003D6DE5" w:rsidRDefault="007673A0" w:rsidP="007673A0">
            <w:pPr>
              <w:spacing w:before="40" w:after="40" w:line="240" w:lineRule="exact"/>
              <w:rPr>
                <w:sz w:val="16"/>
                <w:szCs w:val="24"/>
                <w:rtl/>
              </w:rPr>
            </w:pPr>
            <w:r w:rsidRPr="003D6DE5">
              <w:rPr>
                <w:sz w:val="16"/>
                <w:szCs w:val="24"/>
                <w:rtl/>
              </w:rPr>
              <w:t>خاص</w:t>
            </w:r>
          </w:p>
        </w:tc>
        <w:tc>
          <w:tcPr>
            <w:tcW w:w="1791" w:type="dxa"/>
            <w:shd w:val="clear" w:color="auto" w:fill="auto"/>
            <w:noWrap/>
            <w:vAlign w:val="bottom"/>
          </w:tcPr>
          <w:p w:rsidR="007673A0" w:rsidRPr="003D6DE5" w:rsidRDefault="007673A0" w:rsidP="007673A0">
            <w:pPr>
              <w:spacing w:before="40" w:after="40" w:line="240" w:lineRule="exact"/>
              <w:rPr>
                <w:sz w:val="16"/>
                <w:szCs w:val="24"/>
                <w:rtl/>
              </w:rPr>
            </w:pPr>
            <w:r w:rsidRPr="003D6DE5">
              <w:rPr>
                <w:sz w:val="16"/>
                <w:szCs w:val="24"/>
                <w:rtl/>
              </w:rPr>
              <w:t>رسمي</w:t>
            </w:r>
          </w:p>
        </w:tc>
        <w:tc>
          <w:tcPr>
            <w:tcW w:w="2352" w:type="dxa"/>
            <w:shd w:val="clear" w:color="auto" w:fill="auto"/>
            <w:vAlign w:val="bottom"/>
          </w:tcPr>
          <w:p w:rsidR="007673A0" w:rsidRPr="003D6DE5" w:rsidRDefault="007673A0" w:rsidP="007673A0">
            <w:pPr>
              <w:spacing w:before="40" w:after="40" w:line="240" w:lineRule="exact"/>
              <w:rPr>
                <w:b/>
                <w:bCs/>
                <w:sz w:val="16"/>
                <w:szCs w:val="24"/>
                <w:rtl/>
              </w:rPr>
            </w:pPr>
            <w:r w:rsidRPr="003D6DE5">
              <w:rPr>
                <w:b/>
                <w:bCs/>
                <w:sz w:val="16"/>
                <w:szCs w:val="24"/>
                <w:rtl/>
              </w:rPr>
              <w:t>مجموع</w:t>
            </w:r>
          </w:p>
        </w:tc>
      </w:tr>
      <w:tr w:rsidR="007673A0" w:rsidRPr="003D6DE5" w:rsidTr="007673A0">
        <w:trPr>
          <w:cantSplit/>
        </w:trPr>
        <w:tc>
          <w:tcPr>
            <w:tcW w:w="1317" w:type="dxa"/>
            <w:shd w:val="clear" w:color="auto" w:fill="auto"/>
            <w:vAlign w:val="bottom"/>
          </w:tcPr>
          <w:p w:rsidR="007673A0" w:rsidRPr="003D6DE5" w:rsidRDefault="007673A0" w:rsidP="007673A0">
            <w:pPr>
              <w:spacing w:before="40" w:after="40" w:line="240" w:lineRule="exact"/>
              <w:rPr>
                <w:sz w:val="16"/>
                <w:szCs w:val="24"/>
                <w:rtl/>
              </w:rPr>
            </w:pPr>
            <w:r w:rsidRPr="003D6DE5">
              <w:rPr>
                <w:sz w:val="16"/>
                <w:szCs w:val="24"/>
                <w:rtl/>
              </w:rPr>
              <w:t>سوري</w:t>
            </w:r>
          </w:p>
        </w:tc>
        <w:tc>
          <w:tcPr>
            <w:tcW w:w="2141" w:type="dxa"/>
            <w:shd w:val="clear" w:color="auto" w:fill="auto"/>
            <w:vAlign w:val="bottom"/>
          </w:tcPr>
          <w:p w:rsidR="007673A0" w:rsidRPr="003D6DE5" w:rsidRDefault="007673A0" w:rsidP="007673A0">
            <w:pPr>
              <w:spacing w:before="40" w:after="40" w:line="240" w:lineRule="exact"/>
              <w:rPr>
                <w:sz w:val="16"/>
                <w:szCs w:val="24"/>
                <w:rtl/>
              </w:rPr>
            </w:pPr>
            <w:r w:rsidRPr="003D6DE5">
              <w:rPr>
                <w:sz w:val="16"/>
                <w:szCs w:val="24"/>
                <w:rtl/>
              </w:rPr>
              <w:t>5111</w:t>
            </w:r>
          </w:p>
        </w:tc>
        <w:tc>
          <w:tcPr>
            <w:tcW w:w="1791" w:type="dxa"/>
            <w:shd w:val="clear" w:color="auto" w:fill="auto"/>
            <w:noWrap/>
            <w:vAlign w:val="bottom"/>
          </w:tcPr>
          <w:p w:rsidR="007673A0" w:rsidRPr="003D6DE5" w:rsidRDefault="007673A0" w:rsidP="007673A0">
            <w:pPr>
              <w:spacing w:before="40" w:after="40" w:line="240" w:lineRule="exact"/>
              <w:rPr>
                <w:sz w:val="16"/>
                <w:szCs w:val="24"/>
              </w:rPr>
            </w:pPr>
            <w:r w:rsidRPr="003D6DE5">
              <w:rPr>
                <w:sz w:val="16"/>
                <w:szCs w:val="24"/>
                <w:rtl/>
              </w:rPr>
              <w:t>10060</w:t>
            </w:r>
          </w:p>
        </w:tc>
        <w:tc>
          <w:tcPr>
            <w:tcW w:w="2352" w:type="dxa"/>
            <w:shd w:val="clear" w:color="auto" w:fill="auto"/>
            <w:vAlign w:val="bottom"/>
          </w:tcPr>
          <w:p w:rsidR="007673A0" w:rsidRPr="003D6DE5" w:rsidRDefault="007673A0" w:rsidP="007673A0">
            <w:pPr>
              <w:spacing w:before="40" w:after="40" w:line="240" w:lineRule="exact"/>
              <w:rPr>
                <w:b/>
                <w:bCs/>
                <w:sz w:val="16"/>
                <w:szCs w:val="24"/>
              </w:rPr>
            </w:pPr>
            <w:r w:rsidRPr="003D6DE5">
              <w:rPr>
                <w:b/>
                <w:bCs/>
                <w:sz w:val="16"/>
                <w:szCs w:val="24"/>
                <w:rtl/>
              </w:rPr>
              <w:t>15171</w:t>
            </w:r>
          </w:p>
        </w:tc>
      </w:tr>
      <w:tr w:rsidR="007673A0" w:rsidRPr="003D6DE5" w:rsidTr="007673A0">
        <w:trPr>
          <w:cantSplit/>
        </w:trPr>
        <w:tc>
          <w:tcPr>
            <w:tcW w:w="1317" w:type="dxa"/>
            <w:shd w:val="clear" w:color="auto" w:fill="auto"/>
            <w:vAlign w:val="bottom"/>
          </w:tcPr>
          <w:p w:rsidR="007673A0" w:rsidRPr="003D6DE5" w:rsidRDefault="007673A0" w:rsidP="007673A0">
            <w:pPr>
              <w:spacing w:before="40" w:after="40" w:line="240" w:lineRule="exact"/>
              <w:rPr>
                <w:sz w:val="16"/>
                <w:szCs w:val="24"/>
              </w:rPr>
            </w:pPr>
            <w:r w:rsidRPr="003D6DE5">
              <w:rPr>
                <w:sz w:val="16"/>
                <w:szCs w:val="24"/>
                <w:rtl/>
              </w:rPr>
              <w:t>فلسطيني</w:t>
            </w:r>
          </w:p>
        </w:tc>
        <w:tc>
          <w:tcPr>
            <w:tcW w:w="2141" w:type="dxa"/>
            <w:shd w:val="clear" w:color="auto" w:fill="auto"/>
            <w:vAlign w:val="bottom"/>
          </w:tcPr>
          <w:p w:rsidR="007673A0" w:rsidRPr="003D6DE5" w:rsidRDefault="007673A0" w:rsidP="007673A0">
            <w:pPr>
              <w:spacing w:before="40" w:after="40" w:line="240" w:lineRule="exact"/>
              <w:rPr>
                <w:sz w:val="16"/>
                <w:szCs w:val="24"/>
                <w:rtl/>
              </w:rPr>
            </w:pPr>
            <w:r w:rsidRPr="003D6DE5">
              <w:rPr>
                <w:sz w:val="16"/>
                <w:szCs w:val="24"/>
                <w:rtl/>
              </w:rPr>
              <w:t>6338</w:t>
            </w:r>
          </w:p>
        </w:tc>
        <w:tc>
          <w:tcPr>
            <w:tcW w:w="1791" w:type="dxa"/>
            <w:shd w:val="clear" w:color="auto" w:fill="auto"/>
            <w:noWrap/>
            <w:vAlign w:val="bottom"/>
          </w:tcPr>
          <w:p w:rsidR="007673A0" w:rsidRPr="003D6DE5" w:rsidRDefault="007673A0" w:rsidP="007673A0">
            <w:pPr>
              <w:spacing w:before="40" w:after="40" w:line="240" w:lineRule="exact"/>
              <w:rPr>
                <w:sz w:val="16"/>
                <w:szCs w:val="24"/>
              </w:rPr>
            </w:pPr>
            <w:r w:rsidRPr="003D6DE5">
              <w:rPr>
                <w:sz w:val="16"/>
                <w:szCs w:val="24"/>
                <w:rtl/>
              </w:rPr>
              <w:t>4146</w:t>
            </w:r>
          </w:p>
        </w:tc>
        <w:tc>
          <w:tcPr>
            <w:tcW w:w="2352" w:type="dxa"/>
            <w:shd w:val="clear" w:color="auto" w:fill="auto"/>
            <w:vAlign w:val="bottom"/>
          </w:tcPr>
          <w:p w:rsidR="007673A0" w:rsidRPr="003D6DE5" w:rsidRDefault="007673A0" w:rsidP="007673A0">
            <w:pPr>
              <w:spacing w:before="40" w:after="40" w:line="240" w:lineRule="exact"/>
              <w:rPr>
                <w:b/>
                <w:bCs/>
                <w:sz w:val="16"/>
                <w:szCs w:val="24"/>
              </w:rPr>
            </w:pPr>
            <w:r w:rsidRPr="003D6DE5">
              <w:rPr>
                <w:b/>
                <w:bCs/>
                <w:sz w:val="16"/>
                <w:szCs w:val="24"/>
                <w:rtl/>
              </w:rPr>
              <w:t>10484</w:t>
            </w:r>
          </w:p>
        </w:tc>
      </w:tr>
      <w:tr w:rsidR="007673A0" w:rsidRPr="003D6DE5" w:rsidTr="007673A0">
        <w:trPr>
          <w:cantSplit/>
        </w:trPr>
        <w:tc>
          <w:tcPr>
            <w:tcW w:w="1317" w:type="dxa"/>
            <w:shd w:val="clear" w:color="auto" w:fill="auto"/>
            <w:vAlign w:val="bottom"/>
          </w:tcPr>
          <w:p w:rsidR="007673A0" w:rsidRPr="003D6DE5" w:rsidRDefault="007673A0" w:rsidP="007673A0">
            <w:pPr>
              <w:spacing w:before="40" w:after="40" w:line="240" w:lineRule="exact"/>
              <w:rPr>
                <w:sz w:val="16"/>
                <w:szCs w:val="24"/>
              </w:rPr>
            </w:pPr>
            <w:r w:rsidRPr="003D6DE5">
              <w:rPr>
                <w:sz w:val="16"/>
                <w:szCs w:val="24"/>
                <w:rtl/>
              </w:rPr>
              <w:t>أردني</w:t>
            </w:r>
          </w:p>
        </w:tc>
        <w:tc>
          <w:tcPr>
            <w:tcW w:w="2141" w:type="dxa"/>
            <w:shd w:val="clear" w:color="auto" w:fill="auto"/>
            <w:vAlign w:val="bottom"/>
          </w:tcPr>
          <w:p w:rsidR="007673A0" w:rsidRPr="003D6DE5" w:rsidRDefault="007673A0" w:rsidP="007673A0">
            <w:pPr>
              <w:spacing w:before="40" w:after="40" w:line="240" w:lineRule="exact"/>
              <w:rPr>
                <w:sz w:val="16"/>
                <w:szCs w:val="24"/>
                <w:rtl/>
              </w:rPr>
            </w:pPr>
            <w:r w:rsidRPr="003D6DE5">
              <w:rPr>
                <w:sz w:val="16"/>
                <w:szCs w:val="24"/>
                <w:rtl/>
              </w:rPr>
              <w:t>275</w:t>
            </w:r>
          </w:p>
        </w:tc>
        <w:tc>
          <w:tcPr>
            <w:tcW w:w="1791" w:type="dxa"/>
            <w:shd w:val="clear" w:color="auto" w:fill="auto"/>
            <w:noWrap/>
            <w:vAlign w:val="bottom"/>
          </w:tcPr>
          <w:p w:rsidR="007673A0" w:rsidRPr="003D6DE5" w:rsidRDefault="007673A0" w:rsidP="007673A0">
            <w:pPr>
              <w:spacing w:before="40" w:after="40" w:line="240" w:lineRule="exact"/>
              <w:rPr>
                <w:sz w:val="16"/>
                <w:szCs w:val="24"/>
              </w:rPr>
            </w:pPr>
            <w:r w:rsidRPr="003D6DE5">
              <w:rPr>
                <w:sz w:val="16"/>
                <w:szCs w:val="24"/>
                <w:rtl/>
              </w:rPr>
              <w:t>104</w:t>
            </w:r>
          </w:p>
        </w:tc>
        <w:tc>
          <w:tcPr>
            <w:tcW w:w="2352" w:type="dxa"/>
            <w:shd w:val="clear" w:color="auto" w:fill="auto"/>
            <w:vAlign w:val="bottom"/>
          </w:tcPr>
          <w:p w:rsidR="007673A0" w:rsidRPr="003D6DE5" w:rsidRDefault="007673A0" w:rsidP="007673A0">
            <w:pPr>
              <w:spacing w:before="40" w:after="40" w:line="240" w:lineRule="exact"/>
              <w:rPr>
                <w:b/>
                <w:bCs/>
                <w:sz w:val="16"/>
                <w:szCs w:val="24"/>
              </w:rPr>
            </w:pPr>
            <w:r w:rsidRPr="003D6DE5">
              <w:rPr>
                <w:b/>
                <w:bCs/>
                <w:sz w:val="16"/>
                <w:szCs w:val="24"/>
                <w:rtl/>
              </w:rPr>
              <w:t>379</w:t>
            </w:r>
          </w:p>
        </w:tc>
      </w:tr>
      <w:tr w:rsidR="007673A0" w:rsidRPr="003D6DE5" w:rsidTr="007673A0">
        <w:trPr>
          <w:cantSplit/>
        </w:trPr>
        <w:tc>
          <w:tcPr>
            <w:tcW w:w="1317" w:type="dxa"/>
            <w:shd w:val="clear" w:color="auto" w:fill="auto"/>
            <w:vAlign w:val="bottom"/>
          </w:tcPr>
          <w:p w:rsidR="007673A0" w:rsidRPr="003D6DE5" w:rsidRDefault="007673A0" w:rsidP="007673A0">
            <w:pPr>
              <w:spacing w:before="40" w:after="40" w:line="240" w:lineRule="exact"/>
              <w:rPr>
                <w:sz w:val="16"/>
                <w:szCs w:val="24"/>
              </w:rPr>
            </w:pPr>
            <w:r w:rsidRPr="003D6DE5">
              <w:rPr>
                <w:sz w:val="16"/>
                <w:szCs w:val="24"/>
                <w:rtl/>
              </w:rPr>
              <w:t>مصري</w:t>
            </w:r>
          </w:p>
        </w:tc>
        <w:tc>
          <w:tcPr>
            <w:tcW w:w="2141" w:type="dxa"/>
            <w:shd w:val="clear" w:color="auto" w:fill="auto"/>
            <w:vAlign w:val="bottom"/>
          </w:tcPr>
          <w:p w:rsidR="007673A0" w:rsidRPr="003D6DE5" w:rsidRDefault="007673A0" w:rsidP="007673A0">
            <w:pPr>
              <w:spacing w:before="40" w:after="40" w:line="240" w:lineRule="exact"/>
              <w:rPr>
                <w:sz w:val="16"/>
                <w:szCs w:val="24"/>
                <w:rtl/>
              </w:rPr>
            </w:pPr>
            <w:r w:rsidRPr="003D6DE5">
              <w:rPr>
                <w:sz w:val="16"/>
                <w:szCs w:val="24"/>
                <w:rtl/>
              </w:rPr>
              <w:t>503</w:t>
            </w:r>
          </w:p>
        </w:tc>
        <w:tc>
          <w:tcPr>
            <w:tcW w:w="1791" w:type="dxa"/>
            <w:shd w:val="clear" w:color="auto" w:fill="auto"/>
            <w:noWrap/>
            <w:vAlign w:val="bottom"/>
          </w:tcPr>
          <w:p w:rsidR="007673A0" w:rsidRPr="003D6DE5" w:rsidRDefault="007673A0" w:rsidP="007673A0">
            <w:pPr>
              <w:spacing w:before="40" w:after="40" w:line="240" w:lineRule="exact"/>
              <w:rPr>
                <w:sz w:val="16"/>
                <w:szCs w:val="24"/>
              </w:rPr>
            </w:pPr>
            <w:r w:rsidRPr="003D6DE5">
              <w:rPr>
                <w:sz w:val="16"/>
                <w:szCs w:val="24"/>
                <w:rtl/>
              </w:rPr>
              <w:t>724</w:t>
            </w:r>
          </w:p>
        </w:tc>
        <w:tc>
          <w:tcPr>
            <w:tcW w:w="2352" w:type="dxa"/>
            <w:shd w:val="clear" w:color="auto" w:fill="auto"/>
            <w:vAlign w:val="bottom"/>
          </w:tcPr>
          <w:p w:rsidR="007673A0" w:rsidRPr="003D6DE5" w:rsidRDefault="007673A0" w:rsidP="007673A0">
            <w:pPr>
              <w:spacing w:before="40" w:after="40" w:line="240" w:lineRule="exact"/>
              <w:rPr>
                <w:b/>
                <w:bCs/>
                <w:sz w:val="16"/>
                <w:szCs w:val="24"/>
              </w:rPr>
            </w:pPr>
            <w:r w:rsidRPr="003D6DE5">
              <w:rPr>
                <w:b/>
                <w:bCs/>
                <w:sz w:val="16"/>
                <w:szCs w:val="24"/>
                <w:rtl/>
              </w:rPr>
              <w:t>1227</w:t>
            </w:r>
          </w:p>
        </w:tc>
      </w:tr>
      <w:tr w:rsidR="007673A0" w:rsidRPr="003D6DE5" w:rsidTr="007673A0">
        <w:trPr>
          <w:cantSplit/>
        </w:trPr>
        <w:tc>
          <w:tcPr>
            <w:tcW w:w="1317" w:type="dxa"/>
            <w:shd w:val="clear" w:color="auto" w:fill="auto"/>
            <w:vAlign w:val="bottom"/>
          </w:tcPr>
          <w:p w:rsidR="007673A0" w:rsidRPr="003D6DE5" w:rsidRDefault="007673A0" w:rsidP="007673A0">
            <w:pPr>
              <w:spacing w:before="40" w:after="40" w:line="240" w:lineRule="exact"/>
              <w:rPr>
                <w:sz w:val="16"/>
                <w:szCs w:val="24"/>
              </w:rPr>
            </w:pPr>
            <w:r w:rsidRPr="003D6DE5">
              <w:rPr>
                <w:sz w:val="16"/>
                <w:szCs w:val="24"/>
                <w:rtl/>
              </w:rPr>
              <w:t>سعودي</w:t>
            </w:r>
          </w:p>
        </w:tc>
        <w:tc>
          <w:tcPr>
            <w:tcW w:w="2141" w:type="dxa"/>
            <w:shd w:val="clear" w:color="auto" w:fill="auto"/>
            <w:vAlign w:val="bottom"/>
          </w:tcPr>
          <w:p w:rsidR="007673A0" w:rsidRPr="003D6DE5" w:rsidRDefault="007673A0" w:rsidP="007673A0">
            <w:pPr>
              <w:spacing w:before="40" w:after="40" w:line="240" w:lineRule="exact"/>
              <w:rPr>
                <w:sz w:val="16"/>
                <w:szCs w:val="24"/>
                <w:rtl/>
              </w:rPr>
            </w:pPr>
            <w:r w:rsidRPr="003D6DE5">
              <w:rPr>
                <w:sz w:val="16"/>
                <w:szCs w:val="24"/>
                <w:rtl/>
              </w:rPr>
              <w:t>266</w:t>
            </w:r>
          </w:p>
        </w:tc>
        <w:tc>
          <w:tcPr>
            <w:tcW w:w="1791" w:type="dxa"/>
            <w:shd w:val="clear" w:color="auto" w:fill="auto"/>
            <w:noWrap/>
            <w:vAlign w:val="bottom"/>
          </w:tcPr>
          <w:p w:rsidR="007673A0" w:rsidRPr="003D6DE5" w:rsidRDefault="007673A0" w:rsidP="007673A0">
            <w:pPr>
              <w:spacing w:before="40" w:after="40" w:line="240" w:lineRule="exact"/>
              <w:rPr>
                <w:sz w:val="16"/>
                <w:szCs w:val="24"/>
              </w:rPr>
            </w:pPr>
            <w:r w:rsidRPr="003D6DE5">
              <w:rPr>
                <w:sz w:val="16"/>
                <w:szCs w:val="24"/>
                <w:rtl/>
              </w:rPr>
              <w:t>7</w:t>
            </w:r>
          </w:p>
        </w:tc>
        <w:tc>
          <w:tcPr>
            <w:tcW w:w="2352" w:type="dxa"/>
            <w:shd w:val="clear" w:color="auto" w:fill="auto"/>
            <w:vAlign w:val="bottom"/>
          </w:tcPr>
          <w:p w:rsidR="007673A0" w:rsidRPr="003D6DE5" w:rsidRDefault="007673A0" w:rsidP="007673A0">
            <w:pPr>
              <w:spacing w:before="40" w:after="40" w:line="240" w:lineRule="exact"/>
              <w:rPr>
                <w:b/>
                <w:bCs/>
                <w:sz w:val="16"/>
                <w:szCs w:val="24"/>
              </w:rPr>
            </w:pPr>
            <w:r w:rsidRPr="003D6DE5">
              <w:rPr>
                <w:b/>
                <w:bCs/>
                <w:sz w:val="16"/>
                <w:szCs w:val="24"/>
                <w:rtl/>
              </w:rPr>
              <w:t>273</w:t>
            </w:r>
          </w:p>
        </w:tc>
      </w:tr>
      <w:tr w:rsidR="007673A0" w:rsidRPr="003D6DE5" w:rsidTr="007673A0">
        <w:trPr>
          <w:cantSplit/>
        </w:trPr>
        <w:tc>
          <w:tcPr>
            <w:tcW w:w="1317" w:type="dxa"/>
            <w:shd w:val="clear" w:color="auto" w:fill="auto"/>
            <w:vAlign w:val="bottom"/>
          </w:tcPr>
          <w:p w:rsidR="007673A0" w:rsidRPr="003D6DE5" w:rsidRDefault="007673A0" w:rsidP="007673A0">
            <w:pPr>
              <w:spacing w:before="40" w:after="40" w:line="240" w:lineRule="exact"/>
              <w:rPr>
                <w:sz w:val="16"/>
                <w:szCs w:val="24"/>
              </w:rPr>
            </w:pPr>
            <w:r w:rsidRPr="003D6DE5">
              <w:rPr>
                <w:sz w:val="16"/>
                <w:szCs w:val="24"/>
                <w:rtl/>
              </w:rPr>
              <w:t>عراقي</w:t>
            </w:r>
          </w:p>
        </w:tc>
        <w:tc>
          <w:tcPr>
            <w:tcW w:w="2141" w:type="dxa"/>
            <w:shd w:val="clear" w:color="auto" w:fill="auto"/>
            <w:vAlign w:val="bottom"/>
          </w:tcPr>
          <w:p w:rsidR="007673A0" w:rsidRPr="003D6DE5" w:rsidRDefault="007673A0" w:rsidP="007673A0">
            <w:pPr>
              <w:spacing w:before="40" w:after="40" w:line="240" w:lineRule="exact"/>
              <w:rPr>
                <w:sz w:val="16"/>
                <w:szCs w:val="24"/>
                <w:rtl/>
              </w:rPr>
            </w:pPr>
            <w:r w:rsidRPr="003D6DE5">
              <w:rPr>
                <w:sz w:val="16"/>
                <w:szCs w:val="24"/>
                <w:rtl/>
              </w:rPr>
              <w:t>341</w:t>
            </w:r>
          </w:p>
        </w:tc>
        <w:tc>
          <w:tcPr>
            <w:tcW w:w="1791" w:type="dxa"/>
            <w:shd w:val="clear" w:color="auto" w:fill="auto"/>
            <w:noWrap/>
            <w:vAlign w:val="bottom"/>
          </w:tcPr>
          <w:p w:rsidR="007673A0" w:rsidRPr="003D6DE5" w:rsidRDefault="007673A0" w:rsidP="007673A0">
            <w:pPr>
              <w:spacing w:before="40" w:after="40" w:line="240" w:lineRule="exact"/>
              <w:rPr>
                <w:sz w:val="16"/>
                <w:szCs w:val="24"/>
              </w:rPr>
            </w:pPr>
            <w:r w:rsidRPr="003D6DE5">
              <w:rPr>
                <w:sz w:val="16"/>
                <w:szCs w:val="24"/>
                <w:rtl/>
              </w:rPr>
              <w:t>196</w:t>
            </w:r>
          </w:p>
        </w:tc>
        <w:tc>
          <w:tcPr>
            <w:tcW w:w="2352" w:type="dxa"/>
            <w:shd w:val="clear" w:color="auto" w:fill="auto"/>
            <w:vAlign w:val="bottom"/>
          </w:tcPr>
          <w:p w:rsidR="007673A0" w:rsidRPr="003D6DE5" w:rsidRDefault="007673A0" w:rsidP="007673A0">
            <w:pPr>
              <w:spacing w:before="40" w:after="40" w:line="240" w:lineRule="exact"/>
              <w:rPr>
                <w:b/>
                <w:bCs/>
                <w:sz w:val="16"/>
                <w:szCs w:val="24"/>
              </w:rPr>
            </w:pPr>
            <w:r w:rsidRPr="003D6DE5">
              <w:rPr>
                <w:b/>
                <w:bCs/>
                <w:sz w:val="16"/>
                <w:szCs w:val="24"/>
                <w:rtl/>
              </w:rPr>
              <w:t>537</w:t>
            </w:r>
          </w:p>
        </w:tc>
      </w:tr>
      <w:tr w:rsidR="007673A0" w:rsidRPr="003D6DE5" w:rsidTr="007673A0">
        <w:trPr>
          <w:cantSplit/>
        </w:trPr>
        <w:tc>
          <w:tcPr>
            <w:tcW w:w="1317" w:type="dxa"/>
            <w:shd w:val="clear" w:color="auto" w:fill="auto"/>
            <w:vAlign w:val="bottom"/>
          </w:tcPr>
          <w:p w:rsidR="007673A0" w:rsidRPr="003D6DE5" w:rsidRDefault="007673A0" w:rsidP="007673A0">
            <w:pPr>
              <w:spacing w:before="40" w:after="40" w:line="240" w:lineRule="exact"/>
              <w:rPr>
                <w:sz w:val="16"/>
                <w:szCs w:val="24"/>
              </w:rPr>
            </w:pPr>
            <w:r w:rsidRPr="003D6DE5">
              <w:rPr>
                <w:sz w:val="16"/>
                <w:szCs w:val="24"/>
                <w:rtl/>
              </w:rPr>
              <w:t>كويتي</w:t>
            </w:r>
          </w:p>
        </w:tc>
        <w:tc>
          <w:tcPr>
            <w:tcW w:w="2141" w:type="dxa"/>
            <w:shd w:val="clear" w:color="auto" w:fill="auto"/>
            <w:vAlign w:val="bottom"/>
          </w:tcPr>
          <w:p w:rsidR="007673A0" w:rsidRPr="003D6DE5" w:rsidRDefault="007673A0" w:rsidP="007673A0">
            <w:pPr>
              <w:spacing w:before="40" w:after="40" w:line="240" w:lineRule="exact"/>
              <w:rPr>
                <w:sz w:val="16"/>
                <w:szCs w:val="24"/>
                <w:rtl/>
              </w:rPr>
            </w:pPr>
            <w:r w:rsidRPr="003D6DE5">
              <w:rPr>
                <w:sz w:val="16"/>
                <w:szCs w:val="24"/>
                <w:rtl/>
              </w:rPr>
              <w:t>66</w:t>
            </w:r>
          </w:p>
        </w:tc>
        <w:tc>
          <w:tcPr>
            <w:tcW w:w="1791" w:type="dxa"/>
            <w:shd w:val="clear" w:color="auto" w:fill="auto"/>
            <w:noWrap/>
            <w:vAlign w:val="bottom"/>
          </w:tcPr>
          <w:p w:rsidR="007673A0" w:rsidRPr="003D6DE5" w:rsidRDefault="007673A0" w:rsidP="007673A0">
            <w:pPr>
              <w:spacing w:before="40" w:after="40" w:line="240" w:lineRule="exact"/>
              <w:rPr>
                <w:sz w:val="16"/>
                <w:szCs w:val="24"/>
              </w:rPr>
            </w:pPr>
            <w:r w:rsidRPr="003D6DE5">
              <w:rPr>
                <w:sz w:val="16"/>
                <w:szCs w:val="24"/>
                <w:rtl/>
              </w:rPr>
              <w:t>13</w:t>
            </w:r>
          </w:p>
        </w:tc>
        <w:tc>
          <w:tcPr>
            <w:tcW w:w="2352" w:type="dxa"/>
            <w:shd w:val="clear" w:color="auto" w:fill="auto"/>
            <w:vAlign w:val="bottom"/>
          </w:tcPr>
          <w:p w:rsidR="007673A0" w:rsidRPr="003D6DE5" w:rsidRDefault="007673A0" w:rsidP="007673A0">
            <w:pPr>
              <w:spacing w:before="40" w:after="40" w:line="240" w:lineRule="exact"/>
              <w:rPr>
                <w:b/>
                <w:bCs/>
                <w:sz w:val="16"/>
                <w:szCs w:val="24"/>
              </w:rPr>
            </w:pPr>
            <w:r w:rsidRPr="003D6DE5">
              <w:rPr>
                <w:b/>
                <w:bCs/>
                <w:sz w:val="16"/>
                <w:szCs w:val="24"/>
                <w:rtl/>
              </w:rPr>
              <w:t>79</w:t>
            </w:r>
          </w:p>
        </w:tc>
      </w:tr>
      <w:tr w:rsidR="007673A0" w:rsidRPr="003D6DE5" w:rsidTr="007673A0">
        <w:trPr>
          <w:cantSplit/>
        </w:trPr>
        <w:tc>
          <w:tcPr>
            <w:tcW w:w="1317" w:type="dxa"/>
            <w:shd w:val="clear" w:color="auto" w:fill="auto"/>
            <w:vAlign w:val="bottom"/>
          </w:tcPr>
          <w:p w:rsidR="007673A0" w:rsidRPr="003D6DE5" w:rsidRDefault="007673A0" w:rsidP="007673A0">
            <w:pPr>
              <w:spacing w:before="40" w:after="40" w:line="240" w:lineRule="exact"/>
              <w:rPr>
                <w:sz w:val="16"/>
                <w:szCs w:val="24"/>
              </w:rPr>
            </w:pPr>
            <w:r w:rsidRPr="003D6DE5">
              <w:rPr>
                <w:sz w:val="16"/>
                <w:szCs w:val="24"/>
                <w:rtl/>
              </w:rPr>
              <w:lastRenderedPageBreak/>
              <w:t>غيره عربي</w:t>
            </w:r>
          </w:p>
        </w:tc>
        <w:tc>
          <w:tcPr>
            <w:tcW w:w="2141" w:type="dxa"/>
            <w:shd w:val="clear" w:color="auto" w:fill="auto"/>
            <w:vAlign w:val="bottom"/>
          </w:tcPr>
          <w:p w:rsidR="007673A0" w:rsidRPr="003D6DE5" w:rsidRDefault="007673A0" w:rsidP="007673A0">
            <w:pPr>
              <w:spacing w:before="40" w:after="40" w:line="240" w:lineRule="exact"/>
              <w:rPr>
                <w:sz w:val="16"/>
                <w:szCs w:val="24"/>
                <w:rtl/>
              </w:rPr>
            </w:pPr>
            <w:r w:rsidRPr="003D6DE5">
              <w:rPr>
                <w:sz w:val="16"/>
                <w:szCs w:val="24"/>
                <w:rtl/>
              </w:rPr>
              <w:t>546</w:t>
            </w:r>
          </w:p>
        </w:tc>
        <w:tc>
          <w:tcPr>
            <w:tcW w:w="1791" w:type="dxa"/>
            <w:shd w:val="clear" w:color="auto" w:fill="auto"/>
            <w:noWrap/>
            <w:vAlign w:val="bottom"/>
          </w:tcPr>
          <w:p w:rsidR="007673A0" w:rsidRPr="003D6DE5" w:rsidRDefault="007673A0" w:rsidP="007673A0">
            <w:pPr>
              <w:spacing w:before="40" w:after="40" w:line="240" w:lineRule="exact"/>
              <w:rPr>
                <w:sz w:val="16"/>
                <w:szCs w:val="24"/>
              </w:rPr>
            </w:pPr>
            <w:r w:rsidRPr="003D6DE5">
              <w:rPr>
                <w:sz w:val="16"/>
                <w:szCs w:val="24"/>
                <w:rtl/>
              </w:rPr>
              <w:t>259</w:t>
            </w:r>
          </w:p>
        </w:tc>
        <w:tc>
          <w:tcPr>
            <w:tcW w:w="2352" w:type="dxa"/>
            <w:shd w:val="clear" w:color="auto" w:fill="auto"/>
            <w:vAlign w:val="bottom"/>
          </w:tcPr>
          <w:p w:rsidR="007673A0" w:rsidRPr="003D6DE5" w:rsidRDefault="007673A0" w:rsidP="007673A0">
            <w:pPr>
              <w:spacing w:before="40" w:after="40" w:line="240" w:lineRule="exact"/>
              <w:rPr>
                <w:b/>
                <w:bCs/>
                <w:sz w:val="16"/>
                <w:szCs w:val="24"/>
              </w:rPr>
            </w:pPr>
            <w:r w:rsidRPr="003D6DE5">
              <w:rPr>
                <w:b/>
                <w:bCs/>
                <w:sz w:val="16"/>
                <w:szCs w:val="24"/>
                <w:rtl/>
              </w:rPr>
              <w:t>805</w:t>
            </w:r>
          </w:p>
        </w:tc>
      </w:tr>
      <w:tr w:rsidR="007673A0" w:rsidRPr="003D6DE5" w:rsidTr="007673A0">
        <w:trPr>
          <w:cantSplit/>
        </w:trPr>
        <w:tc>
          <w:tcPr>
            <w:tcW w:w="1317" w:type="dxa"/>
            <w:shd w:val="clear" w:color="auto" w:fill="auto"/>
            <w:vAlign w:val="bottom"/>
          </w:tcPr>
          <w:p w:rsidR="007673A0" w:rsidRPr="003D6DE5" w:rsidRDefault="007673A0" w:rsidP="007673A0">
            <w:pPr>
              <w:spacing w:before="40" w:after="40" w:line="240" w:lineRule="exact"/>
              <w:rPr>
                <w:sz w:val="16"/>
                <w:szCs w:val="24"/>
              </w:rPr>
            </w:pPr>
            <w:r w:rsidRPr="003D6DE5">
              <w:rPr>
                <w:sz w:val="16"/>
                <w:szCs w:val="24"/>
                <w:rtl/>
              </w:rPr>
              <w:t>تركي</w:t>
            </w:r>
          </w:p>
        </w:tc>
        <w:tc>
          <w:tcPr>
            <w:tcW w:w="2141" w:type="dxa"/>
            <w:shd w:val="clear" w:color="auto" w:fill="auto"/>
            <w:vAlign w:val="bottom"/>
          </w:tcPr>
          <w:p w:rsidR="007673A0" w:rsidRPr="003D6DE5" w:rsidRDefault="007673A0" w:rsidP="007673A0">
            <w:pPr>
              <w:spacing w:before="40" w:after="40" w:line="240" w:lineRule="exact"/>
              <w:rPr>
                <w:sz w:val="16"/>
                <w:szCs w:val="24"/>
                <w:rtl/>
              </w:rPr>
            </w:pPr>
            <w:r w:rsidRPr="003D6DE5">
              <w:rPr>
                <w:sz w:val="16"/>
                <w:szCs w:val="24"/>
                <w:rtl/>
              </w:rPr>
              <w:t>108</w:t>
            </w:r>
          </w:p>
        </w:tc>
        <w:tc>
          <w:tcPr>
            <w:tcW w:w="1791" w:type="dxa"/>
            <w:shd w:val="clear" w:color="auto" w:fill="auto"/>
            <w:noWrap/>
            <w:vAlign w:val="bottom"/>
          </w:tcPr>
          <w:p w:rsidR="007673A0" w:rsidRPr="003D6DE5" w:rsidRDefault="007673A0" w:rsidP="007673A0">
            <w:pPr>
              <w:spacing w:before="40" w:after="40" w:line="240" w:lineRule="exact"/>
              <w:rPr>
                <w:sz w:val="16"/>
                <w:szCs w:val="24"/>
              </w:rPr>
            </w:pPr>
            <w:r w:rsidRPr="003D6DE5">
              <w:rPr>
                <w:sz w:val="16"/>
                <w:szCs w:val="24"/>
                <w:rtl/>
              </w:rPr>
              <w:t>251</w:t>
            </w:r>
          </w:p>
        </w:tc>
        <w:tc>
          <w:tcPr>
            <w:tcW w:w="2352" w:type="dxa"/>
            <w:shd w:val="clear" w:color="auto" w:fill="auto"/>
            <w:vAlign w:val="bottom"/>
          </w:tcPr>
          <w:p w:rsidR="007673A0" w:rsidRPr="003D6DE5" w:rsidRDefault="007673A0" w:rsidP="007673A0">
            <w:pPr>
              <w:spacing w:before="40" w:after="40" w:line="240" w:lineRule="exact"/>
              <w:rPr>
                <w:b/>
                <w:bCs/>
                <w:sz w:val="16"/>
                <w:szCs w:val="24"/>
              </w:rPr>
            </w:pPr>
            <w:r w:rsidRPr="003D6DE5">
              <w:rPr>
                <w:b/>
                <w:bCs/>
                <w:sz w:val="16"/>
                <w:szCs w:val="24"/>
                <w:rtl/>
              </w:rPr>
              <w:t>359</w:t>
            </w:r>
          </w:p>
        </w:tc>
      </w:tr>
      <w:tr w:rsidR="007673A0" w:rsidRPr="003D6DE5" w:rsidTr="007673A0">
        <w:trPr>
          <w:cantSplit/>
        </w:trPr>
        <w:tc>
          <w:tcPr>
            <w:tcW w:w="1317" w:type="dxa"/>
            <w:shd w:val="clear" w:color="auto" w:fill="auto"/>
            <w:vAlign w:val="bottom"/>
          </w:tcPr>
          <w:p w:rsidR="007673A0" w:rsidRPr="003D6DE5" w:rsidRDefault="007673A0" w:rsidP="007673A0">
            <w:pPr>
              <w:spacing w:before="40" w:after="40" w:line="240" w:lineRule="exact"/>
              <w:rPr>
                <w:sz w:val="16"/>
                <w:szCs w:val="24"/>
              </w:rPr>
            </w:pPr>
            <w:r w:rsidRPr="003D6DE5">
              <w:rPr>
                <w:sz w:val="16"/>
                <w:szCs w:val="24"/>
                <w:rtl/>
              </w:rPr>
              <w:t>فرنسي</w:t>
            </w:r>
          </w:p>
        </w:tc>
        <w:tc>
          <w:tcPr>
            <w:tcW w:w="2141" w:type="dxa"/>
            <w:shd w:val="clear" w:color="auto" w:fill="auto"/>
            <w:vAlign w:val="bottom"/>
          </w:tcPr>
          <w:p w:rsidR="007673A0" w:rsidRPr="003D6DE5" w:rsidRDefault="007673A0" w:rsidP="007673A0">
            <w:pPr>
              <w:spacing w:before="40" w:after="40" w:line="240" w:lineRule="exact"/>
              <w:rPr>
                <w:sz w:val="16"/>
                <w:szCs w:val="24"/>
                <w:rtl/>
              </w:rPr>
            </w:pPr>
            <w:r w:rsidRPr="003D6DE5">
              <w:rPr>
                <w:sz w:val="16"/>
                <w:szCs w:val="24"/>
                <w:rtl/>
              </w:rPr>
              <w:t>549</w:t>
            </w:r>
          </w:p>
        </w:tc>
        <w:tc>
          <w:tcPr>
            <w:tcW w:w="1791" w:type="dxa"/>
            <w:shd w:val="clear" w:color="auto" w:fill="auto"/>
            <w:noWrap/>
            <w:vAlign w:val="bottom"/>
          </w:tcPr>
          <w:p w:rsidR="007673A0" w:rsidRPr="003D6DE5" w:rsidRDefault="007673A0" w:rsidP="007673A0">
            <w:pPr>
              <w:spacing w:before="40" w:after="40" w:line="240" w:lineRule="exact"/>
              <w:rPr>
                <w:sz w:val="16"/>
                <w:szCs w:val="24"/>
                <w:rtl/>
              </w:rPr>
            </w:pPr>
            <w:r w:rsidRPr="003D6DE5">
              <w:rPr>
                <w:sz w:val="16"/>
                <w:szCs w:val="24"/>
                <w:rtl/>
              </w:rPr>
              <w:t>1</w:t>
            </w:r>
          </w:p>
        </w:tc>
        <w:tc>
          <w:tcPr>
            <w:tcW w:w="2352" w:type="dxa"/>
            <w:shd w:val="clear" w:color="auto" w:fill="auto"/>
            <w:vAlign w:val="bottom"/>
          </w:tcPr>
          <w:p w:rsidR="007673A0" w:rsidRPr="003D6DE5" w:rsidRDefault="007673A0" w:rsidP="007673A0">
            <w:pPr>
              <w:spacing w:before="40" w:after="40" w:line="240" w:lineRule="exact"/>
              <w:rPr>
                <w:b/>
                <w:bCs/>
                <w:sz w:val="16"/>
                <w:szCs w:val="24"/>
              </w:rPr>
            </w:pPr>
            <w:r w:rsidRPr="003D6DE5">
              <w:rPr>
                <w:b/>
                <w:bCs/>
                <w:sz w:val="16"/>
                <w:szCs w:val="24"/>
                <w:rtl/>
              </w:rPr>
              <w:t>550</w:t>
            </w:r>
          </w:p>
        </w:tc>
      </w:tr>
      <w:tr w:rsidR="007673A0" w:rsidRPr="003D6DE5" w:rsidTr="007673A0">
        <w:trPr>
          <w:cantSplit/>
        </w:trPr>
        <w:tc>
          <w:tcPr>
            <w:tcW w:w="1317" w:type="dxa"/>
            <w:shd w:val="clear" w:color="auto" w:fill="auto"/>
            <w:vAlign w:val="bottom"/>
          </w:tcPr>
          <w:p w:rsidR="007673A0" w:rsidRPr="003D6DE5" w:rsidRDefault="007673A0" w:rsidP="007673A0">
            <w:pPr>
              <w:spacing w:before="40" w:after="40" w:line="240" w:lineRule="exact"/>
              <w:rPr>
                <w:sz w:val="16"/>
                <w:szCs w:val="24"/>
              </w:rPr>
            </w:pPr>
            <w:r w:rsidRPr="003D6DE5">
              <w:rPr>
                <w:sz w:val="16"/>
                <w:szCs w:val="24"/>
                <w:rtl/>
              </w:rPr>
              <w:t>ألماني</w:t>
            </w:r>
          </w:p>
        </w:tc>
        <w:tc>
          <w:tcPr>
            <w:tcW w:w="2141" w:type="dxa"/>
            <w:shd w:val="clear" w:color="auto" w:fill="auto"/>
            <w:vAlign w:val="bottom"/>
          </w:tcPr>
          <w:p w:rsidR="007673A0" w:rsidRPr="003D6DE5" w:rsidRDefault="007673A0" w:rsidP="007673A0">
            <w:pPr>
              <w:spacing w:before="40" w:after="40" w:line="240" w:lineRule="exact"/>
              <w:rPr>
                <w:sz w:val="16"/>
                <w:szCs w:val="24"/>
                <w:rtl/>
              </w:rPr>
            </w:pPr>
            <w:r w:rsidRPr="003D6DE5">
              <w:rPr>
                <w:sz w:val="16"/>
                <w:szCs w:val="24"/>
                <w:rtl/>
              </w:rPr>
              <w:t>145</w:t>
            </w:r>
          </w:p>
        </w:tc>
        <w:tc>
          <w:tcPr>
            <w:tcW w:w="1791" w:type="dxa"/>
            <w:shd w:val="clear" w:color="auto" w:fill="auto"/>
            <w:noWrap/>
            <w:vAlign w:val="bottom"/>
          </w:tcPr>
          <w:p w:rsidR="007673A0" w:rsidRPr="003D6DE5" w:rsidRDefault="007673A0" w:rsidP="007673A0">
            <w:pPr>
              <w:spacing w:before="40" w:after="40" w:line="240" w:lineRule="exact"/>
              <w:rPr>
                <w:sz w:val="16"/>
                <w:szCs w:val="24"/>
                <w:rtl/>
              </w:rPr>
            </w:pPr>
            <w:r w:rsidRPr="003D6DE5">
              <w:rPr>
                <w:sz w:val="16"/>
                <w:szCs w:val="24"/>
                <w:rtl/>
              </w:rPr>
              <w:t>7</w:t>
            </w:r>
          </w:p>
        </w:tc>
        <w:tc>
          <w:tcPr>
            <w:tcW w:w="2352" w:type="dxa"/>
            <w:shd w:val="clear" w:color="auto" w:fill="auto"/>
            <w:vAlign w:val="bottom"/>
          </w:tcPr>
          <w:p w:rsidR="007673A0" w:rsidRPr="003D6DE5" w:rsidRDefault="007673A0" w:rsidP="007673A0">
            <w:pPr>
              <w:spacing w:before="40" w:after="40" w:line="240" w:lineRule="exact"/>
              <w:rPr>
                <w:b/>
                <w:bCs/>
                <w:sz w:val="16"/>
                <w:szCs w:val="24"/>
              </w:rPr>
            </w:pPr>
            <w:r w:rsidRPr="003D6DE5">
              <w:rPr>
                <w:b/>
                <w:bCs/>
                <w:sz w:val="16"/>
                <w:szCs w:val="24"/>
                <w:rtl/>
              </w:rPr>
              <w:t>152</w:t>
            </w:r>
          </w:p>
        </w:tc>
      </w:tr>
      <w:tr w:rsidR="007673A0" w:rsidRPr="003D6DE5" w:rsidTr="007673A0">
        <w:trPr>
          <w:cantSplit/>
        </w:trPr>
        <w:tc>
          <w:tcPr>
            <w:tcW w:w="1317" w:type="dxa"/>
            <w:shd w:val="clear" w:color="auto" w:fill="auto"/>
            <w:vAlign w:val="bottom"/>
          </w:tcPr>
          <w:p w:rsidR="007673A0" w:rsidRPr="003D6DE5" w:rsidRDefault="007673A0" w:rsidP="007673A0">
            <w:pPr>
              <w:spacing w:before="40" w:after="40" w:line="240" w:lineRule="exact"/>
              <w:rPr>
                <w:sz w:val="16"/>
                <w:szCs w:val="24"/>
              </w:rPr>
            </w:pPr>
            <w:r w:rsidRPr="003D6DE5">
              <w:rPr>
                <w:sz w:val="16"/>
                <w:szCs w:val="24"/>
                <w:rtl/>
              </w:rPr>
              <w:t>إيطالي</w:t>
            </w:r>
          </w:p>
        </w:tc>
        <w:tc>
          <w:tcPr>
            <w:tcW w:w="2141" w:type="dxa"/>
            <w:shd w:val="clear" w:color="auto" w:fill="auto"/>
            <w:vAlign w:val="bottom"/>
          </w:tcPr>
          <w:p w:rsidR="007673A0" w:rsidRPr="003D6DE5" w:rsidRDefault="007673A0" w:rsidP="007673A0">
            <w:pPr>
              <w:spacing w:before="40" w:after="40" w:line="240" w:lineRule="exact"/>
              <w:rPr>
                <w:sz w:val="16"/>
                <w:szCs w:val="24"/>
                <w:rtl/>
              </w:rPr>
            </w:pPr>
            <w:r w:rsidRPr="003D6DE5">
              <w:rPr>
                <w:sz w:val="16"/>
                <w:szCs w:val="24"/>
                <w:rtl/>
              </w:rPr>
              <w:t>49</w:t>
            </w:r>
          </w:p>
        </w:tc>
        <w:tc>
          <w:tcPr>
            <w:tcW w:w="1791" w:type="dxa"/>
            <w:shd w:val="clear" w:color="auto" w:fill="auto"/>
            <w:noWrap/>
            <w:vAlign w:val="bottom"/>
          </w:tcPr>
          <w:p w:rsidR="007673A0" w:rsidRPr="003D6DE5" w:rsidRDefault="007673A0" w:rsidP="007673A0">
            <w:pPr>
              <w:spacing w:before="40" w:after="40" w:line="240" w:lineRule="exact"/>
              <w:rPr>
                <w:sz w:val="16"/>
                <w:szCs w:val="24"/>
                <w:rtl/>
              </w:rPr>
            </w:pPr>
            <w:r w:rsidRPr="003D6DE5">
              <w:rPr>
                <w:sz w:val="16"/>
                <w:szCs w:val="24"/>
                <w:rtl/>
              </w:rPr>
              <w:t>4</w:t>
            </w:r>
          </w:p>
        </w:tc>
        <w:tc>
          <w:tcPr>
            <w:tcW w:w="2352" w:type="dxa"/>
            <w:shd w:val="clear" w:color="auto" w:fill="auto"/>
            <w:vAlign w:val="bottom"/>
          </w:tcPr>
          <w:p w:rsidR="007673A0" w:rsidRPr="003D6DE5" w:rsidRDefault="007673A0" w:rsidP="007673A0">
            <w:pPr>
              <w:spacing w:before="40" w:after="40" w:line="240" w:lineRule="exact"/>
              <w:rPr>
                <w:b/>
                <w:bCs/>
                <w:sz w:val="16"/>
                <w:szCs w:val="24"/>
              </w:rPr>
            </w:pPr>
            <w:r w:rsidRPr="003D6DE5">
              <w:rPr>
                <w:b/>
                <w:bCs/>
                <w:sz w:val="16"/>
                <w:szCs w:val="24"/>
                <w:rtl/>
              </w:rPr>
              <w:t>53</w:t>
            </w:r>
          </w:p>
        </w:tc>
      </w:tr>
      <w:tr w:rsidR="007673A0" w:rsidRPr="003D6DE5" w:rsidTr="007673A0">
        <w:trPr>
          <w:cantSplit/>
        </w:trPr>
        <w:tc>
          <w:tcPr>
            <w:tcW w:w="1317" w:type="dxa"/>
            <w:shd w:val="clear" w:color="auto" w:fill="auto"/>
            <w:vAlign w:val="bottom"/>
          </w:tcPr>
          <w:p w:rsidR="007673A0" w:rsidRPr="003D6DE5" w:rsidRDefault="007673A0" w:rsidP="007673A0">
            <w:pPr>
              <w:spacing w:before="40" w:after="40" w:line="240" w:lineRule="exact"/>
              <w:rPr>
                <w:sz w:val="16"/>
                <w:szCs w:val="24"/>
              </w:rPr>
            </w:pPr>
            <w:r w:rsidRPr="003D6DE5">
              <w:rPr>
                <w:sz w:val="16"/>
                <w:szCs w:val="24"/>
                <w:rtl/>
              </w:rPr>
              <w:t>إسباني</w:t>
            </w:r>
          </w:p>
        </w:tc>
        <w:tc>
          <w:tcPr>
            <w:tcW w:w="2141" w:type="dxa"/>
            <w:shd w:val="clear" w:color="auto" w:fill="auto"/>
            <w:vAlign w:val="bottom"/>
          </w:tcPr>
          <w:p w:rsidR="007673A0" w:rsidRPr="003D6DE5" w:rsidRDefault="007673A0" w:rsidP="007673A0">
            <w:pPr>
              <w:spacing w:before="40" w:after="40" w:line="240" w:lineRule="exact"/>
              <w:rPr>
                <w:sz w:val="16"/>
                <w:szCs w:val="24"/>
                <w:rtl/>
              </w:rPr>
            </w:pPr>
            <w:r w:rsidRPr="003D6DE5">
              <w:rPr>
                <w:sz w:val="16"/>
                <w:szCs w:val="24"/>
                <w:rtl/>
              </w:rPr>
              <w:t>18</w:t>
            </w:r>
          </w:p>
        </w:tc>
        <w:tc>
          <w:tcPr>
            <w:tcW w:w="1791" w:type="dxa"/>
            <w:shd w:val="clear" w:color="auto" w:fill="auto"/>
            <w:noWrap/>
            <w:vAlign w:val="bottom"/>
          </w:tcPr>
          <w:p w:rsidR="007673A0" w:rsidRPr="003D6DE5" w:rsidRDefault="007673A0" w:rsidP="007673A0">
            <w:pPr>
              <w:spacing w:before="40" w:after="40" w:line="240" w:lineRule="exact"/>
              <w:rPr>
                <w:sz w:val="16"/>
                <w:szCs w:val="24"/>
              </w:rPr>
            </w:pPr>
            <w:r w:rsidRPr="003D6DE5">
              <w:rPr>
                <w:sz w:val="16"/>
                <w:szCs w:val="24"/>
                <w:rtl/>
              </w:rPr>
              <w:t>-</w:t>
            </w:r>
          </w:p>
        </w:tc>
        <w:tc>
          <w:tcPr>
            <w:tcW w:w="2352" w:type="dxa"/>
            <w:shd w:val="clear" w:color="auto" w:fill="auto"/>
            <w:vAlign w:val="bottom"/>
          </w:tcPr>
          <w:p w:rsidR="007673A0" w:rsidRPr="003D6DE5" w:rsidRDefault="007673A0" w:rsidP="007673A0">
            <w:pPr>
              <w:spacing w:before="40" w:after="40" w:line="240" w:lineRule="exact"/>
              <w:rPr>
                <w:b/>
                <w:bCs/>
                <w:sz w:val="16"/>
                <w:szCs w:val="24"/>
              </w:rPr>
            </w:pPr>
            <w:r w:rsidRPr="003D6DE5">
              <w:rPr>
                <w:b/>
                <w:bCs/>
                <w:sz w:val="16"/>
                <w:szCs w:val="24"/>
                <w:rtl/>
              </w:rPr>
              <w:t>18</w:t>
            </w:r>
          </w:p>
        </w:tc>
      </w:tr>
      <w:tr w:rsidR="007673A0" w:rsidRPr="003D6DE5" w:rsidTr="007673A0">
        <w:trPr>
          <w:cantSplit/>
        </w:trPr>
        <w:tc>
          <w:tcPr>
            <w:tcW w:w="1317" w:type="dxa"/>
            <w:shd w:val="clear" w:color="auto" w:fill="auto"/>
            <w:vAlign w:val="bottom"/>
          </w:tcPr>
          <w:p w:rsidR="007673A0" w:rsidRPr="003D6DE5" w:rsidRDefault="007673A0" w:rsidP="007673A0">
            <w:pPr>
              <w:spacing w:before="40" w:after="40" w:line="240" w:lineRule="exact"/>
              <w:rPr>
                <w:sz w:val="16"/>
                <w:szCs w:val="24"/>
              </w:rPr>
            </w:pPr>
            <w:r w:rsidRPr="003D6DE5">
              <w:rPr>
                <w:sz w:val="16"/>
                <w:szCs w:val="24"/>
                <w:rtl/>
              </w:rPr>
              <w:t>إيراني</w:t>
            </w:r>
          </w:p>
        </w:tc>
        <w:tc>
          <w:tcPr>
            <w:tcW w:w="2141" w:type="dxa"/>
            <w:shd w:val="clear" w:color="auto" w:fill="auto"/>
            <w:vAlign w:val="bottom"/>
          </w:tcPr>
          <w:p w:rsidR="007673A0" w:rsidRPr="003D6DE5" w:rsidRDefault="007673A0" w:rsidP="007673A0">
            <w:pPr>
              <w:spacing w:before="40" w:after="40" w:line="240" w:lineRule="exact"/>
              <w:rPr>
                <w:sz w:val="16"/>
                <w:szCs w:val="24"/>
                <w:rtl/>
              </w:rPr>
            </w:pPr>
            <w:r w:rsidRPr="003D6DE5">
              <w:rPr>
                <w:sz w:val="16"/>
                <w:szCs w:val="24"/>
                <w:rtl/>
              </w:rPr>
              <w:t>63</w:t>
            </w:r>
          </w:p>
        </w:tc>
        <w:tc>
          <w:tcPr>
            <w:tcW w:w="1791" w:type="dxa"/>
            <w:shd w:val="clear" w:color="auto" w:fill="auto"/>
            <w:noWrap/>
            <w:vAlign w:val="bottom"/>
          </w:tcPr>
          <w:p w:rsidR="007673A0" w:rsidRPr="003D6DE5" w:rsidRDefault="007673A0" w:rsidP="007673A0">
            <w:pPr>
              <w:spacing w:before="40" w:after="40" w:line="240" w:lineRule="exact"/>
              <w:rPr>
                <w:sz w:val="16"/>
                <w:szCs w:val="24"/>
              </w:rPr>
            </w:pPr>
            <w:r w:rsidRPr="003D6DE5">
              <w:rPr>
                <w:sz w:val="16"/>
                <w:szCs w:val="24"/>
                <w:rtl/>
              </w:rPr>
              <w:t>-</w:t>
            </w:r>
          </w:p>
        </w:tc>
        <w:tc>
          <w:tcPr>
            <w:tcW w:w="2352" w:type="dxa"/>
            <w:shd w:val="clear" w:color="auto" w:fill="auto"/>
            <w:vAlign w:val="bottom"/>
          </w:tcPr>
          <w:p w:rsidR="007673A0" w:rsidRPr="003D6DE5" w:rsidRDefault="007673A0" w:rsidP="007673A0">
            <w:pPr>
              <w:spacing w:before="40" w:after="40" w:line="240" w:lineRule="exact"/>
              <w:rPr>
                <w:b/>
                <w:bCs/>
                <w:sz w:val="16"/>
                <w:szCs w:val="24"/>
              </w:rPr>
            </w:pPr>
            <w:r w:rsidRPr="003D6DE5">
              <w:rPr>
                <w:b/>
                <w:bCs/>
                <w:sz w:val="16"/>
                <w:szCs w:val="24"/>
                <w:rtl/>
              </w:rPr>
              <w:t>63</w:t>
            </w:r>
          </w:p>
        </w:tc>
      </w:tr>
      <w:tr w:rsidR="007673A0" w:rsidRPr="003D6DE5" w:rsidTr="007673A0">
        <w:trPr>
          <w:cantSplit/>
        </w:trPr>
        <w:tc>
          <w:tcPr>
            <w:tcW w:w="1317" w:type="dxa"/>
            <w:tcBorders>
              <w:bottom w:val="single" w:sz="12" w:space="0" w:color="auto"/>
            </w:tcBorders>
            <w:shd w:val="clear" w:color="auto" w:fill="auto"/>
            <w:vAlign w:val="bottom"/>
          </w:tcPr>
          <w:p w:rsidR="007673A0" w:rsidRPr="003D6DE5" w:rsidRDefault="007673A0" w:rsidP="007673A0">
            <w:pPr>
              <w:spacing w:before="40" w:after="40" w:line="240" w:lineRule="exact"/>
              <w:rPr>
                <w:sz w:val="16"/>
                <w:szCs w:val="24"/>
              </w:rPr>
            </w:pPr>
            <w:r w:rsidRPr="003D6DE5">
              <w:rPr>
                <w:sz w:val="16"/>
                <w:szCs w:val="24"/>
                <w:rtl/>
              </w:rPr>
              <w:t>غيره أجنبي</w:t>
            </w:r>
          </w:p>
        </w:tc>
        <w:tc>
          <w:tcPr>
            <w:tcW w:w="2141" w:type="dxa"/>
            <w:tcBorders>
              <w:bottom w:val="single" w:sz="12" w:space="0" w:color="auto"/>
            </w:tcBorders>
            <w:shd w:val="clear" w:color="auto" w:fill="auto"/>
            <w:vAlign w:val="bottom"/>
          </w:tcPr>
          <w:p w:rsidR="007673A0" w:rsidRPr="003D6DE5" w:rsidRDefault="007673A0" w:rsidP="007673A0">
            <w:pPr>
              <w:spacing w:before="40" w:after="40" w:line="240" w:lineRule="exact"/>
              <w:rPr>
                <w:sz w:val="16"/>
                <w:szCs w:val="24"/>
              </w:rPr>
            </w:pPr>
            <w:r w:rsidRPr="003D6DE5">
              <w:rPr>
                <w:sz w:val="16"/>
                <w:szCs w:val="24"/>
                <w:rtl/>
              </w:rPr>
              <w:t>2255</w:t>
            </w:r>
          </w:p>
        </w:tc>
        <w:tc>
          <w:tcPr>
            <w:tcW w:w="1791" w:type="dxa"/>
            <w:tcBorders>
              <w:bottom w:val="single" w:sz="12" w:space="0" w:color="auto"/>
            </w:tcBorders>
            <w:shd w:val="clear" w:color="auto" w:fill="auto"/>
            <w:noWrap/>
            <w:vAlign w:val="bottom"/>
          </w:tcPr>
          <w:p w:rsidR="007673A0" w:rsidRPr="003D6DE5" w:rsidRDefault="007673A0" w:rsidP="007673A0">
            <w:pPr>
              <w:spacing w:before="40" w:after="40" w:line="240" w:lineRule="exact"/>
              <w:rPr>
                <w:sz w:val="16"/>
                <w:szCs w:val="24"/>
                <w:rtl/>
              </w:rPr>
            </w:pPr>
            <w:r w:rsidRPr="003D6DE5">
              <w:rPr>
                <w:sz w:val="16"/>
                <w:szCs w:val="24"/>
                <w:rtl/>
              </w:rPr>
              <w:t>316</w:t>
            </w:r>
          </w:p>
        </w:tc>
        <w:tc>
          <w:tcPr>
            <w:tcW w:w="2352" w:type="dxa"/>
            <w:tcBorders>
              <w:bottom w:val="single" w:sz="12" w:space="0" w:color="auto"/>
            </w:tcBorders>
            <w:shd w:val="clear" w:color="auto" w:fill="auto"/>
            <w:vAlign w:val="bottom"/>
          </w:tcPr>
          <w:p w:rsidR="007673A0" w:rsidRPr="003D6DE5" w:rsidRDefault="007673A0" w:rsidP="007673A0">
            <w:pPr>
              <w:spacing w:before="40" w:after="40" w:line="240" w:lineRule="exact"/>
              <w:rPr>
                <w:b/>
                <w:bCs/>
                <w:sz w:val="16"/>
                <w:szCs w:val="24"/>
              </w:rPr>
            </w:pPr>
            <w:r w:rsidRPr="003D6DE5">
              <w:rPr>
                <w:b/>
                <w:bCs/>
                <w:sz w:val="16"/>
                <w:szCs w:val="24"/>
                <w:rtl/>
              </w:rPr>
              <w:t>2571</w:t>
            </w:r>
          </w:p>
        </w:tc>
      </w:tr>
    </w:tbl>
    <w:p w:rsidR="003D6DE5" w:rsidRPr="003D6DE5" w:rsidRDefault="003D6DE5" w:rsidP="003D6DE5">
      <w:pPr>
        <w:pStyle w:val="SingleTxt"/>
        <w:spacing w:after="0" w:line="120" w:lineRule="exact"/>
        <w:rPr>
          <w:sz w:val="10"/>
          <w:rtl/>
        </w:rPr>
      </w:pPr>
    </w:p>
    <w:p w:rsidR="003D6DE5" w:rsidRPr="003D6DE5" w:rsidRDefault="003D6DE5" w:rsidP="003D6DE5">
      <w:pPr>
        <w:pStyle w:val="SingleTxt"/>
        <w:spacing w:after="0" w:line="120" w:lineRule="exact"/>
        <w:rPr>
          <w:sz w:val="10"/>
          <w:rtl/>
        </w:rPr>
      </w:pPr>
    </w:p>
    <w:p w:rsidR="003D6DE5" w:rsidRPr="007673A0" w:rsidRDefault="003D6DE5" w:rsidP="007673A0">
      <w:pPr>
        <w:pStyle w:val="SingleTxt"/>
        <w:spacing w:after="0" w:line="120" w:lineRule="exact"/>
        <w:rPr>
          <w:sz w:val="10"/>
          <w:rtl/>
        </w:rPr>
      </w:pPr>
    </w:p>
    <w:p w:rsidR="007673A0" w:rsidRPr="003D6DE5" w:rsidRDefault="007673A0" w:rsidP="003D6DE5">
      <w:pPr>
        <w:pStyle w:val="SingleTxt"/>
        <w:spacing w:after="0" w:line="120" w:lineRule="exact"/>
        <w:rPr>
          <w:sz w:val="10"/>
          <w:rtl/>
        </w:rPr>
      </w:pPr>
    </w:p>
    <w:tbl>
      <w:tblPr>
        <w:bidiVisual/>
        <w:tblW w:w="7615" w:type="dxa"/>
        <w:tblInd w:w="1284" w:type="dxa"/>
        <w:tblLook w:val="04A0" w:firstRow="1" w:lastRow="0" w:firstColumn="1" w:lastColumn="0" w:noHBand="0" w:noVBand="1"/>
      </w:tblPr>
      <w:tblGrid>
        <w:gridCol w:w="1290"/>
        <w:gridCol w:w="2182"/>
        <w:gridCol w:w="1791"/>
        <w:gridCol w:w="2352"/>
      </w:tblGrid>
      <w:tr w:rsidR="007673A0" w:rsidRPr="003D6DE5" w:rsidTr="007673A0">
        <w:trPr>
          <w:cantSplit/>
          <w:tblHeader/>
        </w:trPr>
        <w:tc>
          <w:tcPr>
            <w:tcW w:w="7615" w:type="dxa"/>
            <w:gridSpan w:val="4"/>
            <w:tcBorders>
              <w:top w:val="single" w:sz="4" w:space="0" w:color="auto"/>
              <w:bottom w:val="single" w:sz="12" w:space="0" w:color="auto"/>
            </w:tcBorders>
            <w:shd w:val="clear" w:color="auto" w:fill="auto"/>
            <w:vAlign w:val="bottom"/>
          </w:tcPr>
          <w:p w:rsidR="007673A0" w:rsidRPr="003D6DE5" w:rsidRDefault="007673A0" w:rsidP="007673A0">
            <w:pPr>
              <w:spacing w:before="80" w:after="80" w:line="240" w:lineRule="exact"/>
              <w:rPr>
                <w:i/>
                <w:iCs/>
                <w:sz w:val="16"/>
                <w:szCs w:val="24"/>
                <w:rtl/>
              </w:rPr>
            </w:pPr>
            <w:r w:rsidRPr="003D6DE5">
              <w:rPr>
                <w:i/>
                <w:iCs/>
                <w:sz w:val="16"/>
                <w:szCs w:val="24"/>
                <w:rtl/>
              </w:rPr>
              <w:t>توزّع التّلاميذ حسب الجنسيّة وقطاع التّعليم في العام الدّراسي 2013–2014</w:t>
            </w:r>
          </w:p>
        </w:tc>
      </w:tr>
      <w:tr w:rsidR="007673A0" w:rsidRPr="003D6DE5" w:rsidTr="007673A0">
        <w:trPr>
          <w:cantSplit/>
          <w:trHeight w:hRule="exact" w:val="115"/>
          <w:tblHeader/>
        </w:trPr>
        <w:tc>
          <w:tcPr>
            <w:tcW w:w="1290" w:type="dxa"/>
            <w:tcBorders>
              <w:top w:val="single" w:sz="12" w:space="0" w:color="auto"/>
            </w:tcBorders>
            <w:shd w:val="clear" w:color="auto" w:fill="auto"/>
            <w:vAlign w:val="bottom"/>
          </w:tcPr>
          <w:p w:rsidR="007673A0" w:rsidRPr="003D6DE5" w:rsidRDefault="007673A0" w:rsidP="007673A0">
            <w:pPr>
              <w:spacing w:before="40" w:after="40" w:line="240" w:lineRule="exact"/>
              <w:ind w:right="144"/>
              <w:rPr>
                <w:b/>
                <w:bCs/>
                <w:sz w:val="16"/>
                <w:szCs w:val="24"/>
              </w:rPr>
            </w:pPr>
          </w:p>
        </w:tc>
        <w:tc>
          <w:tcPr>
            <w:tcW w:w="2182" w:type="dxa"/>
            <w:tcBorders>
              <w:top w:val="single" w:sz="12" w:space="0" w:color="auto"/>
            </w:tcBorders>
            <w:shd w:val="clear" w:color="auto" w:fill="auto"/>
            <w:noWrap/>
            <w:vAlign w:val="bottom"/>
          </w:tcPr>
          <w:p w:rsidR="007673A0" w:rsidRPr="003D6DE5" w:rsidRDefault="007673A0" w:rsidP="007673A0">
            <w:pPr>
              <w:spacing w:before="40" w:after="40" w:line="240" w:lineRule="exact"/>
              <w:ind w:right="144"/>
              <w:rPr>
                <w:sz w:val="16"/>
                <w:szCs w:val="24"/>
                <w:rtl/>
              </w:rPr>
            </w:pPr>
          </w:p>
        </w:tc>
        <w:tc>
          <w:tcPr>
            <w:tcW w:w="1791" w:type="dxa"/>
            <w:tcBorders>
              <w:top w:val="single" w:sz="12" w:space="0" w:color="auto"/>
            </w:tcBorders>
            <w:shd w:val="clear" w:color="auto" w:fill="auto"/>
            <w:noWrap/>
            <w:vAlign w:val="bottom"/>
          </w:tcPr>
          <w:p w:rsidR="007673A0" w:rsidRPr="003D6DE5" w:rsidRDefault="007673A0" w:rsidP="007673A0">
            <w:pPr>
              <w:spacing w:before="40" w:after="40" w:line="240" w:lineRule="exact"/>
              <w:ind w:right="144"/>
              <w:rPr>
                <w:sz w:val="16"/>
                <w:szCs w:val="24"/>
                <w:rtl/>
              </w:rPr>
            </w:pPr>
          </w:p>
        </w:tc>
        <w:tc>
          <w:tcPr>
            <w:tcW w:w="2352" w:type="dxa"/>
            <w:tcBorders>
              <w:top w:val="single" w:sz="12" w:space="0" w:color="auto"/>
            </w:tcBorders>
            <w:shd w:val="clear" w:color="auto" w:fill="auto"/>
            <w:vAlign w:val="bottom"/>
          </w:tcPr>
          <w:p w:rsidR="007673A0" w:rsidRPr="003D6DE5" w:rsidRDefault="007673A0" w:rsidP="007673A0">
            <w:pPr>
              <w:spacing w:before="40" w:after="40" w:line="240" w:lineRule="exact"/>
              <w:rPr>
                <w:sz w:val="16"/>
                <w:szCs w:val="24"/>
                <w:rtl/>
              </w:rPr>
            </w:pPr>
          </w:p>
        </w:tc>
      </w:tr>
      <w:tr w:rsidR="007673A0" w:rsidRPr="003D6DE5" w:rsidTr="007673A0">
        <w:trPr>
          <w:cantSplit/>
        </w:trPr>
        <w:tc>
          <w:tcPr>
            <w:tcW w:w="1290" w:type="dxa"/>
            <w:shd w:val="clear" w:color="auto" w:fill="auto"/>
            <w:vAlign w:val="bottom"/>
          </w:tcPr>
          <w:p w:rsidR="007673A0" w:rsidRPr="003D6DE5" w:rsidRDefault="007673A0" w:rsidP="007673A0">
            <w:pPr>
              <w:spacing w:before="40" w:after="40" w:line="240" w:lineRule="exact"/>
              <w:rPr>
                <w:sz w:val="16"/>
                <w:szCs w:val="24"/>
                <w:rtl/>
              </w:rPr>
            </w:pPr>
            <w:r w:rsidRPr="003D6DE5">
              <w:rPr>
                <w:sz w:val="16"/>
                <w:szCs w:val="24"/>
                <w:rtl/>
              </w:rPr>
              <w:t>الجنسيّة</w:t>
            </w:r>
          </w:p>
        </w:tc>
        <w:tc>
          <w:tcPr>
            <w:tcW w:w="2182" w:type="dxa"/>
            <w:shd w:val="clear" w:color="auto" w:fill="auto"/>
            <w:noWrap/>
            <w:vAlign w:val="bottom"/>
          </w:tcPr>
          <w:p w:rsidR="007673A0" w:rsidRPr="003D6DE5" w:rsidRDefault="007673A0" w:rsidP="007673A0">
            <w:pPr>
              <w:spacing w:before="40" w:after="40" w:line="240" w:lineRule="exact"/>
              <w:rPr>
                <w:sz w:val="16"/>
                <w:szCs w:val="24"/>
              </w:rPr>
            </w:pPr>
            <w:r w:rsidRPr="003D6DE5">
              <w:rPr>
                <w:sz w:val="16"/>
                <w:szCs w:val="24"/>
                <w:rtl/>
              </w:rPr>
              <w:t>خاص</w:t>
            </w:r>
          </w:p>
        </w:tc>
        <w:tc>
          <w:tcPr>
            <w:tcW w:w="1791" w:type="dxa"/>
            <w:shd w:val="clear" w:color="auto" w:fill="auto"/>
            <w:noWrap/>
            <w:vAlign w:val="bottom"/>
          </w:tcPr>
          <w:p w:rsidR="007673A0" w:rsidRPr="003D6DE5" w:rsidRDefault="007673A0" w:rsidP="007673A0">
            <w:pPr>
              <w:spacing w:before="40" w:after="40" w:line="240" w:lineRule="exact"/>
              <w:rPr>
                <w:sz w:val="16"/>
                <w:szCs w:val="24"/>
              </w:rPr>
            </w:pPr>
            <w:r w:rsidRPr="003D6DE5">
              <w:rPr>
                <w:sz w:val="16"/>
                <w:szCs w:val="24"/>
                <w:rtl/>
              </w:rPr>
              <w:t>رسمي</w:t>
            </w:r>
          </w:p>
        </w:tc>
        <w:tc>
          <w:tcPr>
            <w:tcW w:w="2352" w:type="dxa"/>
            <w:shd w:val="clear" w:color="auto" w:fill="auto"/>
            <w:vAlign w:val="bottom"/>
          </w:tcPr>
          <w:p w:rsidR="007673A0" w:rsidRPr="003D6DE5" w:rsidRDefault="007673A0" w:rsidP="007673A0">
            <w:pPr>
              <w:spacing w:before="40" w:after="40" w:line="240" w:lineRule="exact"/>
              <w:rPr>
                <w:b/>
                <w:bCs/>
                <w:sz w:val="16"/>
                <w:szCs w:val="24"/>
                <w:rtl/>
              </w:rPr>
            </w:pPr>
            <w:r w:rsidRPr="003D6DE5">
              <w:rPr>
                <w:b/>
                <w:bCs/>
                <w:sz w:val="16"/>
                <w:szCs w:val="24"/>
                <w:rtl/>
              </w:rPr>
              <w:t>مجموع</w:t>
            </w:r>
          </w:p>
        </w:tc>
      </w:tr>
      <w:tr w:rsidR="007673A0" w:rsidRPr="003D6DE5" w:rsidTr="007673A0">
        <w:trPr>
          <w:cantSplit/>
        </w:trPr>
        <w:tc>
          <w:tcPr>
            <w:tcW w:w="1290" w:type="dxa"/>
            <w:shd w:val="clear" w:color="auto" w:fill="auto"/>
            <w:vAlign w:val="bottom"/>
          </w:tcPr>
          <w:p w:rsidR="007673A0" w:rsidRPr="003D6DE5" w:rsidRDefault="007673A0" w:rsidP="007673A0">
            <w:pPr>
              <w:spacing w:before="40" w:after="40" w:line="240" w:lineRule="exact"/>
              <w:rPr>
                <w:sz w:val="16"/>
                <w:szCs w:val="24"/>
                <w:rtl/>
              </w:rPr>
            </w:pPr>
            <w:r w:rsidRPr="003D6DE5">
              <w:rPr>
                <w:sz w:val="16"/>
                <w:szCs w:val="24"/>
                <w:rtl/>
              </w:rPr>
              <w:t>سوري</w:t>
            </w:r>
          </w:p>
        </w:tc>
        <w:tc>
          <w:tcPr>
            <w:tcW w:w="2182" w:type="dxa"/>
            <w:shd w:val="clear" w:color="auto" w:fill="auto"/>
            <w:vAlign w:val="bottom"/>
          </w:tcPr>
          <w:p w:rsidR="007673A0" w:rsidRPr="003D6DE5" w:rsidRDefault="007673A0" w:rsidP="007673A0">
            <w:pPr>
              <w:spacing w:before="40" w:after="40" w:line="240" w:lineRule="exact"/>
              <w:rPr>
                <w:sz w:val="16"/>
                <w:szCs w:val="24"/>
                <w:rtl/>
              </w:rPr>
            </w:pPr>
            <w:r w:rsidRPr="003D6DE5">
              <w:rPr>
                <w:sz w:val="16"/>
                <w:szCs w:val="24"/>
                <w:rtl/>
              </w:rPr>
              <w:t>26121</w:t>
            </w:r>
          </w:p>
        </w:tc>
        <w:tc>
          <w:tcPr>
            <w:tcW w:w="1791" w:type="dxa"/>
            <w:shd w:val="clear" w:color="auto" w:fill="auto"/>
            <w:noWrap/>
            <w:vAlign w:val="bottom"/>
          </w:tcPr>
          <w:p w:rsidR="007673A0" w:rsidRPr="003D6DE5" w:rsidRDefault="007673A0" w:rsidP="007673A0">
            <w:pPr>
              <w:spacing w:before="40" w:after="40" w:line="240" w:lineRule="exact"/>
              <w:rPr>
                <w:sz w:val="16"/>
                <w:szCs w:val="24"/>
              </w:rPr>
            </w:pPr>
            <w:r w:rsidRPr="003D6DE5">
              <w:rPr>
                <w:sz w:val="16"/>
                <w:szCs w:val="24"/>
                <w:rtl/>
              </w:rPr>
              <w:t>63435</w:t>
            </w:r>
          </w:p>
        </w:tc>
        <w:tc>
          <w:tcPr>
            <w:tcW w:w="2352" w:type="dxa"/>
            <w:shd w:val="clear" w:color="auto" w:fill="auto"/>
            <w:vAlign w:val="bottom"/>
          </w:tcPr>
          <w:p w:rsidR="007673A0" w:rsidRPr="003D6DE5" w:rsidRDefault="007673A0" w:rsidP="007673A0">
            <w:pPr>
              <w:spacing w:before="40" w:after="40" w:line="240" w:lineRule="exact"/>
              <w:rPr>
                <w:b/>
                <w:bCs/>
                <w:sz w:val="16"/>
                <w:szCs w:val="24"/>
              </w:rPr>
            </w:pPr>
            <w:r w:rsidRPr="003D6DE5">
              <w:rPr>
                <w:b/>
                <w:bCs/>
                <w:sz w:val="16"/>
                <w:szCs w:val="24"/>
                <w:rtl/>
              </w:rPr>
              <w:t>89556</w:t>
            </w:r>
          </w:p>
        </w:tc>
      </w:tr>
      <w:tr w:rsidR="007673A0" w:rsidRPr="003D6DE5" w:rsidTr="007673A0">
        <w:trPr>
          <w:cantSplit/>
        </w:trPr>
        <w:tc>
          <w:tcPr>
            <w:tcW w:w="1290" w:type="dxa"/>
            <w:shd w:val="clear" w:color="auto" w:fill="auto"/>
            <w:vAlign w:val="bottom"/>
          </w:tcPr>
          <w:p w:rsidR="007673A0" w:rsidRPr="003D6DE5" w:rsidRDefault="007673A0" w:rsidP="007673A0">
            <w:pPr>
              <w:spacing w:before="40" w:after="40" w:line="240" w:lineRule="exact"/>
              <w:rPr>
                <w:sz w:val="16"/>
                <w:szCs w:val="24"/>
              </w:rPr>
            </w:pPr>
            <w:r w:rsidRPr="003D6DE5">
              <w:rPr>
                <w:sz w:val="16"/>
                <w:szCs w:val="24"/>
                <w:rtl/>
              </w:rPr>
              <w:t>فلسطيني</w:t>
            </w:r>
          </w:p>
        </w:tc>
        <w:tc>
          <w:tcPr>
            <w:tcW w:w="2182" w:type="dxa"/>
            <w:shd w:val="clear" w:color="auto" w:fill="auto"/>
            <w:vAlign w:val="bottom"/>
          </w:tcPr>
          <w:p w:rsidR="007673A0" w:rsidRPr="003D6DE5" w:rsidRDefault="007673A0" w:rsidP="007673A0">
            <w:pPr>
              <w:spacing w:before="40" w:after="40" w:line="240" w:lineRule="exact"/>
              <w:rPr>
                <w:sz w:val="16"/>
                <w:szCs w:val="24"/>
              </w:rPr>
            </w:pPr>
            <w:r w:rsidRPr="003D6DE5">
              <w:rPr>
                <w:sz w:val="16"/>
                <w:szCs w:val="24"/>
                <w:rtl/>
              </w:rPr>
              <w:t>40525</w:t>
            </w:r>
          </w:p>
        </w:tc>
        <w:tc>
          <w:tcPr>
            <w:tcW w:w="1791" w:type="dxa"/>
            <w:shd w:val="clear" w:color="auto" w:fill="auto"/>
            <w:noWrap/>
            <w:vAlign w:val="bottom"/>
          </w:tcPr>
          <w:p w:rsidR="007673A0" w:rsidRPr="003D6DE5" w:rsidRDefault="007673A0" w:rsidP="007673A0">
            <w:pPr>
              <w:spacing w:before="40" w:after="40" w:line="240" w:lineRule="exact"/>
              <w:rPr>
                <w:sz w:val="16"/>
                <w:szCs w:val="24"/>
                <w:rtl/>
              </w:rPr>
            </w:pPr>
            <w:r w:rsidRPr="003D6DE5">
              <w:rPr>
                <w:sz w:val="16"/>
                <w:szCs w:val="24"/>
                <w:rtl/>
              </w:rPr>
              <w:t>4759</w:t>
            </w:r>
          </w:p>
        </w:tc>
        <w:tc>
          <w:tcPr>
            <w:tcW w:w="2352" w:type="dxa"/>
            <w:shd w:val="clear" w:color="auto" w:fill="auto"/>
            <w:vAlign w:val="bottom"/>
          </w:tcPr>
          <w:p w:rsidR="007673A0" w:rsidRPr="003D6DE5" w:rsidRDefault="007673A0" w:rsidP="007673A0">
            <w:pPr>
              <w:spacing w:before="40" w:after="40" w:line="240" w:lineRule="exact"/>
              <w:rPr>
                <w:b/>
                <w:bCs/>
                <w:sz w:val="16"/>
                <w:szCs w:val="24"/>
              </w:rPr>
            </w:pPr>
            <w:r w:rsidRPr="003D6DE5">
              <w:rPr>
                <w:b/>
                <w:bCs/>
                <w:sz w:val="16"/>
                <w:szCs w:val="24"/>
                <w:rtl/>
              </w:rPr>
              <w:t>45284</w:t>
            </w:r>
          </w:p>
        </w:tc>
      </w:tr>
      <w:tr w:rsidR="007673A0" w:rsidRPr="003D6DE5" w:rsidTr="007673A0">
        <w:trPr>
          <w:cantSplit/>
        </w:trPr>
        <w:tc>
          <w:tcPr>
            <w:tcW w:w="1290" w:type="dxa"/>
            <w:shd w:val="clear" w:color="auto" w:fill="auto"/>
            <w:vAlign w:val="bottom"/>
          </w:tcPr>
          <w:p w:rsidR="007673A0" w:rsidRPr="003D6DE5" w:rsidRDefault="007673A0" w:rsidP="007673A0">
            <w:pPr>
              <w:spacing w:before="40" w:after="40" w:line="240" w:lineRule="exact"/>
              <w:rPr>
                <w:sz w:val="16"/>
                <w:szCs w:val="24"/>
              </w:rPr>
            </w:pPr>
            <w:r w:rsidRPr="003D6DE5">
              <w:rPr>
                <w:sz w:val="16"/>
                <w:szCs w:val="24"/>
                <w:rtl/>
              </w:rPr>
              <w:t>أردني</w:t>
            </w:r>
          </w:p>
        </w:tc>
        <w:tc>
          <w:tcPr>
            <w:tcW w:w="2182" w:type="dxa"/>
            <w:shd w:val="clear" w:color="auto" w:fill="auto"/>
            <w:vAlign w:val="bottom"/>
          </w:tcPr>
          <w:p w:rsidR="007673A0" w:rsidRPr="003D6DE5" w:rsidRDefault="007673A0" w:rsidP="007673A0">
            <w:pPr>
              <w:spacing w:before="40" w:after="40" w:line="240" w:lineRule="exact"/>
              <w:rPr>
                <w:sz w:val="16"/>
                <w:szCs w:val="24"/>
              </w:rPr>
            </w:pPr>
            <w:r w:rsidRPr="003D6DE5">
              <w:rPr>
                <w:sz w:val="16"/>
                <w:szCs w:val="24"/>
                <w:rtl/>
              </w:rPr>
              <w:t>395</w:t>
            </w:r>
          </w:p>
        </w:tc>
        <w:tc>
          <w:tcPr>
            <w:tcW w:w="1791" w:type="dxa"/>
            <w:shd w:val="clear" w:color="auto" w:fill="auto"/>
            <w:noWrap/>
            <w:vAlign w:val="bottom"/>
          </w:tcPr>
          <w:p w:rsidR="007673A0" w:rsidRPr="003D6DE5" w:rsidRDefault="007673A0" w:rsidP="007673A0">
            <w:pPr>
              <w:spacing w:before="40" w:after="40" w:line="240" w:lineRule="exact"/>
              <w:rPr>
                <w:sz w:val="16"/>
                <w:szCs w:val="24"/>
              </w:rPr>
            </w:pPr>
            <w:r w:rsidRPr="003D6DE5">
              <w:rPr>
                <w:sz w:val="16"/>
                <w:szCs w:val="24"/>
                <w:rtl/>
              </w:rPr>
              <w:t>106</w:t>
            </w:r>
          </w:p>
        </w:tc>
        <w:tc>
          <w:tcPr>
            <w:tcW w:w="2352" w:type="dxa"/>
            <w:shd w:val="clear" w:color="auto" w:fill="auto"/>
            <w:vAlign w:val="bottom"/>
          </w:tcPr>
          <w:p w:rsidR="007673A0" w:rsidRPr="003D6DE5" w:rsidRDefault="007673A0" w:rsidP="007673A0">
            <w:pPr>
              <w:spacing w:before="40" w:after="40" w:line="240" w:lineRule="exact"/>
              <w:rPr>
                <w:b/>
                <w:bCs/>
                <w:sz w:val="16"/>
                <w:szCs w:val="24"/>
              </w:rPr>
            </w:pPr>
            <w:r w:rsidRPr="003D6DE5">
              <w:rPr>
                <w:b/>
                <w:bCs/>
                <w:sz w:val="16"/>
                <w:szCs w:val="24"/>
                <w:rtl/>
              </w:rPr>
              <w:t>501</w:t>
            </w:r>
          </w:p>
        </w:tc>
      </w:tr>
      <w:tr w:rsidR="007673A0" w:rsidRPr="003D6DE5" w:rsidTr="007673A0">
        <w:trPr>
          <w:cantSplit/>
        </w:trPr>
        <w:tc>
          <w:tcPr>
            <w:tcW w:w="1290" w:type="dxa"/>
            <w:shd w:val="clear" w:color="auto" w:fill="auto"/>
            <w:vAlign w:val="bottom"/>
          </w:tcPr>
          <w:p w:rsidR="007673A0" w:rsidRPr="003D6DE5" w:rsidRDefault="007673A0" w:rsidP="007673A0">
            <w:pPr>
              <w:spacing w:before="40" w:after="40" w:line="240" w:lineRule="exact"/>
              <w:rPr>
                <w:sz w:val="16"/>
                <w:szCs w:val="24"/>
              </w:rPr>
            </w:pPr>
            <w:r w:rsidRPr="003D6DE5">
              <w:rPr>
                <w:sz w:val="16"/>
                <w:szCs w:val="24"/>
                <w:rtl/>
              </w:rPr>
              <w:t>مصري</w:t>
            </w:r>
          </w:p>
        </w:tc>
        <w:tc>
          <w:tcPr>
            <w:tcW w:w="2182" w:type="dxa"/>
            <w:shd w:val="clear" w:color="auto" w:fill="auto"/>
            <w:vAlign w:val="bottom"/>
          </w:tcPr>
          <w:p w:rsidR="007673A0" w:rsidRPr="003D6DE5" w:rsidRDefault="007673A0" w:rsidP="007673A0">
            <w:pPr>
              <w:spacing w:before="40" w:after="40" w:line="240" w:lineRule="exact"/>
              <w:rPr>
                <w:sz w:val="16"/>
                <w:szCs w:val="24"/>
              </w:rPr>
            </w:pPr>
            <w:r w:rsidRPr="003D6DE5">
              <w:rPr>
                <w:sz w:val="16"/>
                <w:szCs w:val="24"/>
                <w:rtl/>
              </w:rPr>
              <w:t>1188</w:t>
            </w:r>
          </w:p>
        </w:tc>
        <w:tc>
          <w:tcPr>
            <w:tcW w:w="1791" w:type="dxa"/>
            <w:shd w:val="clear" w:color="auto" w:fill="auto"/>
            <w:noWrap/>
            <w:vAlign w:val="bottom"/>
          </w:tcPr>
          <w:p w:rsidR="007673A0" w:rsidRPr="003D6DE5" w:rsidRDefault="007673A0" w:rsidP="007673A0">
            <w:pPr>
              <w:spacing w:before="40" w:after="40" w:line="240" w:lineRule="exact"/>
              <w:rPr>
                <w:sz w:val="16"/>
                <w:szCs w:val="24"/>
              </w:rPr>
            </w:pPr>
            <w:r w:rsidRPr="003D6DE5">
              <w:rPr>
                <w:sz w:val="16"/>
                <w:szCs w:val="24"/>
                <w:rtl/>
              </w:rPr>
              <w:t>975</w:t>
            </w:r>
          </w:p>
        </w:tc>
        <w:tc>
          <w:tcPr>
            <w:tcW w:w="2352" w:type="dxa"/>
            <w:shd w:val="clear" w:color="auto" w:fill="auto"/>
            <w:vAlign w:val="bottom"/>
          </w:tcPr>
          <w:p w:rsidR="007673A0" w:rsidRPr="003D6DE5" w:rsidRDefault="007673A0" w:rsidP="007673A0">
            <w:pPr>
              <w:spacing w:before="40" w:after="40" w:line="240" w:lineRule="exact"/>
              <w:rPr>
                <w:b/>
                <w:bCs/>
                <w:sz w:val="16"/>
                <w:szCs w:val="24"/>
              </w:rPr>
            </w:pPr>
            <w:r w:rsidRPr="003D6DE5">
              <w:rPr>
                <w:b/>
                <w:bCs/>
                <w:sz w:val="16"/>
                <w:szCs w:val="24"/>
                <w:rtl/>
              </w:rPr>
              <w:t>2163</w:t>
            </w:r>
          </w:p>
        </w:tc>
      </w:tr>
      <w:tr w:rsidR="007673A0" w:rsidRPr="003D6DE5" w:rsidTr="007673A0">
        <w:trPr>
          <w:cantSplit/>
        </w:trPr>
        <w:tc>
          <w:tcPr>
            <w:tcW w:w="1290" w:type="dxa"/>
            <w:shd w:val="clear" w:color="auto" w:fill="auto"/>
            <w:vAlign w:val="bottom"/>
          </w:tcPr>
          <w:p w:rsidR="007673A0" w:rsidRPr="003D6DE5" w:rsidRDefault="007673A0" w:rsidP="007673A0">
            <w:pPr>
              <w:spacing w:before="40" w:after="40" w:line="240" w:lineRule="exact"/>
              <w:rPr>
                <w:sz w:val="16"/>
                <w:szCs w:val="24"/>
              </w:rPr>
            </w:pPr>
            <w:r w:rsidRPr="003D6DE5">
              <w:rPr>
                <w:sz w:val="16"/>
                <w:szCs w:val="24"/>
                <w:rtl/>
              </w:rPr>
              <w:t>سعودي</w:t>
            </w:r>
          </w:p>
        </w:tc>
        <w:tc>
          <w:tcPr>
            <w:tcW w:w="2182" w:type="dxa"/>
            <w:shd w:val="clear" w:color="auto" w:fill="auto"/>
            <w:vAlign w:val="bottom"/>
          </w:tcPr>
          <w:p w:rsidR="007673A0" w:rsidRPr="003D6DE5" w:rsidRDefault="007673A0" w:rsidP="007673A0">
            <w:pPr>
              <w:spacing w:before="40" w:after="40" w:line="240" w:lineRule="exact"/>
              <w:rPr>
                <w:sz w:val="16"/>
                <w:szCs w:val="24"/>
              </w:rPr>
            </w:pPr>
            <w:r w:rsidRPr="003D6DE5">
              <w:rPr>
                <w:sz w:val="16"/>
                <w:szCs w:val="24"/>
                <w:rtl/>
              </w:rPr>
              <w:t>233</w:t>
            </w:r>
          </w:p>
        </w:tc>
        <w:tc>
          <w:tcPr>
            <w:tcW w:w="1791" w:type="dxa"/>
            <w:shd w:val="clear" w:color="auto" w:fill="auto"/>
            <w:noWrap/>
            <w:vAlign w:val="bottom"/>
          </w:tcPr>
          <w:p w:rsidR="007673A0" w:rsidRPr="003D6DE5" w:rsidRDefault="007673A0" w:rsidP="007673A0">
            <w:pPr>
              <w:spacing w:before="40" w:after="40" w:line="240" w:lineRule="exact"/>
              <w:rPr>
                <w:sz w:val="16"/>
                <w:szCs w:val="24"/>
              </w:rPr>
            </w:pPr>
            <w:r w:rsidRPr="003D6DE5">
              <w:rPr>
                <w:sz w:val="16"/>
                <w:szCs w:val="24"/>
                <w:rtl/>
              </w:rPr>
              <w:t>19</w:t>
            </w:r>
          </w:p>
        </w:tc>
        <w:tc>
          <w:tcPr>
            <w:tcW w:w="2352" w:type="dxa"/>
            <w:shd w:val="clear" w:color="auto" w:fill="auto"/>
            <w:vAlign w:val="bottom"/>
          </w:tcPr>
          <w:p w:rsidR="007673A0" w:rsidRPr="003D6DE5" w:rsidRDefault="007673A0" w:rsidP="007673A0">
            <w:pPr>
              <w:spacing w:before="40" w:after="40" w:line="240" w:lineRule="exact"/>
              <w:rPr>
                <w:b/>
                <w:bCs/>
                <w:sz w:val="16"/>
                <w:szCs w:val="24"/>
              </w:rPr>
            </w:pPr>
            <w:r w:rsidRPr="003D6DE5">
              <w:rPr>
                <w:b/>
                <w:bCs/>
                <w:sz w:val="16"/>
                <w:szCs w:val="24"/>
                <w:rtl/>
              </w:rPr>
              <w:t>252</w:t>
            </w:r>
          </w:p>
        </w:tc>
      </w:tr>
      <w:tr w:rsidR="007673A0" w:rsidRPr="003D6DE5" w:rsidTr="007673A0">
        <w:trPr>
          <w:cantSplit/>
        </w:trPr>
        <w:tc>
          <w:tcPr>
            <w:tcW w:w="1290" w:type="dxa"/>
            <w:shd w:val="clear" w:color="auto" w:fill="auto"/>
            <w:vAlign w:val="bottom"/>
          </w:tcPr>
          <w:p w:rsidR="007673A0" w:rsidRPr="003D6DE5" w:rsidRDefault="007673A0" w:rsidP="007673A0">
            <w:pPr>
              <w:spacing w:before="40" w:after="40" w:line="240" w:lineRule="exact"/>
              <w:rPr>
                <w:sz w:val="16"/>
                <w:szCs w:val="24"/>
              </w:rPr>
            </w:pPr>
            <w:r w:rsidRPr="003D6DE5">
              <w:rPr>
                <w:sz w:val="16"/>
                <w:szCs w:val="24"/>
                <w:rtl/>
              </w:rPr>
              <w:t>عراقي</w:t>
            </w:r>
          </w:p>
        </w:tc>
        <w:tc>
          <w:tcPr>
            <w:tcW w:w="2182" w:type="dxa"/>
            <w:shd w:val="clear" w:color="auto" w:fill="auto"/>
            <w:vAlign w:val="bottom"/>
          </w:tcPr>
          <w:p w:rsidR="007673A0" w:rsidRPr="003D6DE5" w:rsidRDefault="007673A0" w:rsidP="007673A0">
            <w:pPr>
              <w:spacing w:before="40" w:after="40" w:line="240" w:lineRule="exact"/>
              <w:rPr>
                <w:sz w:val="16"/>
                <w:szCs w:val="24"/>
                <w:rtl/>
              </w:rPr>
            </w:pPr>
            <w:r w:rsidRPr="003D6DE5">
              <w:rPr>
                <w:sz w:val="16"/>
                <w:szCs w:val="24"/>
                <w:rtl/>
              </w:rPr>
              <w:t>984</w:t>
            </w:r>
          </w:p>
        </w:tc>
        <w:tc>
          <w:tcPr>
            <w:tcW w:w="1791" w:type="dxa"/>
            <w:shd w:val="clear" w:color="auto" w:fill="auto"/>
            <w:noWrap/>
            <w:vAlign w:val="bottom"/>
          </w:tcPr>
          <w:p w:rsidR="007673A0" w:rsidRPr="003D6DE5" w:rsidRDefault="007673A0" w:rsidP="007673A0">
            <w:pPr>
              <w:spacing w:before="40" w:after="40" w:line="240" w:lineRule="exact"/>
              <w:rPr>
                <w:sz w:val="16"/>
                <w:szCs w:val="24"/>
              </w:rPr>
            </w:pPr>
            <w:r w:rsidRPr="003D6DE5">
              <w:rPr>
                <w:sz w:val="16"/>
                <w:szCs w:val="24"/>
                <w:rtl/>
              </w:rPr>
              <w:t>491</w:t>
            </w:r>
          </w:p>
        </w:tc>
        <w:tc>
          <w:tcPr>
            <w:tcW w:w="2352" w:type="dxa"/>
            <w:shd w:val="clear" w:color="auto" w:fill="auto"/>
            <w:vAlign w:val="bottom"/>
          </w:tcPr>
          <w:p w:rsidR="007673A0" w:rsidRPr="003D6DE5" w:rsidRDefault="007673A0" w:rsidP="007673A0">
            <w:pPr>
              <w:spacing w:before="40" w:after="40" w:line="240" w:lineRule="exact"/>
              <w:rPr>
                <w:b/>
                <w:bCs/>
                <w:sz w:val="16"/>
                <w:szCs w:val="24"/>
                <w:rtl/>
              </w:rPr>
            </w:pPr>
            <w:r w:rsidRPr="003D6DE5">
              <w:rPr>
                <w:b/>
                <w:bCs/>
                <w:sz w:val="16"/>
                <w:szCs w:val="24"/>
                <w:rtl/>
              </w:rPr>
              <w:t>1475</w:t>
            </w:r>
          </w:p>
        </w:tc>
      </w:tr>
      <w:tr w:rsidR="007673A0" w:rsidRPr="003D6DE5" w:rsidTr="007673A0">
        <w:trPr>
          <w:cantSplit/>
        </w:trPr>
        <w:tc>
          <w:tcPr>
            <w:tcW w:w="1290" w:type="dxa"/>
            <w:shd w:val="clear" w:color="auto" w:fill="auto"/>
            <w:vAlign w:val="bottom"/>
          </w:tcPr>
          <w:p w:rsidR="007673A0" w:rsidRPr="003D6DE5" w:rsidRDefault="007673A0" w:rsidP="007673A0">
            <w:pPr>
              <w:spacing w:before="40" w:after="40" w:line="240" w:lineRule="exact"/>
              <w:rPr>
                <w:sz w:val="16"/>
                <w:szCs w:val="24"/>
              </w:rPr>
            </w:pPr>
            <w:r w:rsidRPr="003D6DE5">
              <w:rPr>
                <w:sz w:val="16"/>
                <w:szCs w:val="24"/>
                <w:rtl/>
              </w:rPr>
              <w:t>كويتي</w:t>
            </w:r>
          </w:p>
        </w:tc>
        <w:tc>
          <w:tcPr>
            <w:tcW w:w="2182" w:type="dxa"/>
            <w:shd w:val="clear" w:color="auto" w:fill="auto"/>
            <w:vAlign w:val="bottom"/>
          </w:tcPr>
          <w:p w:rsidR="007673A0" w:rsidRPr="003D6DE5" w:rsidRDefault="007673A0" w:rsidP="007673A0">
            <w:pPr>
              <w:spacing w:before="40" w:after="40" w:line="240" w:lineRule="exact"/>
              <w:rPr>
                <w:sz w:val="16"/>
                <w:szCs w:val="24"/>
                <w:rtl/>
              </w:rPr>
            </w:pPr>
            <w:r w:rsidRPr="003D6DE5">
              <w:rPr>
                <w:sz w:val="16"/>
                <w:szCs w:val="24"/>
                <w:rtl/>
              </w:rPr>
              <w:t>62</w:t>
            </w:r>
          </w:p>
        </w:tc>
        <w:tc>
          <w:tcPr>
            <w:tcW w:w="1791" w:type="dxa"/>
            <w:shd w:val="clear" w:color="auto" w:fill="auto"/>
            <w:noWrap/>
            <w:vAlign w:val="bottom"/>
          </w:tcPr>
          <w:p w:rsidR="007673A0" w:rsidRPr="003D6DE5" w:rsidRDefault="007673A0" w:rsidP="007673A0">
            <w:pPr>
              <w:spacing w:before="40" w:after="40" w:line="240" w:lineRule="exact"/>
              <w:rPr>
                <w:sz w:val="16"/>
                <w:szCs w:val="24"/>
                <w:rtl/>
              </w:rPr>
            </w:pPr>
            <w:r w:rsidRPr="003D6DE5">
              <w:rPr>
                <w:sz w:val="16"/>
                <w:szCs w:val="24"/>
                <w:rtl/>
              </w:rPr>
              <w:t>3</w:t>
            </w:r>
          </w:p>
        </w:tc>
        <w:tc>
          <w:tcPr>
            <w:tcW w:w="2352" w:type="dxa"/>
            <w:shd w:val="clear" w:color="auto" w:fill="auto"/>
            <w:vAlign w:val="bottom"/>
          </w:tcPr>
          <w:p w:rsidR="007673A0" w:rsidRPr="003D6DE5" w:rsidRDefault="007673A0" w:rsidP="007673A0">
            <w:pPr>
              <w:spacing w:before="40" w:after="40" w:line="240" w:lineRule="exact"/>
              <w:rPr>
                <w:b/>
                <w:bCs/>
                <w:sz w:val="16"/>
                <w:szCs w:val="24"/>
              </w:rPr>
            </w:pPr>
            <w:r w:rsidRPr="003D6DE5">
              <w:rPr>
                <w:b/>
                <w:bCs/>
                <w:sz w:val="16"/>
                <w:szCs w:val="24"/>
                <w:rtl/>
              </w:rPr>
              <w:t>65</w:t>
            </w:r>
          </w:p>
        </w:tc>
      </w:tr>
      <w:tr w:rsidR="007673A0" w:rsidRPr="003D6DE5" w:rsidTr="007673A0">
        <w:trPr>
          <w:cantSplit/>
        </w:trPr>
        <w:tc>
          <w:tcPr>
            <w:tcW w:w="1290" w:type="dxa"/>
            <w:shd w:val="clear" w:color="auto" w:fill="auto"/>
            <w:vAlign w:val="bottom"/>
          </w:tcPr>
          <w:p w:rsidR="007673A0" w:rsidRPr="003D6DE5" w:rsidRDefault="007673A0" w:rsidP="007673A0">
            <w:pPr>
              <w:spacing w:before="40" w:after="40" w:line="240" w:lineRule="exact"/>
              <w:rPr>
                <w:sz w:val="16"/>
                <w:szCs w:val="24"/>
              </w:rPr>
            </w:pPr>
            <w:r w:rsidRPr="003D6DE5">
              <w:rPr>
                <w:sz w:val="16"/>
                <w:szCs w:val="24"/>
                <w:rtl/>
              </w:rPr>
              <w:t>غيره عربي</w:t>
            </w:r>
          </w:p>
        </w:tc>
        <w:tc>
          <w:tcPr>
            <w:tcW w:w="2182" w:type="dxa"/>
            <w:shd w:val="clear" w:color="auto" w:fill="auto"/>
            <w:vAlign w:val="bottom"/>
          </w:tcPr>
          <w:p w:rsidR="007673A0" w:rsidRPr="003D6DE5" w:rsidRDefault="007673A0" w:rsidP="007673A0">
            <w:pPr>
              <w:spacing w:before="40" w:after="40" w:line="240" w:lineRule="exact"/>
              <w:rPr>
                <w:sz w:val="16"/>
                <w:szCs w:val="24"/>
              </w:rPr>
            </w:pPr>
            <w:r w:rsidRPr="003D6DE5">
              <w:rPr>
                <w:sz w:val="16"/>
                <w:szCs w:val="24"/>
                <w:rtl/>
              </w:rPr>
              <w:t>524</w:t>
            </w:r>
          </w:p>
        </w:tc>
        <w:tc>
          <w:tcPr>
            <w:tcW w:w="1791" w:type="dxa"/>
            <w:shd w:val="clear" w:color="auto" w:fill="auto"/>
            <w:noWrap/>
            <w:vAlign w:val="bottom"/>
          </w:tcPr>
          <w:p w:rsidR="007673A0" w:rsidRPr="003D6DE5" w:rsidRDefault="007673A0" w:rsidP="007673A0">
            <w:pPr>
              <w:spacing w:before="40" w:after="40" w:line="240" w:lineRule="exact"/>
              <w:rPr>
                <w:sz w:val="16"/>
                <w:szCs w:val="24"/>
              </w:rPr>
            </w:pPr>
            <w:r w:rsidRPr="003D6DE5">
              <w:rPr>
                <w:sz w:val="16"/>
                <w:szCs w:val="24"/>
                <w:rtl/>
              </w:rPr>
              <w:t>145</w:t>
            </w:r>
          </w:p>
        </w:tc>
        <w:tc>
          <w:tcPr>
            <w:tcW w:w="2352" w:type="dxa"/>
            <w:shd w:val="clear" w:color="auto" w:fill="auto"/>
            <w:vAlign w:val="bottom"/>
          </w:tcPr>
          <w:p w:rsidR="007673A0" w:rsidRPr="003D6DE5" w:rsidRDefault="007673A0" w:rsidP="007673A0">
            <w:pPr>
              <w:spacing w:before="40" w:after="40" w:line="240" w:lineRule="exact"/>
              <w:rPr>
                <w:b/>
                <w:bCs/>
                <w:sz w:val="16"/>
                <w:szCs w:val="24"/>
              </w:rPr>
            </w:pPr>
            <w:r w:rsidRPr="003D6DE5">
              <w:rPr>
                <w:b/>
                <w:bCs/>
                <w:sz w:val="16"/>
                <w:szCs w:val="24"/>
                <w:rtl/>
              </w:rPr>
              <w:t>669</w:t>
            </w:r>
          </w:p>
        </w:tc>
      </w:tr>
      <w:tr w:rsidR="007673A0" w:rsidRPr="003D6DE5" w:rsidTr="007673A0">
        <w:trPr>
          <w:cantSplit/>
        </w:trPr>
        <w:tc>
          <w:tcPr>
            <w:tcW w:w="1290" w:type="dxa"/>
            <w:shd w:val="clear" w:color="auto" w:fill="auto"/>
            <w:vAlign w:val="bottom"/>
          </w:tcPr>
          <w:p w:rsidR="007673A0" w:rsidRPr="003D6DE5" w:rsidRDefault="007673A0" w:rsidP="007673A0">
            <w:pPr>
              <w:spacing w:before="40" w:after="40" w:line="240" w:lineRule="exact"/>
              <w:rPr>
                <w:sz w:val="16"/>
                <w:szCs w:val="24"/>
              </w:rPr>
            </w:pPr>
            <w:r w:rsidRPr="003D6DE5">
              <w:rPr>
                <w:sz w:val="16"/>
                <w:szCs w:val="24"/>
                <w:rtl/>
              </w:rPr>
              <w:t>تركي</w:t>
            </w:r>
          </w:p>
        </w:tc>
        <w:tc>
          <w:tcPr>
            <w:tcW w:w="2182" w:type="dxa"/>
            <w:shd w:val="clear" w:color="auto" w:fill="auto"/>
            <w:vAlign w:val="bottom"/>
          </w:tcPr>
          <w:p w:rsidR="007673A0" w:rsidRPr="003D6DE5" w:rsidRDefault="007673A0" w:rsidP="007673A0">
            <w:pPr>
              <w:spacing w:before="40" w:after="40" w:line="240" w:lineRule="exact"/>
              <w:rPr>
                <w:sz w:val="16"/>
                <w:szCs w:val="24"/>
              </w:rPr>
            </w:pPr>
            <w:r w:rsidRPr="003D6DE5">
              <w:rPr>
                <w:sz w:val="16"/>
                <w:szCs w:val="24"/>
                <w:rtl/>
              </w:rPr>
              <w:t>98</w:t>
            </w:r>
          </w:p>
        </w:tc>
        <w:tc>
          <w:tcPr>
            <w:tcW w:w="1791" w:type="dxa"/>
            <w:shd w:val="clear" w:color="auto" w:fill="auto"/>
            <w:noWrap/>
            <w:vAlign w:val="bottom"/>
          </w:tcPr>
          <w:p w:rsidR="007673A0" w:rsidRPr="003D6DE5" w:rsidRDefault="007673A0" w:rsidP="007673A0">
            <w:pPr>
              <w:spacing w:before="40" w:after="40" w:line="240" w:lineRule="exact"/>
              <w:rPr>
                <w:sz w:val="16"/>
                <w:szCs w:val="24"/>
              </w:rPr>
            </w:pPr>
            <w:r w:rsidRPr="003D6DE5">
              <w:rPr>
                <w:sz w:val="16"/>
                <w:szCs w:val="24"/>
                <w:rtl/>
              </w:rPr>
              <w:t>108</w:t>
            </w:r>
          </w:p>
        </w:tc>
        <w:tc>
          <w:tcPr>
            <w:tcW w:w="2352" w:type="dxa"/>
            <w:shd w:val="clear" w:color="auto" w:fill="auto"/>
            <w:vAlign w:val="bottom"/>
          </w:tcPr>
          <w:p w:rsidR="007673A0" w:rsidRPr="003D6DE5" w:rsidRDefault="007673A0" w:rsidP="007673A0">
            <w:pPr>
              <w:spacing w:before="40" w:after="40" w:line="240" w:lineRule="exact"/>
              <w:rPr>
                <w:b/>
                <w:bCs/>
                <w:sz w:val="16"/>
                <w:szCs w:val="24"/>
              </w:rPr>
            </w:pPr>
            <w:r w:rsidRPr="003D6DE5">
              <w:rPr>
                <w:b/>
                <w:bCs/>
                <w:sz w:val="16"/>
                <w:szCs w:val="24"/>
                <w:rtl/>
              </w:rPr>
              <w:t>206</w:t>
            </w:r>
          </w:p>
        </w:tc>
      </w:tr>
      <w:tr w:rsidR="007673A0" w:rsidRPr="003D6DE5" w:rsidTr="007673A0">
        <w:trPr>
          <w:cantSplit/>
        </w:trPr>
        <w:tc>
          <w:tcPr>
            <w:tcW w:w="1290" w:type="dxa"/>
            <w:shd w:val="clear" w:color="auto" w:fill="auto"/>
            <w:vAlign w:val="bottom"/>
          </w:tcPr>
          <w:p w:rsidR="007673A0" w:rsidRPr="003D6DE5" w:rsidRDefault="007673A0" w:rsidP="007673A0">
            <w:pPr>
              <w:spacing w:before="40" w:after="40" w:line="240" w:lineRule="exact"/>
              <w:rPr>
                <w:sz w:val="16"/>
                <w:szCs w:val="24"/>
              </w:rPr>
            </w:pPr>
            <w:r w:rsidRPr="003D6DE5">
              <w:rPr>
                <w:sz w:val="16"/>
                <w:szCs w:val="24"/>
                <w:rtl/>
              </w:rPr>
              <w:t>فرنسي</w:t>
            </w:r>
          </w:p>
        </w:tc>
        <w:tc>
          <w:tcPr>
            <w:tcW w:w="2182" w:type="dxa"/>
            <w:shd w:val="clear" w:color="auto" w:fill="auto"/>
            <w:vAlign w:val="bottom"/>
          </w:tcPr>
          <w:p w:rsidR="007673A0" w:rsidRPr="003D6DE5" w:rsidRDefault="007673A0" w:rsidP="007673A0">
            <w:pPr>
              <w:spacing w:before="40" w:after="40" w:line="240" w:lineRule="exact"/>
              <w:rPr>
                <w:sz w:val="16"/>
                <w:szCs w:val="24"/>
              </w:rPr>
            </w:pPr>
            <w:r w:rsidRPr="003D6DE5">
              <w:rPr>
                <w:sz w:val="16"/>
                <w:szCs w:val="24"/>
                <w:rtl/>
              </w:rPr>
              <w:t>809</w:t>
            </w:r>
          </w:p>
        </w:tc>
        <w:tc>
          <w:tcPr>
            <w:tcW w:w="1791" w:type="dxa"/>
            <w:shd w:val="clear" w:color="auto" w:fill="auto"/>
            <w:noWrap/>
            <w:vAlign w:val="bottom"/>
          </w:tcPr>
          <w:p w:rsidR="007673A0" w:rsidRPr="003D6DE5" w:rsidRDefault="007673A0" w:rsidP="007673A0">
            <w:pPr>
              <w:spacing w:before="40" w:after="40" w:line="240" w:lineRule="exact"/>
              <w:rPr>
                <w:sz w:val="16"/>
                <w:szCs w:val="24"/>
                <w:rtl/>
              </w:rPr>
            </w:pPr>
            <w:r w:rsidRPr="003D6DE5">
              <w:rPr>
                <w:sz w:val="16"/>
                <w:szCs w:val="24"/>
                <w:rtl/>
              </w:rPr>
              <w:t>2</w:t>
            </w:r>
          </w:p>
        </w:tc>
        <w:tc>
          <w:tcPr>
            <w:tcW w:w="2352" w:type="dxa"/>
            <w:shd w:val="clear" w:color="auto" w:fill="auto"/>
            <w:vAlign w:val="bottom"/>
          </w:tcPr>
          <w:p w:rsidR="007673A0" w:rsidRPr="003D6DE5" w:rsidRDefault="007673A0" w:rsidP="007673A0">
            <w:pPr>
              <w:spacing w:before="40" w:after="40" w:line="240" w:lineRule="exact"/>
              <w:rPr>
                <w:b/>
                <w:bCs/>
                <w:sz w:val="16"/>
                <w:szCs w:val="24"/>
              </w:rPr>
            </w:pPr>
            <w:r w:rsidRPr="003D6DE5">
              <w:rPr>
                <w:b/>
                <w:bCs/>
                <w:sz w:val="16"/>
                <w:szCs w:val="24"/>
                <w:rtl/>
              </w:rPr>
              <w:t>811</w:t>
            </w:r>
          </w:p>
        </w:tc>
      </w:tr>
      <w:tr w:rsidR="007673A0" w:rsidRPr="003D6DE5" w:rsidTr="007673A0">
        <w:trPr>
          <w:cantSplit/>
        </w:trPr>
        <w:tc>
          <w:tcPr>
            <w:tcW w:w="1290" w:type="dxa"/>
            <w:shd w:val="clear" w:color="auto" w:fill="auto"/>
            <w:vAlign w:val="bottom"/>
          </w:tcPr>
          <w:p w:rsidR="007673A0" w:rsidRPr="003D6DE5" w:rsidRDefault="007673A0" w:rsidP="007673A0">
            <w:pPr>
              <w:spacing w:before="40" w:after="40" w:line="240" w:lineRule="exact"/>
              <w:rPr>
                <w:sz w:val="16"/>
                <w:szCs w:val="24"/>
              </w:rPr>
            </w:pPr>
            <w:r w:rsidRPr="003D6DE5">
              <w:rPr>
                <w:sz w:val="16"/>
                <w:szCs w:val="24"/>
                <w:rtl/>
              </w:rPr>
              <w:t>ألماني</w:t>
            </w:r>
          </w:p>
        </w:tc>
        <w:tc>
          <w:tcPr>
            <w:tcW w:w="2182" w:type="dxa"/>
            <w:shd w:val="clear" w:color="auto" w:fill="auto"/>
            <w:vAlign w:val="bottom"/>
          </w:tcPr>
          <w:p w:rsidR="007673A0" w:rsidRPr="003D6DE5" w:rsidRDefault="007673A0" w:rsidP="007673A0">
            <w:pPr>
              <w:spacing w:before="40" w:after="40" w:line="240" w:lineRule="exact"/>
              <w:rPr>
                <w:sz w:val="16"/>
                <w:szCs w:val="24"/>
              </w:rPr>
            </w:pPr>
            <w:r w:rsidRPr="003D6DE5">
              <w:rPr>
                <w:sz w:val="16"/>
                <w:szCs w:val="24"/>
                <w:rtl/>
              </w:rPr>
              <w:t>198</w:t>
            </w:r>
          </w:p>
        </w:tc>
        <w:tc>
          <w:tcPr>
            <w:tcW w:w="1791" w:type="dxa"/>
            <w:shd w:val="clear" w:color="auto" w:fill="auto"/>
            <w:noWrap/>
            <w:vAlign w:val="bottom"/>
          </w:tcPr>
          <w:p w:rsidR="007673A0" w:rsidRPr="003D6DE5" w:rsidRDefault="007673A0" w:rsidP="007673A0">
            <w:pPr>
              <w:spacing w:before="40" w:after="40" w:line="240" w:lineRule="exact"/>
              <w:rPr>
                <w:sz w:val="16"/>
                <w:szCs w:val="24"/>
              </w:rPr>
            </w:pPr>
            <w:r w:rsidRPr="003D6DE5">
              <w:rPr>
                <w:sz w:val="16"/>
                <w:szCs w:val="24"/>
                <w:rtl/>
              </w:rPr>
              <w:t>14</w:t>
            </w:r>
          </w:p>
        </w:tc>
        <w:tc>
          <w:tcPr>
            <w:tcW w:w="2352" w:type="dxa"/>
            <w:shd w:val="clear" w:color="auto" w:fill="auto"/>
            <w:vAlign w:val="bottom"/>
          </w:tcPr>
          <w:p w:rsidR="007673A0" w:rsidRPr="003D6DE5" w:rsidRDefault="007673A0" w:rsidP="007673A0">
            <w:pPr>
              <w:spacing w:before="40" w:after="40" w:line="240" w:lineRule="exact"/>
              <w:rPr>
                <w:b/>
                <w:bCs/>
                <w:sz w:val="16"/>
                <w:szCs w:val="24"/>
                <w:rtl/>
              </w:rPr>
            </w:pPr>
            <w:r w:rsidRPr="003D6DE5">
              <w:rPr>
                <w:b/>
                <w:bCs/>
                <w:sz w:val="16"/>
                <w:szCs w:val="24"/>
                <w:rtl/>
              </w:rPr>
              <w:t>212</w:t>
            </w:r>
          </w:p>
        </w:tc>
      </w:tr>
      <w:tr w:rsidR="007673A0" w:rsidRPr="003D6DE5" w:rsidTr="007673A0">
        <w:trPr>
          <w:cantSplit/>
        </w:trPr>
        <w:tc>
          <w:tcPr>
            <w:tcW w:w="1290" w:type="dxa"/>
            <w:shd w:val="clear" w:color="auto" w:fill="auto"/>
            <w:vAlign w:val="bottom"/>
          </w:tcPr>
          <w:p w:rsidR="007673A0" w:rsidRPr="003D6DE5" w:rsidRDefault="007673A0" w:rsidP="007673A0">
            <w:pPr>
              <w:spacing w:before="40" w:after="40" w:line="240" w:lineRule="exact"/>
              <w:rPr>
                <w:sz w:val="16"/>
                <w:szCs w:val="24"/>
              </w:rPr>
            </w:pPr>
            <w:r w:rsidRPr="003D6DE5">
              <w:rPr>
                <w:sz w:val="16"/>
                <w:szCs w:val="24"/>
                <w:rtl/>
              </w:rPr>
              <w:t>إيطالي</w:t>
            </w:r>
          </w:p>
        </w:tc>
        <w:tc>
          <w:tcPr>
            <w:tcW w:w="2182" w:type="dxa"/>
            <w:shd w:val="clear" w:color="auto" w:fill="auto"/>
            <w:vAlign w:val="bottom"/>
          </w:tcPr>
          <w:p w:rsidR="007673A0" w:rsidRPr="003D6DE5" w:rsidRDefault="007673A0" w:rsidP="007673A0">
            <w:pPr>
              <w:spacing w:before="40" w:after="40" w:line="240" w:lineRule="exact"/>
              <w:rPr>
                <w:sz w:val="16"/>
                <w:szCs w:val="24"/>
              </w:rPr>
            </w:pPr>
            <w:r w:rsidRPr="003D6DE5">
              <w:rPr>
                <w:sz w:val="16"/>
                <w:szCs w:val="24"/>
                <w:rtl/>
              </w:rPr>
              <w:t>82</w:t>
            </w:r>
          </w:p>
        </w:tc>
        <w:tc>
          <w:tcPr>
            <w:tcW w:w="1791" w:type="dxa"/>
            <w:shd w:val="clear" w:color="auto" w:fill="auto"/>
            <w:noWrap/>
            <w:vAlign w:val="bottom"/>
          </w:tcPr>
          <w:p w:rsidR="007673A0" w:rsidRPr="003D6DE5" w:rsidRDefault="007673A0" w:rsidP="007673A0">
            <w:pPr>
              <w:spacing w:before="40" w:after="40" w:line="240" w:lineRule="exact"/>
              <w:rPr>
                <w:sz w:val="16"/>
                <w:szCs w:val="24"/>
              </w:rPr>
            </w:pPr>
            <w:r w:rsidRPr="003D6DE5">
              <w:rPr>
                <w:sz w:val="16"/>
                <w:szCs w:val="24"/>
                <w:rtl/>
              </w:rPr>
              <w:t>2</w:t>
            </w:r>
          </w:p>
        </w:tc>
        <w:tc>
          <w:tcPr>
            <w:tcW w:w="2352" w:type="dxa"/>
            <w:shd w:val="clear" w:color="auto" w:fill="auto"/>
            <w:vAlign w:val="bottom"/>
          </w:tcPr>
          <w:p w:rsidR="007673A0" w:rsidRPr="003D6DE5" w:rsidRDefault="007673A0" w:rsidP="007673A0">
            <w:pPr>
              <w:spacing w:before="40" w:after="40" w:line="240" w:lineRule="exact"/>
              <w:rPr>
                <w:b/>
                <w:bCs/>
                <w:sz w:val="16"/>
                <w:szCs w:val="24"/>
              </w:rPr>
            </w:pPr>
            <w:r w:rsidRPr="003D6DE5">
              <w:rPr>
                <w:b/>
                <w:bCs/>
                <w:sz w:val="16"/>
                <w:szCs w:val="24"/>
                <w:rtl/>
              </w:rPr>
              <w:t>84</w:t>
            </w:r>
          </w:p>
        </w:tc>
      </w:tr>
      <w:tr w:rsidR="007673A0" w:rsidRPr="003D6DE5" w:rsidTr="007673A0">
        <w:trPr>
          <w:cantSplit/>
        </w:trPr>
        <w:tc>
          <w:tcPr>
            <w:tcW w:w="1290" w:type="dxa"/>
            <w:shd w:val="clear" w:color="auto" w:fill="auto"/>
            <w:vAlign w:val="bottom"/>
          </w:tcPr>
          <w:p w:rsidR="007673A0" w:rsidRPr="003D6DE5" w:rsidRDefault="007673A0" w:rsidP="007673A0">
            <w:pPr>
              <w:spacing w:before="40" w:after="40" w:line="240" w:lineRule="exact"/>
              <w:rPr>
                <w:sz w:val="16"/>
                <w:szCs w:val="24"/>
              </w:rPr>
            </w:pPr>
            <w:r w:rsidRPr="003D6DE5">
              <w:rPr>
                <w:sz w:val="16"/>
                <w:szCs w:val="24"/>
                <w:rtl/>
              </w:rPr>
              <w:t>إسباني</w:t>
            </w:r>
          </w:p>
        </w:tc>
        <w:tc>
          <w:tcPr>
            <w:tcW w:w="2182" w:type="dxa"/>
            <w:shd w:val="clear" w:color="auto" w:fill="auto"/>
            <w:vAlign w:val="bottom"/>
          </w:tcPr>
          <w:p w:rsidR="007673A0" w:rsidRPr="003D6DE5" w:rsidRDefault="007673A0" w:rsidP="007673A0">
            <w:pPr>
              <w:spacing w:before="40" w:after="40" w:line="240" w:lineRule="exact"/>
              <w:rPr>
                <w:sz w:val="16"/>
                <w:szCs w:val="24"/>
              </w:rPr>
            </w:pPr>
            <w:r w:rsidRPr="003D6DE5">
              <w:rPr>
                <w:sz w:val="16"/>
                <w:szCs w:val="24"/>
                <w:rtl/>
              </w:rPr>
              <w:t>43</w:t>
            </w:r>
          </w:p>
        </w:tc>
        <w:tc>
          <w:tcPr>
            <w:tcW w:w="1791" w:type="dxa"/>
            <w:shd w:val="clear" w:color="auto" w:fill="auto"/>
            <w:noWrap/>
            <w:vAlign w:val="bottom"/>
          </w:tcPr>
          <w:p w:rsidR="007673A0" w:rsidRPr="003D6DE5" w:rsidRDefault="007673A0" w:rsidP="007673A0">
            <w:pPr>
              <w:spacing w:before="40" w:after="40" w:line="240" w:lineRule="exact"/>
              <w:rPr>
                <w:sz w:val="16"/>
                <w:szCs w:val="24"/>
              </w:rPr>
            </w:pPr>
            <w:r w:rsidRPr="003D6DE5">
              <w:rPr>
                <w:sz w:val="16"/>
                <w:szCs w:val="24"/>
                <w:rtl/>
              </w:rPr>
              <w:t>2</w:t>
            </w:r>
          </w:p>
        </w:tc>
        <w:tc>
          <w:tcPr>
            <w:tcW w:w="2352" w:type="dxa"/>
            <w:shd w:val="clear" w:color="auto" w:fill="auto"/>
            <w:vAlign w:val="bottom"/>
          </w:tcPr>
          <w:p w:rsidR="007673A0" w:rsidRPr="003D6DE5" w:rsidRDefault="007673A0" w:rsidP="007673A0">
            <w:pPr>
              <w:spacing w:before="40" w:after="40" w:line="240" w:lineRule="exact"/>
              <w:rPr>
                <w:b/>
                <w:bCs/>
                <w:sz w:val="16"/>
                <w:szCs w:val="24"/>
              </w:rPr>
            </w:pPr>
            <w:r w:rsidRPr="003D6DE5">
              <w:rPr>
                <w:b/>
                <w:bCs/>
                <w:sz w:val="16"/>
                <w:szCs w:val="24"/>
                <w:rtl/>
              </w:rPr>
              <w:t>45</w:t>
            </w:r>
          </w:p>
        </w:tc>
      </w:tr>
      <w:tr w:rsidR="007673A0" w:rsidRPr="003D6DE5" w:rsidTr="007673A0">
        <w:trPr>
          <w:cantSplit/>
        </w:trPr>
        <w:tc>
          <w:tcPr>
            <w:tcW w:w="1290" w:type="dxa"/>
            <w:shd w:val="clear" w:color="auto" w:fill="auto"/>
            <w:vAlign w:val="bottom"/>
          </w:tcPr>
          <w:p w:rsidR="007673A0" w:rsidRPr="003D6DE5" w:rsidRDefault="007673A0" w:rsidP="007673A0">
            <w:pPr>
              <w:spacing w:before="40" w:after="40" w:line="240" w:lineRule="exact"/>
              <w:rPr>
                <w:sz w:val="16"/>
                <w:szCs w:val="24"/>
              </w:rPr>
            </w:pPr>
            <w:r w:rsidRPr="003D6DE5">
              <w:rPr>
                <w:sz w:val="16"/>
                <w:szCs w:val="24"/>
                <w:rtl/>
              </w:rPr>
              <w:t>إيراني</w:t>
            </w:r>
          </w:p>
        </w:tc>
        <w:tc>
          <w:tcPr>
            <w:tcW w:w="2182" w:type="dxa"/>
            <w:shd w:val="clear" w:color="auto" w:fill="auto"/>
            <w:vAlign w:val="bottom"/>
          </w:tcPr>
          <w:p w:rsidR="007673A0" w:rsidRPr="003D6DE5" w:rsidRDefault="007673A0" w:rsidP="007673A0">
            <w:pPr>
              <w:spacing w:before="40" w:after="40" w:line="240" w:lineRule="exact"/>
              <w:rPr>
                <w:sz w:val="16"/>
                <w:szCs w:val="24"/>
              </w:rPr>
            </w:pPr>
            <w:r w:rsidRPr="003D6DE5">
              <w:rPr>
                <w:sz w:val="16"/>
                <w:szCs w:val="24"/>
                <w:rtl/>
              </w:rPr>
              <w:t>118</w:t>
            </w:r>
          </w:p>
        </w:tc>
        <w:tc>
          <w:tcPr>
            <w:tcW w:w="1791" w:type="dxa"/>
            <w:shd w:val="clear" w:color="auto" w:fill="auto"/>
            <w:noWrap/>
            <w:vAlign w:val="bottom"/>
          </w:tcPr>
          <w:p w:rsidR="007673A0" w:rsidRPr="003D6DE5" w:rsidRDefault="007673A0" w:rsidP="007673A0">
            <w:pPr>
              <w:spacing w:before="40" w:after="40" w:line="240" w:lineRule="exact"/>
              <w:rPr>
                <w:sz w:val="16"/>
                <w:szCs w:val="24"/>
              </w:rPr>
            </w:pPr>
            <w:r w:rsidRPr="003D6DE5">
              <w:rPr>
                <w:sz w:val="16"/>
                <w:szCs w:val="24"/>
                <w:rtl/>
              </w:rPr>
              <w:t>32</w:t>
            </w:r>
          </w:p>
        </w:tc>
        <w:tc>
          <w:tcPr>
            <w:tcW w:w="2352" w:type="dxa"/>
            <w:shd w:val="clear" w:color="auto" w:fill="auto"/>
            <w:vAlign w:val="bottom"/>
          </w:tcPr>
          <w:p w:rsidR="007673A0" w:rsidRPr="003D6DE5" w:rsidRDefault="007673A0" w:rsidP="007673A0">
            <w:pPr>
              <w:spacing w:before="40" w:after="40" w:line="240" w:lineRule="exact"/>
              <w:rPr>
                <w:b/>
                <w:bCs/>
                <w:sz w:val="16"/>
                <w:szCs w:val="24"/>
              </w:rPr>
            </w:pPr>
            <w:r w:rsidRPr="003D6DE5">
              <w:rPr>
                <w:b/>
                <w:bCs/>
                <w:sz w:val="16"/>
                <w:szCs w:val="24"/>
                <w:rtl/>
              </w:rPr>
              <w:t>150</w:t>
            </w:r>
          </w:p>
        </w:tc>
      </w:tr>
      <w:tr w:rsidR="007673A0" w:rsidRPr="003D6DE5" w:rsidTr="007673A0">
        <w:trPr>
          <w:cantSplit/>
        </w:trPr>
        <w:tc>
          <w:tcPr>
            <w:tcW w:w="1290" w:type="dxa"/>
            <w:tcBorders>
              <w:bottom w:val="single" w:sz="12" w:space="0" w:color="auto"/>
            </w:tcBorders>
            <w:shd w:val="clear" w:color="auto" w:fill="auto"/>
            <w:vAlign w:val="bottom"/>
          </w:tcPr>
          <w:p w:rsidR="007673A0" w:rsidRPr="003D6DE5" w:rsidRDefault="007673A0" w:rsidP="007673A0">
            <w:pPr>
              <w:spacing w:before="40" w:after="40" w:line="240" w:lineRule="exact"/>
              <w:rPr>
                <w:sz w:val="16"/>
                <w:szCs w:val="24"/>
              </w:rPr>
            </w:pPr>
            <w:r w:rsidRPr="003D6DE5">
              <w:rPr>
                <w:sz w:val="16"/>
                <w:szCs w:val="24"/>
                <w:rtl/>
              </w:rPr>
              <w:t>غيره أجنبي</w:t>
            </w:r>
          </w:p>
        </w:tc>
        <w:tc>
          <w:tcPr>
            <w:tcW w:w="2182" w:type="dxa"/>
            <w:tcBorders>
              <w:bottom w:val="single" w:sz="12" w:space="0" w:color="auto"/>
            </w:tcBorders>
            <w:shd w:val="clear" w:color="auto" w:fill="auto"/>
            <w:vAlign w:val="bottom"/>
          </w:tcPr>
          <w:p w:rsidR="007673A0" w:rsidRPr="003D6DE5" w:rsidRDefault="007673A0" w:rsidP="007673A0">
            <w:pPr>
              <w:spacing w:before="40" w:after="40" w:line="240" w:lineRule="exact"/>
              <w:rPr>
                <w:sz w:val="16"/>
                <w:szCs w:val="24"/>
              </w:rPr>
            </w:pPr>
            <w:r w:rsidRPr="003D6DE5">
              <w:rPr>
                <w:sz w:val="16"/>
                <w:szCs w:val="24"/>
                <w:rtl/>
              </w:rPr>
              <w:t>3821</w:t>
            </w:r>
          </w:p>
        </w:tc>
        <w:tc>
          <w:tcPr>
            <w:tcW w:w="1791" w:type="dxa"/>
            <w:tcBorders>
              <w:bottom w:val="single" w:sz="12" w:space="0" w:color="auto"/>
            </w:tcBorders>
            <w:shd w:val="clear" w:color="auto" w:fill="auto"/>
            <w:noWrap/>
            <w:vAlign w:val="bottom"/>
          </w:tcPr>
          <w:p w:rsidR="007673A0" w:rsidRPr="003D6DE5" w:rsidRDefault="007673A0" w:rsidP="007673A0">
            <w:pPr>
              <w:spacing w:before="40" w:after="40" w:line="240" w:lineRule="exact"/>
              <w:rPr>
                <w:sz w:val="16"/>
                <w:szCs w:val="24"/>
                <w:rtl/>
              </w:rPr>
            </w:pPr>
            <w:r w:rsidRPr="003D6DE5">
              <w:rPr>
                <w:sz w:val="16"/>
                <w:szCs w:val="24"/>
                <w:rtl/>
              </w:rPr>
              <w:t>212</w:t>
            </w:r>
          </w:p>
        </w:tc>
        <w:tc>
          <w:tcPr>
            <w:tcW w:w="2352" w:type="dxa"/>
            <w:tcBorders>
              <w:bottom w:val="single" w:sz="12" w:space="0" w:color="auto"/>
            </w:tcBorders>
            <w:shd w:val="clear" w:color="auto" w:fill="auto"/>
            <w:vAlign w:val="bottom"/>
          </w:tcPr>
          <w:p w:rsidR="007673A0" w:rsidRPr="003D6DE5" w:rsidRDefault="007673A0" w:rsidP="007673A0">
            <w:pPr>
              <w:spacing w:before="40" w:after="40" w:line="240" w:lineRule="exact"/>
              <w:rPr>
                <w:b/>
                <w:bCs/>
                <w:sz w:val="16"/>
                <w:szCs w:val="24"/>
              </w:rPr>
            </w:pPr>
            <w:r w:rsidRPr="003D6DE5">
              <w:rPr>
                <w:b/>
                <w:bCs/>
                <w:sz w:val="16"/>
                <w:szCs w:val="24"/>
                <w:rtl/>
              </w:rPr>
              <w:t>4033</w:t>
            </w:r>
          </w:p>
        </w:tc>
      </w:tr>
    </w:tbl>
    <w:p w:rsidR="007673A0" w:rsidRPr="003D6DE5" w:rsidRDefault="007673A0" w:rsidP="003D6DE5">
      <w:pPr>
        <w:pStyle w:val="SingleTxt"/>
        <w:spacing w:after="0" w:line="120" w:lineRule="exact"/>
        <w:rPr>
          <w:sz w:val="10"/>
          <w:rtl/>
        </w:rPr>
      </w:pPr>
    </w:p>
    <w:p w:rsidR="003D6DE5" w:rsidRPr="003D6DE5" w:rsidRDefault="003D6DE5" w:rsidP="003D6DE5">
      <w:pPr>
        <w:pStyle w:val="SingleTxt"/>
        <w:spacing w:after="0" w:line="120" w:lineRule="exact"/>
        <w:rPr>
          <w:sz w:val="10"/>
          <w:rtl/>
        </w:rPr>
      </w:pPr>
    </w:p>
    <w:p w:rsidR="004C6CA6" w:rsidRPr="004C6CA6" w:rsidRDefault="004C6CA6" w:rsidP="004C6CA6">
      <w:pPr>
        <w:pStyle w:val="SingleTxt"/>
      </w:pPr>
      <w:r w:rsidRPr="004C6CA6">
        <w:rPr>
          <w:rFonts w:hint="cs"/>
          <w:rtl/>
        </w:rPr>
        <w:t>65-</w:t>
      </w:r>
      <w:r w:rsidRPr="004C6CA6">
        <w:tab/>
      </w:r>
      <w:r w:rsidRPr="004C6CA6">
        <w:rPr>
          <w:rtl/>
        </w:rPr>
        <w:t xml:space="preserve">فيما يختصّ بحقّ التّعليم الخاصّ بالتّلامذة الأجانب، فإنّه يجوز للمدير العامّ للأمن العامّ، عملاً بأحكام المرسوم رقم (10955) تاريخ 17 </w:t>
      </w:r>
      <w:r w:rsidRPr="004C6CA6">
        <w:rPr>
          <w:rFonts w:hint="cs"/>
          <w:rtl/>
        </w:rPr>
        <w:t>أيلول</w:t>
      </w:r>
      <w:r w:rsidRPr="004C6CA6">
        <w:rPr>
          <w:rtl/>
        </w:rPr>
        <w:t xml:space="preserve">/سبتمبر 2003 أن يعمد إلى منح إقامات مجاملة لمدّة ثلاث سنوات قابلة للتّجديد إلى العربي أو الأجنبي المولود في لبنان من والدين غير لبنانيّين إذا كان يتابع دراسته، مراعاةً لوضع هؤلاء الأولاد الخاصّ، إذ </w:t>
      </w:r>
      <w:r w:rsidRPr="004C6CA6">
        <w:rPr>
          <w:rFonts w:hint="cs"/>
          <w:rtl/>
        </w:rPr>
        <w:t>إ</w:t>
      </w:r>
      <w:r w:rsidRPr="004C6CA6">
        <w:rPr>
          <w:rtl/>
        </w:rPr>
        <w:t>نّ ولادتهم في لبنان وبقاءهم فيه لفترة من الزّمن بعد ذلك برفقة ذويهم، لا سيّما العمّال الأجانب، قد يحولان دونهم وتعلّمهم للغتهم الأمّ ما قد يشكّل عائقاً أمامهم لمتابعة دراستهم في وطنهم، هذا وإنّ المرسوم المذكور أعطى المدير العامّ للأمن العامّ حقّ منح مثل هذه الإقامات في حالات خاصة يعود تقديرها له، بحيث يمكن اللّجوء إلى هذا الحقّ من أجل منح إقامة مجاملة إلى أهل هؤلاء الأشخاص وسائر إخوتهم، طيلة فترة دراستهم حفاظاً على الرّوابط الأسريّة خلال هذه الفترة.</w:t>
      </w:r>
    </w:p>
    <w:p w:rsidR="004C6CA6" w:rsidRPr="004C6CA6" w:rsidRDefault="004C6CA6" w:rsidP="003D6DE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sidRPr="004C6CA6">
        <w:rPr>
          <w:rtl/>
        </w:rPr>
        <w:lastRenderedPageBreak/>
        <w:tab/>
      </w:r>
      <w:r w:rsidRPr="004C6CA6">
        <w:rPr>
          <w:rFonts w:hint="cs"/>
          <w:rtl/>
        </w:rPr>
        <w:t>سادساً</w:t>
      </w:r>
      <w:r w:rsidRPr="004C6CA6">
        <w:rPr>
          <w:rtl/>
        </w:rPr>
        <w:t>-</w:t>
      </w:r>
      <w:r w:rsidRPr="004C6CA6">
        <w:rPr>
          <w:rtl/>
        </w:rPr>
        <w:tab/>
        <w:t>الحق في دخول أي مكان أو مرفق مخصص لانتفاع سواد الجمهور، مثل وسائل النقل والفنادق والمطاعم والمقاهي والمسارح والحدائق العامة</w:t>
      </w:r>
    </w:p>
    <w:p w:rsidR="004C6CA6" w:rsidRPr="004C6CA6" w:rsidRDefault="004C6CA6" w:rsidP="004C6CA6">
      <w:pPr>
        <w:pStyle w:val="SingleTxt"/>
        <w:rPr>
          <w:rtl/>
        </w:rPr>
      </w:pPr>
      <w:r w:rsidRPr="004C6CA6">
        <w:rPr>
          <w:rtl/>
        </w:rPr>
        <w:t>66-</w:t>
      </w:r>
      <w:r w:rsidRPr="004C6CA6">
        <w:rPr>
          <w:rtl/>
        </w:rPr>
        <w:tab/>
        <w:t>لا تتضمّن القوانين اللّبنانيّة أي أحكام تمييزيّة متعلّقة بارتياد أو دخول الأماكن والمرافق المخصّصة لانتفاع العامّة بها، غير أنّه يلاحظ اعتماد بعض الأماكن السّياحيّة لسياسات عنصريّة في السّماح بالدّخول إليها.</w:t>
      </w:r>
    </w:p>
    <w:p w:rsidR="003D6DE5" w:rsidRPr="003D6DE5" w:rsidRDefault="003D6DE5" w:rsidP="003D6DE5">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bookmarkStart w:id="17" w:name="_Toc417893379"/>
    </w:p>
    <w:p w:rsidR="003D6DE5" w:rsidRPr="003D6DE5" w:rsidRDefault="003D6DE5" w:rsidP="003D6DE5">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4C6CA6" w:rsidRPr="004C6CA6" w:rsidRDefault="004C6CA6" w:rsidP="003D6DE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4C6CA6">
        <w:rPr>
          <w:rtl/>
        </w:rPr>
        <w:tab/>
      </w:r>
      <w:r w:rsidRPr="004C6CA6">
        <w:rPr>
          <w:rtl/>
        </w:rPr>
        <w:tab/>
        <w:t>المادّة 6</w:t>
      </w:r>
      <w:bookmarkEnd w:id="17"/>
    </w:p>
    <w:p w:rsidR="003D6DE5" w:rsidRPr="003D6DE5" w:rsidRDefault="003D6DE5" w:rsidP="003D6DE5">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4C6CA6" w:rsidRPr="004C6CA6" w:rsidRDefault="004C6CA6" w:rsidP="003D6DE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sidRPr="004C6CA6">
        <w:rPr>
          <w:rtl/>
        </w:rPr>
        <w:tab/>
      </w:r>
      <w:r w:rsidRPr="004C6CA6">
        <w:rPr>
          <w:rFonts w:hint="cs"/>
          <w:rtl/>
        </w:rPr>
        <w:t>أولاً</w:t>
      </w:r>
      <w:r w:rsidRPr="004C6CA6">
        <w:rPr>
          <w:rtl/>
        </w:rPr>
        <w:t>-</w:t>
      </w:r>
      <w:r w:rsidRPr="004C6CA6">
        <w:rPr>
          <w:rtl/>
        </w:rPr>
        <w:tab/>
        <w:t>الحق في التعويض</w:t>
      </w:r>
    </w:p>
    <w:p w:rsidR="004C6CA6" w:rsidRPr="004C6CA6" w:rsidRDefault="004C6CA6" w:rsidP="004C6CA6">
      <w:pPr>
        <w:pStyle w:val="SingleTxt"/>
      </w:pPr>
      <w:r w:rsidRPr="004C6CA6">
        <w:rPr>
          <w:rFonts w:hint="cs"/>
          <w:rtl/>
        </w:rPr>
        <w:t>67-</w:t>
      </w:r>
      <w:r w:rsidRPr="004C6CA6">
        <w:tab/>
      </w:r>
      <w:r w:rsidRPr="004C6CA6">
        <w:rPr>
          <w:rtl/>
        </w:rPr>
        <w:t>تكفل الد</w:t>
      </w:r>
      <w:r w:rsidRPr="004C6CA6">
        <w:rPr>
          <w:rFonts w:hint="cs"/>
          <w:rtl/>
        </w:rPr>
        <w:t>ّ</w:t>
      </w:r>
      <w:r w:rsidRPr="004C6CA6">
        <w:rPr>
          <w:rtl/>
        </w:rPr>
        <w:t>ولة الل</w:t>
      </w:r>
      <w:r w:rsidRPr="004C6CA6">
        <w:rPr>
          <w:rFonts w:hint="cs"/>
          <w:rtl/>
        </w:rPr>
        <w:t>ّ</w:t>
      </w:r>
      <w:r w:rsidRPr="004C6CA6">
        <w:rPr>
          <w:rtl/>
        </w:rPr>
        <w:t>بناني</w:t>
      </w:r>
      <w:r w:rsidRPr="004C6CA6">
        <w:rPr>
          <w:rFonts w:hint="cs"/>
          <w:rtl/>
        </w:rPr>
        <w:t>ّ</w:t>
      </w:r>
      <w:r w:rsidRPr="004C6CA6">
        <w:rPr>
          <w:rtl/>
        </w:rPr>
        <w:t>ة لكل</w:t>
      </w:r>
      <w:r w:rsidRPr="004C6CA6">
        <w:rPr>
          <w:rFonts w:hint="cs"/>
          <w:rtl/>
        </w:rPr>
        <w:t>ّ</w:t>
      </w:r>
      <w:r w:rsidRPr="004C6CA6">
        <w:rPr>
          <w:rtl/>
        </w:rPr>
        <w:t xml:space="preserve"> </w:t>
      </w:r>
      <w:r w:rsidRPr="004C6CA6">
        <w:rPr>
          <w:rFonts w:hint="cs"/>
          <w:rtl/>
        </w:rPr>
        <w:t>إ</w:t>
      </w:r>
      <w:r w:rsidRPr="004C6CA6">
        <w:rPr>
          <w:rtl/>
        </w:rPr>
        <w:t>نسان داخل أراضيها حق الر</w:t>
      </w:r>
      <w:r w:rsidRPr="004C6CA6">
        <w:rPr>
          <w:rFonts w:hint="cs"/>
          <w:rtl/>
        </w:rPr>
        <w:t>ّ</w:t>
      </w:r>
      <w:r w:rsidRPr="004C6CA6">
        <w:rPr>
          <w:rtl/>
        </w:rPr>
        <w:t xml:space="preserve">جوع </w:t>
      </w:r>
      <w:r w:rsidRPr="004C6CA6">
        <w:rPr>
          <w:rFonts w:hint="cs"/>
          <w:rtl/>
        </w:rPr>
        <w:t>إ</w:t>
      </w:r>
      <w:r w:rsidRPr="004C6CA6">
        <w:rPr>
          <w:rtl/>
        </w:rPr>
        <w:t>لى المحاكم الوطني</w:t>
      </w:r>
      <w:r w:rsidRPr="004C6CA6">
        <w:rPr>
          <w:rFonts w:hint="cs"/>
          <w:rtl/>
        </w:rPr>
        <w:t>ّ</w:t>
      </w:r>
      <w:r w:rsidRPr="004C6CA6">
        <w:rPr>
          <w:rtl/>
        </w:rPr>
        <w:t>ة بصدد ال</w:t>
      </w:r>
      <w:r w:rsidRPr="004C6CA6">
        <w:rPr>
          <w:rFonts w:hint="cs"/>
          <w:rtl/>
        </w:rPr>
        <w:t>أ</w:t>
      </w:r>
      <w:r w:rsidRPr="004C6CA6">
        <w:rPr>
          <w:rtl/>
        </w:rPr>
        <w:t xml:space="preserve">عمال المضرّة به ومن بينها </w:t>
      </w:r>
      <w:r w:rsidRPr="004C6CA6">
        <w:rPr>
          <w:rFonts w:hint="cs"/>
          <w:rtl/>
        </w:rPr>
        <w:t>أ</w:t>
      </w:r>
      <w:r w:rsidRPr="004C6CA6">
        <w:rPr>
          <w:rtl/>
        </w:rPr>
        <w:t>عمال الت</w:t>
      </w:r>
      <w:r w:rsidRPr="004C6CA6">
        <w:rPr>
          <w:rFonts w:hint="cs"/>
          <w:rtl/>
        </w:rPr>
        <w:t>ّ</w:t>
      </w:r>
      <w:r w:rsidRPr="004C6CA6">
        <w:rPr>
          <w:rtl/>
        </w:rPr>
        <w:t>مييز العنصري و</w:t>
      </w:r>
      <w:r w:rsidRPr="004C6CA6">
        <w:rPr>
          <w:rFonts w:hint="cs"/>
          <w:rtl/>
        </w:rPr>
        <w:t>الا</w:t>
      </w:r>
      <w:r w:rsidRPr="004C6CA6">
        <w:rPr>
          <w:rtl/>
        </w:rPr>
        <w:t>نتهاك الحاصل لحقوق ال</w:t>
      </w:r>
      <w:r w:rsidRPr="004C6CA6">
        <w:rPr>
          <w:rFonts w:hint="cs"/>
          <w:rtl/>
        </w:rPr>
        <w:t>إ</w:t>
      </w:r>
      <w:r w:rsidRPr="004C6CA6">
        <w:rPr>
          <w:rtl/>
        </w:rPr>
        <w:t>نسان والحري</w:t>
      </w:r>
      <w:r w:rsidRPr="004C6CA6">
        <w:rPr>
          <w:rFonts w:hint="cs"/>
          <w:rtl/>
        </w:rPr>
        <w:t>ّ</w:t>
      </w:r>
      <w:r w:rsidRPr="004C6CA6">
        <w:rPr>
          <w:rtl/>
        </w:rPr>
        <w:t>ات ال</w:t>
      </w:r>
      <w:r w:rsidRPr="004C6CA6">
        <w:rPr>
          <w:rFonts w:hint="cs"/>
          <w:rtl/>
        </w:rPr>
        <w:t>أ</w:t>
      </w:r>
      <w:r w:rsidRPr="004C6CA6">
        <w:rPr>
          <w:rtl/>
        </w:rPr>
        <w:t>ساسي</w:t>
      </w:r>
      <w:r w:rsidRPr="004C6CA6">
        <w:rPr>
          <w:rFonts w:hint="cs"/>
          <w:rtl/>
        </w:rPr>
        <w:t>ّ</w:t>
      </w:r>
      <w:r w:rsidRPr="004C6CA6">
        <w:rPr>
          <w:rtl/>
        </w:rPr>
        <w:t>ة وكل</w:t>
      </w:r>
      <w:r w:rsidRPr="004C6CA6">
        <w:rPr>
          <w:rFonts w:hint="cs"/>
          <w:rtl/>
        </w:rPr>
        <w:t>ّ</w:t>
      </w:r>
      <w:r w:rsidRPr="004C6CA6">
        <w:rPr>
          <w:rtl/>
        </w:rPr>
        <w:t xml:space="preserve"> ما يتنافى مع هذه الاتفاقية، وذلك في سبيل </w:t>
      </w:r>
      <w:r w:rsidRPr="004C6CA6">
        <w:rPr>
          <w:rFonts w:hint="cs"/>
          <w:rtl/>
        </w:rPr>
        <w:t>الا</w:t>
      </w:r>
      <w:r w:rsidRPr="004C6CA6">
        <w:rPr>
          <w:rtl/>
        </w:rPr>
        <w:t>ستحصال على الت</w:t>
      </w:r>
      <w:r w:rsidRPr="004C6CA6">
        <w:rPr>
          <w:rFonts w:hint="cs"/>
          <w:rtl/>
        </w:rPr>
        <w:t>ّ</w:t>
      </w:r>
      <w:r w:rsidRPr="004C6CA6">
        <w:rPr>
          <w:rtl/>
        </w:rPr>
        <w:t>عويض العادل المناسب عن الضرر اللا</w:t>
      </w:r>
      <w:r w:rsidRPr="004C6CA6">
        <w:rPr>
          <w:rFonts w:hint="cs"/>
          <w:rtl/>
        </w:rPr>
        <w:t>ّ</w:t>
      </w:r>
      <w:r w:rsidRPr="004C6CA6">
        <w:rPr>
          <w:rtl/>
        </w:rPr>
        <w:t>حق به وضماناً لحقه وكرامته واحترام وجوده وكيانه كنتيجة لهذا الت</w:t>
      </w:r>
      <w:r w:rsidRPr="004C6CA6">
        <w:rPr>
          <w:rFonts w:hint="cs"/>
          <w:rtl/>
        </w:rPr>
        <w:t>ّ</w:t>
      </w:r>
      <w:r w:rsidRPr="004C6CA6">
        <w:rPr>
          <w:rtl/>
        </w:rPr>
        <w:t>مييز، كل</w:t>
      </w:r>
      <w:r w:rsidRPr="004C6CA6">
        <w:rPr>
          <w:rFonts w:hint="cs"/>
          <w:rtl/>
        </w:rPr>
        <w:t>ّ</w:t>
      </w:r>
      <w:r w:rsidRPr="004C6CA6">
        <w:rPr>
          <w:rtl/>
        </w:rPr>
        <w:t xml:space="preserve"> هذا بالاستناد </w:t>
      </w:r>
      <w:r w:rsidRPr="004C6CA6">
        <w:rPr>
          <w:rFonts w:hint="cs"/>
          <w:rtl/>
        </w:rPr>
        <w:t>إ</w:t>
      </w:r>
      <w:r w:rsidRPr="004C6CA6">
        <w:rPr>
          <w:rtl/>
        </w:rPr>
        <w:t xml:space="preserve">لى </w:t>
      </w:r>
      <w:r w:rsidRPr="004C6CA6">
        <w:rPr>
          <w:rFonts w:hint="cs"/>
          <w:rtl/>
        </w:rPr>
        <w:t>مبادئ</w:t>
      </w:r>
      <w:r w:rsidRPr="004C6CA6">
        <w:rPr>
          <w:rtl/>
        </w:rPr>
        <w:t xml:space="preserve"> المسؤولي</w:t>
      </w:r>
      <w:r w:rsidRPr="004C6CA6">
        <w:rPr>
          <w:rFonts w:hint="cs"/>
          <w:rtl/>
        </w:rPr>
        <w:t>ّ</w:t>
      </w:r>
      <w:r w:rsidRPr="004C6CA6">
        <w:rPr>
          <w:rtl/>
        </w:rPr>
        <w:t>ة الت</w:t>
      </w:r>
      <w:r w:rsidRPr="004C6CA6">
        <w:rPr>
          <w:rFonts w:hint="cs"/>
          <w:rtl/>
        </w:rPr>
        <w:t>ّ</w:t>
      </w:r>
      <w:r w:rsidRPr="004C6CA6">
        <w:rPr>
          <w:rtl/>
        </w:rPr>
        <w:t>قصيري</w:t>
      </w:r>
      <w:r w:rsidRPr="004C6CA6">
        <w:rPr>
          <w:rFonts w:hint="cs"/>
          <w:rtl/>
        </w:rPr>
        <w:t>ّ</w:t>
      </w:r>
      <w:r w:rsidRPr="004C6CA6">
        <w:rPr>
          <w:rtl/>
        </w:rPr>
        <w:t xml:space="preserve">ة المنصوص عنها في القانون اللبناني، وتحديداً </w:t>
      </w:r>
      <w:r w:rsidRPr="004C6CA6">
        <w:rPr>
          <w:rFonts w:hint="cs"/>
          <w:rtl/>
        </w:rPr>
        <w:t>المبادئ</w:t>
      </w:r>
      <w:r w:rsidRPr="004C6CA6">
        <w:rPr>
          <w:rtl/>
        </w:rPr>
        <w:t xml:space="preserve"> المشار </w:t>
      </w:r>
      <w:r w:rsidRPr="004C6CA6">
        <w:rPr>
          <w:rFonts w:hint="cs"/>
          <w:rtl/>
        </w:rPr>
        <w:t>إ</w:t>
      </w:r>
      <w:r w:rsidRPr="004C6CA6">
        <w:rPr>
          <w:rtl/>
        </w:rPr>
        <w:t>ليها أعلاه.</w:t>
      </w:r>
    </w:p>
    <w:p w:rsidR="004C6CA6" w:rsidRPr="004C6CA6" w:rsidRDefault="004C6CA6" w:rsidP="004C6CA6">
      <w:pPr>
        <w:pStyle w:val="SingleTxt"/>
      </w:pPr>
      <w:r w:rsidRPr="004C6CA6">
        <w:rPr>
          <w:rFonts w:hint="cs"/>
          <w:rtl/>
        </w:rPr>
        <w:t>68-</w:t>
      </w:r>
      <w:r w:rsidRPr="004C6CA6">
        <w:tab/>
      </w:r>
      <w:r w:rsidRPr="004C6CA6">
        <w:rPr>
          <w:rtl/>
        </w:rPr>
        <w:t>للمتضرّر من عمل من أعمال التّمييز العنصري والتّي تشكّل جرماً جزائيّاً معاقباً عليه في القانون وفق الأحكام القانونيّة التّي سبق بيانها، الحقّ في التّعويض عمّا أصابه من ضرر وفق القواعد العامّة المقرّرة في هذا المجال للمتضرّرين من الجرائم في قانون أصول المحاكمات الجزائيّة وقانون العقوبات.</w:t>
      </w:r>
    </w:p>
    <w:p w:rsidR="004C6CA6" w:rsidRPr="004C6CA6" w:rsidRDefault="004C6CA6" w:rsidP="004C6CA6">
      <w:pPr>
        <w:pStyle w:val="SingleTxt"/>
        <w:rPr>
          <w:rtl/>
        </w:rPr>
      </w:pPr>
      <w:r w:rsidRPr="004C6CA6">
        <w:rPr>
          <w:rtl/>
        </w:rPr>
        <w:tab/>
        <w:t xml:space="preserve">ووفق القواعد العامّة كذلك، فإنّه في الحالة التّي لا يشكّل فيها العمل المشكو منه جرماً جزائيّاً، يكون حقّ المتضرّر في التّعويض خاضعاً لأحكام المادّة (122) من قانون الموجبات والعقود المتعلّقة بالمسؤوليّة التّقصيريّة </w:t>
      </w:r>
      <w:r w:rsidRPr="004C6CA6">
        <w:rPr>
          <w:rFonts w:hint="cs"/>
          <w:rtl/>
        </w:rPr>
        <w:t>و</w:t>
      </w:r>
      <w:r w:rsidRPr="004C6CA6">
        <w:rPr>
          <w:rtl/>
        </w:rPr>
        <w:t xml:space="preserve">التّي </w:t>
      </w:r>
      <w:r w:rsidRPr="004C6CA6">
        <w:rPr>
          <w:rFonts w:hint="cs"/>
          <w:rtl/>
        </w:rPr>
        <w:t>تنصّ</w:t>
      </w:r>
      <w:r w:rsidRPr="004C6CA6">
        <w:rPr>
          <w:rtl/>
        </w:rPr>
        <w:t xml:space="preserve"> </w:t>
      </w:r>
      <w:r w:rsidRPr="004C6CA6">
        <w:rPr>
          <w:rFonts w:hint="cs"/>
          <w:rtl/>
        </w:rPr>
        <w:t>على</w:t>
      </w:r>
      <w:r w:rsidRPr="004C6CA6">
        <w:rPr>
          <w:rtl/>
        </w:rPr>
        <w:t xml:space="preserve"> </w:t>
      </w:r>
      <w:r w:rsidRPr="004C6CA6">
        <w:rPr>
          <w:rFonts w:hint="cs"/>
          <w:rtl/>
        </w:rPr>
        <w:t>أنّ</w:t>
      </w:r>
      <w:r w:rsidRPr="004C6CA6">
        <w:rPr>
          <w:rtl/>
        </w:rPr>
        <w:t xml:space="preserve"> </w:t>
      </w:r>
      <w:r w:rsidRPr="004C6CA6">
        <w:rPr>
          <w:rFonts w:hint="cs"/>
          <w:rtl/>
        </w:rPr>
        <w:t>كلّ</w:t>
      </w:r>
      <w:r w:rsidRPr="004C6CA6">
        <w:rPr>
          <w:rtl/>
        </w:rPr>
        <w:t xml:space="preserve"> </w:t>
      </w:r>
      <w:r w:rsidRPr="004C6CA6">
        <w:rPr>
          <w:rFonts w:hint="cs"/>
          <w:rtl/>
        </w:rPr>
        <w:t>عمل</w:t>
      </w:r>
      <w:r w:rsidRPr="004C6CA6">
        <w:rPr>
          <w:rtl/>
        </w:rPr>
        <w:t xml:space="preserve"> </w:t>
      </w:r>
      <w:r w:rsidRPr="004C6CA6">
        <w:rPr>
          <w:rFonts w:hint="cs"/>
          <w:rtl/>
        </w:rPr>
        <w:t>من</w:t>
      </w:r>
      <w:r w:rsidRPr="004C6CA6">
        <w:rPr>
          <w:rtl/>
        </w:rPr>
        <w:t xml:space="preserve"> </w:t>
      </w:r>
      <w:r w:rsidRPr="004C6CA6">
        <w:rPr>
          <w:rFonts w:hint="cs"/>
          <w:rtl/>
        </w:rPr>
        <w:t>أحد</w:t>
      </w:r>
      <w:r w:rsidRPr="004C6CA6">
        <w:rPr>
          <w:rtl/>
        </w:rPr>
        <w:t xml:space="preserve"> </w:t>
      </w:r>
      <w:r w:rsidRPr="004C6CA6">
        <w:rPr>
          <w:rFonts w:hint="cs"/>
          <w:rtl/>
        </w:rPr>
        <w:t>النّاس</w:t>
      </w:r>
      <w:r w:rsidRPr="004C6CA6">
        <w:rPr>
          <w:rtl/>
        </w:rPr>
        <w:t xml:space="preserve"> </w:t>
      </w:r>
      <w:r w:rsidRPr="004C6CA6">
        <w:rPr>
          <w:rFonts w:hint="cs"/>
          <w:rtl/>
        </w:rPr>
        <w:t>ينجم</w:t>
      </w:r>
      <w:r w:rsidRPr="004C6CA6">
        <w:rPr>
          <w:rtl/>
        </w:rPr>
        <w:t xml:space="preserve"> </w:t>
      </w:r>
      <w:r w:rsidRPr="004C6CA6">
        <w:rPr>
          <w:rFonts w:hint="cs"/>
          <w:rtl/>
        </w:rPr>
        <w:t>عنه</w:t>
      </w:r>
      <w:r w:rsidRPr="004C6CA6">
        <w:rPr>
          <w:rtl/>
        </w:rPr>
        <w:t xml:space="preserve"> </w:t>
      </w:r>
      <w:r w:rsidRPr="004C6CA6">
        <w:rPr>
          <w:rFonts w:hint="cs"/>
          <w:rtl/>
        </w:rPr>
        <w:t>ضررٌ</w:t>
      </w:r>
      <w:r w:rsidRPr="004C6CA6">
        <w:rPr>
          <w:rtl/>
        </w:rPr>
        <w:t xml:space="preserve"> </w:t>
      </w:r>
      <w:r w:rsidRPr="004C6CA6">
        <w:rPr>
          <w:rFonts w:hint="cs"/>
          <w:rtl/>
        </w:rPr>
        <w:t>غير</w:t>
      </w:r>
      <w:r w:rsidRPr="004C6CA6">
        <w:rPr>
          <w:rtl/>
        </w:rPr>
        <w:t xml:space="preserve"> </w:t>
      </w:r>
      <w:r w:rsidRPr="004C6CA6">
        <w:rPr>
          <w:rFonts w:hint="cs"/>
          <w:rtl/>
        </w:rPr>
        <w:t>مشروع</w:t>
      </w:r>
      <w:r w:rsidRPr="004C6CA6">
        <w:rPr>
          <w:rtl/>
        </w:rPr>
        <w:t xml:space="preserve"> </w:t>
      </w:r>
      <w:r w:rsidRPr="004C6CA6">
        <w:rPr>
          <w:rFonts w:hint="cs"/>
          <w:rtl/>
        </w:rPr>
        <w:t>بمصلحة</w:t>
      </w:r>
      <w:r w:rsidRPr="004C6CA6">
        <w:rPr>
          <w:rtl/>
        </w:rPr>
        <w:t xml:space="preserve"> </w:t>
      </w:r>
      <w:r w:rsidRPr="004C6CA6">
        <w:rPr>
          <w:rFonts w:hint="cs"/>
          <w:rtl/>
        </w:rPr>
        <w:t>الغير</w:t>
      </w:r>
      <w:r w:rsidRPr="004C6CA6">
        <w:rPr>
          <w:rtl/>
        </w:rPr>
        <w:t xml:space="preserve"> </w:t>
      </w:r>
      <w:r w:rsidRPr="004C6CA6">
        <w:rPr>
          <w:rFonts w:hint="cs"/>
          <w:rtl/>
        </w:rPr>
        <w:t>يجبر</w:t>
      </w:r>
      <w:r w:rsidRPr="004C6CA6">
        <w:rPr>
          <w:rtl/>
        </w:rPr>
        <w:t xml:space="preserve"> </w:t>
      </w:r>
      <w:r w:rsidRPr="004C6CA6">
        <w:rPr>
          <w:rFonts w:hint="cs"/>
          <w:rtl/>
        </w:rPr>
        <w:t>فاعله</w:t>
      </w:r>
      <w:r w:rsidRPr="004C6CA6">
        <w:rPr>
          <w:rtl/>
        </w:rPr>
        <w:t xml:space="preserve"> </w:t>
      </w:r>
      <w:r w:rsidRPr="004C6CA6">
        <w:rPr>
          <w:rFonts w:hint="cs"/>
          <w:rtl/>
        </w:rPr>
        <w:t>على</w:t>
      </w:r>
      <w:r w:rsidRPr="004C6CA6">
        <w:rPr>
          <w:rtl/>
        </w:rPr>
        <w:t xml:space="preserve"> </w:t>
      </w:r>
      <w:r w:rsidRPr="004C6CA6">
        <w:rPr>
          <w:rFonts w:hint="cs"/>
          <w:rtl/>
        </w:rPr>
        <w:t>التّعويض</w:t>
      </w:r>
      <w:r w:rsidRPr="004C6CA6">
        <w:rPr>
          <w:rtl/>
        </w:rPr>
        <w:t>.</w:t>
      </w:r>
    </w:p>
    <w:p w:rsidR="004C6CA6" w:rsidRPr="004C6CA6" w:rsidRDefault="004C6CA6" w:rsidP="004C6CA6">
      <w:pPr>
        <w:pStyle w:val="SingleTxt"/>
        <w:rPr>
          <w:rtl/>
        </w:rPr>
      </w:pPr>
      <w:r w:rsidRPr="004C6CA6">
        <w:rPr>
          <w:rtl/>
        </w:rPr>
        <w:tab/>
        <w:t>وفي كلا الحالين يعود تحديد مبلغ التّعويض المتوّجب إلى تقدير محكمة الأساس التّي تستند في ذلك إلى المعطيات المتوفّرة في كل قضية ومدى الأضرار الحاصلة، إذ يجب أن يكون التّعويض معادلاً للضّرر، سواء كان هذا الضّرر ماديّاً أو معنويّاً.</w:t>
      </w:r>
    </w:p>
    <w:p w:rsidR="003D6DE5" w:rsidRPr="003D6DE5" w:rsidRDefault="003D6DE5" w:rsidP="003D6DE5">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4C6CA6" w:rsidRPr="004C6CA6" w:rsidRDefault="004C6CA6" w:rsidP="003D6DE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4C6CA6">
        <w:rPr>
          <w:rtl/>
        </w:rPr>
        <w:tab/>
      </w:r>
      <w:r w:rsidRPr="004C6CA6">
        <w:rPr>
          <w:rFonts w:hint="cs"/>
          <w:rtl/>
        </w:rPr>
        <w:t>ثانياً</w:t>
      </w:r>
      <w:r w:rsidRPr="004C6CA6">
        <w:rPr>
          <w:rtl/>
        </w:rPr>
        <w:t>-</w:t>
      </w:r>
      <w:r w:rsidRPr="004C6CA6">
        <w:rPr>
          <w:rtl/>
        </w:rPr>
        <w:tab/>
        <w:t>مبدأ مجّانيّة المحاكمة</w:t>
      </w:r>
    </w:p>
    <w:p w:rsidR="004C6CA6" w:rsidRPr="004C6CA6" w:rsidRDefault="004C6CA6" w:rsidP="004C6CA6">
      <w:pPr>
        <w:pStyle w:val="SingleTxt"/>
      </w:pPr>
      <w:r w:rsidRPr="004C6CA6">
        <w:rPr>
          <w:rFonts w:hint="cs"/>
          <w:rtl/>
        </w:rPr>
        <w:t>69-</w:t>
      </w:r>
      <w:r w:rsidRPr="004C6CA6">
        <w:tab/>
      </w:r>
      <w:r w:rsidRPr="004C6CA6">
        <w:rPr>
          <w:rtl/>
        </w:rPr>
        <w:t>يأتي مبدأ مجّانيّة المحاكمة في إطار الحقّ بالتّقاضي الذّي تك</w:t>
      </w:r>
      <w:r w:rsidRPr="004C6CA6">
        <w:rPr>
          <w:rFonts w:hint="cs"/>
          <w:rtl/>
        </w:rPr>
        <w:t>فل</w:t>
      </w:r>
      <w:r w:rsidRPr="004C6CA6">
        <w:rPr>
          <w:rtl/>
        </w:rPr>
        <w:t>ه القوانين اللّبنانيّة للجميع - لبنانيّين وأجانب</w:t>
      </w:r>
      <w:r w:rsidRPr="004C6CA6">
        <w:rPr>
          <w:vertAlign w:val="superscript"/>
          <w:rtl/>
        </w:rPr>
        <w:t>(</w:t>
      </w:r>
      <w:r w:rsidRPr="004C6CA6">
        <w:rPr>
          <w:vertAlign w:val="superscript"/>
          <w:rtl/>
        </w:rPr>
        <w:footnoteReference w:id="20"/>
      </w:r>
      <w:r w:rsidRPr="004C6CA6">
        <w:rPr>
          <w:vertAlign w:val="superscript"/>
          <w:rtl/>
        </w:rPr>
        <w:t>)</w:t>
      </w:r>
      <w:r w:rsidRPr="004C6CA6">
        <w:rPr>
          <w:rtl/>
        </w:rPr>
        <w:t xml:space="preserve">، فلا تشكّل الرّسوم القضائيّة عائقاً أمام ممارسة هذا الحقّ، خاصّةً في مجال </w:t>
      </w:r>
      <w:r w:rsidRPr="004C6CA6">
        <w:rPr>
          <w:rtl/>
        </w:rPr>
        <w:lastRenderedPageBreak/>
        <w:t>الدّعاوى الجزائيّة، ويكون الهدف من الرّسوم المفروضة الحدّ من الادعاءات الكيديّة؛ وحتّى أنّ هذه الرّسوم يمكن الإعفاء منها كليّاً إذا كان الشّخص معوزاً وكانت دعواه محتملة الكسب، من خلال نظام المعونة القضائيّة.</w:t>
      </w:r>
    </w:p>
    <w:p w:rsidR="003D6DE5" w:rsidRPr="003D6DE5" w:rsidRDefault="003D6DE5" w:rsidP="003D6DE5">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4C6CA6" w:rsidRPr="004C6CA6" w:rsidRDefault="004C6CA6" w:rsidP="003D6DE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4C6CA6">
        <w:rPr>
          <w:rtl/>
        </w:rPr>
        <w:tab/>
      </w:r>
      <w:r w:rsidRPr="004C6CA6">
        <w:rPr>
          <w:rFonts w:hint="cs"/>
          <w:rtl/>
        </w:rPr>
        <w:t>ثالثاً</w:t>
      </w:r>
      <w:r w:rsidRPr="004C6CA6">
        <w:rPr>
          <w:rtl/>
        </w:rPr>
        <w:t>-</w:t>
      </w:r>
      <w:r w:rsidRPr="004C6CA6">
        <w:rPr>
          <w:rtl/>
        </w:rPr>
        <w:tab/>
        <w:t>أحكام قضائيّة في إطار مكافحة التّمييز العنصري وحماية العمّال الأجانب</w:t>
      </w:r>
    </w:p>
    <w:p w:rsidR="004C6CA6" w:rsidRPr="004C6CA6" w:rsidRDefault="004C6CA6" w:rsidP="004C6CA6">
      <w:pPr>
        <w:pStyle w:val="SingleTxt"/>
      </w:pPr>
      <w:r w:rsidRPr="004C6CA6">
        <w:rPr>
          <w:rFonts w:hint="cs"/>
          <w:rtl/>
        </w:rPr>
        <w:t>70-</w:t>
      </w:r>
      <w:r w:rsidRPr="004C6CA6">
        <w:tab/>
      </w:r>
      <w:r w:rsidRPr="004C6CA6">
        <w:rPr>
          <w:rtl/>
        </w:rPr>
        <w:t>كان للقضاء اللّبناني في عدّة قرارات في مجال حماية حقوق العمّال الأجانب، فالمحاكم اللبنانية لا تميّز في تطبيق النصوص القانونية سواءً الجزائيّة منها أو المدنيّة، بين أن يكون صاحب الحقّ أو الضحيّة من الجنسيّة اللّبنانيّة أو من جنسيّة أجنبيّة، لا سلباً ولا إيجاباً، بحيث أن الجنسيّة الأجنبيّة للضحيّة لا تشكّل سبباً لتخفيف العقوبة عن الجاني</w:t>
      </w:r>
      <w:r w:rsidRPr="004C6CA6">
        <w:rPr>
          <w:vertAlign w:val="superscript"/>
          <w:rtl/>
        </w:rPr>
        <w:t>(</w:t>
      </w:r>
      <w:r w:rsidRPr="004C6CA6">
        <w:rPr>
          <w:vertAlign w:val="superscript"/>
          <w:rtl/>
        </w:rPr>
        <w:footnoteReference w:id="21"/>
      </w:r>
      <w:r w:rsidRPr="004C6CA6">
        <w:rPr>
          <w:vertAlign w:val="superscript"/>
          <w:rtl/>
        </w:rPr>
        <w:t>)</w:t>
      </w:r>
      <w:r w:rsidRPr="004C6CA6">
        <w:rPr>
          <w:rtl/>
        </w:rPr>
        <w:t xml:space="preserve">، كما أنه وفي إطار العنف الذي يمارسه بعض أصحاب العمل على العاملات الأجنبيات في الخدمة المنزليّة صدر بتاريخ 31 تشرين الأول/أكتوبر 2013 حكم عن القاضي المنفرد الجزائي قضى بإدانة صاحبة عمل لبنانية بجرم الإيذاء المنصوص عنه في المادة (555) من قانون العقوبات اللبناني على خلفيّة الضرب المبرح للعاملة الأجنبيّة لديها وبحبسها ثلاثة أشهر وتغريمها مبلغ مالي وإلزامها بدفع تعويض إلى المدعيّة الشخصيّة قدره عشرة ملايين ليرة لبنانية. </w:t>
      </w:r>
    </w:p>
    <w:p w:rsidR="004C6CA6" w:rsidRPr="004C6CA6" w:rsidRDefault="004C6CA6" w:rsidP="004C6CA6">
      <w:pPr>
        <w:pStyle w:val="SingleTxt"/>
        <w:rPr>
          <w:rtl/>
        </w:rPr>
      </w:pPr>
      <w:r w:rsidRPr="004C6CA6">
        <w:rPr>
          <w:rtl/>
        </w:rPr>
        <w:tab/>
        <w:t>وفي دعوى أقامتها عاملة في الخدمة المنزلية من الجنسيّة الهنديّة على مخدومها اللبناني الذّي كان قد صرفها من الخدمة بدون سابق إنذار ومن دون أن يدفع لها أجورها قضى مجلس العمل التّحكيمي المختّص بإلزام صاحب العمل بأن يدفع للعاملة كامل الأجور المستحقّة لها، مضافاً إليها بدل الإنذار وتعويض الصّرف من العمل سنداً لأحكام قانون الموجبات والعقود، كما وبدل عطل وضرر عن التعسّف في استعمال حق فسخ عقد العمل، وقد وصل مجموع المبالغ التّي حكم بها للعاملة إلى ما يقارب الأربعين ألف دولار أميركي</w:t>
      </w:r>
      <w:r w:rsidRPr="004C6CA6">
        <w:rPr>
          <w:vertAlign w:val="superscript"/>
          <w:rtl/>
        </w:rPr>
        <w:t>(</w:t>
      </w:r>
      <w:r w:rsidRPr="004C6CA6">
        <w:rPr>
          <w:vertAlign w:val="superscript"/>
          <w:rtl/>
        </w:rPr>
        <w:footnoteReference w:id="22"/>
      </w:r>
      <w:r w:rsidRPr="004C6CA6">
        <w:rPr>
          <w:vertAlign w:val="superscript"/>
          <w:rtl/>
        </w:rPr>
        <w:t>)</w:t>
      </w:r>
      <w:r w:rsidRPr="004C6CA6">
        <w:rPr>
          <w:rtl/>
        </w:rPr>
        <w:t xml:space="preserve">. </w:t>
      </w:r>
    </w:p>
    <w:p w:rsidR="003D6DE5" w:rsidRPr="003D6DE5" w:rsidRDefault="003D6DE5" w:rsidP="003D6DE5">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bookmarkStart w:id="18" w:name="_Toc417893380"/>
    </w:p>
    <w:p w:rsidR="003D6DE5" w:rsidRPr="003D6DE5" w:rsidRDefault="003D6DE5" w:rsidP="003D6DE5">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4C6CA6" w:rsidRPr="004C6CA6" w:rsidRDefault="004C6CA6" w:rsidP="003D6DE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4C6CA6">
        <w:rPr>
          <w:rtl/>
        </w:rPr>
        <w:tab/>
      </w:r>
      <w:r w:rsidRPr="004C6CA6">
        <w:rPr>
          <w:rtl/>
        </w:rPr>
        <w:tab/>
        <w:t>المادّة 7</w:t>
      </w:r>
      <w:bookmarkEnd w:id="18"/>
    </w:p>
    <w:p w:rsidR="003D6DE5" w:rsidRPr="003D6DE5" w:rsidRDefault="003D6DE5" w:rsidP="003D6DE5">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4C6CA6" w:rsidRPr="004C6CA6" w:rsidRDefault="004C6CA6" w:rsidP="003D6DE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4C6CA6">
        <w:rPr>
          <w:rtl/>
        </w:rPr>
        <w:tab/>
      </w:r>
      <w:r w:rsidRPr="004C6CA6">
        <w:rPr>
          <w:rFonts w:hint="cs"/>
          <w:rtl/>
        </w:rPr>
        <w:t>أولاً</w:t>
      </w:r>
      <w:r w:rsidRPr="004C6CA6">
        <w:rPr>
          <w:rtl/>
        </w:rPr>
        <w:t>-</w:t>
      </w:r>
      <w:r w:rsidRPr="004C6CA6">
        <w:rPr>
          <w:rtl/>
        </w:rPr>
        <w:tab/>
        <w:t>التّعليم والتّدريس</w:t>
      </w:r>
    </w:p>
    <w:p w:rsidR="004C6CA6" w:rsidRPr="004C6CA6" w:rsidRDefault="004C6CA6" w:rsidP="003D6DE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4C6CA6">
        <w:rPr>
          <w:rtl/>
        </w:rPr>
        <w:tab/>
        <w:t>(أ)</w:t>
      </w:r>
      <w:r w:rsidRPr="004C6CA6">
        <w:rPr>
          <w:rtl/>
        </w:rPr>
        <w:tab/>
        <w:t>الخطط والبرامج التّعليميّة</w:t>
      </w:r>
    </w:p>
    <w:p w:rsidR="004C6CA6" w:rsidRPr="004C6CA6" w:rsidRDefault="004C6CA6" w:rsidP="004C6CA6">
      <w:pPr>
        <w:pStyle w:val="SingleTxt"/>
        <w:rPr>
          <w:rtl/>
        </w:rPr>
      </w:pPr>
      <w:r w:rsidRPr="004C6CA6">
        <w:rPr>
          <w:rtl/>
        </w:rPr>
        <w:t>71-</w:t>
      </w:r>
      <w:r w:rsidRPr="004C6CA6">
        <w:rPr>
          <w:rtl/>
        </w:rPr>
        <w:tab/>
        <w:t>تتضمّن خطّة النّهوض التّربوي في لبنان التّي تمّ إقرارها بموجب قرار مجلس الوزراء تاريخ 8 أيّار/مايو 1994 ومناهج التّعليم العامّ ما قبل الجامعي الصّادرة بالمرسوم رقم 10227/97 تاريخ</w:t>
      </w:r>
      <w:r w:rsidRPr="004C6CA6">
        <w:rPr>
          <w:rFonts w:hint="eastAsia"/>
          <w:rtl/>
        </w:rPr>
        <w:t> </w:t>
      </w:r>
      <w:r w:rsidRPr="004C6CA6">
        <w:rPr>
          <w:rtl/>
        </w:rPr>
        <w:t xml:space="preserve">8 أيّار/مايو 1997 جملة أهداف ترمي إلى مكافحة التّمييز العنصري في التّعليم، شكّلت مرتكزاً للمركز التّربوي للبحوث والإنماء - وهو مؤسّسة وطنيّة تعنى بالتّحديث والتّطوير التّربوي - </w:t>
      </w:r>
      <w:r w:rsidRPr="004C6CA6">
        <w:rPr>
          <w:rtl/>
        </w:rPr>
        <w:lastRenderedPageBreak/>
        <w:t xml:space="preserve">في صياغة محتوى المناهج التّعليميّة العائدة لكامل الفترة ما قبل الجامعيّة، فتشمل هذه المناهج التّركيز على عدد من المبادئ الهامّة في هذا السّياق، من ذلك تكوين الشّخصية الفرديّة للمواطن وحثّه على التّعامل مع الآخرين بروح المواطنيّة المسؤولة والمشاركة الإنسانيّة، وإدراك أهميّة القيم </w:t>
      </w:r>
      <w:r w:rsidRPr="004C6CA6">
        <w:rPr>
          <w:rFonts w:hint="cs"/>
          <w:rtl/>
        </w:rPr>
        <w:t>والمبادئ</w:t>
      </w:r>
      <w:r w:rsidRPr="004C6CA6">
        <w:rPr>
          <w:rtl/>
        </w:rPr>
        <w:t xml:space="preserve"> الأخلاقيّة </w:t>
      </w:r>
      <w:r w:rsidRPr="004C6CA6">
        <w:rPr>
          <w:rFonts w:hint="cs"/>
          <w:rtl/>
        </w:rPr>
        <w:t>والإنسانية</w:t>
      </w:r>
      <w:r w:rsidRPr="004C6CA6">
        <w:rPr>
          <w:rtl/>
        </w:rPr>
        <w:t xml:space="preserve"> وممارستها واحترام الغير وترسيخ أسس العيش المشترك، واحترام الفروقات بين الناس وتقبّلها، واحترام الأشخاص من الجنس الآخر، واحترام النّاس باختلاف جنسيّاتهم وطرق عيشهم، والتّعامل مع الغير في إطار المساواة وعدم التّمييز من أيّ نوعٍ كان، وكلّ هذا في إطار تطبيق الاتفاقية المتعلّقة بمكافحة التّمييز العنصري في مجال التّعليم لعام 1960. </w:t>
      </w:r>
    </w:p>
    <w:p w:rsidR="004C6CA6" w:rsidRPr="004C6CA6" w:rsidRDefault="004C6CA6" w:rsidP="004C6CA6">
      <w:pPr>
        <w:pStyle w:val="SingleTxt"/>
      </w:pPr>
      <w:r w:rsidRPr="004C6CA6">
        <w:rPr>
          <w:rFonts w:hint="cs"/>
          <w:rtl/>
        </w:rPr>
        <w:t>72-</w:t>
      </w:r>
      <w:r w:rsidRPr="004C6CA6">
        <w:tab/>
      </w:r>
      <w:r w:rsidRPr="004C6CA6">
        <w:rPr>
          <w:rtl/>
        </w:rPr>
        <w:t xml:space="preserve">فضلاً عن ذلك، أشرف المركز التّربوي للبحوث والإنماء على تنفيذ عدد من الدّراسات حول صورة المرأة في الكتب المدرسيّة، وقد نفّذت في هذا الإطار عدّة مراجعات لكتب مدرسيّة </w:t>
      </w:r>
      <w:r w:rsidRPr="004C6CA6">
        <w:rPr>
          <w:rFonts w:hint="cs"/>
          <w:rtl/>
        </w:rPr>
        <w:t>ا</w:t>
      </w:r>
      <w:r w:rsidRPr="004C6CA6">
        <w:rPr>
          <w:rtl/>
        </w:rPr>
        <w:t>بتداءً من العام 2006، كما ضمّن دفتر الشّروط الخاصّ بتأليف سلاسل الكتاب المدرسي الوطني، توصيات موجّهة إلى مؤلفي الكتب المدرسية ومضامين المناهج التّعليميّة الجديدة تتعلّق بوجوب الحرص على المساواة بين الإناث والذكور، حتّى لناحية التّعابير اللّفظيّة المستخدمة ("هو"/"هي")، وتعزيز الفكرة القائلة بأهميّة عمل المرأة ودورها في المجتمع، وذلك وفق توصيات وكالة ا</w:t>
      </w:r>
      <w:r w:rsidRPr="004C6CA6">
        <w:rPr>
          <w:rFonts w:hint="cs"/>
          <w:rtl/>
        </w:rPr>
        <w:t>ﻟ</w:t>
      </w:r>
      <w:r w:rsidRPr="004C6CA6">
        <w:rPr>
          <w:rFonts w:hint="eastAsia"/>
          <w:rtl/>
        </w:rPr>
        <w:t> </w:t>
      </w:r>
      <w:r w:rsidRPr="004C6CA6">
        <w:t>UNESCO</w:t>
      </w:r>
      <w:r w:rsidRPr="004C6CA6">
        <w:rPr>
          <w:rtl/>
        </w:rPr>
        <w:t>. كما أجرى عدّة دورات تدريبية تكريساً لمبدأ المساواة بين الجنسين.</w:t>
      </w:r>
    </w:p>
    <w:p w:rsidR="004C6CA6" w:rsidRPr="004C6CA6" w:rsidRDefault="004C6CA6" w:rsidP="004C6CA6">
      <w:pPr>
        <w:pStyle w:val="SingleTxt"/>
      </w:pPr>
      <w:r w:rsidRPr="004C6CA6">
        <w:rPr>
          <w:rFonts w:hint="cs"/>
          <w:rtl/>
        </w:rPr>
        <w:t>73-</w:t>
      </w:r>
      <w:r w:rsidRPr="004C6CA6">
        <w:tab/>
      </w:r>
      <w:r w:rsidRPr="004C6CA6">
        <w:rPr>
          <w:rtl/>
        </w:rPr>
        <w:t xml:space="preserve">هذا وإنّ المركز التربوي في صدد إعادة النظر في كتب مادّة التربية الوطنيّة والتّنشئة المدنيّة لمختلف سنوات المرحلتين المتوسّطة والثّانويّة ومن بين المواضيع التي سيضمّنها موضوع التّوعية على ضرورة رفض جميع أشكال العنصريّة والتّمييز العنصري وكره الأجانب وما يتّصل بذلك من تعصّب، وتمكين المتعلّم من التّعرّف </w:t>
      </w:r>
      <w:r w:rsidRPr="004C6CA6">
        <w:rPr>
          <w:rFonts w:hint="cs"/>
          <w:rtl/>
        </w:rPr>
        <w:t>إ</w:t>
      </w:r>
      <w:r w:rsidRPr="004C6CA6">
        <w:rPr>
          <w:rtl/>
        </w:rPr>
        <w:t xml:space="preserve">لى معنى الحريّات العامّة وإدراكه </w:t>
      </w:r>
      <w:r w:rsidRPr="004C6CA6">
        <w:rPr>
          <w:rFonts w:hint="cs"/>
          <w:rtl/>
        </w:rPr>
        <w:t>أ</w:t>
      </w:r>
      <w:r w:rsidRPr="004C6CA6">
        <w:rPr>
          <w:rtl/>
        </w:rPr>
        <w:t>ن هذه الحريّات هي حقوق أساسيّة لكلّ فرد تتعلّق بشخصه وعقيدته وبحقه في التّعبير وغيرها من الحقوق الأساسيّة.</w:t>
      </w:r>
    </w:p>
    <w:p w:rsidR="004C6CA6" w:rsidRPr="004C6CA6" w:rsidRDefault="004C6CA6" w:rsidP="004C6CA6">
      <w:pPr>
        <w:pStyle w:val="SingleTxt"/>
      </w:pPr>
      <w:r w:rsidRPr="004C6CA6">
        <w:rPr>
          <w:rFonts w:hint="cs"/>
          <w:rtl/>
        </w:rPr>
        <w:t>74-</w:t>
      </w:r>
      <w:r w:rsidRPr="004C6CA6">
        <w:tab/>
      </w:r>
      <w:r w:rsidRPr="004C6CA6">
        <w:rPr>
          <w:rtl/>
        </w:rPr>
        <w:t xml:space="preserve">نفّذ المركز التربوي للبحوث والإنماء، بالتنسيق مع جمعيّات المجتمع المدني، عدداً من المشاريع التّي تهدف إلى تعزيز الوعي الثّقافي والاجتماعي لدى الشّباب، ومن بينها برنامج "ألوان" التّربوي الذّي ينفّذ بالتّعاون مع جمعية "أديان" في المدارس، والرّامي إلى التّربية على المواطنيّة الحاضنة للتنوّع الديني وتقرير تقبّل الآخر المختلف ودعم القيم والسّلوكيّات والمضامين التي تدعو </w:t>
      </w:r>
      <w:r w:rsidRPr="004C6CA6">
        <w:rPr>
          <w:rFonts w:hint="cs"/>
          <w:rtl/>
        </w:rPr>
        <w:t>إ</w:t>
      </w:r>
      <w:r w:rsidRPr="004C6CA6">
        <w:rPr>
          <w:rtl/>
        </w:rPr>
        <w:t xml:space="preserve">لى الألفة والمحبّة بين مختلف الأديان، والى توسيع نطاق المعرفة لدى الشّباب فيما يتعلّق بتعزيز التّعارف المتبادل والتّشابك بين الشّباب من مختلف </w:t>
      </w:r>
      <w:r w:rsidRPr="004C6CA6">
        <w:rPr>
          <w:rFonts w:hint="cs"/>
          <w:rtl/>
        </w:rPr>
        <w:t>الا</w:t>
      </w:r>
      <w:r w:rsidRPr="004C6CA6">
        <w:rPr>
          <w:rtl/>
        </w:rPr>
        <w:t>نتماءات.</w:t>
      </w:r>
    </w:p>
    <w:p w:rsidR="004C6CA6" w:rsidRPr="004C6CA6" w:rsidRDefault="004C6CA6" w:rsidP="004C6CA6">
      <w:pPr>
        <w:pStyle w:val="SingleTxt"/>
      </w:pPr>
      <w:r w:rsidRPr="004C6CA6">
        <w:rPr>
          <w:rFonts w:hint="cs"/>
          <w:rtl/>
        </w:rPr>
        <w:t>75-</w:t>
      </w:r>
      <w:r w:rsidRPr="004C6CA6">
        <w:tab/>
      </w:r>
      <w:r w:rsidRPr="004C6CA6">
        <w:rPr>
          <w:rtl/>
        </w:rPr>
        <w:t xml:space="preserve">وفي الجامعة اللبنانية، جعلت رئاسة الجامعة مادّة حقوق </w:t>
      </w:r>
      <w:r w:rsidRPr="004C6CA6">
        <w:rPr>
          <w:rFonts w:hint="cs"/>
          <w:rtl/>
        </w:rPr>
        <w:t>الإ</w:t>
      </w:r>
      <w:r w:rsidRPr="004C6CA6">
        <w:rPr>
          <w:rtl/>
        </w:rPr>
        <w:t>نسان مقرراً الزامياً في الاختصاصات كافّة.</w:t>
      </w:r>
    </w:p>
    <w:p w:rsidR="003D6DE5" w:rsidRPr="003D6DE5" w:rsidRDefault="003D6DE5" w:rsidP="003D6DE5">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3D6DE5" w:rsidRPr="003D6DE5" w:rsidRDefault="003D6DE5" w:rsidP="003D6DE5">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4C6CA6" w:rsidRPr="004C6CA6" w:rsidRDefault="004C6CA6" w:rsidP="003D6DE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4C6CA6">
        <w:rPr>
          <w:rtl/>
        </w:rPr>
        <w:tab/>
        <w:t>(ب)</w:t>
      </w:r>
      <w:r w:rsidRPr="004C6CA6">
        <w:rPr>
          <w:rtl/>
        </w:rPr>
        <w:tab/>
        <w:t>تعزيز ثقافة حقوق الإنسان لدى عناصر قوى الأمن الدّاخلي</w:t>
      </w:r>
    </w:p>
    <w:p w:rsidR="004C6CA6" w:rsidRPr="004C6CA6" w:rsidRDefault="004C6CA6" w:rsidP="004C6CA6">
      <w:pPr>
        <w:pStyle w:val="SingleTxt"/>
      </w:pPr>
      <w:r w:rsidRPr="004C6CA6">
        <w:rPr>
          <w:rFonts w:hint="cs"/>
          <w:rtl/>
        </w:rPr>
        <w:t>76-</w:t>
      </w:r>
      <w:r w:rsidRPr="004C6CA6">
        <w:tab/>
      </w:r>
      <w:r w:rsidRPr="004C6CA6">
        <w:rPr>
          <w:rtl/>
        </w:rPr>
        <w:t xml:space="preserve">أطلقت المديريّة العامّة لقوى الأمن الدّاخلي خطّة استراتيجية للأعوام 2010-2013، من أبرز أولويّاتها حماية حقوق الإنسان والحريّات وتعزيز الكفاءة والتّطوير المهني داخل قوى الأمن </w:t>
      </w:r>
      <w:r w:rsidRPr="004C6CA6">
        <w:rPr>
          <w:rtl/>
        </w:rPr>
        <w:lastRenderedPageBreak/>
        <w:t>الدّاخلي، وقد جرى في هذا الإطار إنشاء "قسم حقوق الإنسان" في المفتشيّة العامّة لقوى الأمن الداخلي، وإدخال مادّة حقوق الإنسان في مناهج التّعليم والتّدريب لدى قوى الأمن الداخلي وتنظيم دورات تثقيفيّة لضبّاط قوى الأمن الدّاخلي تتضمّن مادّة حقوق الإنسان والشّرطة المجتمعيّة، وإعداد مدوّنة قواعد سلوك عناصر قوى الأمن الدّاخلي التّي تهدف إلى تأمين تقيّد عناصر قوى الأمن بالقيم الإنسانيّة وبمعايير الشّرف والنّزاهة والعدالة والكفاءة والحياديّة في أداء العمل الأمني دون أيّ تمييز ضماناً لاحترام حقوق الإنسان وحماية الحريّات العامّة التّي تنبثق من مبدأ الاعتراف بالكرامة المتأصّلة في جميع البشر وبحقوقهم المتساوية الثّابتة من حريّة وعدل وسلام دون أيّ شكل من أشكال التّمييز، وفقاً لما هو وارد في الإعلان العالمي لحقوق الإنسان لعام</w:t>
      </w:r>
      <w:r w:rsidRPr="004C6CA6">
        <w:rPr>
          <w:rFonts w:hint="eastAsia"/>
          <w:rtl/>
        </w:rPr>
        <w:t> </w:t>
      </w:r>
      <w:r w:rsidRPr="004C6CA6">
        <w:rPr>
          <w:rtl/>
        </w:rPr>
        <w:t>1948 ووفقاً لما ينصّ عليه في العهد الدّولي الخاصّ بالحقوق المدنيّة والسّياسيّة لعام 1966 من أن جميع النّاس يولدون أحراراً متساوين في الكرامة والحقوق، وفق أحكام الدّستور والمعايير الدّوليّة، وانطلاقاً من أهميّة تأسيس ثقافة وطنيّة لحماية وصون حقوق الإنسان</w:t>
      </w:r>
      <w:r w:rsidRPr="004C6CA6">
        <w:rPr>
          <w:vertAlign w:val="superscript"/>
          <w:rtl/>
        </w:rPr>
        <w:t>(</w:t>
      </w:r>
      <w:r w:rsidRPr="004C6CA6">
        <w:rPr>
          <w:vertAlign w:val="superscript"/>
          <w:rtl/>
        </w:rPr>
        <w:footnoteReference w:id="23"/>
      </w:r>
      <w:r w:rsidRPr="004C6CA6">
        <w:rPr>
          <w:vertAlign w:val="superscript"/>
          <w:rtl/>
        </w:rPr>
        <w:t>)</w:t>
      </w:r>
      <w:r w:rsidRPr="004C6CA6">
        <w:rPr>
          <w:rtl/>
        </w:rPr>
        <w:t>.</w:t>
      </w:r>
    </w:p>
    <w:p w:rsidR="004C6CA6" w:rsidRPr="004C6CA6" w:rsidRDefault="004C6CA6" w:rsidP="004C6CA6">
      <w:pPr>
        <w:pStyle w:val="SingleTxt"/>
      </w:pPr>
      <w:r w:rsidRPr="004C6CA6">
        <w:rPr>
          <w:rFonts w:hint="cs"/>
          <w:rtl/>
        </w:rPr>
        <w:t>77-</w:t>
      </w:r>
      <w:r w:rsidRPr="004C6CA6">
        <w:tab/>
      </w:r>
      <w:r w:rsidRPr="004C6CA6">
        <w:rPr>
          <w:rtl/>
        </w:rPr>
        <w:t>يناط بقسم حقوق الإنسان الذّي أنشئ في المفتشيّة العامّة لقوى الأمن الدّاخلي بموجب المرسوم رقم (755) تاريخ 3 كانون الثّاني/يناير 2008، القيام بالمهام الآتية:</w:t>
      </w:r>
    </w:p>
    <w:p w:rsidR="004C6CA6" w:rsidRPr="004C6CA6" w:rsidRDefault="003D6DE5" w:rsidP="006E5715">
      <w:pPr>
        <w:pStyle w:val="SingleTxt"/>
        <w:ind w:left="1930" w:hanging="398"/>
      </w:pPr>
      <w:r>
        <w:rPr>
          <w:rFonts w:hint="cs"/>
          <w:rtl/>
        </w:rPr>
        <w:t>•</w:t>
      </w:r>
      <w:r w:rsidRPr="004C6CA6">
        <w:rPr>
          <w:rtl/>
        </w:rPr>
        <w:tab/>
      </w:r>
      <w:r w:rsidR="004C6CA6" w:rsidRPr="004C6CA6">
        <w:rPr>
          <w:rtl/>
        </w:rPr>
        <w:t>تعريف حقوق الإنسان داخل قطعات المديريّة العامّة لقوى الأمن الدّاخلي؛</w:t>
      </w:r>
    </w:p>
    <w:p w:rsidR="004C6CA6" w:rsidRPr="004C6CA6" w:rsidRDefault="003D6DE5" w:rsidP="006E5715">
      <w:pPr>
        <w:pStyle w:val="SingleTxt"/>
        <w:ind w:left="1930" w:hanging="398"/>
      </w:pPr>
      <w:r>
        <w:rPr>
          <w:rFonts w:hint="cs"/>
          <w:rtl/>
        </w:rPr>
        <w:t>•</w:t>
      </w:r>
      <w:r w:rsidRPr="004C6CA6">
        <w:rPr>
          <w:rtl/>
        </w:rPr>
        <w:tab/>
      </w:r>
      <w:r w:rsidR="004C6CA6" w:rsidRPr="004C6CA6">
        <w:rPr>
          <w:rtl/>
        </w:rPr>
        <w:t>تعميق وعي عناصر المديريّة العامّة لقوى الأمن الدّاخلي في موضوع حقوق الإنسان؛</w:t>
      </w:r>
    </w:p>
    <w:p w:rsidR="004C6CA6" w:rsidRPr="004C6CA6" w:rsidRDefault="003D6DE5" w:rsidP="006E5715">
      <w:pPr>
        <w:pStyle w:val="SingleTxt"/>
        <w:ind w:left="1930" w:hanging="398"/>
      </w:pPr>
      <w:r>
        <w:rPr>
          <w:rFonts w:hint="cs"/>
          <w:rtl/>
        </w:rPr>
        <w:t>•</w:t>
      </w:r>
      <w:r w:rsidRPr="004C6CA6">
        <w:rPr>
          <w:rtl/>
        </w:rPr>
        <w:tab/>
      </w:r>
      <w:r w:rsidR="004C6CA6" w:rsidRPr="004C6CA6">
        <w:rPr>
          <w:rtl/>
        </w:rPr>
        <w:t xml:space="preserve">حماية حقوق الإنسان في لبنان من </w:t>
      </w:r>
      <w:r w:rsidR="004C6CA6" w:rsidRPr="004C6CA6">
        <w:rPr>
          <w:rFonts w:hint="cs"/>
          <w:rtl/>
        </w:rPr>
        <w:t>الا</w:t>
      </w:r>
      <w:r w:rsidR="004C6CA6" w:rsidRPr="004C6CA6">
        <w:rPr>
          <w:rtl/>
        </w:rPr>
        <w:t>نتهاك من قبل عناصر القطعات المعنية و</w:t>
      </w:r>
      <w:r w:rsidR="004C6CA6" w:rsidRPr="004C6CA6">
        <w:rPr>
          <w:rFonts w:hint="cs"/>
          <w:rtl/>
        </w:rPr>
        <w:t>ا</w:t>
      </w:r>
      <w:r w:rsidR="004C6CA6" w:rsidRPr="004C6CA6">
        <w:rPr>
          <w:rtl/>
        </w:rPr>
        <w:t>تخاذ التدابير الآيلة إلى تطبيقها؛</w:t>
      </w:r>
    </w:p>
    <w:p w:rsidR="004C6CA6" w:rsidRPr="004C6CA6" w:rsidRDefault="003D6DE5" w:rsidP="006E5715">
      <w:pPr>
        <w:pStyle w:val="SingleTxt"/>
        <w:ind w:left="1930" w:hanging="398"/>
      </w:pPr>
      <w:r>
        <w:rPr>
          <w:rFonts w:hint="cs"/>
          <w:rtl/>
        </w:rPr>
        <w:t>•</w:t>
      </w:r>
      <w:r w:rsidRPr="004C6CA6">
        <w:rPr>
          <w:rtl/>
        </w:rPr>
        <w:tab/>
      </w:r>
      <w:r w:rsidR="004C6CA6" w:rsidRPr="004C6CA6">
        <w:rPr>
          <w:rtl/>
        </w:rPr>
        <w:t>اقتراح تعديل القوانين والأنظمة التي ترعى عمل قوى الأمن الداخلي بما يتلاءم وحقوق الإنسان؛</w:t>
      </w:r>
    </w:p>
    <w:p w:rsidR="004C6CA6" w:rsidRPr="004C6CA6" w:rsidRDefault="003D6DE5" w:rsidP="006E5715">
      <w:pPr>
        <w:pStyle w:val="SingleTxt"/>
        <w:ind w:left="1930" w:hanging="398"/>
      </w:pPr>
      <w:r>
        <w:rPr>
          <w:rFonts w:hint="cs"/>
          <w:rtl/>
        </w:rPr>
        <w:t>•</w:t>
      </w:r>
      <w:r w:rsidRPr="004C6CA6">
        <w:rPr>
          <w:rtl/>
        </w:rPr>
        <w:tab/>
      </w:r>
      <w:r w:rsidR="004C6CA6" w:rsidRPr="004C6CA6">
        <w:rPr>
          <w:rtl/>
        </w:rPr>
        <w:t>تعليم ونشر وتوثيق كل ما يتعلّق بحقوق الإنسان؛</w:t>
      </w:r>
    </w:p>
    <w:p w:rsidR="004C6CA6" w:rsidRPr="004C6CA6" w:rsidRDefault="003D6DE5" w:rsidP="006E5715">
      <w:pPr>
        <w:pStyle w:val="SingleTxt"/>
        <w:ind w:left="1930" w:hanging="398"/>
      </w:pPr>
      <w:r>
        <w:rPr>
          <w:rFonts w:hint="cs"/>
          <w:rtl/>
        </w:rPr>
        <w:t>•</w:t>
      </w:r>
      <w:r w:rsidRPr="004C6CA6">
        <w:rPr>
          <w:rtl/>
        </w:rPr>
        <w:tab/>
      </w:r>
      <w:r w:rsidR="004C6CA6" w:rsidRPr="004C6CA6">
        <w:rPr>
          <w:rtl/>
        </w:rPr>
        <w:t>القيام بالدراسات اللاّزمة كما والدعوة إلى تنظيم دورات دراسيّة ذات طابع علمي وعملي لفائدة كلّ المعنيّين في المديريّة العامّة لقوى الأمن الدّاخلي بتطبيق حقوق الإنسان؛</w:t>
      </w:r>
    </w:p>
    <w:p w:rsidR="004C6CA6" w:rsidRPr="004C6CA6" w:rsidRDefault="003D6DE5" w:rsidP="006E5715">
      <w:pPr>
        <w:pStyle w:val="SingleTxt"/>
        <w:ind w:left="1930" w:hanging="398"/>
      </w:pPr>
      <w:r>
        <w:rPr>
          <w:rFonts w:hint="cs"/>
          <w:rtl/>
        </w:rPr>
        <w:t>•</w:t>
      </w:r>
      <w:r w:rsidRPr="004C6CA6">
        <w:rPr>
          <w:rtl/>
        </w:rPr>
        <w:tab/>
      </w:r>
      <w:r w:rsidR="004C6CA6" w:rsidRPr="004C6CA6">
        <w:rPr>
          <w:rtl/>
        </w:rPr>
        <w:t>إعطاء الإرشادات اللاّزمة والمتعلّقة بحقوق الإنسان للقطعات المعنية في المديريّة العامة لقوى الأمن الداخلي؛</w:t>
      </w:r>
    </w:p>
    <w:p w:rsidR="004C6CA6" w:rsidRPr="004C6CA6" w:rsidRDefault="003D6DE5" w:rsidP="006E5715">
      <w:pPr>
        <w:pStyle w:val="SingleTxt"/>
        <w:ind w:left="1930" w:hanging="398"/>
      </w:pPr>
      <w:r>
        <w:rPr>
          <w:rFonts w:hint="cs"/>
          <w:rtl/>
        </w:rPr>
        <w:t>•</w:t>
      </w:r>
      <w:r w:rsidRPr="004C6CA6">
        <w:rPr>
          <w:rtl/>
        </w:rPr>
        <w:tab/>
      </w:r>
      <w:r w:rsidR="004C6CA6" w:rsidRPr="004C6CA6">
        <w:rPr>
          <w:rtl/>
        </w:rPr>
        <w:t>التّنسيق مع الجمعيّات المحليّة كافّة، الإقليميّة والدوليّة أهليّة كانت أو حكومية والتّي تتعاطى حقوق الإنسان وذلك لحسن التّطبيق من قبل القطعات المعنيّة في المديرية العامّة لقوى الأمن الداخلي؛</w:t>
      </w:r>
    </w:p>
    <w:p w:rsidR="004C6CA6" w:rsidRPr="004C6CA6" w:rsidRDefault="003D6DE5" w:rsidP="006E5715">
      <w:pPr>
        <w:pStyle w:val="SingleTxt"/>
        <w:ind w:left="1930" w:hanging="398"/>
      </w:pPr>
      <w:r>
        <w:rPr>
          <w:rFonts w:hint="cs"/>
          <w:rtl/>
        </w:rPr>
        <w:t>•</w:t>
      </w:r>
      <w:r w:rsidRPr="004C6CA6">
        <w:rPr>
          <w:rtl/>
        </w:rPr>
        <w:tab/>
      </w:r>
      <w:r w:rsidR="004C6CA6" w:rsidRPr="004C6CA6">
        <w:rPr>
          <w:rtl/>
        </w:rPr>
        <w:t>إنشاء قاعدة معلومات إلكترونية خاصّة بالإدارة حول حقوق الإنسان في لبنان؛</w:t>
      </w:r>
    </w:p>
    <w:p w:rsidR="004C6CA6" w:rsidRPr="004C6CA6" w:rsidRDefault="003D6DE5" w:rsidP="006E5715">
      <w:pPr>
        <w:pStyle w:val="SingleTxt"/>
        <w:ind w:left="1930" w:hanging="398"/>
      </w:pPr>
      <w:r>
        <w:rPr>
          <w:rFonts w:hint="cs"/>
          <w:rtl/>
        </w:rPr>
        <w:lastRenderedPageBreak/>
        <w:t>•</w:t>
      </w:r>
      <w:r w:rsidRPr="004C6CA6">
        <w:rPr>
          <w:rtl/>
        </w:rPr>
        <w:tab/>
      </w:r>
      <w:r w:rsidR="004C6CA6" w:rsidRPr="004C6CA6">
        <w:rPr>
          <w:rtl/>
        </w:rPr>
        <w:t>إصدار نشرات تعنى بحقوق الإنسان، وكل نشاط آخر يخدم قضية حقوق الإنسان في لبنان وتوزيعها على قطعات قوى الأمن الداخلي المعنيّة، والتّنسيق في هذا المجال مع القطعة المختصّة في المديريّة العامّة للأمن العامّ.</w:t>
      </w:r>
    </w:p>
    <w:p w:rsidR="003D6DE5" w:rsidRPr="003D6DE5" w:rsidRDefault="003D6DE5" w:rsidP="003D6DE5">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4C6CA6" w:rsidRPr="004C6CA6" w:rsidRDefault="004C6CA6" w:rsidP="003D6DE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4C6CA6">
        <w:rPr>
          <w:rtl/>
        </w:rPr>
        <w:tab/>
      </w:r>
      <w:r w:rsidRPr="004C6CA6">
        <w:rPr>
          <w:rFonts w:hint="cs"/>
          <w:rtl/>
        </w:rPr>
        <w:t>ثانياً</w:t>
      </w:r>
      <w:r w:rsidRPr="004C6CA6">
        <w:rPr>
          <w:rtl/>
        </w:rPr>
        <w:t>-</w:t>
      </w:r>
      <w:r w:rsidRPr="004C6CA6">
        <w:rPr>
          <w:rtl/>
        </w:rPr>
        <w:tab/>
        <w:t>الإعلام</w:t>
      </w:r>
    </w:p>
    <w:p w:rsidR="003D6DE5" w:rsidRPr="003D6DE5" w:rsidRDefault="003D6DE5" w:rsidP="003D6DE5">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4C6CA6" w:rsidRPr="004C6CA6" w:rsidRDefault="004C6CA6" w:rsidP="003D6DE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4C6CA6">
        <w:rPr>
          <w:rtl/>
        </w:rPr>
        <w:tab/>
      </w:r>
      <w:r w:rsidRPr="004C6CA6">
        <w:rPr>
          <w:rtl/>
        </w:rPr>
        <w:tab/>
        <w:t>حماية العمّال الأجانب في الخدمة المنزليّة</w:t>
      </w:r>
    </w:p>
    <w:p w:rsidR="004C6CA6" w:rsidRPr="004C6CA6" w:rsidRDefault="004C6CA6" w:rsidP="004C6CA6">
      <w:pPr>
        <w:pStyle w:val="SingleTxt"/>
      </w:pPr>
      <w:r w:rsidRPr="004C6CA6">
        <w:rPr>
          <w:rFonts w:hint="cs"/>
          <w:rtl/>
        </w:rPr>
        <w:t>78-</w:t>
      </w:r>
      <w:r w:rsidRPr="004C6CA6">
        <w:rPr>
          <w:rtl/>
        </w:rPr>
        <w:tab/>
        <w:t xml:space="preserve">أصدر وزير العمل في شهر تشرين الثّاني من العام 2014 </w:t>
      </w:r>
      <w:r w:rsidRPr="004C6CA6">
        <w:rPr>
          <w:rFonts w:hint="cs"/>
          <w:rtl/>
        </w:rPr>
        <w:t>ال</w:t>
      </w:r>
      <w:r w:rsidRPr="004C6CA6">
        <w:rPr>
          <w:rtl/>
        </w:rPr>
        <w:t xml:space="preserve">مذّكرة </w:t>
      </w:r>
      <w:r w:rsidRPr="004C6CA6">
        <w:rPr>
          <w:rFonts w:hint="cs"/>
          <w:rtl/>
        </w:rPr>
        <w:t>رقم</w:t>
      </w:r>
      <w:r w:rsidRPr="004C6CA6">
        <w:rPr>
          <w:rtl/>
        </w:rPr>
        <w:t xml:space="preserve"> 48/1 طلب فيها من جميع مكاتب استقدام العاملات في الخدمة المنزليّة نزع جميع الإعلانات التّي تحطّ من القيم الإنسانيّة تحت طائلة اعتبارها إتّجاراً بالبشر والملاحقة القضائيّة</w:t>
      </w:r>
      <w:r w:rsidRPr="004C6CA6">
        <w:rPr>
          <w:vertAlign w:val="superscript"/>
          <w:rtl/>
        </w:rPr>
        <w:t>(</w:t>
      </w:r>
      <w:r w:rsidRPr="004C6CA6">
        <w:rPr>
          <w:vertAlign w:val="superscript"/>
          <w:rtl/>
        </w:rPr>
        <w:footnoteReference w:id="24"/>
      </w:r>
      <w:r w:rsidRPr="004C6CA6">
        <w:rPr>
          <w:vertAlign w:val="superscript"/>
          <w:rtl/>
        </w:rPr>
        <w:t>)</w:t>
      </w:r>
      <w:r w:rsidRPr="004C6CA6">
        <w:rPr>
          <w:rtl/>
        </w:rPr>
        <w:t xml:space="preserve">. </w:t>
      </w:r>
    </w:p>
    <w:p w:rsidR="004C6CA6" w:rsidRDefault="004C6CA6" w:rsidP="004C6CA6">
      <w:pPr>
        <w:pStyle w:val="SingleTxt"/>
        <w:rPr>
          <w:rtl/>
        </w:rPr>
      </w:pPr>
      <w:r w:rsidRPr="004C6CA6">
        <w:rPr>
          <w:rtl/>
        </w:rPr>
        <w:tab/>
        <w:t>وقد جرى فعليّاً، بمبادرة من وزارة العمل، إحالة قضيّة تتعلّق بإعلان عن استقدام عاملات في الخدمة المنزليّة بصورة تنمّ عن ممارسة تجاريّة ومسيئة إلى القيم الإنسانيّة إلى النّيابة العامّة المختصّة.</w:t>
      </w:r>
    </w:p>
    <w:p w:rsidR="003D6DE5" w:rsidRPr="003D6DE5" w:rsidRDefault="003D6DE5" w:rsidP="003D6DE5">
      <w:pPr>
        <w:pStyle w:val="SingleTxt"/>
        <w:spacing w:after="0" w:line="240" w:lineRule="auto"/>
        <w:rPr>
          <w:rtl/>
        </w:rPr>
      </w:pPr>
      <w:r>
        <w:rPr>
          <w:noProof/>
          <w:w w:val="100"/>
          <w:rtl/>
        </w:rPr>
        <mc:AlternateContent>
          <mc:Choice Requires="wps">
            <w:drawing>
              <wp:anchor distT="0" distB="0" distL="114300" distR="114300" simplePos="0" relativeHeight="251660288" behindDoc="0" locked="0" layoutInCell="1" allowOverlap="1">
                <wp:simplePos x="0" y="0"/>
                <wp:positionH relativeFrom="column">
                  <wp:posOffset>2623820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" strokecolor="#010000" strokeweight=".25pt"/>
            </w:pict>
          </mc:Fallback>
        </mc:AlternateContent>
      </w:r>
    </w:p>
    <w:sectPr w:rsidR="003D6DE5" w:rsidRPr="003D6DE5" w:rsidSect="001C7E43">
      <w:endnotePr>
        <w:numFmt w:val="decimal"/>
      </w:endnotePr>
      <w:type w:val="continuous"/>
      <w:pgSz w:w="11909" w:h="16834" w:code="1"/>
      <w:pgMar w:top="1742" w:right="936" w:bottom="1898" w:left="936" w:header="576" w:footer="1030" w:gutter="0"/>
      <w:cols w:space="720"/>
      <w:noEndnote/>
      <w:bidi/>
      <w:rtlGutter/>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9-14T10:47:00Z" w:initials="Start">
    <w:p w:rsidR="007673A0" w:rsidRDefault="007673A0">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NO&gt;&gt;N1519558A&lt;&lt;ODS JOB NO&gt;&gt;</w:t>
      </w:r>
    </w:p>
    <w:p w:rsidR="007673A0" w:rsidRPr="00D309BA" w:rsidRDefault="007673A0">
      <w:pPr>
        <w:pStyle w:val="CommentText"/>
        <w:rPr>
          <w:lang w:val="fr-CH"/>
        </w:rPr>
      </w:pPr>
      <w:r w:rsidRPr="00D309BA">
        <w:rPr>
          <w:lang w:val="fr-CH"/>
        </w:rPr>
        <w:t>&lt;&lt;ODS DOC SYMBOL1&gt;&gt;CERD/C/LBN/18-22&lt;&lt;ODS DOC SYMBOL1&gt;&gt;</w:t>
      </w:r>
    </w:p>
    <w:p w:rsidR="007673A0" w:rsidRDefault="007673A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73A0" w:rsidRDefault="007673A0" w:rsidP="00693CF9">
      <w:pPr>
        <w:spacing w:line="240" w:lineRule="auto"/>
      </w:pPr>
      <w:r>
        <w:separator/>
      </w:r>
    </w:p>
  </w:endnote>
  <w:endnote w:type="continuationSeparator" w:id="0">
    <w:p w:rsidR="007673A0" w:rsidRDefault="007673A0"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7673A0" w:rsidTr="001C7E43">
      <w:trPr>
        <w:jc w:val="center"/>
      </w:trPr>
      <w:tc>
        <w:tcPr>
          <w:tcW w:w="5126" w:type="dxa"/>
          <w:shd w:val="clear" w:color="auto" w:fill="auto"/>
        </w:tcPr>
        <w:p w:rsidR="007673A0" w:rsidRPr="001C7E43" w:rsidRDefault="007673A0" w:rsidP="001C7E43">
          <w:pPr>
            <w:pStyle w:val="Footer"/>
            <w:rPr>
              <w:w w:val="103"/>
            </w:rPr>
          </w:pPr>
          <w:r>
            <w:rPr>
              <w:w w:val="103"/>
            </w:rPr>
            <w:fldChar w:fldCharType="begin"/>
          </w:r>
          <w:r>
            <w:rPr>
              <w:w w:val="103"/>
            </w:rPr>
            <w:instrText xml:space="preserve"> PAGE  \* Arabic  \* MERGEFORMAT </w:instrText>
          </w:r>
          <w:r>
            <w:rPr>
              <w:w w:val="103"/>
            </w:rPr>
            <w:fldChar w:fldCharType="separate"/>
          </w:r>
          <w:r w:rsidR="00051EE8">
            <w:rPr>
              <w:noProof/>
              <w:w w:val="103"/>
            </w:rPr>
            <w:t>34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51EE8">
            <w:rPr>
              <w:noProof/>
              <w:w w:val="103"/>
            </w:rPr>
            <w:t>35</w:t>
          </w:r>
          <w:r>
            <w:rPr>
              <w:w w:val="103"/>
            </w:rPr>
            <w:fldChar w:fldCharType="end"/>
          </w:r>
        </w:p>
      </w:tc>
      <w:tc>
        <w:tcPr>
          <w:tcW w:w="5127" w:type="dxa"/>
          <w:shd w:val="clear" w:color="auto" w:fill="auto"/>
        </w:tcPr>
        <w:p w:rsidR="007673A0" w:rsidRPr="001C7E43" w:rsidRDefault="007673A0" w:rsidP="001C7E43">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051EE8">
            <w:rPr>
              <w:b w:val="0"/>
              <w:w w:val="103"/>
            </w:rPr>
            <w:t>GE.15-14675</w:t>
          </w:r>
          <w:r>
            <w:rPr>
              <w:b w:val="0"/>
              <w:w w:val="103"/>
            </w:rPr>
            <w:fldChar w:fldCharType="end"/>
          </w:r>
        </w:p>
      </w:tc>
    </w:tr>
  </w:tbl>
  <w:p w:rsidR="007673A0" w:rsidRPr="001C7E43" w:rsidRDefault="007673A0" w:rsidP="001C7E4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7673A0" w:rsidTr="001C7E43">
      <w:trPr>
        <w:jc w:val="center"/>
      </w:trPr>
      <w:tc>
        <w:tcPr>
          <w:tcW w:w="5126" w:type="dxa"/>
          <w:shd w:val="clear" w:color="auto" w:fill="auto"/>
        </w:tcPr>
        <w:p w:rsidR="007673A0" w:rsidRPr="001C7E43" w:rsidRDefault="007673A0" w:rsidP="001C7E43">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051EE8">
            <w:rPr>
              <w:b w:val="0"/>
              <w:w w:val="103"/>
            </w:rPr>
            <w:t>GE.15-14675</w:t>
          </w:r>
          <w:r>
            <w:rPr>
              <w:b w:val="0"/>
              <w:w w:val="103"/>
            </w:rPr>
            <w:fldChar w:fldCharType="end"/>
          </w:r>
        </w:p>
      </w:tc>
      <w:tc>
        <w:tcPr>
          <w:tcW w:w="5127" w:type="dxa"/>
          <w:shd w:val="clear" w:color="auto" w:fill="auto"/>
        </w:tcPr>
        <w:p w:rsidR="007673A0" w:rsidRPr="001C7E43" w:rsidRDefault="007673A0" w:rsidP="001C7E43">
          <w:pPr>
            <w:pStyle w:val="Footer"/>
            <w:jc w:val="left"/>
            <w:rPr>
              <w:w w:val="103"/>
            </w:rPr>
          </w:pPr>
          <w:r>
            <w:rPr>
              <w:w w:val="103"/>
            </w:rPr>
            <w:fldChar w:fldCharType="begin"/>
          </w:r>
          <w:r>
            <w:rPr>
              <w:w w:val="103"/>
            </w:rPr>
            <w:instrText xml:space="preserve"> PAGE  \* Arabic  \* MERGEFORMAT </w:instrText>
          </w:r>
          <w:r>
            <w:rPr>
              <w:w w:val="103"/>
            </w:rPr>
            <w:fldChar w:fldCharType="separate"/>
          </w:r>
          <w:r w:rsidR="00051EE8">
            <w:rPr>
              <w:noProof/>
              <w:w w:val="103"/>
            </w:rPr>
            <w:t>35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51EE8">
            <w:rPr>
              <w:noProof/>
              <w:w w:val="103"/>
            </w:rPr>
            <w:t>35</w:t>
          </w:r>
          <w:r>
            <w:rPr>
              <w:w w:val="103"/>
            </w:rPr>
            <w:fldChar w:fldCharType="end"/>
          </w:r>
        </w:p>
      </w:tc>
    </w:tr>
  </w:tbl>
  <w:p w:rsidR="007673A0" w:rsidRPr="001C7E43" w:rsidRDefault="007673A0" w:rsidP="001C7E4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4046"/>
      <w:gridCol w:w="5127"/>
    </w:tblGrid>
    <w:tr w:rsidR="007673A0" w:rsidTr="001C7E43">
      <w:trPr>
        <w:jc w:val="right"/>
      </w:trPr>
      <w:tc>
        <w:tcPr>
          <w:tcW w:w="4046" w:type="dxa"/>
        </w:tcPr>
        <w:p w:rsidR="007673A0" w:rsidRDefault="007673A0" w:rsidP="001C7E43">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0D7E2764" wp14:editId="3BB9E7B1">
                <wp:simplePos x="0" y="0"/>
                <wp:positionH relativeFrom="page">
                  <wp:posOffset>-648970</wp:posOffset>
                </wp:positionH>
                <wp:positionV relativeFrom="page">
                  <wp:posOffset>-356235</wp:posOffset>
                </wp:positionV>
                <wp:extent cx="694690" cy="694690"/>
                <wp:effectExtent l="0" t="0" r="0" b="0"/>
                <wp:wrapNone/>
                <wp:docPr id="3" name="Picture 3" descr="http://undocs.org/m2/QRCode2.ashx?DS=CERD/C/LBN/18-22&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RD/C/LBN/18-22&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65FA4C43" wp14:editId="4E4C93CF">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554615" cy="320068"/>
                        </a:xfrm>
                        <a:prstGeom prst="rect">
                          <a:avLst/>
                        </a:prstGeom>
                      </pic:spPr>
                    </pic:pic>
                  </a:graphicData>
                </a:graphic>
              </wp:inline>
            </w:drawing>
          </w:r>
        </w:p>
      </w:tc>
      <w:tc>
        <w:tcPr>
          <w:tcW w:w="5127" w:type="dxa"/>
        </w:tcPr>
        <w:p w:rsidR="007673A0" w:rsidRDefault="007673A0" w:rsidP="006E5715">
          <w:pPr>
            <w:pStyle w:val="ReleaseDate"/>
          </w:pPr>
          <w:r>
            <w:t xml:space="preserve">080915    150915    </w:t>
          </w:r>
          <w:r w:rsidR="00051EE8">
            <w:fldChar w:fldCharType="begin"/>
          </w:r>
          <w:r w:rsidR="00051EE8">
            <w:instrText xml:space="preserve"> DOCVARIABLE "jobn" \* MERGEFORMAT </w:instrText>
          </w:r>
          <w:r w:rsidR="00051EE8">
            <w:fldChar w:fldCharType="separate"/>
          </w:r>
          <w:r w:rsidR="00051EE8">
            <w:t>GE.15-14675 (A)</w:t>
          </w:r>
          <w:r w:rsidR="00051EE8">
            <w:fldChar w:fldCharType="end"/>
          </w:r>
        </w:p>
        <w:p w:rsidR="007673A0" w:rsidRPr="001C7E43" w:rsidRDefault="007673A0" w:rsidP="001C7E43">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051EE8">
            <w:rPr>
              <w:rFonts w:ascii="Barcode 3 of 9 by request" w:hAnsi="Barcode 3 of 9 by request"/>
              <w:sz w:val="24"/>
            </w:rPr>
            <w:t>*1514675*</w:t>
          </w:r>
          <w:r>
            <w:rPr>
              <w:rFonts w:ascii="Barcode 3 of 9 by request" w:hAnsi="Barcode 3 of 9 by request"/>
              <w:sz w:val="24"/>
            </w:rPr>
            <w:fldChar w:fldCharType="end"/>
          </w:r>
        </w:p>
      </w:tc>
    </w:tr>
  </w:tbl>
  <w:p w:rsidR="007673A0" w:rsidRPr="001C7E43" w:rsidRDefault="007673A0" w:rsidP="001C7E43">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73A0" w:rsidRPr="00476CF6" w:rsidRDefault="007673A0" w:rsidP="00476CF6">
      <w:pPr>
        <w:pStyle w:val="Footer"/>
        <w:bidi/>
        <w:spacing w:after="80"/>
        <w:ind w:left="792"/>
        <w:jc w:val="left"/>
        <w:rPr>
          <w:sz w:val="16"/>
        </w:rPr>
      </w:pPr>
      <w:r w:rsidRPr="00476CF6">
        <w:rPr>
          <w:sz w:val="16"/>
          <w:rtl/>
        </w:rPr>
        <w:t>__________</w:t>
      </w:r>
    </w:p>
  </w:footnote>
  <w:footnote w:type="continuationSeparator" w:id="0">
    <w:p w:rsidR="007673A0" w:rsidRPr="00476CF6" w:rsidRDefault="007673A0" w:rsidP="00476CF6">
      <w:pPr>
        <w:pStyle w:val="Footer"/>
        <w:bidi/>
        <w:spacing w:after="80"/>
        <w:ind w:left="792"/>
        <w:jc w:val="left"/>
        <w:rPr>
          <w:sz w:val="16"/>
        </w:rPr>
      </w:pPr>
      <w:r w:rsidRPr="00476CF6">
        <w:rPr>
          <w:sz w:val="16"/>
          <w:rtl/>
        </w:rPr>
        <w:t>__________</w:t>
      </w:r>
    </w:p>
  </w:footnote>
  <w:footnote w:id="1">
    <w:p w:rsidR="007673A0" w:rsidRPr="00724A5B" w:rsidRDefault="007673A0" w:rsidP="00724A5B">
      <w:pPr>
        <w:pStyle w:val="FootnoteText"/>
        <w:tabs>
          <w:tab w:val="clear" w:pos="418"/>
          <w:tab w:val="right" w:pos="1195"/>
          <w:tab w:val="left" w:pos="1267"/>
          <w:tab w:val="left" w:pos="1656"/>
          <w:tab w:val="left" w:pos="2088"/>
        </w:tabs>
        <w:spacing w:after="80"/>
        <w:ind w:left="1267" w:right="1267" w:hanging="547"/>
        <w:rPr>
          <w:w w:val="103"/>
          <w:rtl/>
        </w:rPr>
      </w:pPr>
      <w:r>
        <w:rPr>
          <w:rFonts w:hint="cs"/>
          <w:w w:val="103"/>
          <w:rtl/>
        </w:rPr>
        <w:tab/>
      </w:r>
      <w:r w:rsidRPr="00724A5B">
        <w:rPr>
          <w:w w:val="103"/>
          <w:rtl/>
        </w:rPr>
        <w:t>(</w:t>
      </w:r>
      <w:r w:rsidRPr="00724A5B">
        <w:rPr>
          <w:w w:val="103"/>
        </w:rPr>
        <w:footnoteRef/>
      </w:r>
      <w:r w:rsidRPr="00724A5B">
        <w:rPr>
          <w:w w:val="103"/>
          <w:rtl/>
        </w:rPr>
        <w:t>)</w:t>
      </w:r>
      <w:r w:rsidRPr="00724A5B">
        <w:rPr>
          <w:w w:val="103"/>
          <w:rtl/>
        </w:rPr>
        <w:tab/>
        <w:t xml:space="preserve">المستند </w:t>
      </w:r>
      <w:r w:rsidRPr="00724A5B">
        <w:rPr>
          <w:w w:val="103"/>
        </w:rPr>
        <w:t>CERD/C/64/CO/03</w:t>
      </w:r>
      <w:r w:rsidRPr="00724A5B">
        <w:rPr>
          <w:w w:val="103"/>
          <w:rtl/>
        </w:rPr>
        <w:t>.</w:t>
      </w:r>
    </w:p>
  </w:footnote>
  <w:footnote w:id="2">
    <w:p w:rsidR="007673A0" w:rsidRPr="00724A5B" w:rsidRDefault="007673A0" w:rsidP="00724A5B">
      <w:pPr>
        <w:pStyle w:val="FootnoteText"/>
        <w:tabs>
          <w:tab w:val="clear" w:pos="418"/>
          <w:tab w:val="right" w:pos="1195"/>
          <w:tab w:val="left" w:pos="1267"/>
          <w:tab w:val="left" w:pos="1656"/>
          <w:tab w:val="left" w:pos="2088"/>
        </w:tabs>
        <w:spacing w:after="80"/>
        <w:ind w:left="1267" w:right="1267" w:hanging="547"/>
        <w:rPr>
          <w:w w:val="103"/>
          <w:rtl/>
        </w:rPr>
      </w:pPr>
      <w:r>
        <w:rPr>
          <w:rFonts w:hint="cs"/>
          <w:w w:val="103"/>
          <w:rtl/>
        </w:rPr>
        <w:tab/>
      </w:r>
      <w:r w:rsidRPr="00724A5B">
        <w:rPr>
          <w:w w:val="103"/>
          <w:rtl/>
        </w:rPr>
        <w:t>(</w:t>
      </w:r>
      <w:r w:rsidRPr="00724A5B">
        <w:rPr>
          <w:w w:val="103"/>
        </w:rPr>
        <w:footnoteRef/>
      </w:r>
      <w:r w:rsidRPr="00724A5B">
        <w:rPr>
          <w:w w:val="103"/>
          <w:rtl/>
        </w:rPr>
        <w:t>)</w:t>
      </w:r>
      <w:r w:rsidRPr="00724A5B">
        <w:rPr>
          <w:w w:val="103"/>
          <w:rtl/>
        </w:rPr>
        <w:tab/>
      </w:r>
      <w:r w:rsidRPr="00724A5B">
        <w:rPr>
          <w:rFonts w:hint="cs"/>
          <w:w w:val="103"/>
          <w:rtl/>
        </w:rPr>
        <w:t>يراجع</w:t>
      </w:r>
      <w:r w:rsidRPr="00724A5B">
        <w:rPr>
          <w:w w:val="103"/>
          <w:rtl/>
        </w:rPr>
        <w:t xml:space="preserve"> في هذا الخصوص: </w:t>
      </w:r>
      <w:r w:rsidRPr="00724A5B">
        <w:rPr>
          <w:w w:val="103"/>
        </w:rPr>
        <w:t>http://data.unhcr.org/syrianrefugees/country.php?id=122#</w:t>
      </w:r>
      <w:r w:rsidRPr="00724A5B">
        <w:rPr>
          <w:rFonts w:hint="cs"/>
          <w:w w:val="103"/>
          <w:rtl/>
        </w:rPr>
        <w:t>؛</w:t>
      </w:r>
      <w:r w:rsidRPr="00724A5B">
        <w:rPr>
          <w:w w:val="103"/>
          <w:rtl/>
        </w:rPr>
        <w:t xml:space="preserve"> </w:t>
      </w:r>
      <w:r w:rsidRPr="00724A5B">
        <w:rPr>
          <w:w w:val="103"/>
        </w:rPr>
        <w:t>http://www.unrwa.org/</w:t>
      </w:r>
      <w:r>
        <w:rPr>
          <w:w w:val="103"/>
        </w:rPr>
        <w:br/>
      </w:r>
      <w:r w:rsidRPr="00724A5B">
        <w:rPr>
          <w:w w:val="103"/>
        </w:rPr>
        <w:t>where-we-work/lebanon</w:t>
      </w:r>
      <w:r w:rsidRPr="00724A5B">
        <w:rPr>
          <w:w w:val="103"/>
          <w:rtl/>
        </w:rPr>
        <w:t>.</w:t>
      </w:r>
    </w:p>
  </w:footnote>
  <w:footnote w:id="3">
    <w:p w:rsidR="007673A0" w:rsidRPr="00724A5B" w:rsidRDefault="007673A0" w:rsidP="00724A5B">
      <w:pPr>
        <w:pStyle w:val="FootnoteText"/>
        <w:tabs>
          <w:tab w:val="clear" w:pos="418"/>
          <w:tab w:val="right" w:pos="1195"/>
          <w:tab w:val="left" w:pos="1267"/>
          <w:tab w:val="left" w:pos="1656"/>
          <w:tab w:val="left" w:pos="2088"/>
        </w:tabs>
        <w:spacing w:after="80"/>
        <w:ind w:left="1267" w:right="1267" w:hanging="547"/>
        <w:rPr>
          <w:w w:val="103"/>
          <w:rtl/>
        </w:rPr>
      </w:pPr>
      <w:r>
        <w:rPr>
          <w:rFonts w:hint="cs"/>
          <w:w w:val="103"/>
          <w:rtl/>
        </w:rPr>
        <w:tab/>
      </w:r>
      <w:r w:rsidRPr="00724A5B">
        <w:rPr>
          <w:w w:val="103"/>
          <w:rtl/>
        </w:rPr>
        <w:t>(</w:t>
      </w:r>
      <w:r w:rsidRPr="00724A5B">
        <w:rPr>
          <w:w w:val="103"/>
        </w:rPr>
        <w:footnoteRef/>
      </w:r>
      <w:r w:rsidRPr="00724A5B">
        <w:rPr>
          <w:w w:val="103"/>
          <w:rtl/>
        </w:rPr>
        <w:t>)</w:t>
      </w:r>
      <w:r w:rsidRPr="00724A5B">
        <w:rPr>
          <w:w w:val="103"/>
          <w:rtl/>
        </w:rPr>
        <w:tab/>
      </w:r>
      <w:r w:rsidRPr="00724A5B">
        <w:rPr>
          <w:rFonts w:hint="cs"/>
          <w:w w:val="103"/>
          <w:rtl/>
        </w:rPr>
        <w:t>ي</w:t>
      </w:r>
      <w:r w:rsidRPr="00724A5B">
        <w:rPr>
          <w:w w:val="103"/>
          <w:rtl/>
        </w:rPr>
        <w:t xml:space="preserve">راجع في هذا الخصوص التّقرير اللّبناني الجامع للتّقارير الدّوريّة الرّابع عشر </w:t>
      </w:r>
      <w:r w:rsidRPr="00724A5B">
        <w:rPr>
          <w:rFonts w:hint="cs"/>
          <w:w w:val="103"/>
          <w:rtl/>
        </w:rPr>
        <w:t>و</w:t>
      </w:r>
      <w:r w:rsidRPr="00724A5B">
        <w:rPr>
          <w:w w:val="103"/>
          <w:rtl/>
        </w:rPr>
        <w:t xml:space="preserve">الخامس عشر والسّادس عشر، مستند </w:t>
      </w:r>
      <w:r w:rsidRPr="00724A5B">
        <w:rPr>
          <w:w w:val="103"/>
        </w:rPr>
        <w:t>CERD/C/383/Add.2</w:t>
      </w:r>
      <w:r w:rsidRPr="00724A5B">
        <w:rPr>
          <w:w w:val="103"/>
          <w:rtl/>
        </w:rPr>
        <w:t>، فقرات 3 إلى 15.</w:t>
      </w:r>
    </w:p>
  </w:footnote>
  <w:footnote w:id="4">
    <w:p w:rsidR="007673A0" w:rsidRPr="00724A5B" w:rsidRDefault="007673A0" w:rsidP="00724A5B">
      <w:pPr>
        <w:pStyle w:val="FootnoteText"/>
        <w:tabs>
          <w:tab w:val="clear" w:pos="418"/>
          <w:tab w:val="right" w:pos="1195"/>
          <w:tab w:val="left" w:pos="1267"/>
          <w:tab w:val="left" w:pos="1656"/>
          <w:tab w:val="left" w:pos="2088"/>
        </w:tabs>
        <w:spacing w:after="80"/>
        <w:ind w:left="1267" w:right="1267" w:hanging="547"/>
        <w:rPr>
          <w:w w:val="103"/>
          <w:rtl/>
        </w:rPr>
      </w:pPr>
      <w:r>
        <w:rPr>
          <w:rFonts w:hint="cs"/>
          <w:w w:val="103"/>
          <w:rtl/>
        </w:rPr>
        <w:tab/>
      </w:r>
      <w:r w:rsidRPr="00724A5B">
        <w:rPr>
          <w:w w:val="103"/>
          <w:rtl/>
        </w:rPr>
        <w:t>(</w:t>
      </w:r>
      <w:r w:rsidRPr="00724A5B">
        <w:rPr>
          <w:w w:val="103"/>
        </w:rPr>
        <w:footnoteRef/>
      </w:r>
      <w:r w:rsidRPr="00724A5B">
        <w:rPr>
          <w:w w:val="103"/>
          <w:rtl/>
        </w:rPr>
        <w:t>)</w:t>
      </w:r>
      <w:r w:rsidRPr="00724A5B">
        <w:rPr>
          <w:w w:val="103"/>
          <w:rtl/>
        </w:rPr>
        <w:tab/>
        <w:t>تراجع في هذا الخصوص الفقرة 32 وما يليها من هذا التّقرير.</w:t>
      </w:r>
    </w:p>
  </w:footnote>
  <w:footnote w:id="5">
    <w:p w:rsidR="007673A0" w:rsidRPr="00724A5B" w:rsidRDefault="007673A0" w:rsidP="00724A5B">
      <w:pPr>
        <w:pStyle w:val="FootnoteText"/>
        <w:tabs>
          <w:tab w:val="clear" w:pos="418"/>
          <w:tab w:val="right" w:pos="1195"/>
          <w:tab w:val="left" w:pos="1267"/>
          <w:tab w:val="left" w:pos="1656"/>
          <w:tab w:val="left" w:pos="2088"/>
        </w:tabs>
        <w:spacing w:after="80"/>
        <w:ind w:left="1267" w:right="1267" w:hanging="547"/>
        <w:rPr>
          <w:w w:val="103"/>
          <w:rtl/>
        </w:rPr>
      </w:pPr>
      <w:r>
        <w:rPr>
          <w:rFonts w:hint="cs"/>
          <w:w w:val="103"/>
          <w:rtl/>
        </w:rPr>
        <w:tab/>
      </w:r>
      <w:r w:rsidRPr="00724A5B">
        <w:rPr>
          <w:w w:val="103"/>
          <w:rtl/>
        </w:rPr>
        <w:t>(</w:t>
      </w:r>
      <w:r w:rsidRPr="00724A5B">
        <w:rPr>
          <w:w w:val="103"/>
        </w:rPr>
        <w:footnoteRef/>
      </w:r>
      <w:r w:rsidRPr="00724A5B">
        <w:rPr>
          <w:w w:val="103"/>
          <w:rtl/>
        </w:rPr>
        <w:t>)</w:t>
      </w:r>
      <w:r w:rsidRPr="00724A5B">
        <w:rPr>
          <w:w w:val="103"/>
          <w:rtl/>
        </w:rPr>
        <w:tab/>
        <w:t>قرار وزير العمل رقم 197/1 تاريخ 17 كانون الثّاني/يناير 2014.</w:t>
      </w:r>
    </w:p>
  </w:footnote>
  <w:footnote w:id="6">
    <w:p w:rsidR="007673A0" w:rsidRPr="00724A5B" w:rsidRDefault="007673A0" w:rsidP="00724A5B">
      <w:pPr>
        <w:pStyle w:val="FootnoteText"/>
        <w:tabs>
          <w:tab w:val="clear" w:pos="418"/>
          <w:tab w:val="right" w:pos="1195"/>
          <w:tab w:val="left" w:pos="1267"/>
          <w:tab w:val="left" w:pos="1656"/>
          <w:tab w:val="left" w:pos="2088"/>
        </w:tabs>
        <w:spacing w:after="80"/>
        <w:ind w:left="1267" w:right="1267" w:hanging="547"/>
        <w:rPr>
          <w:w w:val="103"/>
          <w:rtl/>
        </w:rPr>
      </w:pPr>
      <w:r>
        <w:rPr>
          <w:rFonts w:hint="cs"/>
          <w:w w:val="103"/>
          <w:rtl/>
        </w:rPr>
        <w:tab/>
      </w:r>
      <w:r w:rsidRPr="00724A5B">
        <w:rPr>
          <w:w w:val="103"/>
          <w:rtl/>
        </w:rPr>
        <w:t>(</w:t>
      </w:r>
      <w:r w:rsidRPr="00724A5B">
        <w:rPr>
          <w:w w:val="103"/>
        </w:rPr>
        <w:footnoteRef/>
      </w:r>
      <w:r w:rsidRPr="00724A5B">
        <w:rPr>
          <w:w w:val="103"/>
          <w:rtl/>
        </w:rPr>
        <w:t>)</w:t>
      </w:r>
      <w:r w:rsidRPr="00724A5B">
        <w:rPr>
          <w:w w:val="103"/>
          <w:rtl/>
        </w:rPr>
        <w:tab/>
        <w:t xml:space="preserve">معلومات مطلوبة من قبل لجنة القضاء على التّمييز العنصري، يراجع في هذا الخصوص المستند </w:t>
      </w:r>
      <w:r w:rsidRPr="00724A5B">
        <w:rPr>
          <w:w w:val="103"/>
        </w:rPr>
        <w:t>CERD/C/64/CO/03</w:t>
      </w:r>
      <w:r w:rsidRPr="00724A5B">
        <w:rPr>
          <w:w w:val="103"/>
          <w:rtl/>
        </w:rPr>
        <w:t>، فقرة 11.</w:t>
      </w:r>
    </w:p>
  </w:footnote>
  <w:footnote w:id="7">
    <w:p w:rsidR="007673A0" w:rsidRPr="00724A5B" w:rsidRDefault="007673A0" w:rsidP="00724A5B">
      <w:pPr>
        <w:pStyle w:val="FootnoteText"/>
        <w:tabs>
          <w:tab w:val="clear" w:pos="418"/>
          <w:tab w:val="right" w:pos="1195"/>
          <w:tab w:val="left" w:pos="1267"/>
          <w:tab w:val="left" w:pos="1656"/>
          <w:tab w:val="left" w:pos="2088"/>
        </w:tabs>
        <w:spacing w:after="80"/>
        <w:ind w:left="1267" w:right="1267" w:hanging="547"/>
        <w:rPr>
          <w:w w:val="103"/>
          <w:rtl/>
        </w:rPr>
      </w:pPr>
      <w:r>
        <w:rPr>
          <w:rFonts w:hint="cs"/>
          <w:w w:val="103"/>
          <w:rtl/>
        </w:rPr>
        <w:tab/>
      </w:r>
      <w:r w:rsidRPr="00724A5B">
        <w:rPr>
          <w:w w:val="103"/>
          <w:rtl/>
        </w:rPr>
        <w:t>(</w:t>
      </w:r>
      <w:r w:rsidRPr="00724A5B">
        <w:rPr>
          <w:w w:val="103"/>
        </w:rPr>
        <w:footnoteRef/>
      </w:r>
      <w:r w:rsidRPr="00724A5B">
        <w:rPr>
          <w:w w:val="103"/>
          <w:rtl/>
        </w:rPr>
        <w:t>)</w:t>
      </w:r>
      <w:r w:rsidRPr="00724A5B">
        <w:rPr>
          <w:w w:val="103"/>
          <w:rtl/>
        </w:rPr>
        <w:tab/>
        <w:t>إقرار اقتراح القانون في لجنة الإدارة والعدل لا يجعل من القانون نافذاً إذ يبقى من الواجب اعتماده في الهيئة العامّة للمجلس النّيابي واتّباع الأصول الإجرائيّة القانونيّة والدّستوريّة بعد ذلك ليدخل حيّز التّنفيذ.</w:t>
      </w:r>
    </w:p>
  </w:footnote>
  <w:footnote w:id="8">
    <w:p w:rsidR="007673A0" w:rsidRPr="00724A5B" w:rsidRDefault="007673A0" w:rsidP="00724A5B">
      <w:pPr>
        <w:pStyle w:val="FootnoteText"/>
        <w:tabs>
          <w:tab w:val="clear" w:pos="418"/>
          <w:tab w:val="right" w:pos="1195"/>
          <w:tab w:val="left" w:pos="1267"/>
          <w:tab w:val="left" w:pos="1656"/>
          <w:tab w:val="left" w:pos="2088"/>
        </w:tabs>
        <w:spacing w:after="80"/>
        <w:ind w:left="1267" w:right="1267" w:hanging="547"/>
        <w:rPr>
          <w:w w:val="103"/>
          <w:rtl/>
        </w:rPr>
      </w:pPr>
      <w:r>
        <w:rPr>
          <w:rFonts w:hint="cs"/>
          <w:w w:val="103"/>
          <w:rtl/>
        </w:rPr>
        <w:tab/>
      </w:r>
      <w:r w:rsidRPr="00724A5B">
        <w:rPr>
          <w:w w:val="103"/>
          <w:rtl/>
        </w:rPr>
        <w:t>(</w:t>
      </w:r>
      <w:r w:rsidRPr="00724A5B">
        <w:rPr>
          <w:w w:val="103"/>
        </w:rPr>
        <w:footnoteRef/>
      </w:r>
      <w:r w:rsidRPr="00724A5B">
        <w:rPr>
          <w:w w:val="103"/>
          <w:rtl/>
        </w:rPr>
        <w:t>)</w:t>
      </w:r>
      <w:r w:rsidRPr="00724A5B">
        <w:rPr>
          <w:w w:val="103"/>
          <w:rtl/>
        </w:rPr>
        <w:tab/>
        <w:t>تراجع في هذا الخصوص الفقرة 7 من هذا التّقرير.</w:t>
      </w:r>
    </w:p>
  </w:footnote>
  <w:footnote w:id="9">
    <w:p w:rsidR="007673A0" w:rsidRPr="00724A5B" w:rsidRDefault="007673A0" w:rsidP="00724A5B">
      <w:pPr>
        <w:pStyle w:val="FootnoteText"/>
        <w:tabs>
          <w:tab w:val="clear" w:pos="418"/>
          <w:tab w:val="right" w:pos="1195"/>
          <w:tab w:val="left" w:pos="1267"/>
          <w:tab w:val="left" w:pos="1656"/>
          <w:tab w:val="left" w:pos="2088"/>
        </w:tabs>
        <w:spacing w:after="80"/>
        <w:ind w:left="1267" w:right="1267" w:hanging="547"/>
        <w:rPr>
          <w:w w:val="103"/>
          <w:rtl/>
        </w:rPr>
      </w:pPr>
      <w:r>
        <w:rPr>
          <w:rFonts w:hint="cs"/>
          <w:w w:val="103"/>
          <w:rtl/>
        </w:rPr>
        <w:tab/>
      </w:r>
      <w:r w:rsidRPr="00724A5B">
        <w:rPr>
          <w:w w:val="103"/>
          <w:rtl/>
        </w:rPr>
        <w:t>(</w:t>
      </w:r>
      <w:r w:rsidRPr="00724A5B">
        <w:rPr>
          <w:w w:val="103"/>
        </w:rPr>
        <w:footnoteRef/>
      </w:r>
      <w:r w:rsidRPr="00724A5B">
        <w:rPr>
          <w:w w:val="103"/>
          <w:rtl/>
        </w:rPr>
        <w:t>)</w:t>
      </w:r>
      <w:r w:rsidRPr="00724A5B">
        <w:rPr>
          <w:w w:val="103"/>
          <w:rtl/>
        </w:rPr>
        <w:tab/>
        <w:t>تراجع في هذا الخصوص الفقرة 7 من هذا التّقرير.</w:t>
      </w:r>
    </w:p>
  </w:footnote>
  <w:footnote w:id="10">
    <w:p w:rsidR="007673A0" w:rsidRPr="00724A5B" w:rsidRDefault="007673A0" w:rsidP="00724A5B">
      <w:pPr>
        <w:pStyle w:val="FootnoteText"/>
        <w:tabs>
          <w:tab w:val="clear" w:pos="418"/>
          <w:tab w:val="right" w:pos="1195"/>
          <w:tab w:val="left" w:pos="1267"/>
          <w:tab w:val="left" w:pos="1656"/>
          <w:tab w:val="left" w:pos="2088"/>
        </w:tabs>
        <w:spacing w:after="80"/>
        <w:ind w:left="1267" w:right="1267" w:hanging="547"/>
        <w:rPr>
          <w:w w:val="103"/>
          <w:rtl/>
        </w:rPr>
      </w:pPr>
      <w:r>
        <w:rPr>
          <w:rFonts w:hint="cs"/>
          <w:w w:val="103"/>
          <w:rtl/>
        </w:rPr>
        <w:tab/>
      </w:r>
      <w:r w:rsidRPr="00724A5B">
        <w:rPr>
          <w:w w:val="103"/>
          <w:rtl/>
        </w:rPr>
        <w:t>(</w:t>
      </w:r>
      <w:r w:rsidRPr="00724A5B">
        <w:rPr>
          <w:w w:val="103"/>
        </w:rPr>
        <w:footnoteRef/>
      </w:r>
      <w:r w:rsidRPr="00724A5B">
        <w:rPr>
          <w:w w:val="103"/>
          <w:rtl/>
        </w:rPr>
        <w:t>)</w:t>
      </w:r>
      <w:r w:rsidRPr="00724A5B">
        <w:rPr>
          <w:w w:val="103"/>
          <w:rtl/>
        </w:rPr>
        <w:tab/>
        <w:t>تراجع في هذا الخصوص المواد (67)، (68)، و(155) من قانون أصول المحاكمات الجزائيّة.</w:t>
      </w:r>
    </w:p>
  </w:footnote>
  <w:footnote w:id="11">
    <w:p w:rsidR="007673A0" w:rsidRPr="00724A5B" w:rsidRDefault="007673A0" w:rsidP="00724A5B">
      <w:pPr>
        <w:pStyle w:val="FootnoteText"/>
        <w:tabs>
          <w:tab w:val="clear" w:pos="418"/>
          <w:tab w:val="right" w:pos="1195"/>
          <w:tab w:val="left" w:pos="1267"/>
          <w:tab w:val="left" w:pos="1656"/>
          <w:tab w:val="left" w:pos="2088"/>
        </w:tabs>
        <w:spacing w:after="80"/>
        <w:ind w:left="1267" w:right="1267" w:hanging="547"/>
        <w:rPr>
          <w:w w:val="103"/>
          <w:rtl/>
        </w:rPr>
      </w:pPr>
      <w:r>
        <w:rPr>
          <w:rFonts w:hint="cs"/>
          <w:w w:val="103"/>
          <w:rtl/>
        </w:rPr>
        <w:tab/>
      </w:r>
      <w:r w:rsidRPr="00724A5B">
        <w:rPr>
          <w:w w:val="103"/>
          <w:rtl/>
        </w:rPr>
        <w:t>(</w:t>
      </w:r>
      <w:r w:rsidRPr="00724A5B">
        <w:rPr>
          <w:w w:val="103"/>
        </w:rPr>
        <w:footnoteRef/>
      </w:r>
      <w:r w:rsidRPr="00724A5B">
        <w:rPr>
          <w:w w:val="103"/>
          <w:rtl/>
        </w:rPr>
        <w:t>)</w:t>
      </w:r>
      <w:r w:rsidRPr="00724A5B">
        <w:rPr>
          <w:w w:val="103"/>
          <w:rtl/>
        </w:rPr>
        <w:tab/>
        <w:t>يراجع في هذا الخصوص: قانون الرّسوم القضائيّة الصّادر بتاريخ 10 تشرين ال</w:t>
      </w:r>
      <w:r w:rsidRPr="00724A5B">
        <w:rPr>
          <w:rFonts w:hint="cs"/>
          <w:w w:val="103"/>
          <w:rtl/>
        </w:rPr>
        <w:t>أ</w:t>
      </w:r>
      <w:r w:rsidRPr="00724A5B">
        <w:rPr>
          <w:w w:val="103"/>
          <w:rtl/>
        </w:rPr>
        <w:t xml:space="preserve">وّل/أكتوبر 1950. المادّة (80) من قانون العمل الصّادر بتاريخ 23 </w:t>
      </w:r>
      <w:r w:rsidRPr="00724A5B">
        <w:rPr>
          <w:rFonts w:hint="cs"/>
          <w:w w:val="103"/>
          <w:rtl/>
        </w:rPr>
        <w:t>أيلول</w:t>
      </w:r>
      <w:r w:rsidRPr="00724A5B">
        <w:rPr>
          <w:w w:val="103"/>
          <w:rtl/>
        </w:rPr>
        <w:t xml:space="preserve">/سبتمبر 1946. </w:t>
      </w:r>
    </w:p>
  </w:footnote>
  <w:footnote w:id="12">
    <w:p w:rsidR="007673A0" w:rsidRPr="00724A5B" w:rsidRDefault="007673A0" w:rsidP="00724A5B">
      <w:pPr>
        <w:pStyle w:val="FootnoteText"/>
        <w:tabs>
          <w:tab w:val="clear" w:pos="418"/>
          <w:tab w:val="right" w:pos="1195"/>
          <w:tab w:val="left" w:pos="1267"/>
          <w:tab w:val="left" w:pos="1656"/>
          <w:tab w:val="left" w:pos="2088"/>
        </w:tabs>
        <w:spacing w:after="80"/>
        <w:ind w:left="1267" w:right="1267" w:hanging="547"/>
        <w:rPr>
          <w:w w:val="103"/>
          <w:rtl/>
        </w:rPr>
      </w:pPr>
      <w:r>
        <w:rPr>
          <w:rFonts w:hint="cs"/>
          <w:w w:val="103"/>
          <w:rtl/>
        </w:rPr>
        <w:tab/>
      </w:r>
      <w:r w:rsidRPr="00724A5B">
        <w:rPr>
          <w:w w:val="103"/>
          <w:rtl/>
        </w:rPr>
        <w:t>(</w:t>
      </w:r>
      <w:r w:rsidRPr="00724A5B">
        <w:rPr>
          <w:w w:val="103"/>
        </w:rPr>
        <w:footnoteRef/>
      </w:r>
      <w:r w:rsidRPr="00724A5B">
        <w:rPr>
          <w:w w:val="103"/>
          <w:rtl/>
        </w:rPr>
        <w:t>)</w:t>
      </w:r>
      <w:r w:rsidRPr="00724A5B">
        <w:rPr>
          <w:w w:val="103"/>
          <w:rtl/>
        </w:rPr>
        <w:tab/>
        <w:t>تراجع في هذا الخصوص المادّت</w:t>
      </w:r>
      <w:r w:rsidRPr="00724A5B">
        <w:rPr>
          <w:rFonts w:hint="cs"/>
          <w:w w:val="103"/>
          <w:rtl/>
        </w:rPr>
        <w:t>ا</w:t>
      </w:r>
      <w:r w:rsidRPr="00724A5B">
        <w:rPr>
          <w:w w:val="103"/>
          <w:rtl/>
        </w:rPr>
        <w:t>ن (78) و(238) من قانون أصول المحاكمات الجزائيّة.</w:t>
      </w:r>
    </w:p>
  </w:footnote>
  <w:footnote w:id="13">
    <w:p w:rsidR="007673A0" w:rsidRPr="00724A5B" w:rsidRDefault="007673A0" w:rsidP="00724A5B">
      <w:pPr>
        <w:pStyle w:val="FootnoteText"/>
        <w:tabs>
          <w:tab w:val="clear" w:pos="418"/>
          <w:tab w:val="right" w:pos="1195"/>
          <w:tab w:val="left" w:pos="1267"/>
          <w:tab w:val="left" w:pos="1656"/>
          <w:tab w:val="left" w:pos="2088"/>
        </w:tabs>
        <w:spacing w:after="80"/>
        <w:ind w:left="1267" w:right="1267" w:hanging="547"/>
        <w:rPr>
          <w:w w:val="103"/>
          <w:rtl/>
        </w:rPr>
      </w:pPr>
      <w:r>
        <w:rPr>
          <w:rFonts w:hint="cs"/>
          <w:w w:val="103"/>
          <w:rtl/>
        </w:rPr>
        <w:tab/>
      </w:r>
      <w:r w:rsidRPr="00724A5B">
        <w:rPr>
          <w:w w:val="103"/>
          <w:rtl/>
        </w:rPr>
        <w:t>(</w:t>
      </w:r>
      <w:r w:rsidRPr="00724A5B">
        <w:rPr>
          <w:w w:val="103"/>
        </w:rPr>
        <w:footnoteRef/>
      </w:r>
      <w:r w:rsidRPr="00724A5B">
        <w:rPr>
          <w:w w:val="103"/>
          <w:rtl/>
        </w:rPr>
        <w:t>)</w:t>
      </w:r>
      <w:r w:rsidRPr="00724A5B">
        <w:rPr>
          <w:w w:val="103"/>
          <w:rtl/>
        </w:rPr>
        <w:tab/>
      </w:r>
      <w:r w:rsidRPr="00724A5B">
        <w:rPr>
          <w:rFonts w:hint="cs"/>
          <w:w w:val="103"/>
          <w:rtl/>
        </w:rPr>
        <w:t>تراجع</w:t>
      </w:r>
      <w:r w:rsidRPr="00724A5B">
        <w:rPr>
          <w:w w:val="103"/>
          <w:rtl/>
        </w:rPr>
        <w:t xml:space="preserve"> </w:t>
      </w:r>
      <w:r w:rsidRPr="00724A5B">
        <w:rPr>
          <w:rFonts w:hint="cs"/>
          <w:w w:val="103"/>
          <w:rtl/>
        </w:rPr>
        <w:t>في</w:t>
      </w:r>
      <w:r w:rsidRPr="00724A5B">
        <w:rPr>
          <w:w w:val="103"/>
          <w:rtl/>
        </w:rPr>
        <w:t xml:space="preserve"> </w:t>
      </w:r>
      <w:r w:rsidRPr="00724A5B">
        <w:rPr>
          <w:rFonts w:hint="cs"/>
          <w:w w:val="103"/>
          <w:rtl/>
        </w:rPr>
        <w:t>هذا</w:t>
      </w:r>
      <w:r w:rsidRPr="00724A5B">
        <w:rPr>
          <w:w w:val="103"/>
          <w:rtl/>
        </w:rPr>
        <w:t xml:space="preserve"> </w:t>
      </w:r>
      <w:r w:rsidRPr="00724A5B">
        <w:rPr>
          <w:rFonts w:hint="cs"/>
          <w:w w:val="103"/>
          <w:rtl/>
        </w:rPr>
        <w:t>الخصوص</w:t>
      </w:r>
      <w:r w:rsidRPr="00724A5B">
        <w:rPr>
          <w:w w:val="103"/>
          <w:rtl/>
        </w:rPr>
        <w:t xml:space="preserve"> الفقر</w:t>
      </w:r>
      <w:r w:rsidRPr="00724A5B">
        <w:rPr>
          <w:rFonts w:hint="cs"/>
          <w:w w:val="103"/>
          <w:rtl/>
        </w:rPr>
        <w:t>تان</w:t>
      </w:r>
      <w:r w:rsidRPr="00724A5B">
        <w:rPr>
          <w:w w:val="103"/>
          <w:rtl/>
        </w:rPr>
        <w:t xml:space="preserve"> 12 </w:t>
      </w:r>
      <w:r w:rsidRPr="00724A5B">
        <w:rPr>
          <w:rFonts w:hint="cs"/>
          <w:w w:val="103"/>
          <w:rtl/>
        </w:rPr>
        <w:t>و</w:t>
      </w:r>
      <w:r w:rsidRPr="00724A5B">
        <w:rPr>
          <w:w w:val="103"/>
          <w:rtl/>
        </w:rPr>
        <w:t>13 من هذا التّقرير.</w:t>
      </w:r>
    </w:p>
  </w:footnote>
  <w:footnote w:id="14">
    <w:p w:rsidR="007673A0" w:rsidRPr="00724A5B" w:rsidRDefault="007673A0" w:rsidP="00724A5B">
      <w:pPr>
        <w:pStyle w:val="FootnoteText"/>
        <w:tabs>
          <w:tab w:val="clear" w:pos="418"/>
          <w:tab w:val="right" w:pos="1195"/>
          <w:tab w:val="left" w:pos="1267"/>
          <w:tab w:val="left" w:pos="1656"/>
          <w:tab w:val="left" w:pos="2088"/>
        </w:tabs>
        <w:spacing w:after="80"/>
        <w:ind w:left="1267" w:right="1267" w:hanging="547"/>
        <w:rPr>
          <w:w w:val="103"/>
          <w:rtl/>
        </w:rPr>
      </w:pPr>
      <w:r>
        <w:rPr>
          <w:rFonts w:hint="cs"/>
          <w:w w:val="103"/>
          <w:rtl/>
        </w:rPr>
        <w:tab/>
      </w:r>
      <w:r w:rsidRPr="00724A5B">
        <w:rPr>
          <w:w w:val="103"/>
          <w:rtl/>
        </w:rPr>
        <w:t>(</w:t>
      </w:r>
      <w:r w:rsidRPr="00724A5B">
        <w:rPr>
          <w:w w:val="103"/>
        </w:rPr>
        <w:footnoteRef/>
      </w:r>
      <w:r w:rsidRPr="00724A5B">
        <w:rPr>
          <w:w w:val="103"/>
          <w:rtl/>
        </w:rPr>
        <w:t>)</w:t>
      </w:r>
      <w:r w:rsidRPr="00724A5B">
        <w:rPr>
          <w:w w:val="103"/>
          <w:rtl/>
        </w:rPr>
        <w:tab/>
        <w:t>القاضي المنفرد الجزائي في بيروت، حكم تاريخ 8 آذار/مارس 2007.</w:t>
      </w:r>
    </w:p>
  </w:footnote>
  <w:footnote w:id="15">
    <w:p w:rsidR="007673A0" w:rsidRPr="00724A5B" w:rsidRDefault="007673A0" w:rsidP="00724A5B">
      <w:pPr>
        <w:pStyle w:val="FootnoteText"/>
        <w:tabs>
          <w:tab w:val="clear" w:pos="418"/>
          <w:tab w:val="right" w:pos="1195"/>
          <w:tab w:val="left" w:pos="1267"/>
          <w:tab w:val="left" w:pos="1656"/>
          <w:tab w:val="left" w:pos="2088"/>
        </w:tabs>
        <w:spacing w:after="80"/>
        <w:ind w:left="1267" w:right="1267" w:hanging="547"/>
        <w:rPr>
          <w:w w:val="103"/>
          <w:rtl/>
        </w:rPr>
      </w:pPr>
      <w:r>
        <w:rPr>
          <w:rFonts w:hint="cs"/>
          <w:w w:val="103"/>
          <w:rtl/>
        </w:rPr>
        <w:tab/>
      </w:r>
      <w:r w:rsidRPr="00724A5B">
        <w:rPr>
          <w:w w:val="103"/>
          <w:rtl/>
        </w:rPr>
        <w:t>(</w:t>
      </w:r>
      <w:r w:rsidRPr="00724A5B">
        <w:rPr>
          <w:w w:val="103"/>
        </w:rPr>
        <w:footnoteRef/>
      </w:r>
      <w:r w:rsidRPr="00724A5B">
        <w:rPr>
          <w:w w:val="103"/>
          <w:rtl/>
        </w:rPr>
        <w:t>)</w:t>
      </w:r>
      <w:r w:rsidRPr="00724A5B">
        <w:rPr>
          <w:w w:val="103"/>
          <w:rtl/>
        </w:rPr>
        <w:tab/>
        <w:t>القاضي المنفرد الجزائي في طرابلس، حكم تاريخ 28 أيّار/مايو 2012.</w:t>
      </w:r>
    </w:p>
  </w:footnote>
  <w:footnote w:id="16">
    <w:p w:rsidR="007673A0" w:rsidRPr="00724A5B" w:rsidRDefault="007673A0" w:rsidP="00724A5B">
      <w:pPr>
        <w:pStyle w:val="FootnoteText"/>
        <w:tabs>
          <w:tab w:val="clear" w:pos="418"/>
          <w:tab w:val="right" w:pos="1195"/>
          <w:tab w:val="left" w:pos="1267"/>
          <w:tab w:val="left" w:pos="1656"/>
          <w:tab w:val="left" w:pos="2088"/>
        </w:tabs>
        <w:spacing w:after="80"/>
        <w:ind w:left="1267" w:right="1267" w:hanging="547"/>
        <w:rPr>
          <w:w w:val="103"/>
          <w:rtl/>
        </w:rPr>
      </w:pPr>
      <w:r>
        <w:rPr>
          <w:rFonts w:hint="cs"/>
          <w:w w:val="103"/>
          <w:rtl/>
        </w:rPr>
        <w:tab/>
      </w:r>
      <w:r w:rsidRPr="00724A5B">
        <w:rPr>
          <w:w w:val="103"/>
          <w:rtl/>
        </w:rPr>
        <w:t>(</w:t>
      </w:r>
      <w:r w:rsidRPr="00724A5B">
        <w:rPr>
          <w:w w:val="103"/>
        </w:rPr>
        <w:footnoteRef/>
      </w:r>
      <w:r w:rsidRPr="00724A5B">
        <w:rPr>
          <w:w w:val="103"/>
          <w:rtl/>
        </w:rPr>
        <w:t>)</w:t>
      </w:r>
      <w:r w:rsidRPr="00724A5B">
        <w:rPr>
          <w:w w:val="103"/>
          <w:rtl/>
        </w:rPr>
        <w:tab/>
        <w:t>لتفاصيل هذا التّوزيع</w:t>
      </w:r>
      <w:r w:rsidRPr="00724A5B">
        <w:rPr>
          <w:rFonts w:hint="cs"/>
          <w:w w:val="103"/>
          <w:rtl/>
        </w:rPr>
        <w:t>،</w:t>
      </w:r>
      <w:r w:rsidRPr="00724A5B">
        <w:rPr>
          <w:w w:val="103"/>
          <w:rtl/>
        </w:rPr>
        <w:t xml:space="preserve"> يراجع التّقرير اللّبناني الجامع للتّقارير الدّوريّة الرّابع عشر </w:t>
      </w:r>
      <w:r w:rsidRPr="00724A5B">
        <w:rPr>
          <w:rFonts w:hint="cs"/>
          <w:w w:val="103"/>
          <w:rtl/>
        </w:rPr>
        <w:t>و</w:t>
      </w:r>
      <w:r w:rsidRPr="00724A5B">
        <w:rPr>
          <w:w w:val="103"/>
          <w:rtl/>
        </w:rPr>
        <w:t xml:space="preserve">الخامس عشر والسّادس عشر، مستند </w:t>
      </w:r>
      <w:r w:rsidRPr="00724A5B">
        <w:rPr>
          <w:w w:val="103"/>
        </w:rPr>
        <w:t>CERD/C/383/Add.2</w:t>
      </w:r>
      <w:r w:rsidRPr="00724A5B">
        <w:rPr>
          <w:w w:val="103"/>
          <w:rtl/>
        </w:rPr>
        <w:t>، فقرة 10.</w:t>
      </w:r>
    </w:p>
  </w:footnote>
  <w:footnote w:id="17">
    <w:p w:rsidR="007673A0" w:rsidRPr="00724A5B" w:rsidRDefault="007673A0" w:rsidP="00724A5B">
      <w:pPr>
        <w:pStyle w:val="FootnoteText"/>
        <w:tabs>
          <w:tab w:val="clear" w:pos="418"/>
          <w:tab w:val="right" w:pos="1195"/>
          <w:tab w:val="left" w:pos="1267"/>
          <w:tab w:val="left" w:pos="1656"/>
          <w:tab w:val="left" w:pos="2088"/>
        </w:tabs>
        <w:spacing w:after="80"/>
        <w:ind w:left="1267" w:right="1267" w:hanging="547"/>
        <w:rPr>
          <w:w w:val="103"/>
          <w:rtl/>
        </w:rPr>
      </w:pPr>
      <w:r>
        <w:rPr>
          <w:rFonts w:hint="cs"/>
          <w:w w:val="103"/>
          <w:rtl/>
        </w:rPr>
        <w:tab/>
      </w:r>
      <w:r w:rsidRPr="00724A5B">
        <w:rPr>
          <w:w w:val="103"/>
          <w:rtl/>
        </w:rPr>
        <w:t>(</w:t>
      </w:r>
      <w:r w:rsidRPr="00724A5B">
        <w:rPr>
          <w:w w:val="103"/>
        </w:rPr>
        <w:footnoteRef/>
      </w:r>
      <w:r w:rsidRPr="00724A5B">
        <w:rPr>
          <w:w w:val="103"/>
          <w:rtl/>
        </w:rPr>
        <w:t>)</w:t>
      </w:r>
      <w:r w:rsidRPr="00724A5B">
        <w:rPr>
          <w:w w:val="103"/>
          <w:rtl/>
        </w:rPr>
        <w:tab/>
      </w:r>
      <w:r w:rsidRPr="00724A5B">
        <w:rPr>
          <w:rFonts w:hint="cs"/>
          <w:w w:val="103"/>
          <w:rtl/>
        </w:rPr>
        <w:t>يراجع</w:t>
      </w:r>
      <w:r w:rsidRPr="00724A5B">
        <w:rPr>
          <w:w w:val="103"/>
          <w:rtl/>
        </w:rPr>
        <w:t xml:space="preserve"> </w:t>
      </w:r>
      <w:r w:rsidRPr="00724A5B">
        <w:rPr>
          <w:rFonts w:hint="cs"/>
          <w:w w:val="103"/>
          <w:rtl/>
        </w:rPr>
        <w:t>في</w:t>
      </w:r>
      <w:r w:rsidRPr="00724A5B">
        <w:rPr>
          <w:w w:val="103"/>
          <w:rtl/>
        </w:rPr>
        <w:t xml:space="preserve"> </w:t>
      </w:r>
      <w:r w:rsidRPr="00724A5B">
        <w:rPr>
          <w:rFonts w:hint="cs"/>
          <w:w w:val="103"/>
          <w:rtl/>
        </w:rPr>
        <w:t>هذا</w:t>
      </w:r>
      <w:r w:rsidRPr="00724A5B">
        <w:rPr>
          <w:w w:val="103"/>
          <w:rtl/>
        </w:rPr>
        <w:t xml:space="preserve"> </w:t>
      </w:r>
      <w:r w:rsidRPr="00724A5B">
        <w:rPr>
          <w:rFonts w:hint="cs"/>
          <w:w w:val="103"/>
          <w:rtl/>
        </w:rPr>
        <w:t>الخصوص</w:t>
      </w:r>
      <w:r w:rsidRPr="00724A5B">
        <w:rPr>
          <w:w w:val="103"/>
          <w:rtl/>
        </w:rPr>
        <w:t xml:space="preserve"> التّقرير اللّبناني الدّوريّ السّابع عشر، مستند </w:t>
      </w:r>
      <w:r w:rsidRPr="00724A5B">
        <w:rPr>
          <w:w w:val="103"/>
        </w:rPr>
        <w:t>CERD/C/475/Add.1</w:t>
      </w:r>
      <w:r w:rsidRPr="00724A5B">
        <w:rPr>
          <w:w w:val="103"/>
          <w:rtl/>
        </w:rPr>
        <w:t>، فقرة 47.</w:t>
      </w:r>
    </w:p>
  </w:footnote>
  <w:footnote w:id="18">
    <w:p w:rsidR="007673A0" w:rsidRPr="00724A5B" w:rsidRDefault="007673A0" w:rsidP="00724A5B">
      <w:pPr>
        <w:pStyle w:val="FootnoteText"/>
        <w:tabs>
          <w:tab w:val="clear" w:pos="418"/>
          <w:tab w:val="right" w:pos="1195"/>
          <w:tab w:val="left" w:pos="1267"/>
          <w:tab w:val="left" w:pos="1656"/>
          <w:tab w:val="left" w:pos="2088"/>
        </w:tabs>
        <w:spacing w:after="80"/>
        <w:ind w:left="1267" w:right="1267" w:hanging="547"/>
        <w:rPr>
          <w:w w:val="103"/>
          <w:rtl/>
        </w:rPr>
      </w:pPr>
      <w:r>
        <w:rPr>
          <w:rFonts w:hint="cs"/>
          <w:w w:val="103"/>
          <w:rtl/>
        </w:rPr>
        <w:tab/>
      </w:r>
      <w:r w:rsidRPr="00724A5B">
        <w:rPr>
          <w:w w:val="103"/>
          <w:rtl/>
        </w:rPr>
        <w:t>(</w:t>
      </w:r>
      <w:r w:rsidRPr="00724A5B">
        <w:rPr>
          <w:w w:val="103"/>
        </w:rPr>
        <w:footnoteRef/>
      </w:r>
      <w:r w:rsidRPr="00724A5B">
        <w:rPr>
          <w:w w:val="103"/>
          <w:rtl/>
        </w:rPr>
        <w:t>)</w:t>
      </w:r>
      <w:r w:rsidRPr="00724A5B">
        <w:rPr>
          <w:w w:val="103"/>
          <w:rtl/>
        </w:rPr>
        <w:tab/>
        <w:t>قاضي الأمور المست</w:t>
      </w:r>
      <w:r w:rsidRPr="00724A5B">
        <w:rPr>
          <w:rFonts w:hint="cs"/>
          <w:w w:val="103"/>
          <w:rtl/>
        </w:rPr>
        <w:t>ع</w:t>
      </w:r>
      <w:r w:rsidRPr="00724A5B">
        <w:rPr>
          <w:w w:val="103"/>
          <w:rtl/>
        </w:rPr>
        <w:t xml:space="preserve">جلة في بيروت، قرار رقم 300/2014، تاريخ 23 </w:t>
      </w:r>
      <w:r w:rsidRPr="00724A5B">
        <w:rPr>
          <w:rFonts w:hint="cs"/>
          <w:w w:val="103"/>
          <w:rtl/>
        </w:rPr>
        <w:t>حزيران</w:t>
      </w:r>
      <w:r w:rsidRPr="00724A5B">
        <w:rPr>
          <w:w w:val="103"/>
          <w:rtl/>
        </w:rPr>
        <w:t>/يونيه 2014.</w:t>
      </w:r>
    </w:p>
  </w:footnote>
  <w:footnote w:id="19">
    <w:p w:rsidR="007673A0" w:rsidRPr="00724A5B" w:rsidRDefault="007673A0" w:rsidP="00724A5B">
      <w:pPr>
        <w:pStyle w:val="FootnoteText"/>
        <w:tabs>
          <w:tab w:val="clear" w:pos="418"/>
          <w:tab w:val="right" w:pos="1195"/>
          <w:tab w:val="left" w:pos="1267"/>
          <w:tab w:val="left" w:pos="1656"/>
          <w:tab w:val="left" w:pos="2088"/>
        </w:tabs>
        <w:spacing w:after="80"/>
        <w:ind w:left="1267" w:right="1267" w:hanging="547"/>
        <w:rPr>
          <w:w w:val="103"/>
          <w:rtl/>
        </w:rPr>
      </w:pPr>
      <w:r>
        <w:rPr>
          <w:rFonts w:hint="cs"/>
          <w:w w:val="103"/>
          <w:rtl/>
        </w:rPr>
        <w:tab/>
      </w:r>
      <w:r w:rsidRPr="00724A5B">
        <w:rPr>
          <w:w w:val="103"/>
          <w:rtl/>
        </w:rPr>
        <w:t>(</w:t>
      </w:r>
      <w:r w:rsidRPr="00724A5B">
        <w:rPr>
          <w:w w:val="103"/>
        </w:rPr>
        <w:footnoteRef/>
      </w:r>
      <w:r w:rsidRPr="00724A5B">
        <w:rPr>
          <w:w w:val="103"/>
          <w:rtl/>
        </w:rPr>
        <w:t>)</w:t>
      </w:r>
      <w:r w:rsidRPr="00724A5B">
        <w:rPr>
          <w:w w:val="103"/>
          <w:rtl/>
        </w:rPr>
        <w:tab/>
      </w:r>
      <w:r w:rsidRPr="00724A5B">
        <w:rPr>
          <w:rFonts w:hint="cs"/>
          <w:w w:val="103"/>
          <w:rtl/>
        </w:rPr>
        <w:t>المادة</w:t>
      </w:r>
      <w:r w:rsidRPr="00724A5B">
        <w:rPr>
          <w:w w:val="103"/>
          <w:rtl/>
        </w:rPr>
        <w:t xml:space="preserve"> (25) من القرار (60 ل. ر.) و</w:t>
      </w:r>
      <w:r w:rsidRPr="00724A5B">
        <w:rPr>
          <w:rFonts w:hint="cs"/>
          <w:w w:val="103"/>
          <w:rtl/>
        </w:rPr>
        <w:t>ال</w:t>
      </w:r>
      <w:r w:rsidRPr="00724A5B">
        <w:rPr>
          <w:w w:val="103"/>
          <w:rtl/>
        </w:rPr>
        <w:t>مادّة (79) من قانون أصول المحاكمات المدنيّة.</w:t>
      </w:r>
    </w:p>
  </w:footnote>
  <w:footnote w:id="20">
    <w:p w:rsidR="007673A0" w:rsidRPr="00724A5B" w:rsidRDefault="007673A0" w:rsidP="00724A5B">
      <w:pPr>
        <w:pStyle w:val="FootnoteText"/>
        <w:tabs>
          <w:tab w:val="clear" w:pos="418"/>
          <w:tab w:val="right" w:pos="1195"/>
          <w:tab w:val="left" w:pos="1267"/>
          <w:tab w:val="left" w:pos="1656"/>
          <w:tab w:val="left" w:pos="2088"/>
        </w:tabs>
        <w:spacing w:after="80"/>
        <w:ind w:left="1267" w:right="1267" w:hanging="547"/>
        <w:rPr>
          <w:w w:val="103"/>
          <w:rtl/>
        </w:rPr>
      </w:pPr>
      <w:r>
        <w:rPr>
          <w:rFonts w:hint="cs"/>
          <w:w w:val="103"/>
          <w:rtl/>
        </w:rPr>
        <w:tab/>
      </w:r>
      <w:r w:rsidRPr="00724A5B">
        <w:rPr>
          <w:w w:val="103"/>
          <w:rtl/>
        </w:rPr>
        <w:t>(</w:t>
      </w:r>
      <w:r w:rsidRPr="00724A5B">
        <w:rPr>
          <w:w w:val="103"/>
        </w:rPr>
        <w:footnoteRef/>
      </w:r>
      <w:r w:rsidRPr="00724A5B">
        <w:rPr>
          <w:w w:val="103"/>
          <w:rtl/>
        </w:rPr>
        <w:t>)</w:t>
      </w:r>
      <w:r w:rsidRPr="00724A5B">
        <w:rPr>
          <w:w w:val="103"/>
          <w:rtl/>
        </w:rPr>
        <w:tab/>
        <w:t xml:space="preserve">تراجع في هذا الخصوص الفقرة 37 </w:t>
      </w:r>
      <w:r w:rsidRPr="00724A5B">
        <w:rPr>
          <w:rFonts w:hint="cs"/>
          <w:w w:val="103"/>
          <w:rtl/>
        </w:rPr>
        <w:t>وما</w:t>
      </w:r>
      <w:r w:rsidRPr="00724A5B">
        <w:rPr>
          <w:w w:val="103"/>
          <w:rtl/>
        </w:rPr>
        <w:t xml:space="preserve"> </w:t>
      </w:r>
      <w:r w:rsidRPr="00724A5B">
        <w:rPr>
          <w:rFonts w:hint="cs"/>
          <w:w w:val="103"/>
          <w:rtl/>
        </w:rPr>
        <w:t>يليها</w:t>
      </w:r>
      <w:r w:rsidRPr="00724A5B">
        <w:rPr>
          <w:w w:val="103"/>
          <w:rtl/>
        </w:rPr>
        <w:t xml:space="preserve"> من هذا التّقرير.</w:t>
      </w:r>
    </w:p>
  </w:footnote>
  <w:footnote w:id="21">
    <w:p w:rsidR="007673A0" w:rsidRPr="00724A5B" w:rsidRDefault="007673A0" w:rsidP="00724A5B">
      <w:pPr>
        <w:pStyle w:val="FootnoteText"/>
        <w:tabs>
          <w:tab w:val="clear" w:pos="418"/>
          <w:tab w:val="right" w:pos="1195"/>
          <w:tab w:val="left" w:pos="1267"/>
          <w:tab w:val="left" w:pos="1656"/>
          <w:tab w:val="left" w:pos="2088"/>
        </w:tabs>
        <w:spacing w:after="80"/>
        <w:ind w:left="1267" w:right="1267" w:hanging="547"/>
        <w:rPr>
          <w:w w:val="103"/>
          <w:rtl/>
        </w:rPr>
      </w:pPr>
      <w:r>
        <w:rPr>
          <w:rFonts w:hint="cs"/>
          <w:w w:val="103"/>
          <w:rtl/>
        </w:rPr>
        <w:tab/>
      </w:r>
      <w:r w:rsidRPr="00724A5B">
        <w:rPr>
          <w:w w:val="103"/>
          <w:rtl/>
        </w:rPr>
        <w:t>(</w:t>
      </w:r>
      <w:r w:rsidRPr="00724A5B">
        <w:rPr>
          <w:w w:val="103"/>
        </w:rPr>
        <w:footnoteRef/>
      </w:r>
      <w:r w:rsidRPr="00724A5B">
        <w:rPr>
          <w:w w:val="103"/>
          <w:rtl/>
        </w:rPr>
        <w:t>)</w:t>
      </w:r>
      <w:r w:rsidRPr="00724A5B">
        <w:rPr>
          <w:w w:val="103"/>
          <w:rtl/>
        </w:rPr>
        <w:tab/>
        <w:t xml:space="preserve">محكمة جنايات جبل لبنان، حكم تاريخ 23 </w:t>
      </w:r>
      <w:r w:rsidRPr="00724A5B">
        <w:rPr>
          <w:rFonts w:hint="cs"/>
          <w:w w:val="103"/>
          <w:rtl/>
        </w:rPr>
        <w:t>حزيران</w:t>
      </w:r>
      <w:r w:rsidRPr="00724A5B">
        <w:rPr>
          <w:w w:val="103"/>
          <w:rtl/>
        </w:rPr>
        <w:t>/يونيه 2000.</w:t>
      </w:r>
    </w:p>
  </w:footnote>
  <w:footnote w:id="22">
    <w:p w:rsidR="007673A0" w:rsidRPr="00724A5B" w:rsidRDefault="007673A0" w:rsidP="00724A5B">
      <w:pPr>
        <w:pStyle w:val="FootnoteText"/>
        <w:tabs>
          <w:tab w:val="clear" w:pos="418"/>
          <w:tab w:val="right" w:pos="1195"/>
          <w:tab w:val="left" w:pos="1267"/>
          <w:tab w:val="left" w:pos="1656"/>
          <w:tab w:val="left" w:pos="2088"/>
        </w:tabs>
        <w:spacing w:after="80"/>
        <w:ind w:left="1267" w:right="1267" w:hanging="547"/>
        <w:rPr>
          <w:w w:val="103"/>
          <w:rtl/>
        </w:rPr>
      </w:pPr>
      <w:r>
        <w:rPr>
          <w:rFonts w:hint="cs"/>
          <w:w w:val="103"/>
          <w:rtl/>
        </w:rPr>
        <w:tab/>
      </w:r>
      <w:r w:rsidRPr="00724A5B">
        <w:rPr>
          <w:w w:val="103"/>
          <w:rtl/>
        </w:rPr>
        <w:t>(</w:t>
      </w:r>
      <w:r w:rsidRPr="00724A5B">
        <w:rPr>
          <w:w w:val="103"/>
        </w:rPr>
        <w:footnoteRef/>
      </w:r>
      <w:r w:rsidRPr="00724A5B">
        <w:rPr>
          <w:w w:val="103"/>
          <w:rtl/>
        </w:rPr>
        <w:t>)</w:t>
      </w:r>
      <w:r w:rsidRPr="00724A5B">
        <w:rPr>
          <w:w w:val="103"/>
          <w:rtl/>
        </w:rPr>
        <w:tab/>
        <w:t>مجلس العمل التّحكيمي في بيروت، الغرفة الأولى، قرار رقم 258/2009</w:t>
      </w:r>
      <w:r w:rsidRPr="00724A5B">
        <w:rPr>
          <w:rFonts w:hint="cs"/>
          <w:w w:val="103"/>
          <w:rtl/>
        </w:rPr>
        <w:t>،</w:t>
      </w:r>
      <w:r w:rsidRPr="00724A5B">
        <w:rPr>
          <w:w w:val="103"/>
          <w:rtl/>
        </w:rPr>
        <w:t xml:space="preserve"> تاريخ 22 </w:t>
      </w:r>
      <w:r w:rsidRPr="00724A5B">
        <w:rPr>
          <w:rFonts w:hint="cs"/>
          <w:w w:val="103"/>
          <w:rtl/>
        </w:rPr>
        <w:t>نيسان</w:t>
      </w:r>
      <w:r w:rsidRPr="00724A5B">
        <w:rPr>
          <w:w w:val="103"/>
          <w:rtl/>
        </w:rPr>
        <w:t>/أبريل 2009</w:t>
      </w:r>
      <w:r w:rsidRPr="00724A5B">
        <w:rPr>
          <w:rFonts w:hint="cs"/>
          <w:w w:val="103"/>
          <w:rtl/>
        </w:rPr>
        <w:t>؛</w:t>
      </w:r>
      <w:r w:rsidRPr="00724A5B">
        <w:rPr>
          <w:w w:val="103"/>
          <w:rtl/>
        </w:rPr>
        <w:t xml:space="preserve"> وقد أبرم هذا القرار تمييزاً: محكمة التّمييز، الغرفة الثّامنة، قرار رقم 50/2010</w:t>
      </w:r>
      <w:r w:rsidRPr="00724A5B">
        <w:rPr>
          <w:rFonts w:hint="cs"/>
          <w:w w:val="103"/>
          <w:rtl/>
        </w:rPr>
        <w:t>،</w:t>
      </w:r>
      <w:r w:rsidRPr="00724A5B">
        <w:rPr>
          <w:w w:val="103"/>
          <w:rtl/>
        </w:rPr>
        <w:t xml:space="preserve"> تاريخ 1 </w:t>
      </w:r>
      <w:r w:rsidRPr="00724A5B">
        <w:rPr>
          <w:rFonts w:hint="cs"/>
          <w:w w:val="103"/>
          <w:rtl/>
        </w:rPr>
        <w:t>حزيران</w:t>
      </w:r>
      <w:r w:rsidRPr="00724A5B">
        <w:rPr>
          <w:w w:val="103"/>
          <w:rtl/>
        </w:rPr>
        <w:t>/يونيه 2010.</w:t>
      </w:r>
    </w:p>
  </w:footnote>
  <w:footnote w:id="23">
    <w:p w:rsidR="007673A0" w:rsidRPr="00724A5B" w:rsidRDefault="007673A0" w:rsidP="00724A5B">
      <w:pPr>
        <w:pStyle w:val="FootnoteText"/>
        <w:tabs>
          <w:tab w:val="clear" w:pos="418"/>
          <w:tab w:val="right" w:pos="1195"/>
          <w:tab w:val="left" w:pos="1267"/>
          <w:tab w:val="left" w:pos="1656"/>
          <w:tab w:val="left" w:pos="2088"/>
        </w:tabs>
        <w:spacing w:after="80"/>
        <w:ind w:left="1267" w:right="1267" w:hanging="547"/>
        <w:rPr>
          <w:w w:val="103"/>
          <w:rtl/>
        </w:rPr>
      </w:pPr>
      <w:r>
        <w:rPr>
          <w:rFonts w:hint="cs"/>
          <w:w w:val="103"/>
          <w:rtl/>
        </w:rPr>
        <w:tab/>
      </w:r>
      <w:r w:rsidRPr="00724A5B">
        <w:rPr>
          <w:w w:val="103"/>
          <w:rtl/>
        </w:rPr>
        <w:t>(</w:t>
      </w:r>
      <w:r w:rsidRPr="00724A5B">
        <w:rPr>
          <w:w w:val="103"/>
        </w:rPr>
        <w:footnoteRef/>
      </w:r>
      <w:r w:rsidRPr="00724A5B">
        <w:rPr>
          <w:w w:val="103"/>
          <w:rtl/>
        </w:rPr>
        <w:t>)</w:t>
      </w:r>
      <w:r w:rsidRPr="00724A5B">
        <w:rPr>
          <w:w w:val="103"/>
          <w:rtl/>
        </w:rPr>
        <w:tab/>
        <w:t>تراجع في هذا الخصوص الفقرة 41 من هذا التّقرير.</w:t>
      </w:r>
    </w:p>
  </w:footnote>
  <w:footnote w:id="24">
    <w:p w:rsidR="007673A0" w:rsidRPr="00724A5B" w:rsidRDefault="007673A0" w:rsidP="00724A5B">
      <w:pPr>
        <w:pStyle w:val="FootnoteText"/>
        <w:tabs>
          <w:tab w:val="clear" w:pos="418"/>
          <w:tab w:val="right" w:pos="1195"/>
          <w:tab w:val="left" w:pos="1267"/>
          <w:tab w:val="left" w:pos="1656"/>
          <w:tab w:val="left" w:pos="2088"/>
        </w:tabs>
        <w:spacing w:after="80"/>
        <w:ind w:left="1267" w:right="1267" w:hanging="547"/>
        <w:rPr>
          <w:w w:val="103"/>
          <w:rtl/>
        </w:rPr>
      </w:pPr>
      <w:r>
        <w:rPr>
          <w:rFonts w:hint="cs"/>
          <w:w w:val="103"/>
          <w:rtl/>
        </w:rPr>
        <w:tab/>
      </w:r>
      <w:r w:rsidRPr="00724A5B">
        <w:rPr>
          <w:w w:val="103"/>
          <w:rtl/>
        </w:rPr>
        <w:t>(</w:t>
      </w:r>
      <w:r w:rsidRPr="00724A5B">
        <w:rPr>
          <w:w w:val="103"/>
        </w:rPr>
        <w:footnoteRef/>
      </w:r>
      <w:r w:rsidRPr="00724A5B">
        <w:rPr>
          <w:w w:val="103"/>
          <w:rtl/>
        </w:rPr>
        <w:t>)</w:t>
      </w:r>
      <w:r w:rsidRPr="00724A5B">
        <w:rPr>
          <w:w w:val="103"/>
          <w:rtl/>
        </w:rPr>
        <w:tab/>
        <w:t>تراجع في هذا الخصوص الفقرة 38 من هذا التّقرير.</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7673A0" w:rsidTr="001C7E43">
      <w:trPr>
        <w:trHeight w:hRule="exact" w:val="864"/>
        <w:jc w:val="center"/>
      </w:trPr>
      <w:tc>
        <w:tcPr>
          <w:tcW w:w="4882" w:type="dxa"/>
          <w:shd w:val="clear" w:color="auto" w:fill="auto"/>
          <w:vAlign w:val="bottom"/>
        </w:tcPr>
        <w:p w:rsidR="007673A0" w:rsidRDefault="007673A0" w:rsidP="001C7E43">
          <w:pPr>
            <w:pStyle w:val="Header"/>
            <w:bidi/>
          </w:pPr>
        </w:p>
      </w:tc>
      <w:tc>
        <w:tcPr>
          <w:tcW w:w="5127" w:type="dxa"/>
          <w:shd w:val="clear" w:color="auto" w:fill="auto"/>
          <w:vAlign w:val="bottom"/>
        </w:tcPr>
        <w:p w:rsidR="007673A0" w:rsidRPr="001C7E43" w:rsidRDefault="007673A0" w:rsidP="001C7E43">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051EE8">
            <w:rPr>
              <w:w w:val="103"/>
            </w:rPr>
            <w:t>CERD/C/LBN/18-22</w:t>
          </w:r>
          <w:r>
            <w:rPr>
              <w:w w:val="103"/>
            </w:rPr>
            <w:fldChar w:fldCharType="end"/>
          </w:r>
        </w:p>
      </w:tc>
    </w:tr>
  </w:tbl>
  <w:p w:rsidR="007673A0" w:rsidRPr="001C7E43" w:rsidRDefault="007673A0" w:rsidP="001C7E4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7673A0" w:rsidTr="001C7E43">
      <w:trPr>
        <w:trHeight w:hRule="exact" w:val="864"/>
        <w:jc w:val="center"/>
      </w:trPr>
      <w:tc>
        <w:tcPr>
          <w:tcW w:w="4882" w:type="dxa"/>
          <w:shd w:val="clear" w:color="auto" w:fill="auto"/>
          <w:vAlign w:val="bottom"/>
        </w:tcPr>
        <w:p w:rsidR="007673A0" w:rsidRPr="001C7E43" w:rsidRDefault="007673A0" w:rsidP="001C7E43">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051EE8">
            <w:rPr>
              <w:w w:val="103"/>
            </w:rPr>
            <w:t>CERD/C/LBN/18-22</w:t>
          </w:r>
          <w:r>
            <w:rPr>
              <w:w w:val="103"/>
            </w:rPr>
            <w:fldChar w:fldCharType="end"/>
          </w:r>
        </w:p>
      </w:tc>
      <w:tc>
        <w:tcPr>
          <w:tcW w:w="5127" w:type="dxa"/>
          <w:shd w:val="clear" w:color="auto" w:fill="auto"/>
          <w:vAlign w:val="bottom"/>
        </w:tcPr>
        <w:p w:rsidR="007673A0" w:rsidRDefault="007673A0" w:rsidP="001C7E43">
          <w:pPr>
            <w:pStyle w:val="Header"/>
          </w:pPr>
        </w:p>
      </w:tc>
    </w:tr>
  </w:tbl>
  <w:p w:rsidR="007673A0" w:rsidRPr="001C7E43" w:rsidRDefault="007673A0" w:rsidP="001C7E4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1003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255"/>
      <w:gridCol w:w="25"/>
    </w:tblGrid>
    <w:tr w:rsidR="007673A0" w:rsidTr="001C7E43">
      <w:trPr>
        <w:gridAfter w:val="1"/>
        <w:wAfter w:w="25" w:type="dxa"/>
        <w:trHeight w:hRule="exact" w:val="864"/>
      </w:trPr>
      <w:tc>
        <w:tcPr>
          <w:tcW w:w="1282" w:type="dxa"/>
          <w:tcBorders>
            <w:bottom w:val="single" w:sz="4" w:space="0" w:color="auto"/>
          </w:tcBorders>
          <w:shd w:val="clear" w:color="auto" w:fill="auto"/>
          <w:vAlign w:val="bottom"/>
        </w:tcPr>
        <w:p w:rsidR="007673A0" w:rsidRDefault="007673A0" w:rsidP="001C7E43">
          <w:pPr>
            <w:pStyle w:val="Header"/>
            <w:spacing w:after="120"/>
          </w:pPr>
        </w:p>
      </w:tc>
      <w:tc>
        <w:tcPr>
          <w:tcW w:w="1786" w:type="dxa"/>
          <w:tcBorders>
            <w:bottom w:val="single" w:sz="4" w:space="0" w:color="auto"/>
          </w:tcBorders>
          <w:shd w:val="clear" w:color="auto" w:fill="auto"/>
          <w:vAlign w:val="bottom"/>
        </w:tcPr>
        <w:p w:rsidR="007673A0" w:rsidRPr="001C7E43" w:rsidRDefault="007673A0" w:rsidP="001C7E43">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7673A0" w:rsidRDefault="007673A0" w:rsidP="001C7E43">
          <w:pPr>
            <w:pStyle w:val="Header"/>
            <w:spacing w:after="120"/>
          </w:pPr>
        </w:p>
      </w:tc>
      <w:tc>
        <w:tcPr>
          <w:tcW w:w="6696" w:type="dxa"/>
          <w:gridSpan w:val="3"/>
          <w:tcBorders>
            <w:bottom w:val="single" w:sz="4" w:space="0" w:color="auto"/>
          </w:tcBorders>
          <w:shd w:val="clear" w:color="auto" w:fill="auto"/>
          <w:vAlign w:val="bottom"/>
        </w:tcPr>
        <w:p w:rsidR="007673A0" w:rsidRPr="001C7E43" w:rsidRDefault="007673A0" w:rsidP="001C7E43">
          <w:pPr>
            <w:spacing w:line="380" w:lineRule="exact"/>
            <w:jc w:val="right"/>
          </w:pPr>
          <w:r>
            <w:rPr>
              <w:sz w:val="40"/>
            </w:rPr>
            <w:t>CERD</w:t>
          </w:r>
          <w:r>
            <w:t>/C/LBN/18-22</w:t>
          </w:r>
        </w:p>
      </w:tc>
    </w:tr>
    <w:tr w:rsidR="007673A0" w:rsidRPr="001C7E43" w:rsidTr="001C7E43">
      <w:trPr>
        <w:trHeight w:hRule="exact" w:val="2880"/>
      </w:trPr>
      <w:tc>
        <w:tcPr>
          <w:tcW w:w="1282" w:type="dxa"/>
          <w:tcBorders>
            <w:top w:val="single" w:sz="4" w:space="0" w:color="auto"/>
            <w:bottom w:val="single" w:sz="12" w:space="0" w:color="auto"/>
          </w:tcBorders>
          <w:shd w:val="clear" w:color="auto" w:fill="auto"/>
        </w:tcPr>
        <w:p w:rsidR="007673A0" w:rsidRDefault="007673A0" w:rsidP="001C7E43">
          <w:pPr>
            <w:pStyle w:val="Header"/>
            <w:spacing w:before="120"/>
            <w:jc w:val="center"/>
          </w:pPr>
          <w:r>
            <w:t xml:space="preserve"> </w:t>
          </w:r>
          <w:r>
            <w:rPr>
              <w:noProof/>
            </w:rPr>
            <w:drawing>
              <wp:inline distT="0" distB="0" distL="0" distR="0" wp14:anchorId="57127DF2" wp14:editId="7B76894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p w:rsidR="007673A0" w:rsidRPr="001C7E43" w:rsidRDefault="007673A0" w:rsidP="001C7E43">
          <w:pPr>
            <w:pStyle w:val="Header"/>
            <w:spacing w:before="120"/>
            <w:jc w:val="center"/>
          </w:pPr>
        </w:p>
      </w:tc>
      <w:tc>
        <w:tcPr>
          <w:tcW w:w="5227" w:type="dxa"/>
          <w:gridSpan w:val="3"/>
          <w:tcBorders>
            <w:top w:val="single" w:sz="4" w:space="0" w:color="auto"/>
            <w:bottom w:val="single" w:sz="12" w:space="0" w:color="auto"/>
          </w:tcBorders>
          <w:shd w:val="clear" w:color="auto" w:fill="auto"/>
        </w:tcPr>
        <w:p w:rsidR="007673A0" w:rsidRPr="001C7E43" w:rsidRDefault="007673A0" w:rsidP="006E5715">
          <w:pPr>
            <w:pStyle w:val="XLarge"/>
            <w:spacing w:before="109" w:line="520" w:lineRule="exact"/>
            <w:ind w:left="11" w:right="1293"/>
            <w:jc w:val="lowKashida"/>
            <w:rPr>
              <w:szCs w:val="50"/>
            </w:rPr>
          </w:pPr>
          <w:r>
            <w:rPr>
              <w:szCs w:val="50"/>
              <w:rtl/>
            </w:rPr>
            <w:t>الاتفاقية الدولية للقضاء على</w:t>
          </w:r>
          <w:r>
            <w:rPr>
              <w:rFonts w:hint="cs"/>
              <w:szCs w:val="50"/>
              <w:rtl/>
            </w:rPr>
            <w:br/>
          </w:r>
          <w:r>
            <w:rPr>
              <w:szCs w:val="50"/>
              <w:rtl/>
            </w:rPr>
            <w:t>جميع أشكال التمييز العنصري</w:t>
          </w:r>
        </w:p>
      </w:tc>
      <w:tc>
        <w:tcPr>
          <w:tcW w:w="245" w:type="dxa"/>
          <w:tcBorders>
            <w:top w:val="single" w:sz="4" w:space="0" w:color="auto"/>
            <w:bottom w:val="single" w:sz="12" w:space="0" w:color="auto"/>
          </w:tcBorders>
          <w:shd w:val="clear" w:color="auto" w:fill="auto"/>
        </w:tcPr>
        <w:p w:rsidR="007673A0" w:rsidRPr="001C7E43" w:rsidRDefault="007673A0" w:rsidP="001C7E43">
          <w:pPr>
            <w:pStyle w:val="Header"/>
            <w:spacing w:before="109"/>
          </w:pPr>
        </w:p>
      </w:tc>
      <w:tc>
        <w:tcPr>
          <w:tcW w:w="3280" w:type="dxa"/>
          <w:gridSpan w:val="2"/>
          <w:tcBorders>
            <w:top w:val="single" w:sz="4" w:space="0" w:color="auto"/>
            <w:bottom w:val="single" w:sz="12" w:space="0" w:color="auto"/>
          </w:tcBorders>
          <w:shd w:val="clear" w:color="auto" w:fill="auto"/>
        </w:tcPr>
        <w:p w:rsidR="007673A0" w:rsidRDefault="007673A0" w:rsidP="001C7E43">
          <w:pPr>
            <w:pStyle w:val="Distribution"/>
            <w:bidi w:val="0"/>
            <w:spacing w:before="240"/>
          </w:pPr>
          <w:r>
            <w:t>Distr.: General</w:t>
          </w:r>
        </w:p>
        <w:p w:rsidR="007673A0" w:rsidRDefault="007673A0" w:rsidP="001C7E43">
          <w:pPr>
            <w:pStyle w:val="Publication"/>
            <w:bidi w:val="0"/>
          </w:pPr>
          <w:r>
            <w:t>31 August 2015</w:t>
          </w:r>
        </w:p>
        <w:p w:rsidR="007673A0" w:rsidRDefault="007673A0" w:rsidP="001C7E43">
          <w:pPr>
            <w:bidi w:val="0"/>
            <w:spacing w:line="240" w:lineRule="exact"/>
            <w:jc w:val="left"/>
          </w:pPr>
          <w:r>
            <w:t>Arabic</w:t>
          </w:r>
        </w:p>
        <w:p w:rsidR="007673A0" w:rsidRDefault="007673A0" w:rsidP="001C7E43">
          <w:pPr>
            <w:pStyle w:val="Original"/>
            <w:bidi w:val="0"/>
          </w:pPr>
          <w:r>
            <w:t>Original: Arabic</w:t>
          </w:r>
        </w:p>
        <w:p w:rsidR="007673A0" w:rsidRPr="001C7E43" w:rsidRDefault="007673A0" w:rsidP="001C7E43">
          <w:pPr>
            <w:bidi w:val="0"/>
            <w:spacing w:line="240" w:lineRule="exact"/>
            <w:jc w:val="left"/>
          </w:pPr>
          <w:r>
            <w:t>Arabic, English, French and</w:t>
          </w:r>
          <w:r>
            <w:br/>
            <w:t>Spanish only</w:t>
          </w:r>
        </w:p>
      </w:tc>
    </w:tr>
  </w:tbl>
  <w:p w:rsidR="007673A0" w:rsidRPr="001C7E43" w:rsidRDefault="007673A0" w:rsidP="001C7E4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1">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3">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78F35DE8"/>
    <w:multiLevelType w:val="hybridMultilevel"/>
    <w:tmpl w:val="9D9CF454"/>
    <w:lvl w:ilvl="0" w:tplc="9F9E22C6">
      <w:start w:val="1"/>
      <w:numFmt w:val="decimal"/>
      <w:pStyle w:val="SingleTxtGA"/>
      <w:lvlText w:val="%1-"/>
      <w:lvlJc w:val="left"/>
      <w:pPr>
        <w:ind w:left="1984" w:hanging="360"/>
      </w:pPr>
      <w:rPr>
        <w:rFonts w:ascii="Times New Roman" w:hAnsi="Times New Roman" w:cs="Traditional Arabic" w:hint="default"/>
        <w:sz w:val="20"/>
        <w:szCs w:val="30"/>
      </w:rPr>
    </w:lvl>
    <w:lvl w:ilvl="1" w:tplc="04090019" w:tentative="1">
      <w:start w:val="1"/>
      <w:numFmt w:val="lowerLetter"/>
      <w:lvlText w:val="%2."/>
      <w:lvlJc w:val="left"/>
      <w:pPr>
        <w:ind w:left="2704" w:hanging="360"/>
      </w:pPr>
    </w:lvl>
    <w:lvl w:ilvl="2" w:tplc="0409001B" w:tentative="1">
      <w:start w:val="1"/>
      <w:numFmt w:val="lowerRoman"/>
      <w:lvlText w:val="%3."/>
      <w:lvlJc w:val="right"/>
      <w:pPr>
        <w:ind w:left="3424" w:hanging="180"/>
      </w:pPr>
    </w:lvl>
    <w:lvl w:ilvl="3" w:tplc="0409000F" w:tentative="1">
      <w:start w:val="1"/>
      <w:numFmt w:val="decimal"/>
      <w:lvlText w:val="%4."/>
      <w:lvlJc w:val="left"/>
      <w:pPr>
        <w:ind w:left="4144" w:hanging="360"/>
      </w:pPr>
    </w:lvl>
    <w:lvl w:ilvl="4" w:tplc="04090019" w:tentative="1">
      <w:start w:val="1"/>
      <w:numFmt w:val="lowerLetter"/>
      <w:lvlText w:val="%5."/>
      <w:lvlJc w:val="left"/>
      <w:pPr>
        <w:ind w:left="4864" w:hanging="360"/>
      </w:pPr>
    </w:lvl>
    <w:lvl w:ilvl="5" w:tplc="0409001B" w:tentative="1">
      <w:start w:val="1"/>
      <w:numFmt w:val="lowerRoman"/>
      <w:lvlText w:val="%6."/>
      <w:lvlJc w:val="right"/>
      <w:pPr>
        <w:ind w:left="5584" w:hanging="180"/>
      </w:pPr>
    </w:lvl>
    <w:lvl w:ilvl="6" w:tplc="0409000F" w:tentative="1">
      <w:start w:val="1"/>
      <w:numFmt w:val="decimal"/>
      <w:lvlText w:val="%7."/>
      <w:lvlJc w:val="left"/>
      <w:pPr>
        <w:ind w:left="6304" w:hanging="360"/>
      </w:pPr>
    </w:lvl>
    <w:lvl w:ilvl="7" w:tplc="04090019" w:tentative="1">
      <w:start w:val="1"/>
      <w:numFmt w:val="lowerLetter"/>
      <w:lvlText w:val="%8."/>
      <w:lvlJc w:val="left"/>
      <w:pPr>
        <w:ind w:left="7024" w:hanging="360"/>
      </w:pPr>
    </w:lvl>
    <w:lvl w:ilvl="8" w:tplc="0409001B" w:tentative="1">
      <w:start w:val="1"/>
      <w:numFmt w:val="lowerRoman"/>
      <w:lvlText w:val="%9."/>
      <w:lvlJc w:val="right"/>
      <w:pPr>
        <w:ind w:left="7744" w:hanging="180"/>
      </w:pPr>
    </w:lvl>
  </w:abstractNum>
  <w:abstractNum w:abstractNumId="5">
    <w:nsid w:val="7E31761C"/>
    <w:multiLevelType w:val="hybridMultilevel"/>
    <w:tmpl w:val="E34807F8"/>
    <w:lvl w:ilvl="0" w:tplc="C8C0F572">
      <w:start w:val="1"/>
      <w:numFmt w:val="decimal"/>
      <w:lvlText w:val="%1-"/>
      <w:lvlJc w:val="left"/>
      <w:pPr>
        <w:ind w:left="1984" w:hanging="360"/>
      </w:pPr>
      <w:rPr>
        <w:rFonts w:hint="default"/>
      </w:rPr>
    </w:lvl>
    <w:lvl w:ilvl="1" w:tplc="04090019" w:tentative="1">
      <w:start w:val="1"/>
      <w:numFmt w:val="lowerLetter"/>
      <w:lvlText w:val="%2."/>
      <w:lvlJc w:val="left"/>
      <w:pPr>
        <w:ind w:left="2704" w:hanging="360"/>
      </w:pPr>
    </w:lvl>
    <w:lvl w:ilvl="2" w:tplc="0409001B" w:tentative="1">
      <w:start w:val="1"/>
      <w:numFmt w:val="lowerRoman"/>
      <w:lvlText w:val="%3."/>
      <w:lvlJc w:val="right"/>
      <w:pPr>
        <w:ind w:left="3424" w:hanging="180"/>
      </w:pPr>
    </w:lvl>
    <w:lvl w:ilvl="3" w:tplc="0409000F" w:tentative="1">
      <w:start w:val="1"/>
      <w:numFmt w:val="decimal"/>
      <w:lvlText w:val="%4."/>
      <w:lvlJc w:val="left"/>
      <w:pPr>
        <w:ind w:left="4144" w:hanging="360"/>
      </w:pPr>
    </w:lvl>
    <w:lvl w:ilvl="4" w:tplc="04090019" w:tentative="1">
      <w:start w:val="1"/>
      <w:numFmt w:val="lowerLetter"/>
      <w:lvlText w:val="%5."/>
      <w:lvlJc w:val="left"/>
      <w:pPr>
        <w:ind w:left="4864" w:hanging="360"/>
      </w:pPr>
    </w:lvl>
    <w:lvl w:ilvl="5" w:tplc="0409001B" w:tentative="1">
      <w:start w:val="1"/>
      <w:numFmt w:val="lowerRoman"/>
      <w:lvlText w:val="%6."/>
      <w:lvlJc w:val="right"/>
      <w:pPr>
        <w:ind w:left="5584" w:hanging="180"/>
      </w:pPr>
    </w:lvl>
    <w:lvl w:ilvl="6" w:tplc="0409000F" w:tentative="1">
      <w:start w:val="1"/>
      <w:numFmt w:val="decimal"/>
      <w:lvlText w:val="%7."/>
      <w:lvlJc w:val="left"/>
      <w:pPr>
        <w:ind w:left="6304" w:hanging="360"/>
      </w:pPr>
    </w:lvl>
    <w:lvl w:ilvl="7" w:tplc="04090019" w:tentative="1">
      <w:start w:val="1"/>
      <w:numFmt w:val="lowerLetter"/>
      <w:lvlText w:val="%8."/>
      <w:lvlJc w:val="left"/>
      <w:pPr>
        <w:ind w:left="7024" w:hanging="360"/>
      </w:pPr>
    </w:lvl>
    <w:lvl w:ilvl="8" w:tplc="0409001B" w:tentative="1">
      <w:start w:val="1"/>
      <w:numFmt w:val="lowerRoman"/>
      <w:lvlText w:val="%9."/>
      <w:lvlJc w:val="right"/>
      <w:pPr>
        <w:ind w:left="7744" w:hanging="180"/>
      </w:pPr>
    </w:lvl>
  </w:abstractNum>
  <w:num w:numId="1">
    <w:abstractNumId w:val="1"/>
  </w:num>
  <w:num w:numId="2">
    <w:abstractNumId w:val="3"/>
  </w:num>
  <w:num w:numId="3">
    <w:abstractNumId w:val="2"/>
  </w:num>
  <w:num w:numId="4">
    <w:abstractNumId w:val="4"/>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7169"/>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4675*"/>
    <w:docVar w:name="CreationDt" w:val="9/14/2015 10:47 AM"/>
    <w:docVar w:name="DocCategory" w:val="Doc"/>
    <w:docVar w:name="DocType" w:val="Final"/>
    <w:docVar w:name="DutyStation" w:val="Geneva"/>
    <w:docVar w:name="FooterJN" w:val="GE.15-14675"/>
    <w:docVar w:name="jobn" w:val="GE.15-14675 (A)"/>
    <w:docVar w:name="jobnDT" w:val="GE.15-14675 (A)   140915"/>
    <w:docVar w:name="jobnDTDT" w:val="GE.15-14675 (A)   140915   140915"/>
    <w:docVar w:name="JobNo" w:val="GE.1514675A"/>
    <w:docVar w:name="LocalDrive" w:val="0"/>
    <w:docVar w:name="OandT" w:val=" "/>
    <w:docVar w:name="PaperSize" w:val="A4"/>
    <w:docVar w:name="sss1" w:val="CERD/C/LBN/18-22"/>
    <w:docVar w:name="sss2" w:val="-"/>
    <w:docVar w:name="Symbol1" w:val="CERD/C/LBN/18-22"/>
    <w:docVar w:name="Symbol2" w:val="-"/>
  </w:docVars>
  <w:rsids>
    <w:rsidRoot w:val="00C644D2"/>
    <w:rsid w:val="000020C4"/>
    <w:rsid w:val="0000693B"/>
    <w:rsid w:val="000170D3"/>
    <w:rsid w:val="0002744A"/>
    <w:rsid w:val="000311C9"/>
    <w:rsid w:val="00042425"/>
    <w:rsid w:val="00047F6A"/>
    <w:rsid w:val="0005137B"/>
    <w:rsid w:val="00051EE8"/>
    <w:rsid w:val="00056AA7"/>
    <w:rsid w:val="0006648F"/>
    <w:rsid w:val="00070E09"/>
    <w:rsid w:val="00087310"/>
    <w:rsid w:val="000927B5"/>
    <w:rsid w:val="0009732C"/>
    <w:rsid w:val="000974BE"/>
    <w:rsid w:val="000B640C"/>
    <w:rsid w:val="000C4EED"/>
    <w:rsid w:val="000D2CEC"/>
    <w:rsid w:val="000F3F48"/>
    <w:rsid w:val="00100A90"/>
    <w:rsid w:val="00101EE8"/>
    <w:rsid w:val="00102521"/>
    <w:rsid w:val="0010461F"/>
    <w:rsid w:val="00113349"/>
    <w:rsid w:val="0012522B"/>
    <w:rsid w:val="00132672"/>
    <w:rsid w:val="00143096"/>
    <w:rsid w:val="001519A9"/>
    <w:rsid w:val="001568A8"/>
    <w:rsid w:val="00165F18"/>
    <w:rsid w:val="00170A5E"/>
    <w:rsid w:val="001737F8"/>
    <w:rsid w:val="001775EA"/>
    <w:rsid w:val="0018030C"/>
    <w:rsid w:val="00182D99"/>
    <w:rsid w:val="00187870"/>
    <w:rsid w:val="00194C85"/>
    <w:rsid w:val="001A0D70"/>
    <w:rsid w:val="001A5B00"/>
    <w:rsid w:val="001B59EE"/>
    <w:rsid w:val="001C6531"/>
    <w:rsid w:val="001C7E43"/>
    <w:rsid w:val="001D1606"/>
    <w:rsid w:val="001E2BD4"/>
    <w:rsid w:val="001E5A5A"/>
    <w:rsid w:val="001E5A7A"/>
    <w:rsid w:val="001F30B2"/>
    <w:rsid w:val="001F6786"/>
    <w:rsid w:val="00212285"/>
    <w:rsid w:val="002141DD"/>
    <w:rsid w:val="00233E2A"/>
    <w:rsid w:val="00236A29"/>
    <w:rsid w:val="00237A82"/>
    <w:rsid w:val="002416C5"/>
    <w:rsid w:val="0025002E"/>
    <w:rsid w:val="0025075C"/>
    <w:rsid w:val="0025236C"/>
    <w:rsid w:val="00252B9B"/>
    <w:rsid w:val="00252D19"/>
    <w:rsid w:val="0025486A"/>
    <w:rsid w:val="002606E6"/>
    <w:rsid w:val="00262A33"/>
    <w:rsid w:val="00266F59"/>
    <w:rsid w:val="00267D73"/>
    <w:rsid w:val="00272B6C"/>
    <w:rsid w:val="00275EB3"/>
    <w:rsid w:val="0027623A"/>
    <w:rsid w:val="00280978"/>
    <w:rsid w:val="0028685E"/>
    <w:rsid w:val="00290F2F"/>
    <w:rsid w:val="002937DA"/>
    <w:rsid w:val="002971E7"/>
    <w:rsid w:val="002A09C6"/>
    <w:rsid w:val="002A6916"/>
    <w:rsid w:val="002B0A3E"/>
    <w:rsid w:val="002B120A"/>
    <w:rsid w:val="002B4F37"/>
    <w:rsid w:val="002C2AF2"/>
    <w:rsid w:val="002C3561"/>
    <w:rsid w:val="002C4866"/>
    <w:rsid w:val="002C4E1B"/>
    <w:rsid w:val="002D58BC"/>
    <w:rsid w:val="002E1490"/>
    <w:rsid w:val="002E750A"/>
    <w:rsid w:val="002F0398"/>
    <w:rsid w:val="002F0573"/>
    <w:rsid w:val="002F0ADA"/>
    <w:rsid w:val="002F1211"/>
    <w:rsid w:val="002F7737"/>
    <w:rsid w:val="00307CFF"/>
    <w:rsid w:val="00310FA5"/>
    <w:rsid w:val="00312162"/>
    <w:rsid w:val="00312525"/>
    <w:rsid w:val="003501D5"/>
    <w:rsid w:val="00351324"/>
    <w:rsid w:val="0036512C"/>
    <w:rsid w:val="00366E5B"/>
    <w:rsid w:val="003676A8"/>
    <w:rsid w:val="00371AC4"/>
    <w:rsid w:val="003769FD"/>
    <w:rsid w:val="00376CFA"/>
    <w:rsid w:val="003772FC"/>
    <w:rsid w:val="00383A67"/>
    <w:rsid w:val="00383CA8"/>
    <w:rsid w:val="00383EF3"/>
    <w:rsid w:val="00385F27"/>
    <w:rsid w:val="003A65ED"/>
    <w:rsid w:val="003C4B86"/>
    <w:rsid w:val="003D4612"/>
    <w:rsid w:val="003D6DE5"/>
    <w:rsid w:val="003E1BB9"/>
    <w:rsid w:val="003E26D7"/>
    <w:rsid w:val="003E4110"/>
    <w:rsid w:val="003E4647"/>
    <w:rsid w:val="003E6DF8"/>
    <w:rsid w:val="003F4B8C"/>
    <w:rsid w:val="00401BDF"/>
    <w:rsid w:val="004053F7"/>
    <w:rsid w:val="00411BBD"/>
    <w:rsid w:val="00415922"/>
    <w:rsid w:val="00421658"/>
    <w:rsid w:val="00423BD7"/>
    <w:rsid w:val="0042757D"/>
    <w:rsid w:val="00437C14"/>
    <w:rsid w:val="00445C58"/>
    <w:rsid w:val="004527C9"/>
    <w:rsid w:val="00453069"/>
    <w:rsid w:val="0045622E"/>
    <w:rsid w:val="00465B26"/>
    <w:rsid w:val="00467905"/>
    <w:rsid w:val="00471C89"/>
    <w:rsid w:val="00475FF6"/>
    <w:rsid w:val="00476CF6"/>
    <w:rsid w:val="0048330E"/>
    <w:rsid w:val="00483F5B"/>
    <w:rsid w:val="00490874"/>
    <w:rsid w:val="0049408F"/>
    <w:rsid w:val="00494EE2"/>
    <w:rsid w:val="00496E83"/>
    <w:rsid w:val="00497193"/>
    <w:rsid w:val="004A2329"/>
    <w:rsid w:val="004A2886"/>
    <w:rsid w:val="004A694F"/>
    <w:rsid w:val="004B14A0"/>
    <w:rsid w:val="004B1CBB"/>
    <w:rsid w:val="004B2CC5"/>
    <w:rsid w:val="004B440C"/>
    <w:rsid w:val="004C219B"/>
    <w:rsid w:val="004C6CA6"/>
    <w:rsid w:val="004D1B0C"/>
    <w:rsid w:val="004D3ACE"/>
    <w:rsid w:val="004D4EA9"/>
    <w:rsid w:val="004F0D2B"/>
    <w:rsid w:val="004F1402"/>
    <w:rsid w:val="004F33CC"/>
    <w:rsid w:val="004F59EC"/>
    <w:rsid w:val="004F75CD"/>
    <w:rsid w:val="0050659B"/>
    <w:rsid w:val="00520086"/>
    <w:rsid w:val="00521CAC"/>
    <w:rsid w:val="005243A0"/>
    <w:rsid w:val="00524A2E"/>
    <w:rsid w:val="005279DE"/>
    <w:rsid w:val="00534772"/>
    <w:rsid w:val="00537FCD"/>
    <w:rsid w:val="00542632"/>
    <w:rsid w:val="00545F76"/>
    <w:rsid w:val="00551E87"/>
    <w:rsid w:val="005545BB"/>
    <w:rsid w:val="00556882"/>
    <w:rsid w:val="00561E43"/>
    <w:rsid w:val="0057078E"/>
    <w:rsid w:val="00571C2C"/>
    <w:rsid w:val="00582B0A"/>
    <w:rsid w:val="005838F5"/>
    <w:rsid w:val="00590CD4"/>
    <w:rsid w:val="00591B45"/>
    <w:rsid w:val="005943EA"/>
    <w:rsid w:val="005956D2"/>
    <w:rsid w:val="00596606"/>
    <w:rsid w:val="005A0F27"/>
    <w:rsid w:val="005A0F73"/>
    <w:rsid w:val="005A2EA3"/>
    <w:rsid w:val="005A6DC0"/>
    <w:rsid w:val="005B2267"/>
    <w:rsid w:val="005B4C28"/>
    <w:rsid w:val="005C07BD"/>
    <w:rsid w:val="005C2ECE"/>
    <w:rsid w:val="005C46A7"/>
    <w:rsid w:val="005C7ED8"/>
    <w:rsid w:val="005D5B76"/>
    <w:rsid w:val="005E46BF"/>
    <w:rsid w:val="006007BD"/>
    <w:rsid w:val="006046A6"/>
    <w:rsid w:val="00616E82"/>
    <w:rsid w:val="006218A3"/>
    <w:rsid w:val="00631D41"/>
    <w:rsid w:val="006564CE"/>
    <w:rsid w:val="00663F64"/>
    <w:rsid w:val="0068436E"/>
    <w:rsid w:val="00685439"/>
    <w:rsid w:val="006905A9"/>
    <w:rsid w:val="00692B46"/>
    <w:rsid w:val="00692C45"/>
    <w:rsid w:val="00692FDB"/>
    <w:rsid w:val="00693CF9"/>
    <w:rsid w:val="006954D7"/>
    <w:rsid w:val="00696B7A"/>
    <w:rsid w:val="006A1E4E"/>
    <w:rsid w:val="006C1E40"/>
    <w:rsid w:val="006C38EE"/>
    <w:rsid w:val="006D1A46"/>
    <w:rsid w:val="006D3170"/>
    <w:rsid w:val="006E5715"/>
    <w:rsid w:val="006E7E51"/>
    <w:rsid w:val="007006FC"/>
    <w:rsid w:val="00700F06"/>
    <w:rsid w:val="00714319"/>
    <w:rsid w:val="0071531E"/>
    <w:rsid w:val="0071645B"/>
    <w:rsid w:val="00716E9D"/>
    <w:rsid w:val="00724A5B"/>
    <w:rsid w:val="00740D62"/>
    <w:rsid w:val="00747B9E"/>
    <w:rsid w:val="007524BE"/>
    <w:rsid w:val="007525FA"/>
    <w:rsid w:val="007668E3"/>
    <w:rsid w:val="00766B3B"/>
    <w:rsid w:val="00767151"/>
    <w:rsid w:val="007673A0"/>
    <w:rsid w:val="00770CF8"/>
    <w:rsid w:val="00774FF0"/>
    <w:rsid w:val="0078262F"/>
    <w:rsid w:val="00784325"/>
    <w:rsid w:val="00784F2B"/>
    <w:rsid w:val="00786F0C"/>
    <w:rsid w:val="0079046D"/>
    <w:rsid w:val="007925B2"/>
    <w:rsid w:val="0079753A"/>
    <w:rsid w:val="007A296C"/>
    <w:rsid w:val="007A6DD9"/>
    <w:rsid w:val="007B3DC8"/>
    <w:rsid w:val="007B5729"/>
    <w:rsid w:val="007C7274"/>
    <w:rsid w:val="007D489C"/>
    <w:rsid w:val="007D60E0"/>
    <w:rsid w:val="007D6B8D"/>
    <w:rsid w:val="007E32B9"/>
    <w:rsid w:val="0081284F"/>
    <w:rsid w:val="00814843"/>
    <w:rsid w:val="008170DE"/>
    <w:rsid w:val="00820B87"/>
    <w:rsid w:val="00830E32"/>
    <w:rsid w:val="00845A14"/>
    <w:rsid w:val="0085331D"/>
    <w:rsid w:val="00853F0F"/>
    <w:rsid w:val="008569BB"/>
    <w:rsid w:val="008624AF"/>
    <w:rsid w:val="00873A11"/>
    <w:rsid w:val="00873AF9"/>
    <w:rsid w:val="00881022"/>
    <w:rsid w:val="0088317F"/>
    <w:rsid w:val="008913BC"/>
    <w:rsid w:val="008A3FCA"/>
    <w:rsid w:val="008D1C04"/>
    <w:rsid w:val="008E739A"/>
    <w:rsid w:val="008F04A0"/>
    <w:rsid w:val="008F3D2C"/>
    <w:rsid w:val="008F419C"/>
    <w:rsid w:val="008F5850"/>
    <w:rsid w:val="008F64A7"/>
    <w:rsid w:val="0090012B"/>
    <w:rsid w:val="0090351F"/>
    <w:rsid w:val="009124C9"/>
    <w:rsid w:val="00914215"/>
    <w:rsid w:val="009532EE"/>
    <w:rsid w:val="00956E02"/>
    <w:rsid w:val="00964FA8"/>
    <w:rsid w:val="00970BAD"/>
    <w:rsid w:val="009768D1"/>
    <w:rsid w:val="009807FF"/>
    <w:rsid w:val="00981E99"/>
    <w:rsid w:val="009829B7"/>
    <w:rsid w:val="009927C0"/>
    <w:rsid w:val="00996063"/>
    <w:rsid w:val="009961E6"/>
    <w:rsid w:val="009975A9"/>
    <w:rsid w:val="009B4A58"/>
    <w:rsid w:val="009B6C08"/>
    <w:rsid w:val="009B6C65"/>
    <w:rsid w:val="009B752D"/>
    <w:rsid w:val="009C0017"/>
    <w:rsid w:val="009C15F4"/>
    <w:rsid w:val="009C785C"/>
    <w:rsid w:val="009D25F3"/>
    <w:rsid w:val="009D62A3"/>
    <w:rsid w:val="009E23AC"/>
    <w:rsid w:val="009E2A1F"/>
    <w:rsid w:val="009E5241"/>
    <w:rsid w:val="009F231F"/>
    <w:rsid w:val="009F5698"/>
    <w:rsid w:val="009F60C8"/>
    <w:rsid w:val="00A140D9"/>
    <w:rsid w:val="00A14A6C"/>
    <w:rsid w:val="00A25CE3"/>
    <w:rsid w:val="00A31CD7"/>
    <w:rsid w:val="00A37C4B"/>
    <w:rsid w:val="00A47282"/>
    <w:rsid w:val="00A50991"/>
    <w:rsid w:val="00A56F63"/>
    <w:rsid w:val="00A6077A"/>
    <w:rsid w:val="00A66F66"/>
    <w:rsid w:val="00A71AE5"/>
    <w:rsid w:val="00A777E2"/>
    <w:rsid w:val="00A77F16"/>
    <w:rsid w:val="00A84144"/>
    <w:rsid w:val="00A90909"/>
    <w:rsid w:val="00A93FB9"/>
    <w:rsid w:val="00AA0963"/>
    <w:rsid w:val="00AA1E16"/>
    <w:rsid w:val="00AC002C"/>
    <w:rsid w:val="00AC0E42"/>
    <w:rsid w:val="00AC2EE0"/>
    <w:rsid w:val="00AC6CDD"/>
    <w:rsid w:val="00AD1A68"/>
    <w:rsid w:val="00AD38D0"/>
    <w:rsid w:val="00AE108C"/>
    <w:rsid w:val="00AE3AF5"/>
    <w:rsid w:val="00AE5AE2"/>
    <w:rsid w:val="00AF1A53"/>
    <w:rsid w:val="00AF43A0"/>
    <w:rsid w:val="00AF7AC7"/>
    <w:rsid w:val="00B05ADC"/>
    <w:rsid w:val="00B272BE"/>
    <w:rsid w:val="00B3471A"/>
    <w:rsid w:val="00B36AFF"/>
    <w:rsid w:val="00B37A36"/>
    <w:rsid w:val="00B424BC"/>
    <w:rsid w:val="00B5784C"/>
    <w:rsid w:val="00B66B1A"/>
    <w:rsid w:val="00B9542C"/>
    <w:rsid w:val="00B95560"/>
    <w:rsid w:val="00B9745D"/>
    <w:rsid w:val="00BA7FAB"/>
    <w:rsid w:val="00BB6B6E"/>
    <w:rsid w:val="00BC2F4C"/>
    <w:rsid w:val="00BC43AD"/>
    <w:rsid w:val="00BC4A05"/>
    <w:rsid w:val="00BC567D"/>
    <w:rsid w:val="00BC6BA6"/>
    <w:rsid w:val="00BE15C1"/>
    <w:rsid w:val="00BF0B15"/>
    <w:rsid w:val="00C12CBB"/>
    <w:rsid w:val="00C16F77"/>
    <w:rsid w:val="00C25A2D"/>
    <w:rsid w:val="00C260F8"/>
    <w:rsid w:val="00C3050C"/>
    <w:rsid w:val="00C32889"/>
    <w:rsid w:val="00C34B99"/>
    <w:rsid w:val="00C40CC8"/>
    <w:rsid w:val="00C43FBE"/>
    <w:rsid w:val="00C449C6"/>
    <w:rsid w:val="00C52142"/>
    <w:rsid w:val="00C564B0"/>
    <w:rsid w:val="00C61F0B"/>
    <w:rsid w:val="00C6283F"/>
    <w:rsid w:val="00C644D2"/>
    <w:rsid w:val="00C71487"/>
    <w:rsid w:val="00C7606D"/>
    <w:rsid w:val="00C814A5"/>
    <w:rsid w:val="00C84B2B"/>
    <w:rsid w:val="00C855F6"/>
    <w:rsid w:val="00C96573"/>
    <w:rsid w:val="00CA286A"/>
    <w:rsid w:val="00CA4791"/>
    <w:rsid w:val="00CC04B5"/>
    <w:rsid w:val="00CC7E14"/>
    <w:rsid w:val="00CD03C6"/>
    <w:rsid w:val="00CD0BB8"/>
    <w:rsid w:val="00CD3849"/>
    <w:rsid w:val="00CE0509"/>
    <w:rsid w:val="00CF4D77"/>
    <w:rsid w:val="00CF7384"/>
    <w:rsid w:val="00D00717"/>
    <w:rsid w:val="00D0526B"/>
    <w:rsid w:val="00D223AD"/>
    <w:rsid w:val="00D2343D"/>
    <w:rsid w:val="00D309BA"/>
    <w:rsid w:val="00D30EAE"/>
    <w:rsid w:val="00D318F1"/>
    <w:rsid w:val="00D40B0E"/>
    <w:rsid w:val="00D416C2"/>
    <w:rsid w:val="00D44FE0"/>
    <w:rsid w:val="00D4694F"/>
    <w:rsid w:val="00D5423E"/>
    <w:rsid w:val="00D565C6"/>
    <w:rsid w:val="00D66413"/>
    <w:rsid w:val="00DA66B7"/>
    <w:rsid w:val="00DB0865"/>
    <w:rsid w:val="00DB0C91"/>
    <w:rsid w:val="00DB7206"/>
    <w:rsid w:val="00DC5C1E"/>
    <w:rsid w:val="00DE5433"/>
    <w:rsid w:val="00DE68A7"/>
    <w:rsid w:val="00DF2A65"/>
    <w:rsid w:val="00DF2AE6"/>
    <w:rsid w:val="00DF5A43"/>
    <w:rsid w:val="00DF5F38"/>
    <w:rsid w:val="00DF6AA9"/>
    <w:rsid w:val="00E04526"/>
    <w:rsid w:val="00E1179E"/>
    <w:rsid w:val="00E14180"/>
    <w:rsid w:val="00E21491"/>
    <w:rsid w:val="00E21D3D"/>
    <w:rsid w:val="00E23336"/>
    <w:rsid w:val="00E31661"/>
    <w:rsid w:val="00E32B52"/>
    <w:rsid w:val="00E34040"/>
    <w:rsid w:val="00E34066"/>
    <w:rsid w:val="00E35D91"/>
    <w:rsid w:val="00E3652F"/>
    <w:rsid w:val="00E46D06"/>
    <w:rsid w:val="00E47EB8"/>
    <w:rsid w:val="00E52F1E"/>
    <w:rsid w:val="00E704FD"/>
    <w:rsid w:val="00E71F5F"/>
    <w:rsid w:val="00E750E1"/>
    <w:rsid w:val="00E7795A"/>
    <w:rsid w:val="00E829A3"/>
    <w:rsid w:val="00E9114A"/>
    <w:rsid w:val="00EA0D5B"/>
    <w:rsid w:val="00EA3948"/>
    <w:rsid w:val="00EA489C"/>
    <w:rsid w:val="00EA7B59"/>
    <w:rsid w:val="00EB0CA7"/>
    <w:rsid w:val="00EB4992"/>
    <w:rsid w:val="00EC2B29"/>
    <w:rsid w:val="00EC68A8"/>
    <w:rsid w:val="00ED251D"/>
    <w:rsid w:val="00ED3C2E"/>
    <w:rsid w:val="00EF0947"/>
    <w:rsid w:val="00EF2E52"/>
    <w:rsid w:val="00EF4F85"/>
    <w:rsid w:val="00F031FB"/>
    <w:rsid w:val="00F247BA"/>
    <w:rsid w:val="00F32228"/>
    <w:rsid w:val="00F32E4A"/>
    <w:rsid w:val="00F36D8C"/>
    <w:rsid w:val="00F4710F"/>
    <w:rsid w:val="00F53DA5"/>
    <w:rsid w:val="00F57DED"/>
    <w:rsid w:val="00F90A71"/>
    <w:rsid w:val="00F923A5"/>
    <w:rsid w:val="00F93545"/>
    <w:rsid w:val="00F96337"/>
    <w:rsid w:val="00F96FBA"/>
    <w:rsid w:val="00FB0C1B"/>
    <w:rsid w:val="00FB2B5B"/>
    <w:rsid w:val="00FB4E06"/>
    <w:rsid w:val="00FC348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2" w:uiPriority="39"/>
    <w:lsdException w:name="footnote text" w:uiPriority="99"/>
    <w:lsdException w:name="header" w:qFormat="1"/>
    <w:lsdException w:name="footer" w:qFormat="1"/>
    <w:lsdException w:name="caption" w:semiHidden="1" w:unhideWhenUsed="1" w:qFormat="1"/>
    <w:lsdException w:name="footnote reference" w:uiPriority="99"/>
    <w:lsdException w:name="line number" w:qFormat="1"/>
    <w:lsdException w:name="Hyperlink" w:uiPriority="99"/>
    <w:lsdException w:name="Emphasis" w:uiPriority="20" w:qFormat="1"/>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7606D"/>
    <w:pPr>
      <w:bidi/>
      <w:spacing w:line="400" w:lineRule="exact"/>
      <w:jc w:val="lowKashida"/>
    </w:pPr>
    <w:rPr>
      <w:w w:val="103"/>
      <w:kern w:val="14"/>
      <w:szCs w:val="30"/>
    </w:rPr>
  </w:style>
  <w:style w:type="paragraph" w:styleId="Heading1">
    <w:name w:val="heading 1"/>
    <w:aliases w:val="Table_G"/>
    <w:basedOn w:val="Normal"/>
    <w:next w:val="Normal"/>
    <w:link w:val="Heading1Char"/>
    <w:uiPriority w:val="9"/>
    <w:qFormat/>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link w:val="Heading1"/>
    <w:uiPriority w:val="9"/>
    <w:rsid w:val="004C6CA6"/>
    <w:rPr>
      <w:w w:val="103"/>
      <w:kern w:val="14"/>
      <w:sz w:val="24"/>
      <w:szCs w:val="24"/>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aliases w:val="5_G"/>
    <w:basedOn w:val="Normal"/>
    <w:link w:val="FootnoteTextChar"/>
    <w:uiPriority w:val="99"/>
    <w:rsid w:val="00EB4992"/>
    <w:pPr>
      <w:tabs>
        <w:tab w:val="right" w:pos="418"/>
      </w:tabs>
      <w:spacing w:line="300" w:lineRule="exact"/>
      <w:ind w:left="662" w:right="662" w:hanging="662"/>
    </w:pPr>
    <w:rPr>
      <w:w w:val="100"/>
      <w:sz w:val="17"/>
      <w:szCs w:val="26"/>
    </w:rPr>
  </w:style>
  <w:style w:type="character" w:customStyle="1" w:styleId="FootnoteTextChar">
    <w:name w:val="Footnote Text Char"/>
    <w:aliases w:val="5_G Char"/>
    <w:link w:val="FootnoteText"/>
    <w:uiPriority w:val="99"/>
    <w:rsid w:val="004C6CA6"/>
    <w:rPr>
      <w:kern w:val="14"/>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aliases w:val="4_G"/>
    <w:basedOn w:val="DefaultParagraphFont"/>
    <w:uiPriority w:val="99"/>
    <w:rsid w:val="00C7606D"/>
    <w:rPr>
      <w:rFonts w:ascii="Times New Roman" w:hAnsi="Times New Roman" w:cs="Traditional Arabic"/>
      <w:color w:val="943634" w:themeColor="accent2" w:themeShade="BF"/>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SingleTxt"/>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uiPriority w:val="99"/>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C7606D"/>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1C7E43"/>
    <w:pPr>
      <w:spacing w:line="240" w:lineRule="auto"/>
    </w:pPr>
    <w:rPr>
      <w:szCs w:val="20"/>
    </w:rPr>
  </w:style>
  <w:style w:type="character" w:customStyle="1" w:styleId="CommentTextChar">
    <w:name w:val="Comment Text Char"/>
    <w:basedOn w:val="DefaultParagraphFont"/>
    <w:link w:val="CommentText"/>
    <w:rsid w:val="001C7E43"/>
    <w:rPr>
      <w:w w:val="103"/>
      <w:kern w:val="14"/>
    </w:rPr>
  </w:style>
  <w:style w:type="paragraph" w:styleId="CommentSubject">
    <w:name w:val="annotation subject"/>
    <w:basedOn w:val="CommentText"/>
    <w:next w:val="CommentText"/>
    <w:link w:val="CommentSubjectChar"/>
    <w:rsid w:val="001C7E43"/>
    <w:rPr>
      <w:b/>
      <w:bCs/>
    </w:rPr>
  </w:style>
  <w:style w:type="character" w:customStyle="1" w:styleId="CommentSubjectChar">
    <w:name w:val="Comment Subject Char"/>
    <w:basedOn w:val="CommentTextChar"/>
    <w:link w:val="CommentSubject"/>
    <w:rsid w:val="001C7E43"/>
    <w:rPr>
      <w:b/>
      <w:bCs/>
      <w:w w:val="103"/>
      <w:kern w:val="14"/>
    </w:rPr>
  </w:style>
  <w:style w:type="paragraph" w:customStyle="1" w:styleId="SingleTxtG">
    <w:name w:val="_ Single Txt_G"/>
    <w:basedOn w:val="Normal"/>
    <w:rsid w:val="004C6CA6"/>
    <w:pPr>
      <w:suppressAutoHyphens/>
      <w:bidi w:val="0"/>
      <w:spacing w:after="120" w:line="240" w:lineRule="atLeast"/>
      <w:ind w:left="1134" w:right="1134"/>
      <w:jc w:val="both"/>
    </w:pPr>
    <w:rPr>
      <w:rFonts w:eastAsia="Times New Roman" w:cs="Times New Roman"/>
      <w:w w:val="100"/>
      <w:kern w:val="0"/>
      <w:szCs w:val="20"/>
      <w:lang w:val="en-GB"/>
    </w:rPr>
  </w:style>
  <w:style w:type="paragraph" w:customStyle="1" w:styleId="HMG">
    <w:name w:val="_ H __M_G"/>
    <w:basedOn w:val="Normal"/>
    <w:next w:val="Normal"/>
    <w:rsid w:val="004C6CA6"/>
    <w:pPr>
      <w:keepNext/>
      <w:keepLines/>
      <w:tabs>
        <w:tab w:val="right" w:pos="851"/>
      </w:tabs>
      <w:suppressAutoHyphens/>
      <w:bidi w:val="0"/>
      <w:spacing w:before="240" w:after="240" w:line="360" w:lineRule="exact"/>
      <w:ind w:left="1134" w:right="1134" w:hanging="1134"/>
      <w:jc w:val="left"/>
    </w:pPr>
    <w:rPr>
      <w:rFonts w:eastAsia="Times New Roman" w:cs="Times New Roman"/>
      <w:b/>
      <w:w w:val="100"/>
      <w:kern w:val="0"/>
      <w:sz w:val="34"/>
      <w:szCs w:val="20"/>
      <w:lang w:val="en-GB"/>
    </w:rPr>
  </w:style>
  <w:style w:type="paragraph" w:customStyle="1" w:styleId="HChG">
    <w:name w:val="_ H _Ch_G"/>
    <w:basedOn w:val="Normal"/>
    <w:next w:val="Normal"/>
    <w:rsid w:val="004C6CA6"/>
    <w:pPr>
      <w:keepNext/>
      <w:keepLines/>
      <w:tabs>
        <w:tab w:val="right" w:pos="851"/>
      </w:tabs>
      <w:suppressAutoHyphens/>
      <w:bidi w:val="0"/>
      <w:spacing w:before="360" w:after="240" w:line="300" w:lineRule="exact"/>
      <w:ind w:left="1134" w:right="1134" w:hanging="1134"/>
      <w:jc w:val="left"/>
    </w:pPr>
    <w:rPr>
      <w:rFonts w:eastAsia="Times New Roman" w:cs="Times New Roman"/>
      <w:b/>
      <w:w w:val="100"/>
      <w:kern w:val="0"/>
      <w:sz w:val="28"/>
      <w:szCs w:val="20"/>
      <w:lang w:val="en-GB"/>
    </w:rPr>
  </w:style>
  <w:style w:type="paragraph" w:styleId="TOC2">
    <w:name w:val="toc 2"/>
    <w:basedOn w:val="Normal"/>
    <w:next w:val="Normal"/>
    <w:autoRedefine/>
    <w:uiPriority w:val="39"/>
    <w:unhideWhenUsed/>
    <w:rsid w:val="004C6CA6"/>
    <w:pPr>
      <w:tabs>
        <w:tab w:val="right" w:leader="dot" w:pos="8296"/>
      </w:tabs>
      <w:spacing w:line="360" w:lineRule="auto"/>
      <w:ind w:right="-90"/>
      <w:contextualSpacing/>
      <w:jc w:val="center"/>
    </w:pPr>
    <w:rPr>
      <w:rFonts w:eastAsia="Times New Roman" w:cs="Times New Roman"/>
      <w:b/>
      <w:bCs/>
      <w:w w:val="100"/>
      <w:kern w:val="0"/>
      <w:sz w:val="32"/>
      <w:szCs w:val="32"/>
    </w:rPr>
  </w:style>
  <w:style w:type="paragraph" w:customStyle="1" w:styleId="SingleTxtGA">
    <w:name w:val="_ Single Txt_GA"/>
    <w:basedOn w:val="Normal"/>
    <w:rsid w:val="004C6CA6"/>
    <w:pPr>
      <w:numPr>
        <w:numId w:val="4"/>
      </w:numPr>
    </w:pPr>
  </w:style>
  <w:style w:type="paragraph" w:styleId="ListParagraph">
    <w:name w:val="List Paragraph"/>
    <w:basedOn w:val="Normal"/>
    <w:uiPriority w:val="34"/>
    <w:qFormat/>
    <w:rsid w:val="004C6CA6"/>
    <w:pPr>
      <w:spacing w:after="200" w:line="276" w:lineRule="auto"/>
      <w:ind w:left="720"/>
      <w:contextualSpacing/>
      <w:jc w:val="left"/>
    </w:pPr>
    <w:rPr>
      <w:rFonts w:ascii="Calibri" w:eastAsia="Calibri" w:hAnsi="Calibri" w:cs="Arial"/>
      <w:w w:val="100"/>
      <w:kern w:val="0"/>
      <w:sz w:val="22"/>
      <w:szCs w:val="22"/>
    </w:rPr>
  </w:style>
  <w:style w:type="character" w:styleId="Emphasis">
    <w:name w:val="Emphasis"/>
    <w:uiPriority w:val="20"/>
    <w:qFormat/>
    <w:rsid w:val="004C6CA6"/>
    <w:rPr>
      <w:i/>
      <w:iCs/>
    </w:rPr>
  </w:style>
  <w:style w:type="paragraph" w:styleId="BlockText">
    <w:name w:val="Block Text"/>
    <w:basedOn w:val="Normal"/>
    <w:rsid w:val="004C6CA6"/>
    <w:pPr>
      <w:suppressAutoHyphens/>
      <w:bidi w:val="0"/>
      <w:spacing w:line="240" w:lineRule="atLeast"/>
      <w:ind w:left="1440" w:right="1440"/>
      <w:jc w:val="left"/>
    </w:pPr>
    <w:rPr>
      <w:rFonts w:eastAsia="Times New Roman" w:cs="Times New Roman"/>
      <w:w w:val="100"/>
      <w:kern w:val="0"/>
      <w:szCs w:val="20"/>
      <w:lang w:val="en-GB"/>
    </w:rPr>
  </w:style>
  <w:style w:type="paragraph" w:styleId="ListNumber">
    <w:name w:val="List Number"/>
    <w:basedOn w:val="Normal"/>
    <w:rsid w:val="004C6CA6"/>
    <w:pPr>
      <w:numPr>
        <w:numId w:val="6"/>
      </w:numPr>
      <w:suppressAutoHyphens/>
      <w:bidi w:val="0"/>
      <w:spacing w:line="240" w:lineRule="atLeast"/>
      <w:jc w:val="left"/>
    </w:pPr>
    <w:rPr>
      <w:rFonts w:eastAsia="Times New Roman" w:cs="Times New Roman"/>
      <w:w w:val="100"/>
      <w:kern w:val="0"/>
      <w:szCs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2" w:uiPriority="39"/>
    <w:lsdException w:name="footnote text" w:uiPriority="99"/>
    <w:lsdException w:name="header" w:qFormat="1"/>
    <w:lsdException w:name="footer" w:qFormat="1"/>
    <w:lsdException w:name="caption" w:semiHidden="1" w:unhideWhenUsed="1" w:qFormat="1"/>
    <w:lsdException w:name="footnote reference" w:uiPriority="99"/>
    <w:lsdException w:name="line number" w:qFormat="1"/>
    <w:lsdException w:name="Hyperlink" w:uiPriority="99"/>
    <w:lsdException w:name="Emphasis" w:uiPriority="20" w:qFormat="1"/>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7606D"/>
    <w:pPr>
      <w:bidi/>
      <w:spacing w:line="400" w:lineRule="exact"/>
      <w:jc w:val="lowKashida"/>
    </w:pPr>
    <w:rPr>
      <w:w w:val="103"/>
      <w:kern w:val="14"/>
      <w:szCs w:val="30"/>
    </w:rPr>
  </w:style>
  <w:style w:type="paragraph" w:styleId="Heading1">
    <w:name w:val="heading 1"/>
    <w:aliases w:val="Table_G"/>
    <w:basedOn w:val="Normal"/>
    <w:next w:val="Normal"/>
    <w:link w:val="Heading1Char"/>
    <w:uiPriority w:val="9"/>
    <w:qFormat/>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link w:val="Heading1"/>
    <w:uiPriority w:val="9"/>
    <w:rsid w:val="004C6CA6"/>
    <w:rPr>
      <w:w w:val="103"/>
      <w:kern w:val="14"/>
      <w:sz w:val="24"/>
      <w:szCs w:val="24"/>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aliases w:val="5_G"/>
    <w:basedOn w:val="Normal"/>
    <w:link w:val="FootnoteTextChar"/>
    <w:uiPriority w:val="99"/>
    <w:rsid w:val="00EB4992"/>
    <w:pPr>
      <w:tabs>
        <w:tab w:val="right" w:pos="418"/>
      </w:tabs>
      <w:spacing w:line="300" w:lineRule="exact"/>
      <w:ind w:left="662" w:right="662" w:hanging="662"/>
    </w:pPr>
    <w:rPr>
      <w:w w:val="100"/>
      <w:sz w:val="17"/>
      <w:szCs w:val="26"/>
    </w:rPr>
  </w:style>
  <w:style w:type="character" w:customStyle="1" w:styleId="FootnoteTextChar">
    <w:name w:val="Footnote Text Char"/>
    <w:aliases w:val="5_G Char"/>
    <w:link w:val="FootnoteText"/>
    <w:uiPriority w:val="99"/>
    <w:rsid w:val="004C6CA6"/>
    <w:rPr>
      <w:kern w:val="14"/>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aliases w:val="4_G"/>
    <w:basedOn w:val="DefaultParagraphFont"/>
    <w:uiPriority w:val="99"/>
    <w:rsid w:val="00C7606D"/>
    <w:rPr>
      <w:rFonts w:ascii="Times New Roman" w:hAnsi="Times New Roman" w:cs="Traditional Arabic"/>
      <w:color w:val="943634" w:themeColor="accent2" w:themeShade="BF"/>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SingleTxt"/>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uiPriority w:val="99"/>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C7606D"/>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1C7E43"/>
    <w:pPr>
      <w:spacing w:line="240" w:lineRule="auto"/>
    </w:pPr>
    <w:rPr>
      <w:szCs w:val="20"/>
    </w:rPr>
  </w:style>
  <w:style w:type="character" w:customStyle="1" w:styleId="CommentTextChar">
    <w:name w:val="Comment Text Char"/>
    <w:basedOn w:val="DefaultParagraphFont"/>
    <w:link w:val="CommentText"/>
    <w:rsid w:val="001C7E43"/>
    <w:rPr>
      <w:w w:val="103"/>
      <w:kern w:val="14"/>
    </w:rPr>
  </w:style>
  <w:style w:type="paragraph" w:styleId="CommentSubject">
    <w:name w:val="annotation subject"/>
    <w:basedOn w:val="CommentText"/>
    <w:next w:val="CommentText"/>
    <w:link w:val="CommentSubjectChar"/>
    <w:rsid w:val="001C7E43"/>
    <w:rPr>
      <w:b/>
      <w:bCs/>
    </w:rPr>
  </w:style>
  <w:style w:type="character" w:customStyle="1" w:styleId="CommentSubjectChar">
    <w:name w:val="Comment Subject Char"/>
    <w:basedOn w:val="CommentTextChar"/>
    <w:link w:val="CommentSubject"/>
    <w:rsid w:val="001C7E43"/>
    <w:rPr>
      <w:b/>
      <w:bCs/>
      <w:w w:val="103"/>
      <w:kern w:val="14"/>
    </w:rPr>
  </w:style>
  <w:style w:type="paragraph" w:customStyle="1" w:styleId="SingleTxtG">
    <w:name w:val="_ Single Txt_G"/>
    <w:basedOn w:val="Normal"/>
    <w:rsid w:val="004C6CA6"/>
    <w:pPr>
      <w:suppressAutoHyphens/>
      <w:bidi w:val="0"/>
      <w:spacing w:after="120" w:line="240" w:lineRule="atLeast"/>
      <w:ind w:left="1134" w:right="1134"/>
      <w:jc w:val="both"/>
    </w:pPr>
    <w:rPr>
      <w:rFonts w:eastAsia="Times New Roman" w:cs="Times New Roman"/>
      <w:w w:val="100"/>
      <w:kern w:val="0"/>
      <w:szCs w:val="20"/>
      <w:lang w:val="en-GB"/>
    </w:rPr>
  </w:style>
  <w:style w:type="paragraph" w:customStyle="1" w:styleId="HMG">
    <w:name w:val="_ H __M_G"/>
    <w:basedOn w:val="Normal"/>
    <w:next w:val="Normal"/>
    <w:rsid w:val="004C6CA6"/>
    <w:pPr>
      <w:keepNext/>
      <w:keepLines/>
      <w:tabs>
        <w:tab w:val="right" w:pos="851"/>
      </w:tabs>
      <w:suppressAutoHyphens/>
      <w:bidi w:val="0"/>
      <w:spacing w:before="240" w:after="240" w:line="360" w:lineRule="exact"/>
      <w:ind w:left="1134" w:right="1134" w:hanging="1134"/>
      <w:jc w:val="left"/>
    </w:pPr>
    <w:rPr>
      <w:rFonts w:eastAsia="Times New Roman" w:cs="Times New Roman"/>
      <w:b/>
      <w:w w:val="100"/>
      <w:kern w:val="0"/>
      <w:sz w:val="34"/>
      <w:szCs w:val="20"/>
      <w:lang w:val="en-GB"/>
    </w:rPr>
  </w:style>
  <w:style w:type="paragraph" w:customStyle="1" w:styleId="HChG">
    <w:name w:val="_ H _Ch_G"/>
    <w:basedOn w:val="Normal"/>
    <w:next w:val="Normal"/>
    <w:rsid w:val="004C6CA6"/>
    <w:pPr>
      <w:keepNext/>
      <w:keepLines/>
      <w:tabs>
        <w:tab w:val="right" w:pos="851"/>
      </w:tabs>
      <w:suppressAutoHyphens/>
      <w:bidi w:val="0"/>
      <w:spacing w:before="360" w:after="240" w:line="300" w:lineRule="exact"/>
      <w:ind w:left="1134" w:right="1134" w:hanging="1134"/>
      <w:jc w:val="left"/>
    </w:pPr>
    <w:rPr>
      <w:rFonts w:eastAsia="Times New Roman" w:cs="Times New Roman"/>
      <w:b/>
      <w:w w:val="100"/>
      <w:kern w:val="0"/>
      <w:sz w:val="28"/>
      <w:szCs w:val="20"/>
      <w:lang w:val="en-GB"/>
    </w:rPr>
  </w:style>
  <w:style w:type="paragraph" w:styleId="TOC2">
    <w:name w:val="toc 2"/>
    <w:basedOn w:val="Normal"/>
    <w:next w:val="Normal"/>
    <w:autoRedefine/>
    <w:uiPriority w:val="39"/>
    <w:unhideWhenUsed/>
    <w:rsid w:val="004C6CA6"/>
    <w:pPr>
      <w:tabs>
        <w:tab w:val="right" w:leader="dot" w:pos="8296"/>
      </w:tabs>
      <w:spacing w:line="360" w:lineRule="auto"/>
      <w:ind w:right="-90"/>
      <w:contextualSpacing/>
      <w:jc w:val="center"/>
    </w:pPr>
    <w:rPr>
      <w:rFonts w:eastAsia="Times New Roman" w:cs="Times New Roman"/>
      <w:b/>
      <w:bCs/>
      <w:w w:val="100"/>
      <w:kern w:val="0"/>
      <w:sz w:val="32"/>
      <w:szCs w:val="32"/>
    </w:rPr>
  </w:style>
  <w:style w:type="paragraph" w:customStyle="1" w:styleId="SingleTxtGA">
    <w:name w:val="_ Single Txt_GA"/>
    <w:basedOn w:val="Normal"/>
    <w:rsid w:val="004C6CA6"/>
    <w:pPr>
      <w:numPr>
        <w:numId w:val="4"/>
      </w:numPr>
    </w:pPr>
  </w:style>
  <w:style w:type="paragraph" w:styleId="ListParagraph">
    <w:name w:val="List Paragraph"/>
    <w:basedOn w:val="Normal"/>
    <w:uiPriority w:val="34"/>
    <w:qFormat/>
    <w:rsid w:val="004C6CA6"/>
    <w:pPr>
      <w:spacing w:after="200" w:line="276" w:lineRule="auto"/>
      <w:ind w:left="720"/>
      <w:contextualSpacing/>
      <w:jc w:val="left"/>
    </w:pPr>
    <w:rPr>
      <w:rFonts w:ascii="Calibri" w:eastAsia="Calibri" w:hAnsi="Calibri" w:cs="Arial"/>
      <w:w w:val="100"/>
      <w:kern w:val="0"/>
      <w:sz w:val="22"/>
      <w:szCs w:val="22"/>
    </w:rPr>
  </w:style>
  <w:style w:type="character" w:styleId="Emphasis">
    <w:name w:val="Emphasis"/>
    <w:uiPriority w:val="20"/>
    <w:qFormat/>
    <w:rsid w:val="004C6CA6"/>
    <w:rPr>
      <w:i/>
      <w:iCs/>
    </w:rPr>
  </w:style>
  <w:style w:type="paragraph" w:styleId="BlockText">
    <w:name w:val="Block Text"/>
    <w:basedOn w:val="Normal"/>
    <w:rsid w:val="004C6CA6"/>
    <w:pPr>
      <w:suppressAutoHyphens/>
      <w:bidi w:val="0"/>
      <w:spacing w:line="240" w:lineRule="atLeast"/>
      <w:ind w:left="1440" w:right="1440"/>
      <w:jc w:val="left"/>
    </w:pPr>
    <w:rPr>
      <w:rFonts w:eastAsia="Times New Roman" w:cs="Times New Roman"/>
      <w:w w:val="100"/>
      <w:kern w:val="0"/>
      <w:szCs w:val="20"/>
      <w:lang w:val="en-GB"/>
    </w:rPr>
  </w:style>
  <w:style w:type="paragraph" w:styleId="ListNumber">
    <w:name w:val="List Number"/>
    <w:basedOn w:val="Normal"/>
    <w:rsid w:val="004C6CA6"/>
    <w:pPr>
      <w:numPr>
        <w:numId w:val="6"/>
      </w:numPr>
      <w:suppressAutoHyphens/>
      <w:bidi w:val="0"/>
      <w:spacing w:line="240" w:lineRule="atLeast"/>
      <w:jc w:val="left"/>
    </w:pPr>
    <w:rPr>
      <w:rFonts w:eastAsia="Times New Roman" w:cs="Times New Roman"/>
      <w:w w:val="100"/>
      <w:kern w:val="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564529-4F68-488D-9D96-393ABFE206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35</Pages>
  <Words>11036</Words>
  <Characters>58717</Characters>
  <Application>Microsoft Office Word</Application>
  <DocSecurity>0</DocSecurity>
  <Lines>1198</Lines>
  <Paragraphs>524</Paragraphs>
  <ScaleCrop>false</ScaleCrop>
  <HeadingPairs>
    <vt:vector size="2" baseType="variant">
      <vt:variant>
        <vt:lpstr>Title</vt:lpstr>
      </vt:variant>
      <vt:variant>
        <vt:i4>1</vt:i4>
      </vt:variant>
    </vt:vector>
  </HeadingPairs>
  <TitlesOfParts>
    <vt:vector size="1" baseType="lpstr">
      <vt:lpstr>Normal.dot</vt:lpstr>
    </vt:vector>
  </TitlesOfParts>
  <Company>DCM</Company>
  <LinksUpToDate>false</LinksUpToDate>
  <CharactersWithSpaces>69229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creator>Aly Sayed</dc:creator>
  <cp:lastModifiedBy>Tpsara</cp:lastModifiedBy>
  <cp:revision>3</cp:revision>
  <cp:lastPrinted>2015-09-15T09:53:00Z</cp:lastPrinted>
  <dcterms:created xsi:type="dcterms:W3CDTF">2015-09-15T09:53:00Z</dcterms:created>
  <dcterms:modified xsi:type="dcterms:W3CDTF">2015-09-15T09:53:00Z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1514675</vt:lpwstr>
  </property>
  <property fmtid="{D5CDD505-2E9C-101B-9397-08002B2CF9AE}" pid="3" name="ODSRefJobNo">
    <vt:lpwstr>1519558A</vt:lpwstr>
  </property>
  <property fmtid="{D5CDD505-2E9C-101B-9397-08002B2CF9AE}" pid="4" name="Symbol1">
    <vt:lpwstr>CERD/C/LBN/18-22</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31 August 2015</vt:lpwstr>
  </property>
  <property fmtid="{D5CDD505-2E9C-101B-9397-08002B2CF9AE}" pid="9" name="Original">
    <vt:lpwstr>Arabic</vt:lpwstr>
  </property>
  <property fmtid="{D5CDD505-2E9C-101B-9397-08002B2CF9AE}" pid="10" name="Release Date">
    <vt:lpwstr>140915</vt:lpwstr>
  </property>
  <property fmtid="{D5CDD505-2E9C-101B-9397-08002B2CF9AE}" pid="11" name="Comment">
    <vt:lpwstr>EXTERNAL JOB</vt:lpwstr>
  </property>
  <property fmtid="{D5CDD505-2E9C-101B-9397-08002B2CF9AE}" pid="12" name="DraftPages">
    <vt:lpwstr>35</vt:lpwstr>
  </property>
  <property fmtid="{D5CDD505-2E9C-101B-9397-08002B2CF9AE}" pid="13" name="Operator">
    <vt:lpwstr>SAYED</vt:lpwstr>
  </property>
</Properties>
</file>