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>Комитет по ликвидации дискриминации</w:t>
      </w:r>
      <w:r>
        <w:br/>
        <w:t>в отношении женщин</w:t>
      </w:r>
    </w:p>
    <w:p w:rsidR="00000000" w:rsidRDefault="00000000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b/>
        </w:rPr>
        <w:t>Внеочередная сессия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r>
        <w:rPr>
          <w:b/>
        </w:rPr>
        <w:t>Краткий отчет о 583-м заседании,</w:t>
      </w:r>
    </w:p>
    <w:p w:rsidR="00000000" w:rsidRDefault="00000000">
      <w:r>
        <w:t>состоявшемся в Центральных учреждениях, Нью-Йорк, в четверг, 15 августа 2002 года, в 15 ч. 00 м.</w:t>
      </w:r>
    </w:p>
    <w:p w:rsidR="00000000" w:rsidRDefault="00000000"/>
    <w:p w:rsidR="00000000" w:rsidRDefault="00000000">
      <w:r>
        <w:rPr>
          <w:i/>
        </w:rPr>
        <w:t>Председатель</w:t>
      </w:r>
      <w:r>
        <w:t>: г</w:t>
      </w:r>
      <w:r>
        <w:noBreakHyphen/>
        <w:t>жа Регаццоли (заместитель Председателя)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b w:val="0"/>
        </w:rPr>
      </w:pPr>
      <w:r>
        <w:rPr>
          <w:b w:val="0"/>
        </w:rPr>
        <w:t>Содержание</w:t>
      </w:r>
    </w:p>
    <w:p w:rsidR="00000000" w:rsidRDefault="00000000"/>
    <w:p w:rsidR="00000000" w:rsidRDefault="00000000">
      <w:pPr>
        <w:pStyle w:val="SingleTxt"/>
        <w:jc w:val="left"/>
      </w:pPr>
      <w:r>
        <w:t>Рассмотрение докладов, представляемых государствами-участниками в соо</w:t>
      </w:r>
      <w:r>
        <w:t>т</w:t>
      </w:r>
      <w:r>
        <w:t>ветствии со статьей 18 Конвенции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</w:pPr>
      <w:r>
        <w:tab/>
      </w:r>
      <w:r>
        <w:rPr>
          <w:i/>
        </w:rPr>
        <w:t xml:space="preserve">Пятый периодический доклад Перу </w:t>
      </w:r>
      <w:r>
        <w:t>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</w:pPr>
    </w:p>
    <w:p w:rsidR="00000000" w:rsidRDefault="00000000">
      <w:pPr>
        <w:pStyle w:val="SingleTxt"/>
        <w:spacing w:after="0" w:line="240" w:lineRule="auto"/>
        <w:rPr>
          <w:sz w:val="2"/>
        </w:rPr>
        <w:sectPr w:rsidR="00000000">
          <w:headerReference w:type="first" r:id="rId14"/>
          <w:footerReference w:type="first" r:id="rId15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noEndnote/>
        </w:sectPr>
      </w:pPr>
      <w:r>
        <w:br w:type="page"/>
      </w:r>
    </w:p>
    <w:p w:rsidR="00000000" w:rsidRDefault="00000000">
      <w:pPr>
        <w:pStyle w:val="DualTxt"/>
        <w:rPr>
          <w:i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noEndnote/>
        </w:sectPr>
      </w:pPr>
    </w:p>
    <w:p w:rsidR="00000000" w:rsidRDefault="00000000">
      <w:pPr>
        <w:pStyle w:val="DualTxt"/>
        <w:rPr>
          <w:i/>
        </w:rPr>
      </w:pPr>
      <w:r>
        <w:rPr>
          <w:i/>
        </w:rPr>
        <w:t>В отсутствие Председателя председательское м</w:t>
      </w:r>
      <w:r>
        <w:rPr>
          <w:i/>
        </w:rPr>
        <w:t>е</w:t>
      </w:r>
      <w:r>
        <w:rPr>
          <w:i/>
        </w:rPr>
        <w:t>сто занимает г</w:t>
      </w:r>
      <w:r>
        <w:rPr>
          <w:i/>
        </w:rPr>
        <w:noBreakHyphen/>
        <w:t>жа Регаццоли, заместитель Пре</w:t>
      </w:r>
      <w:r>
        <w:rPr>
          <w:i/>
        </w:rPr>
        <w:t>д</w:t>
      </w:r>
      <w:r>
        <w:rPr>
          <w:i/>
        </w:rPr>
        <w:t>сед</w:t>
      </w:r>
      <w:r>
        <w:rPr>
          <w:i/>
        </w:rPr>
        <w:t>а</w:t>
      </w:r>
      <w:r>
        <w:rPr>
          <w:i/>
        </w:rPr>
        <w:t>теля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rPr>
          <w:i/>
        </w:rPr>
        <w:t>Заседание открывается в 15 ч. 05 м</w:t>
      </w:r>
      <w:r>
        <w:t>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rPr>
          <w:b/>
        </w:rPr>
        <w:t>Рассмотрение докладов, представляемых гос</w:t>
      </w:r>
      <w:r>
        <w:rPr>
          <w:b/>
        </w:rPr>
        <w:t>у</w:t>
      </w:r>
      <w:r>
        <w:rPr>
          <w:b/>
        </w:rPr>
        <w:t xml:space="preserve">дарствами-участниками в соответствии со статьей 18 Конвенции </w:t>
      </w:r>
      <w:r>
        <w:t>(</w:t>
      </w:r>
      <w:r>
        <w:rPr>
          <w:i/>
        </w:rPr>
        <w:t>продолж</w:t>
      </w:r>
      <w:r>
        <w:rPr>
          <w:i/>
        </w:rPr>
        <w:t>е</w:t>
      </w:r>
      <w:r>
        <w:rPr>
          <w:i/>
        </w:rPr>
        <w:t>ние</w:t>
      </w:r>
      <w: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tabs>
          <w:tab w:val="clear" w:pos="480"/>
          <w:tab w:val="left" w:pos="475"/>
        </w:tabs>
        <w:ind w:left="475" w:hanging="475"/>
      </w:pPr>
      <w:r>
        <w:rPr>
          <w:i/>
        </w:rPr>
        <w:tab/>
        <w:t xml:space="preserve">Пятый периодический доклад Перу </w:t>
      </w:r>
      <w:r>
        <w:t>(</w:t>
      </w:r>
      <w:r>
        <w:rPr>
          <w:i/>
        </w:rPr>
        <w:t>продо</w:t>
      </w:r>
      <w:r>
        <w:rPr>
          <w:i/>
        </w:rPr>
        <w:t>л</w:t>
      </w:r>
      <w:r>
        <w:rPr>
          <w:i/>
        </w:rPr>
        <w:t>жение</w:t>
      </w:r>
      <w:r>
        <w:t>) (CEDAW/C/PER/5;</w:t>
      </w:r>
      <w:r>
        <w:rPr>
          <w:lang w:val="en-US"/>
        </w:rPr>
        <w:t xml:space="preserve"> </w:t>
      </w:r>
      <w:r>
        <w:t>CEDAW/PSWG/</w:t>
      </w:r>
      <w:r>
        <w:rPr>
          <w:lang w:val="en-US"/>
        </w:rPr>
        <w:t xml:space="preserve"> </w:t>
      </w:r>
      <w:r>
        <w:t>2002/EXC/CRP.1/Add.9 и CEDAW/PSWG/</w:t>
      </w:r>
      <w:r>
        <w:rPr>
          <w:lang w:val="en-US"/>
        </w:rPr>
        <w:t xml:space="preserve"> </w:t>
      </w:r>
      <w:r>
        <w:t>2002/EXC/CRP.2/Add.8)</w:t>
      </w:r>
    </w:p>
    <w:p w:rsidR="00000000" w:rsidRDefault="00000000">
      <w:pPr>
        <w:pStyle w:val="DualTxt"/>
        <w:rPr>
          <w:i/>
        </w:rPr>
      </w:pPr>
      <w:r>
        <w:t>1.</w:t>
      </w:r>
      <w:r>
        <w:tab/>
      </w:r>
      <w:r>
        <w:rPr>
          <w:i/>
        </w:rPr>
        <w:t>По приглашению Председателя г</w:t>
      </w:r>
      <w:r>
        <w:rPr>
          <w:i/>
        </w:rPr>
        <w:noBreakHyphen/>
        <w:t>жа Эспиноса (Перу) занимает место за столом Ком</w:t>
      </w:r>
      <w:r>
        <w:rPr>
          <w:i/>
        </w:rPr>
        <w:t>и</w:t>
      </w:r>
      <w:r>
        <w:rPr>
          <w:i/>
        </w:rPr>
        <w:t>тета.</w:t>
      </w: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Г</w:t>
      </w:r>
      <w:r>
        <w:rPr>
          <w:b/>
        </w:rPr>
        <w:noBreakHyphen/>
        <w:t>жа</w:t>
      </w:r>
      <w:r>
        <w:t> </w:t>
      </w:r>
      <w:r>
        <w:rPr>
          <w:b/>
        </w:rPr>
        <w:t>Эспиноса</w:t>
      </w:r>
      <w:r>
        <w:t xml:space="preserve"> (Перу) говорит, что статья Конституции, регламентирующая вопросы трудовой </w:t>
      </w:r>
      <w:r>
        <w:rPr>
          <w:lang/>
        </w:rPr>
        <w:t>занятости</w:t>
      </w:r>
      <w:r>
        <w:t>, предусматривает равенство возможн</w:t>
      </w:r>
      <w:r>
        <w:t>о</w:t>
      </w:r>
      <w:r>
        <w:t>стей и обращения в том, что касается доступа к р</w:t>
      </w:r>
      <w:r>
        <w:t>а</w:t>
      </w:r>
      <w:r>
        <w:t>бочим местам. Перу ратифицировало Конве</w:t>
      </w:r>
      <w:r>
        <w:t>н</w:t>
      </w:r>
      <w:r>
        <w:t>цию № 100 Международной организации труда о равном вознаграждении мужчин и женщин за труд равной ценности. Увольнение по причине береме</w:t>
      </w:r>
      <w:r>
        <w:t>н</w:t>
      </w:r>
      <w:r>
        <w:t>ности запрещено вне зависимости от срока бер</w:t>
      </w:r>
      <w:r>
        <w:t>е</w:t>
      </w:r>
      <w:r>
        <w:t>менности, это положение охватывает период пр</w:t>
      </w:r>
      <w:r>
        <w:t>о</w:t>
      </w:r>
      <w:r>
        <w:t>должительностью 180 дней после рождения ребе</w:t>
      </w:r>
      <w:r>
        <w:t>н</w:t>
      </w:r>
      <w:r>
        <w:t>ка. Права матерей оговариваются в специальном положении, и государственные служащие более не подчинены более строгим ограничениям по сравн</w:t>
      </w:r>
      <w:r>
        <w:t>е</w:t>
      </w:r>
      <w:r>
        <w:t>нию с рабо</w:t>
      </w:r>
      <w:r>
        <w:t>т</w:t>
      </w:r>
      <w:r>
        <w:t>никами частного сектора.</w:t>
      </w:r>
    </w:p>
    <w:p w:rsidR="00000000" w:rsidRDefault="00000000">
      <w:pPr>
        <w:pStyle w:val="DualTxt"/>
      </w:pPr>
      <w:r>
        <w:t>3.</w:t>
      </w:r>
      <w:r>
        <w:tab/>
        <w:t>Несомненно, некоторые аспекты дискримин</w:t>
      </w:r>
      <w:r>
        <w:t>а</w:t>
      </w:r>
      <w:r>
        <w:t>ции невозможно охватить даже широким кругом з</w:t>
      </w:r>
      <w:r>
        <w:t>а</w:t>
      </w:r>
      <w:r>
        <w:t>конов, — для этих целей существует механизм п</w:t>
      </w:r>
      <w:r>
        <w:t>о</w:t>
      </w:r>
      <w:r>
        <w:t>дачи жалоб. В то же время он доступен лишь вес</w:t>
      </w:r>
      <w:r>
        <w:t>ь</w:t>
      </w:r>
      <w:r>
        <w:t>ма небольшому числу женщин, работающих по п</w:t>
      </w:r>
      <w:r>
        <w:t>о</w:t>
      </w:r>
      <w:r>
        <w:t>стоянным или срочным контрактам, поскольку большинство экономически активных женщин зан</w:t>
      </w:r>
      <w:r>
        <w:t>я</w:t>
      </w:r>
      <w:r>
        <w:t>ты в неформальном коммерческом секторе. Проект закона о равенстве возможностей, который ее мин</w:t>
      </w:r>
      <w:r>
        <w:t>и</w:t>
      </w:r>
      <w:r>
        <w:t>стерство собирается представить в Конгресс, носит характер рамочного закона, посвященного борьбе со всеми видами дискриминации и обеспечению р</w:t>
      </w:r>
      <w:r>
        <w:t>а</w:t>
      </w:r>
      <w:r>
        <w:t>венства возможностей вне зависимости от признака пола, расы или экономического положения. Этот з</w:t>
      </w:r>
      <w:r>
        <w:t>а</w:t>
      </w:r>
      <w:r>
        <w:t>конопроект охватывает, в частности, такие области, как регулирование рождаемости, доступ к рабочим местам и производственные отношения и обращ</w:t>
      </w:r>
      <w:r>
        <w:t>е</w:t>
      </w:r>
      <w:r>
        <w:t>ние в рамках уголовного судопроизводства. В сл</w:t>
      </w:r>
      <w:r>
        <w:t>у</w:t>
      </w:r>
      <w:r>
        <w:t>чае одобрения этот законопроект позволит знач</w:t>
      </w:r>
      <w:r>
        <w:t>и</w:t>
      </w:r>
      <w:r>
        <w:t>тельно усовершенствовать национальные нормы и рамочные законы и обеспечит более строгий ко</w:t>
      </w:r>
      <w:r>
        <w:t>н</w:t>
      </w:r>
      <w:r>
        <w:t>троль за соблюдением их пол</w:t>
      </w:r>
      <w:r>
        <w:t>о</w:t>
      </w:r>
      <w:r>
        <w:t>жений.</w:t>
      </w:r>
    </w:p>
    <w:p w:rsidR="00000000" w:rsidRDefault="00000000">
      <w:pPr>
        <w:pStyle w:val="DualTxt"/>
      </w:pPr>
      <w:r>
        <w:t>4.</w:t>
      </w:r>
      <w:r>
        <w:tab/>
        <w:t>Делегация оратора оставит Комитету экзем</w:t>
      </w:r>
      <w:r>
        <w:t>п</w:t>
      </w:r>
      <w:r>
        <w:t>ляр комплексного плана о защите пожилых лиц, принятого за два месяца до этого. Он охватывает различные аспекты процесса нормального старения: медицинское обслуживание, социальное обеспеч</w:t>
      </w:r>
      <w:r>
        <w:t>е</w:t>
      </w:r>
      <w:r>
        <w:t>ние, питание и использование свободного врем</w:t>
      </w:r>
      <w:r>
        <w:t>е</w:t>
      </w:r>
      <w:r>
        <w:t>ни, — в нем используются учитывающие гендерные аспекты формулировки и уделяется надлежащее внимание положению мужчин и женщин. Одна из общих мер связана с представлением информации с разбивкой по признаку пола и областям и поощр</w:t>
      </w:r>
      <w:r>
        <w:t>е</w:t>
      </w:r>
      <w:r>
        <w:t>нием здорового образа жизни населения городских, сельских и лесистых районов, с его ориентацией на жизнь в гарм</w:t>
      </w:r>
      <w:r>
        <w:t>о</w:t>
      </w:r>
      <w:r>
        <w:t>нии с природой.</w:t>
      </w:r>
    </w:p>
    <w:p w:rsidR="00000000" w:rsidRDefault="00000000">
      <w:pPr>
        <w:pStyle w:val="DualTxt"/>
      </w:pPr>
      <w:r>
        <w:t>5.</w:t>
      </w:r>
      <w:r>
        <w:tab/>
        <w:t>Эта общая мера послужит основой для разр</w:t>
      </w:r>
      <w:r>
        <w:t>а</w:t>
      </w:r>
      <w:r>
        <w:t>ботки более подробного плана действий. Одна из задач министерства по делам женщин и социальн</w:t>
      </w:r>
      <w:r>
        <w:t>о</w:t>
      </w:r>
      <w:r>
        <w:t>го развития заключается в обеспечении уделения внимания пожилым лицам в плане рационального использования людских ресурсов, чем занимается отдельный департамент. Министерство уделяет также особое внимание положению инвалидов, уч</w:t>
      </w:r>
      <w:r>
        <w:t>е</w:t>
      </w:r>
      <w:r>
        <w:t>ту гендерной проблематики во всех областях де</w:t>
      </w:r>
      <w:r>
        <w:t>я</w:t>
      </w:r>
      <w:r>
        <w:t>тельности соответствующих подразделений, ко</w:t>
      </w:r>
      <w:r>
        <w:t>н</w:t>
      </w:r>
      <w:r>
        <w:t>кретно занимающихся вопросами положения же</w:t>
      </w:r>
      <w:r>
        <w:t>н</w:t>
      </w:r>
      <w:r>
        <w:t>щин.</w:t>
      </w:r>
    </w:p>
    <w:p w:rsidR="00000000" w:rsidRDefault="00000000">
      <w:pPr>
        <w:pStyle w:val="DualTxt"/>
      </w:pPr>
      <w:r>
        <w:t>6.</w:t>
      </w:r>
      <w:r>
        <w:tab/>
        <w:t>Требование, обязывающее медицинских р</w:t>
      </w:r>
      <w:r>
        <w:t>а</w:t>
      </w:r>
      <w:r>
        <w:t>ботников сообщать в полицию о всех женщинах, ищущих возможность сделать аборт, несомненно, заставляет многих женщин отказываться от обр</w:t>
      </w:r>
      <w:r>
        <w:t>а</w:t>
      </w:r>
      <w:r>
        <w:t>щения за помощью к квалифицированному перс</w:t>
      </w:r>
      <w:r>
        <w:t>о</w:t>
      </w:r>
      <w:r>
        <w:t>налу и зачастую ставит их в опасное положение. Министерство оратора решительно выступает за отмену этого ненормального требования. К сожал</w:t>
      </w:r>
      <w:r>
        <w:t>е</w:t>
      </w:r>
      <w:r>
        <w:t>нию, Конгресс состоит из представителей разли</w:t>
      </w:r>
      <w:r>
        <w:t>ч</w:t>
      </w:r>
      <w:r>
        <w:t>ных политических направлений, придерживающи</w:t>
      </w:r>
      <w:r>
        <w:t>х</w:t>
      </w:r>
      <w:r>
        <w:t>ся разных социальных и религиозных установок, и задача легализации аборта непроста. В любом сл</w:t>
      </w:r>
      <w:r>
        <w:t>у</w:t>
      </w:r>
      <w:r>
        <w:t>чае оратор с удовлетворением сообщает о том, что были резко сокращены показатели материнской смертн</w:t>
      </w:r>
      <w:r>
        <w:t>о</w:t>
      </w:r>
      <w:r>
        <w:t>сти.</w:t>
      </w:r>
    </w:p>
    <w:p w:rsidR="00000000" w:rsidRDefault="00000000">
      <w:pPr>
        <w:pStyle w:val="DualTxt"/>
      </w:pPr>
      <w:r>
        <w:t>7.</w:t>
      </w:r>
      <w:r>
        <w:tab/>
        <w:t>Предусмотренный законом минимальный во</w:t>
      </w:r>
      <w:r>
        <w:t>з</w:t>
      </w:r>
      <w:r>
        <w:t>раст вступления в брак по-прежнему составляет 18 лет, это возраст совершеннолетия в плане полн</w:t>
      </w:r>
      <w:r>
        <w:t>о</w:t>
      </w:r>
      <w:r>
        <w:t>го осуществления гражданских и политических прав. Однако в исключительных обстоятельствах и только по решению суда судья может предоставить разрешение на заключение брака и в возрасте 16 лет. Тревожно высокая доля городских жителей обусловлена оттоком населения из сельских ра</w:t>
      </w:r>
      <w:r>
        <w:t>й</w:t>
      </w:r>
      <w:r>
        <w:t>онов, являющимся, в свою очередь, следствием н</w:t>
      </w:r>
      <w:r>
        <w:t>и</w:t>
      </w:r>
      <w:r>
        <w:t>щеты и, в последнее время, политического насилия. В этих условиях властям приходится удовлетворять потребности вновь прибывающих в сфере здрав</w:t>
      </w:r>
      <w:r>
        <w:t>о</w:t>
      </w:r>
      <w:r>
        <w:t>охранения, образования и социального обеспеч</w:t>
      </w:r>
      <w:r>
        <w:t>е</w:t>
      </w:r>
      <w:r>
        <w:t>ния.</w:t>
      </w:r>
    </w:p>
    <w:p w:rsidR="00000000" w:rsidRDefault="00000000">
      <w:pPr>
        <w:pStyle w:val="DualTxt"/>
      </w:pPr>
      <w:r>
        <w:t>8.</w:t>
      </w:r>
      <w:r>
        <w:tab/>
        <w:t>Сектор здравоохранения, несомненно, являе</w:t>
      </w:r>
      <w:r>
        <w:t>т</w:t>
      </w:r>
      <w:r>
        <w:t>ся наиболее развитым в Перу государственным се</w:t>
      </w:r>
      <w:r>
        <w:t>к</w:t>
      </w:r>
      <w:r>
        <w:t>тором. Даже в самых отдаленных районах имеются школы и медицинские пункты; их сотрудники, во</w:t>
      </w:r>
      <w:r>
        <w:t>з</w:t>
      </w:r>
      <w:r>
        <w:t>можно, и не обладают самой высокой квалификац</w:t>
      </w:r>
      <w:r>
        <w:t>и</w:t>
      </w:r>
      <w:r>
        <w:t>ей, однако никому никогда не отказывается в леч</w:t>
      </w:r>
      <w:r>
        <w:t>е</w:t>
      </w:r>
      <w:r>
        <w:t>нии и базовом образовании. В соответствии с Н</w:t>
      </w:r>
      <w:r>
        <w:t>а</w:t>
      </w:r>
      <w:r>
        <w:t>циональной программой продовольственной пом</w:t>
      </w:r>
      <w:r>
        <w:t>о</w:t>
      </w:r>
      <w:r>
        <w:t>щи (НППП) продовольственные пайки распростр</w:t>
      </w:r>
      <w:r>
        <w:t>а</w:t>
      </w:r>
      <w:r>
        <w:t xml:space="preserve">няются даже в самых удаленных частях страны. </w:t>
      </w:r>
    </w:p>
    <w:p w:rsidR="00000000" w:rsidRDefault="00000000">
      <w:pPr>
        <w:pStyle w:val="DualTxt"/>
      </w:pPr>
      <w:r>
        <w:t>Женщины в городских районах гораздо лучше орг</w:t>
      </w:r>
      <w:r>
        <w:t>а</w:t>
      </w:r>
      <w:r>
        <w:t>низованы в том, что касается их участия в распр</w:t>
      </w:r>
      <w:r>
        <w:t>е</w:t>
      </w:r>
      <w:r>
        <w:t>делении продовольствия и оздоровительных мер</w:t>
      </w:r>
      <w:r>
        <w:t>о</w:t>
      </w:r>
      <w:r>
        <w:t>приятиях.</w:t>
      </w:r>
    </w:p>
    <w:p w:rsidR="00000000" w:rsidRDefault="00000000">
      <w:pPr>
        <w:pStyle w:val="DualTxt"/>
      </w:pPr>
      <w:r>
        <w:t>9.</w:t>
      </w:r>
      <w:r>
        <w:tab/>
        <w:t>Оратору не известно о каких-либо актах ди</w:t>
      </w:r>
      <w:r>
        <w:t>с</w:t>
      </w:r>
      <w:r>
        <w:t>криминации в отношении арабоязычного населения, однако она попробует получить более подробную информацию от члена Комитета, задавшего этот в</w:t>
      </w:r>
      <w:r>
        <w:t>о</w:t>
      </w:r>
      <w:r>
        <w:t>прос, с тем чтобы его можно было изучить и пр</w:t>
      </w:r>
      <w:r>
        <w:t>и</w:t>
      </w:r>
      <w:r>
        <w:t>нять необходимые меры. В заключение оратор гов</w:t>
      </w:r>
      <w:r>
        <w:t>о</w:t>
      </w:r>
      <w:r>
        <w:t>рит, что власти работают над вопросом ратифик</w:t>
      </w:r>
      <w:r>
        <w:t>а</w:t>
      </w:r>
      <w:r>
        <w:t>ции поправки к пункту 1 статьи 20 Конвенции.</w:t>
      </w:r>
    </w:p>
    <w:p w:rsidR="00000000" w:rsidRDefault="00000000">
      <w:pPr>
        <w:pStyle w:val="DualTxt"/>
      </w:pPr>
      <w:r>
        <w:t>10.</w:t>
      </w:r>
      <w:r>
        <w:tab/>
        <w:t> </w:t>
      </w:r>
      <w:r>
        <w:rPr>
          <w:b/>
        </w:rPr>
        <w:t>Г-жа Гонсалес</w:t>
      </w:r>
      <w:r>
        <w:t xml:space="preserve"> предостерегает от проведения параллели между справедливостью и фактическим и юридическим равенством, что, как представляе</w:t>
      </w:r>
      <w:r>
        <w:t>т</w:t>
      </w:r>
      <w:r>
        <w:t>ся, делает государство-участник в своем письме</w:t>
      </w:r>
      <w:r>
        <w:t>н</w:t>
      </w:r>
      <w:r>
        <w:t>ном ответе на вопрос 9. Вопросам справедливости следует придавать столь важное значение только после достиж</w:t>
      </w:r>
      <w:r>
        <w:t>е</w:t>
      </w:r>
      <w:r>
        <w:t>ния подлинного равенства.</w:t>
      </w:r>
    </w:p>
    <w:p w:rsidR="00000000" w:rsidRDefault="00000000">
      <w:pPr>
        <w:pStyle w:val="DualTxt"/>
      </w:pPr>
      <w:r>
        <w:t>11.</w:t>
      </w:r>
      <w:r>
        <w:tab/>
      </w:r>
      <w:r>
        <w:rPr>
          <w:b/>
        </w:rPr>
        <w:t>Г</w:t>
      </w:r>
      <w:r>
        <w:rPr>
          <w:b/>
        </w:rPr>
        <w:noBreakHyphen/>
        <w:t>жа Эспиноса</w:t>
      </w:r>
      <w:r>
        <w:t xml:space="preserve"> (Перу) говорит, что частое упоминание государством-участником идей спр</w:t>
      </w:r>
      <w:r>
        <w:t>а</w:t>
      </w:r>
      <w:r>
        <w:t>ведливости не означает, что власти упускают из в</w:t>
      </w:r>
      <w:r>
        <w:t>и</w:t>
      </w:r>
      <w:r>
        <w:t>да главную цель обеспечения подлинного равенс</w:t>
      </w:r>
      <w:r>
        <w:t>т</w:t>
      </w:r>
      <w:r>
        <w:t>ва.</w:t>
      </w:r>
    </w:p>
    <w:p w:rsidR="00000000" w:rsidRDefault="00000000">
      <w:pPr>
        <w:pStyle w:val="DualTxt"/>
      </w:pPr>
      <w:r>
        <w:t>12.</w:t>
      </w:r>
      <w:r>
        <w:tab/>
      </w:r>
      <w:r>
        <w:rPr>
          <w:b/>
        </w:rPr>
        <w:t>Председатель</w:t>
      </w:r>
      <w:r>
        <w:t xml:space="preserve"> благодарит правительство Перу за представление его доклада.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rPr>
          <w:i/>
        </w:rPr>
        <w:t>Заседание закрывается в 15 ч. 25 м</w:t>
      </w:r>
      <w:r>
        <w:t>.</w:t>
      </w:r>
    </w:p>
    <w:p w:rsidR="00000000" w:rsidRDefault="00000000">
      <w:pPr>
        <w:pStyle w:val="SingleTxt"/>
      </w:pPr>
    </w:p>
    <w:p w:rsidR="00000000" w:rsidRDefault="00000000">
      <w:pPr>
        <w:pStyle w:val="SingleTxt"/>
        <w:jc w:val="left"/>
      </w:pP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NO&gt;&gt;N0252477R&lt;&lt;ODS JOB NO&gt;&gt;</w:t>
      </w:r>
    </w:p>
    <w:p w:rsidR="00000000" w:rsidRDefault="00000000">
      <w:pPr>
        <w:pStyle w:val="CommentText"/>
      </w:pPr>
      <w:r>
        <w:t>&lt;&lt;ODS DOC SYMBOL1&gt;&gt;CEDAW/C/SR.583&lt;&lt;ODS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02-52477 (R)   270104   300104</w:t>
    </w:r>
  </w:p>
  <w:p w:rsidR="00000000" w:rsidRDefault="00000000">
    <w:pPr>
      <w:pStyle w:val="Footer"/>
      <w:spacing w:before="120" w:line="240" w:lineRule="exact"/>
      <w:rPr>
        <w:rFonts w:ascii="Barcode 3 of 9 by request" w:hAnsi="Barcode 3 of 9 by request"/>
        <w:b w:val="0"/>
        <w:spacing w:val="4"/>
        <w:w w:val="103"/>
        <w:sz w:val="24"/>
      </w:rPr>
    </w:pPr>
    <w:r>
      <w:rPr>
        <w:rFonts w:ascii="Barcode 3 of 9 by request" w:hAnsi="Barcode 3 of 9 by request"/>
        <w:b w:val="0"/>
        <w:spacing w:val="4"/>
        <w:w w:val="103"/>
        <w:sz w:val="24"/>
      </w:rPr>
      <w:t>*0252477*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02-52477 (R)    270104    270104</w:t>
    </w:r>
  </w:p>
  <w:p w:rsidR="00000000" w:rsidRDefault="00000000">
    <w:pPr>
      <w:pStyle w:val="Footer"/>
      <w:spacing w:before="120" w:line="240" w:lineRule="exact"/>
      <w:rPr>
        <w:rFonts w:ascii="Barcode 3 of 9 by request" w:hAnsi="Barcode 3 of 9 by request"/>
        <w:b w:val="0"/>
        <w:spacing w:val="4"/>
        <w:w w:val="103"/>
        <w:sz w:val="24"/>
      </w:rPr>
    </w:pPr>
    <w:r>
      <w:rPr>
        <w:rFonts w:ascii="Barcode 3 of 9 by request" w:hAnsi="Barcode 3 of 9 by request"/>
        <w:b w:val="0"/>
        <w:spacing w:val="4"/>
        <w:w w:val="103"/>
        <w:sz w:val="24"/>
      </w:rPr>
      <w:t>*0252477*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CEDAW/C/SR.583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CEDAW/C/SR.583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/C/SR.583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t>30 January 2004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/C/SR.583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pPr>
            <w:rPr>
              <w:lang/>
            </w:rPr>
          </w:pPr>
          <w:r>
            <w:t xml:space="preserve">    </w:t>
          </w:r>
          <w:r>
            <w:rPr>
              <w:lang w:val="en-US"/>
            </w:rPr>
            <w:t>January</w:t>
          </w:r>
          <w:r>
            <w:t xml:space="preserve"> 200</w:t>
          </w:r>
          <w:r>
            <w:rPr>
              <w:lang w:val="en-US"/>
            </w:rPr>
            <w:t>4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720"/>
  <w:autoHyphenation/>
  <w:hyphenationZone w:val="21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29/01/2004 9:16: AM"/>
    <w:docVar w:name="DocCategory" w:val="SROthers"/>
    <w:docVar w:name="DocType" w:val="Final"/>
    <w:docVar w:name="JobNo" w:val="0252477R"/>
    <w:docVar w:name="OandT" w:val=" "/>
    <w:docVar w:name="Symbol1" w:val="CEDAW/C/SR.583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4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3</Pages>
  <Words>961</Words>
  <Characters>5481</Characters>
  <Application>Microsoft Office Word</Application>
  <DocSecurity>4</DocSecurity>
  <Lines>45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6731</CharactersWithSpaces>
  <SharedDoc>false</SharedDoc>
  <HLinks>
    <vt:vector size="12" baseType="variant">
      <vt:variant>
        <vt:i4>4522087</vt:i4>
      </vt:variant>
      <vt:variant>
        <vt:i4>14552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  <vt:variant>
        <vt:i4>4522087</vt:i4>
      </vt:variant>
      <vt:variant>
        <vt:i4>16212</vt:i4>
      </vt:variant>
      <vt:variant>
        <vt:i4>1026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DGAACS User</cp:lastModifiedBy>
  <cp:revision>4</cp:revision>
  <cp:lastPrinted>2004-01-29T07:26:00Z</cp:lastPrinted>
  <dcterms:created xsi:type="dcterms:W3CDTF">2004-01-29T07:25:00Z</dcterms:created>
  <dcterms:modified xsi:type="dcterms:W3CDTF">2004-01-29T07:38:00Z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0252477</vt:lpwstr>
  </property>
  <property fmtid="{D5CDD505-2E9C-101B-9397-08002B2CF9AE}" pid="3" name="Symbol1">
    <vt:lpwstr>CEDAW/C/SR.583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3</vt:lpwstr>
  </property>
  <property fmtid="{D5CDD505-2E9C-101B-9397-08002B2CF9AE}" pid="8" name="Operator">
    <vt:lpwstr>Paniouchkina</vt:lpwstr>
  </property>
</Properties>
</file>