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DB7679" w14:paraId="1660F5B5" w14:textId="77777777" w:rsidTr="00A130A4">
        <w:trPr>
          <w:trHeight w:hRule="exact" w:val="851"/>
        </w:trPr>
        <w:tc>
          <w:tcPr>
            <w:tcW w:w="1274" w:type="dxa"/>
            <w:tcBorders>
              <w:bottom w:val="single" w:sz="4" w:space="0" w:color="auto"/>
            </w:tcBorders>
          </w:tcPr>
          <w:p w14:paraId="6E1C2EE7" w14:textId="77777777" w:rsidR="006B3E27" w:rsidRPr="00983870" w:rsidRDefault="006B3E27" w:rsidP="00A130A4">
            <w:pPr>
              <w:bidi w:val="0"/>
              <w:jc w:val="right"/>
            </w:pPr>
          </w:p>
        </w:tc>
        <w:tc>
          <w:tcPr>
            <w:tcW w:w="4537" w:type="dxa"/>
            <w:tcBorders>
              <w:bottom w:val="single" w:sz="4" w:space="0" w:color="auto"/>
            </w:tcBorders>
            <w:vAlign w:val="bottom"/>
          </w:tcPr>
          <w:p w14:paraId="4A404D87" w14:textId="77777777" w:rsidR="006B3E27" w:rsidRPr="00DB7679" w:rsidRDefault="006B3E27" w:rsidP="00A130A4">
            <w:pPr>
              <w:spacing w:after="80" w:line="480" w:lineRule="exact"/>
              <w:jc w:val="left"/>
              <w:rPr>
                <w:szCs w:val="40"/>
                <w:rtl/>
              </w:rPr>
            </w:pPr>
            <w:r w:rsidRPr="00DB7679">
              <w:rPr>
                <w:rFonts w:hint="cs"/>
                <w:szCs w:val="40"/>
                <w:rtl/>
              </w:rPr>
              <w:t>الأمم المتحدة</w:t>
            </w:r>
          </w:p>
        </w:tc>
        <w:tc>
          <w:tcPr>
            <w:tcW w:w="3828" w:type="dxa"/>
            <w:tcBorders>
              <w:bottom w:val="single" w:sz="4" w:space="0" w:color="auto"/>
            </w:tcBorders>
            <w:vAlign w:val="bottom"/>
          </w:tcPr>
          <w:p w14:paraId="1FEB0664" w14:textId="77777777" w:rsidR="006B3E27" w:rsidRPr="00243C8A" w:rsidRDefault="005A2F39" w:rsidP="00AA4E00">
            <w:pPr>
              <w:bidi w:val="0"/>
              <w:spacing w:after="20"/>
              <w:jc w:val="left"/>
              <w:rPr>
                <w:szCs w:val="20"/>
              </w:rPr>
            </w:pPr>
            <w:r w:rsidRPr="005A2F39">
              <w:rPr>
                <w:sz w:val="40"/>
                <w:szCs w:val="20"/>
              </w:rPr>
              <w:t>HRI</w:t>
            </w:r>
            <w:r>
              <w:rPr>
                <w:szCs w:val="20"/>
              </w:rPr>
              <w:t>/</w:t>
            </w:r>
            <w:r w:rsidRPr="00416923">
              <w:rPr>
                <w:szCs w:val="20"/>
              </w:rPr>
              <w:t>2019</w:t>
            </w:r>
            <w:r>
              <w:rPr>
                <w:szCs w:val="20"/>
              </w:rPr>
              <w:t>/</w:t>
            </w:r>
            <w:r w:rsidRPr="00416923">
              <w:rPr>
                <w:szCs w:val="20"/>
              </w:rPr>
              <w:t>1</w:t>
            </w:r>
          </w:p>
        </w:tc>
      </w:tr>
      <w:tr w:rsidR="006B3E27" w:rsidRPr="00DB7679" w14:paraId="01DD6BC7" w14:textId="77777777" w:rsidTr="00A130A4">
        <w:trPr>
          <w:trHeight w:hRule="exact" w:val="2835"/>
        </w:trPr>
        <w:tc>
          <w:tcPr>
            <w:tcW w:w="1274" w:type="dxa"/>
            <w:tcBorders>
              <w:top w:val="single" w:sz="4" w:space="0" w:color="auto"/>
              <w:bottom w:val="single" w:sz="12" w:space="0" w:color="auto"/>
            </w:tcBorders>
          </w:tcPr>
          <w:p w14:paraId="20BEF041" w14:textId="77777777" w:rsidR="006B3E27" w:rsidRPr="00DB7679" w:rsidRDefault="0059622A" w:rsidP="00A130A4">
            <w:pPr>
              <w:jc w:val="center"/>
              <w:rPr>
                <w:rtl/>
              </w:rPr>
            </w:pPr>
            <w:r>
              <w:rPr>
                <w:noProof/>
              </w:rPr>
              <w:drawing>
                <wp:inline distT="0" distB="0" distL="0" distR="0" wp14:anchorId="0E5ABDEC" wp14:editId="4A34CE4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14:paraId="5813BCBD" w14:textId="77777777" w:rsidR="006B3E27" w:rsidRPr="00354CC2" w:rsidRDefault="00354CC2" w:rsidP="00A130A4">
            <w:pPr>
              <w:spacing w:before="240" w:after="40" w:line="640" w:lineRule="exact"/>
              <w:jc w:val="left"/>
              <w:rPr>
                <w:b/>
                <w:bCs/>
                <w:sz w:val="52"/>
                <w:szCs w:val="52"/>
              </w:rPr>
            </w:pPr>
            <w:r w:rsidRPr="00354CC2">
              <w:rPr>
                <w:rFonts w:hint="cs"/>
                <w:b/>
                <w:bCs/>
                <w:sz w:val="52"/>
                <w:szCs w:val="52"/>
                <w:rtl/>
              </w:rPr>
              <w:t>الصكوك الدولية لحقوق الإنسان</w:t>
            </w:r>
          </w:p>
        </w:tc>
        <w:tc>
          <w:tcPr>
            <w:tcW w:w="3828" w:type="dxa"/>
            <w:tcBorders>
              <w:top w:val="single" w:sz="4" w:space="0" w:color="auto"/>
              <w:bottom w:val="single" w:sz="12" w:space="0" w:color="auto"/>
            </w:tcBorders>
          </w:tcPr>
          <w:p w14:paraId="083C714F" w14:textId="77777777" w:rsidR="006B3E27" w:rsidRDefault="00AA4E00" w:rsidP="00AA4E00">
            <w:pPr>
              <w:bidi w:val="0"/>
              <w:spacing w:before="240"/>
              <w:jc w:val="left"/>
            </w:pPr>
            <w:r>
              <w:t>Distr.: General</w:t>
            </w:r>
          </w:p>
          <w:p w14:paraId="11D3A497" w14:textId="77777777" w:rsidR="00AA4E00" w:rsidRDefault="00AA4E00" w:rsidP="00AA4E00">
            <w:pPr>
              <w:bidi w:val="0"/>
              <w:jc w:val="left"/>
            </w:pPr>
            <w:r w:rsidRPr="00416923">
              <w:rPr>
                <w:szCs w:val="20"/>
              </w:rPr>
              <w:t>14</w:t>
            </w:r>
            <w:r>
              <w:t xml:space="preserve"> May </w:t>
            </w:r>
            <w:r w:rsidRPr="00416923">
              <w:rPr>
                <w:szCs w:val="20"/>
              </w:rPr>
              <w:t>2020</w:t>
            </w:r>
          </w:p>
          <w:p w14:paraId="7F5DF3DE" w14:textId="77777777" w:rsidR="00AA4E00" w:rsidRDefault="00AA4E00" w:rsidP="00AA4E00">
            <w:pPr>
              <w:bidi w:val="0"/>
              <w:jc w:val="left"/>
            </w:pPr>
            <w:r>
              <w:t>Arabic</w:t>
            </w:r>
          </w:p>
          <w:p w14:paraId="526182A2" w14:textId="77777777" w:rsidR="00AA4E00" w:rsidRPr="008B4BC6" w:rsidRDefault="00AA4E00" w:rsidP="00AA4E00">
            <w:pPr>
              <w:bidi w:val="0"/>
              <w:jc w:val="left"/>
            </w:pPr>
            <w:r>
              <w:t>Original: English</w:t>
            </w:r>
          </w:p>
        </w:tc>
      </w:tr>
    </w:tbl>
    <w:p w14:paraId="4F4F5383" w14:textId="77777777" w:rsidR="00AA4E00" w:rsidRPr="00416923" w:rsidRDefault="00AA4E00" w:rsidP="00AA4E00">
      <w:pPr>
        <w:pStyle w:val="HChGA"/>
        <w:rPr>
          <w:rFonts w:cs="Times New Roman"/>
          <w:sz w:val="34"/>
          <w:szCs w:val="34"/>
          <w:rtl/>
          <w:lang w:val="ar-SA" w:eastAsia="zh-TW"/>
        </w:rPr>
      </w:pPr>
      <w:r w:rsidRPr="00416923">
        <w:rPr>
          <w:rtl/>
        </w:rPr>
        <w:tab/>
      </w:r>
      <w:r w:rsidRPr="00416923">
        <w:rPr>
          <w:rtl/>
        </w:rPr>
        <w:tab/>
        <w:t>بيان بشأن حقوق الإنسان وتغير المناخ</w:t>
      </w:r>
    </w:p>
    <w:p w14:paraId="31439DDC" w14:textId="77777777" w:rsidR="00AA4E00" w:rsidRPr="00416923" w:rsidRDefault="00AA4E00" w:rsidP="00AA4E00">
      <w:pPr>
        <w:pStyle w:val="H1GA"/>
        <w:rPr>
          <w:rFonts w:cs="Times New Roman"/>
          <w:szCs w:val="24"/>
          <w:rtl/>
          <w:lang w:val="ar-SA" w:eastAsia="zh-TW"/>
        </w:rPr>
      </w:pPr>
      <w:r w:rsidRPr="00416923">
        <w:rPr>
          <w:rtl/>
        </w:rPr>
        <w:tab/>
      </w:r>
      <w:r w:rsidRPr="00416923">
        <w:rPr>
          <w:rtl/>
        </w:rPr>
        <w:tab/>
        <w:t>بيان مشترك صادر عن اللجنة المعنية بالقضاء على التمييز ضد المرأة، واللجنة المعنية بالحقوق الاقتصادية والاجتماعية والثقافية، والل</w:t>
      </w:r>
      <w:bookmarkStart w:id="0" w:name="_GoBack"/>
      <w:bookmarkEnd w:id="0"/>
      <w:r w:rsidRPr="00416923">
        <w:rPr>
          <w:rtl/>
        </w:rPr>
        <w:t>جنة المعنية بحماية حقوق جميع العمال المهاجرين وأفراد أسرهم، ولجنة حقوق الطفل، واللجنة المعنية بحقوق الأشخاص ذوي الإعاقة</w:t>
      </w:r>
    </w:p>
    <w:p w14:paraId="0A0BCF86" w14:textId="77777777" w:rsidR="00AA4E00" w:rsidRPr="00416923" w:rsidRDefault="00AA4E00" w:rsidP="00885842">
      <w:pPr>
        <w:pStyle w:val="SingleTxtGA"/>
        <w:spacing w:line="354" w:lineRule="exact"/>
        <w:rPr>
          <w:rFonts w:cs="Times New Roman"/>
          <w:szCs w:val="20"/>
          <w:rtl/>
          <w:lang w:val="ar-SA" w:eastAsia="zh-TW"/>
        </w:rPr>
      </w:pPr>
      <w:r w:rsidRPr="00416923">
        <w:rPr>
          <w:szCs w:val="20"/>
          <w:rtl/>
        </w:rPr>
        <w:t>1-</w:t>
      </w:r>
      <w:r w:rsidRPr="00416923">
        <w:rPr>
          <w:rtl/>
        </w:rPr>
        <w:tab/>
        <w:t xml:space="preserve">ترحب اللجنة المعنية بالقضاء على التمييز ضد المرأة، واللجنة المعنية بالحقوق الاقتصادية والاجتماعية والثقافية، واللجنة المعنية بحماية حقوق جميع العمال المهاجرين وأفراد أسرهم، ولجنة حقوق الطفل، واللجنة المعنية بحقوق الأشخاص ذوي الإعاقة بعقد الأمين العام للأمم المتحدة قمة العمل المناخي، في أيلول/سبتمبر </w:t>
      </w:r>
      <w:r w:rsidRPr="00416923">
        <w:rPr>
          <w:szCs w:val="20"/>
          <w:rtl/>
        </w:rPr>
        <w:t>2019</w:t>
      </w:r>
      <w:r w:rsidRPr="00416923">
        <w:rPr>
          <w:rtl/>
        </w:rPr>
        <w:t>، لتعبئة خطط وإجراءات أكثر طموحاً لخفض الانبعاثات. وتحث اللجان جميع الدول على أن تأخذ في الاعتبار التزاماتها في مجال حقوق الإنسان عند استعراض التزاماتها المتعلقة بالمناخ.</w:t>
      </w:r>
    </w:p>
    <w:p w14:paraId="02250FEA" w14:textId="1223FF51" w:rsidR="00AA4E00" w:rsidRPr="00416923" w:rsidRDefault="00AA4E00" w:rsidP="00885842">
      <w:pPr>
        <w:pStyle w:val="SingleTxtGA"/>
        <w:spacing w:line="354" w:lineRule="exact"/>
        <w:rPr>
          <w:rStyle w:val="FootnoteReference"/>
          <w:rFonts w:cs="Times New Roman"/>
          <w:szCs w:val="18"/>
          <w:rtl/>
          <w:lang w:val="ar-SA" w:eastAsia="zh-TW"/>
        </w:rPr>
      </w:pPr>
      <w:r w:rsidRPr="00416923">
        <w:rPr>
          <w:szCs w:val="20"/>
          <w:rtl/>
        </w:rPr>
        <w:t>2-</w:t>
      </w:r>
      <w:r w:rsidRPr="00416923">
        <w:rPr>
          <w:rtl/>
        </w:rPr>
        <w:tab/>
        <w:t>وترحب اللجان أيضا</w:t>
      </w:r>
      <w:r w:rsidR="00885842">
        <w:rPr>
          <w:rFonts w:hint="cs"/>
          <w:rtl/>
        </w:rPr>
        <w:t>ً</w:t>
      </w:r>
      <w:r w:rsidRPr="00416923">
        <w:rPr>
          <w:rtl/>
        </w:rPr>
        <w:t xml:space="preserve"> بعمل الأوساط العلمية الدولية من أجل زيادة فهم آثار تغير المناخ والحلول التي يمكن أن تسهم في تجنب أخطر آثار تغير المناخ. وترحب اللجان على وجه الخصوص بالتقرير الصادر عن الهيئة الحكومية الدولية المعنية بتغير المناخ في عام </w:t>
      </w:r>
      <w:r w:rsidRPr="00416923">
        <w:rPr>
          <w:szCs w:val="20"/>
          <w:rtl/>
        </w:rPr>
        <w:t>2018</w:t>
      </w:r>
      <w:r w:rsidRPr="00416923">
        <w:rPr>
          <w:rtl/>
        </w:rPr>
        <w:t xml:space="preserve"> والمتعلق بالاحترار العالمي بمقدار </w:t>
      </w:r>
      <w:r w:rsidRPr="00416923">
        <w:rPr>
          <w:szCs w:val="20"/>
          <w:rtl/>
        </w:rPr>
        <w:t>1</w:t>
      </w:r>
      <w:r w:rsidR="00885842">
        <w:rPr>
          <w:rFonts w:ascii="Traditional Arabic" w:hAnsi="Traditional Arabic"/>
          <w:szCs w:val="20"/>
          <w:rtl/>
        </w:rPr>
        <w:t>,</w:t>
      </w:r>
      <w:r w:rsidRPr="00416923">
        <w:rPr>
          <w:szCs w:val="20"/>
          <w:rtl/>
        </w:rPr>
        <w:t>5</w:t>
      </w:r>
      <w:r w:rsidRPr="00416923">
        <w:rPr>
          <w:rtl/>
        </w:rPr>
        <w:t xml:space="preserve"> درجة مئوية فوق مستويات ما قبل الحقبة الصناعية</w:t>
      </w:r>
      <w:r w:rsidR="002A2E07" w:rsidRPr="00416923">
        <w:rPr>
          <w:rStyle w:val="FootnoteReference"/>
          <w:rtl/>
        </w:rPr>
        <w:t>(</w:t>
      </w:r>
      <w:r w:rsidR="002A2E07" w:rsidRPr="00416923">
        <w:rPr>
          <w:rStyle w:val="FootnoteReference"/>
          <w:rFonts w:cs="Times New Roman"/>
          <w:b w:val="0"/>
          <w:position w:val="4"/>
          <w:sz w:val="20"/>
        </w:rPr>
        <w:footnoteReference w:id="1"/>
      </w:r>
      <w:r w:rsidR="002A2E07" w:rsidRPr="00416923">
        <w:rPr>
          <w:rStyle w:val="FootnoteReference"/>
          <w:rtl/>
        </w:rPr>
        <w:t>)</w:t>
      </w:r>
      <w:r w:rsidR="00416923" w:rsidRPr="00416923">
        <w:rPr>
          <w:rStyle w:val="FootnoteReference"/>
          <w:rFonts w:hint="cs"/>
          <w:vertAlign w:val="baseline"/>
          <w:rtl/>
        </w:rPr>
        <w:t>.</w:t>
      </w:r>
    </w:p>
    <w:p w14:paraId="62E03B61" w14:textId="3989F8D2" w:rsidR="00AA4E00" w:rsidRPr="00416923" w:rsidRDefault="00AA4E00" w:rsidP="00885842">
      <w:pPr>
        <w:pStyle w:val="SingleTxtGA"/>
        <w:spacing w:line="354" w:lineRule="exact"/>
        <w:rPr>
          <w:rStyle w:val="FootnoteReference"/>
          <w:rFonts w:cs="Times New Roman"/>
          <w:szCs w:val="18"/>
          <w:rtl/>
          <w:lang w:val="ar-SA" w:eastAsia="zh-TW"/>
        </w:rPr>
      </w:pPr>
      <w:r w:rsidRPr="00416923">
        <w:rPr>
          <w:szCs w:val="20"/>
          <w:rtl/>
        </w:rPr>
        <w:t>3-</w:t>
      </w:r>
      <w:r w:rsidRPr="00416923">
        <w:rPr>
          <w:rtl/>
        </w:rPr>
        <w:tab/>
        <w:t>ويؤكد ذلك التقرير أن تغير المناخ يشكل مخاطر كبيرة على التمتع بحقوق الإنسان المحمية في اتفاقية القضاء على جميع أشكال التمييز ضد المرأة، والعهد الدولي الخاص بالحقوق الاقتصادية والاجتماعية والثقافية، والاتفاقية الدولية لحماية حقوق جميع العمال المهاجرين وأفراد أسرهم، واتفاقية حقوق الطفل، واتفاقية حقوق الأشخاص ذوي الإعاقة. وتهدد الآثار السلبية المحددة في التقرير حقوقا</w:t>
      </w:r>
      <w:r w:rsidR="00885842">
        <w:rPr>
          <w:rFonts w:hint="cs"/>
          <w:rtl/>
        </w:rPr>
        <w:t>ً</w:t>
      </w:r>
      <w:r w:rsidRPr="00416923">
        <w:rPr>
          <w:rtl/>
        </w:rPr>
        <w:t xml:space="preserve"> منها الحق في الحياة، وفي الغذاء الكافي، وفي السكن اللائق، وفي الصحة، وفي الماء، والحقوق الثقافية. وتتجلى هذه الآثار السلبية أيضاً في الضرر الذي يلحق النظم الإيكولوجية، التي تؤثر بدورها في التمتع بحقوق الإنسان</w:t>
      </w:r>
      <w:r w:rsidR="002A2E07" w:rsidRPr="00416923">
        <w:rPr>
          <w:rStyle w:val="FootnoteReference"/>
          <w:rtl/>
        </w:rPr>
        <w:t>(</w:t>
      </w:r>
      <w:r w:rsidR="002A2E07" w:rsidRPr="00416923">
        <w:rPr>
          <w:rStyle w:val="FootnoteReference"/>
          <w:rFonts w:cs="Times New Roman"/>
          <w:b w:val="0"/>
          <w:position w:val="4"/>
          <w:sz w:val="20"/>
        </w:rPr>
        <w:footnoteReference w:id="2"/>
      </w:r>
      <w:r w:rsidR="002A2E07" w:rsidRPr="00416923">
        <w:rPr>
          <w:rStyle w:val="FootnoteReference"/>
          <w:rtl/>
        </w:rPr>
        <w:t>)</w:t>
      </w:r>
      <w:r w:rsidR="00416923" w:rsidRPr="00416923">
        <w:rPr>
          <w:rFonts w:hint="cs"/>
          <w:rtl/>
        </w:rPr>
        <w:t xml:space="preserve">. </w:t>
      </w:r>
      <w:r w:rsidRPr="00416923">
        <w:rPr>
          <w:rtl/>
        </w:rPr>
        <w:t>وخطر الضرر كبير بشكل خاص بالنسبة إلى قطاعات السكان المهمشة بالفعل أو</w:t>
      </w:r>
      <w:r w:rsidR="00885842">
        <w:rPr>
          <w:rFonts w:hint="cs"/>
          <w:rtl/>
        </w:rPr>
        <w:t> </w:t>
      </w:r>
      <w:r w:rsidRPr="00416923">
        <w:rPr>
          <w:rtl/>
        </w:rPr>
        <w:t>ضعيفة الحال أو التي لا تتاح لها سوى فرص محدودة للوصول إلى صنع القرار أو الموارد، مثل النساء والأطفال والأشخاص ذوي الإعاقة والشعوب الأصلية والأشخاص الذين يعيشون في المناطق الريفية، وذلك بسبب التمييز وأوجه عدم المساواة القائمة من قبل</w:t>
      </w:r>
      <w:r w:rsidR="002A2E07" w:rsidRPr="00416923">
        <w:rPr>
          <w:rStyle w:val="FootnoteReference"/>
          <w:rtl/>
        </w:rPr>
        <w:t>(</w:t>
      </w:r>
      <w:r w:rsidR="002A2E07" w:rsidRPr="00416923">
        <w:rPr>
          <w:rStyle w:val="FootnoteReference"/>
          <w:rFonts w:cs="Times New Roman"/>
          <w:b w:val="0"/>
          <w:position w:val="4"/>
          <w:sz w:val="20"/>
        </w:rPr>
        <w:footnoteReference w:id="3"/>
      </w:r>
      <w:r w:rsidR="002A2E07" w:rsidRPr="00416923">
        <w:rPr>
          <w:rStyle w:val="FootnoteReference"/>
          <w:rtl/>
        </w:rPr>
        <w:t>)</w:t>
      </w:r>
      <w:r w:rsidR="00416923" w:rsidRPr="00416923">
        <w:rPr>
          <w:rFonts w:hint="cs"/>
          <w:rtl/>
        </w:rPr>
        <w:t xml:space="preserve">. </w:t>
      </w:r>
      <w:r w:rsidRPr="00416923">
        <w:rPr>
          <w:rtl/>
        </w:rPr>
        <w:t>وتتعرض صحة الأطفال للضرر بأقدر أكبر على نحو خاص، بسبب عدم اكتمال بنيتهم الجسدية</w:t>
      </w:r>
      <w:r w:rsidR="002A2E07" w:rsidRPr="00416923">
        <w:rPr>
          <w:rStyle w:val="FootnoteReference"/>
          <w:rtl/>
        </w:rPr>
        <w:t>(</w:t>
      </w:r>
      <w:r w:rsidR="002A2E07" w:rsidRPr="00416923">
        <w:rPr>
          <w:rStyle w:val="FootnoteReference"/>
          <w:rFonts w:cs="Times New Roman"/>
          <w:b w:val="0"/>
          <w:position w:val="4"/>
          <w:sz w:val="20"/>
        </w:rPr>
        <w:footnoteReference w:id="4"/>
      </w:r>
      <w:r w:rsidR="002A2E07" w:rsidRPr="00416923">
        <w:rPr>
          <w:rStyle w:val="FootnoteReference"/>
          <w:rtl/>
        </w:rPr>
        <w:t>)</w:t>
      </w:r>
      <w:r w:rsidR="00416923" w:rsidRPr="00416923">
        <w:rPr>
          <w:rStyle w:val="FootnoteReference"/>
          <w:rFonts w:hint="cs"/>
          <w:vertAlign w:val="baseline"/>
          <w:rtl/>
        </w:rPr>
        <w:t>.</w:t>
      </w:r>
    </w:p>
    <w:p w14:paraId="4F52DAFF" w14:textId="7D1B591E" w:rsidR="00AA4E00" w:rsidRPr="00416923" w:rsidRDefault="00AA4E00" w:rsidP="00AA4E00">
      <w:pPr>
        <w:pStyle w:val="SingleTxtGA"/>
        <w:rPr>
          <w:rFonts w:cs="Times New Roman"/>
          <w:szCs w:val="20"/>
          <w:rtl/>
          <w:lang w:val="ar-SA" w:eastAsia="zh-TW"/>
        </w:rPr>
      </w:pPr>
      <w:r w:rsidRPr="00416923">
        <w:rPr>
          <w:szCs w:val="20"/>
          <w:rtl/>
        </w:rPr>
        <w:t>4-</w:t>
      </w:r>
      <w:r w:rsidRPr="00416923">
        <w:rPr>
          <w:rtl/>
        </w:rPr>
        <w:tab/>
        <w:t>وعلى نحو ما أشارت إليه اللجنة المعنية بالقضاء على التمييز ضد المرأة في توصيتها العامة رقم</w:t>
      </w:r>
      <w:r w:rsidR="00416923" w:rsidRPr="00416923">
        <w:rPr>
          <w:rFonts w:hint="cs"/>
          <w:rtl/>
        </w:rPr>
        <w:t> </w:t>
      </w:r>
      <w:r w:rsidRPr="00416923">
        <w:rPr>
          <w:szCs w:val="20"/>
          <w:rtl/>
        </w:rPr>
        <w:t>37(2018)</w:t>
      </w:r>
      <w:r w:rsidRPr="00416923">
        <w:rPr>
          <w:rtl/>
        </w:rPr>
        <w:t xml:space="preserve"> بشأن الأبعاد الجنسانية للحد من أخطار الكوارث في سياق تغير المناخ، يؤثر تغير المناخ والكوارث في النساء والرجال والبنات والأولاد بشكل مختلف، إذ تتعرض العديد من النساء والبنات لمخاطر وآثار مفرطة على صحتهن وسلامتهن وسبل عيشهن. وتؤدي حالات الأزمات إلى تفاقم أوجه انعدام المساواة بين الجنسين القائمة من قبل، وإلى زيادة حدة أشكال التمييز المتداخلة التي تؤثر في فئات النساء والبنات المحرومة، لا سيما ذوات الإعاقة. وعلاوة على ذلك يؤثر تغير المناخ والكوارث، بما في ذلك الأوبئة، في انتشار الأمراض الجديدة والمستجدة وتوزعها وشدتها. وتتزايد احتمالات تعرض النساء والبنات للمرض نتيجة لعدم المساواة في الحصول على الغذاء والتغذية والرعاية الصحية ونتيجة لتوقع المجتمع أن تنهض المرأة في المقام الأول بدور رعاية الأطفال والمسنين والمرضى.</w:t>
      </w:r>
    </w:p>
    <w:p w14:paraId="38A8428D" w14:textId="77777777" w:rsidR="00AA4E00" w:rsidRPr="00416923" w:rsidRDefault="00AA4E00" w:rsidP="00AA4E00">
      <w:pPr>
        <w:pStyle w:val="SingleTxtGA"/>
        <w:rPr>
          <w:rFonts w:cs="Times New Roman"/>
          <w:szCs w:val="20"/>
          <w:rtl/>
          <w:lang w:val="ar-SA" w:eastAsia="zh-TW"/>
        </w:rPr>
      </w:pPr>
      <w:r w:rsidRPr="00416923">
        <w:rPr>
          <w:szCs w:val="20"/>
          <w:rtl/>
        </w:rPr>
        <w:t>5-</w:t>
      </w:r>
      <w:r w:rsidRPr="00416923">
        <w:rPr>
          <w:rtl/>
        </w:rPr>
        <w:tab/>
        <w:t xml:space="preserve">وهذه الآثار السلبية على حقوق الإنسان تحدث بالفعل باحترار عالمي مقداره </w:t>
      </w:r>
      <w:r w:rsidRPr="00416923">
        <w:rPr>
          <w:szCs w:val="20"/>
          <w:rtl/>
        </w:rPr>
        <w:t>1</w:t>
      </w:r>
      <w:r w:rsidRPr="00416923">
        <w:rPr>
          <w:rtl/>
        </w:rPr>
        <w:t xml:space="preserve"> درجة مئوية؛ وكل زيادة إضافية في درجة الحرارة ستزيد من تقويض إعمال الحقوق. ويوضح تقرير الهيئة الحكومية الدولية المعنية بتغير المناخ أن تجنب خطر حدوث آثار منهجية واسعة النطاق ولا يمكن تداركها يتطلب اتخاذ إجراءات عاجلة وحاسمة بشأن المناخ.</w:t>
      </w:r>
    </w:p>
    <w:p w14:paraId="2A0DF3DD" w14:textId="58E458AD" w:rsidR="00AA4E00" w:rsidRPr="00416923" w:rsidRDefault="00AA4E00" w:rsidP="00AA4E00">
      <w:pPr>
        <w:pStyle w:val="SingleTxtGA"/>
        <w:rPr>
          <w:rFonts w:cs="Times New Roman"/>
          <w:szCs w:val="20"/>
          <w:rtl/>
          <w:lang w:val="ar-SA" w:eastAsia="zh-TW"/>
        </w:rPr>
      </w:pPr>
      <w:r w:rsidRPr="00416923">
        <w:rPr>
          <w:szCs w:val="20"/>
          <w:rtl/>
        </w:rPr>
        <w:t>6-</w:t>
      </w:r>
      <w:r w:rsidRPr="00416923">
        <w:rPr>
          <w:rtl/>
        </w:rPr>
        <w:tab/>
        <w:t>ويبرز تقرير الهيئة الحكومية الدولية المعنية بتغير المناخ أيضا</w:t>
      </w:r>
      <w:r w:rsidR="00885842">
        <w:rPr>
          <w:rFonts w:hint="cs"/>
          <w:rtl/>
        </w:rPr>
        <w:t>ً</w:t>
      </w:r>
      <w:r w:rsidRPr="00416923">
        <w:rPr>
          <w:rtl/>
        </w:rPr>
        <w:t xml:space="preserve"> أن اتخاذ إجراءات كافية للتخفيف من آثار تغير المناخ ستكون له فوائد اجتماعية وبيئية واقتصادية كبيرة. ويحذر الفريق من خطر الضرر الاجتماعي والبيئي الناجم عن التدابير المناخية السيئة التصميم، ما يبرز أهمية تطبيق معايير حقوق الإنسان في كل مرحلة من مراحل عملية صنع القرار في السياسات المناخية.</w:t>
      </w:r>
    </w:p>
    <w:p w14:paraId="74513A8D" w14:textId="7DC3C267" w:rsidR="00AA4E00" w:rsidRPr="00416923" w:rsidRDefault="00AA4E00" w:rsidP="00AA4E00">
      <w:pPr>
        <w:pStyle w:val="SingleTxtGA"/>
        <w:rPr>
          <w:rFonts w:cs="Times New Roman"/>
          <w:spacing w:val="-2"/>
          <w:szCs w:val="20"/>
          <w:rtl/>
          <w:lang w:val="ar-SA" w:eastAsia="zh-TW"/>
        </w:rPr>
      </w:pPr>
      <w:r w:rsidRPr="00416923">
        <w:rPr>
          <w:szCs w:val="20"/>
          <w:rtl/>
        </w:rPr>
        <w:t>7-</w:t>
      </w:r>
      <w:r w:rsidRPr="00416923">
        <w:rPr>
          <w:rtl/>
        </w:rPr>
        <w:tab/>
      </w:r>
      <w:r w:rsidRPr="00416923">
        <w:rPr>
          <w:spacing w:val="-2"/>
          <w:rtl/>
        </w:rPr>
        <w:t>وعلى نحو ما أكدته اللجنة المعنية بالحقوق الاقتصادية والاجتماعية والثقافية في بيانها لعام</w:t>
      </w:r>
      <w:r w:rsidR="00416923" w:rsidRPr="00416923">
        <w:rPr>
          <w:rFonts w:hint="cs"/>
          <w:spacing w:val="-2"/>
          <w:rtl/>
        </w:rPr>
        <w:t> </w:t>
      </w:r>
      <w:r w:rsidRPr="00416923">
        <w:rPr>
          <w:spacing w:val="-2"/>
          <w:szCs w:val="20"/>
          <w:rtl/>
        </w:rPr>
        <w:t>2018</w:t>
      </w:r>
      <w:r w:rsidRPr="00416923">
        <w:rPr>
          <w:spacing w:val="-2"/>
          <w:rtl/>
        </w:rPr>
        <w:t xml:space="preserve"> بشأن تغير المناخ والعهد الدولي الخاص بالحقوق الاقتصادية والاجتماعية والثقافية، تؤدي آليات حقوق الإنسان دوراً أساسياً في ضمان أن تتجنب الدول اتخاذ تدابير يمكن أن تعجل بتغير المناخ، وأن تخصص أقصى قدر من الموارد المتاحة لاعتماد تدابير ترمي إلى التخفيف من آثار تغير المناخ. ورحبت اللجنة أيضاً في بيانها بتزايد مشاركة المؤسسات القضائية ومؤسسات حقوق الإنسان الوطنية في ضمان امتثال الدول واجباتها بموجب صكوك حقوق الإنسان القائمة من أجل مكافحة تغير المناخ.</w:t>
      </w:r>
      <w:bookmarkStart w:id="2" w:name="_Hlk17275646"/>
      <w:bookmarkEnd w:id="2"/>
    </w:p>
    <w:p w14:paraId="6B40282F" w14:textId="77777777" w:rsidR="00AA4E00" w:rsidRPr="00416923" w:rsidRDefault="00AA4E00" w:rsidP="00A6760C">
      <w:pPr>
        <w:pStyle w:val="H23GA"/>
        <w:rPr>
          <w:rFonts w:cs="Times New Roman"/>
          <w:szCs w:val="20"/>
          <w:rtl/>
          <w:lang w:val="ar-SA" w:eastAsia="zh-TW"/>
        </w:rPr>
      </w:pPr>
      <w:r w:rsidRPr="00416923">
        <w:rPr>
          <w:rtl/>
        </w:rPr>
        <w:tab/>
      </w:r>
      <w:r w:rsidRPr="00416923">
        <w:rPr>
          <w:rtl/>
        </w:rPr>
        <w:tab/>
        <w:t>العوامل والإجراءات المتعلقة بالمناخ</w:t>
      </w:r>
    </w:p>
    <w:p w14:paraId="175281BF" w14:textId="15D96C04" w:rsidR="00AA4E00" w:rsidRPr="00416923" w:rsidRDefault="00AA4E00" w:rsidP="00AA4E00">
      <w:pPr>
        <w:pStyle w:val="SingleTxtGA"/>
        <w:rPr>
          <w:rFonts w:cs="Times New Roman"/>
          <w:szCs w:val="20"/>
          <w:rtl/>
          <w:lang w:val="ar-SA" w:eastAsia="zh-TW"/>
        </w:rPr>
      </w:pPr>
      <w:r w:rsidRPr="00416923">
        <w:rPr>
          <w:szCs w:val="20"/>
          <w:rtl/>
        </w:rPr>
        <w:t>8-</w:t>
      </w:r>
      <w:r w:rsidRPr="00416923">
        <w:rPr>
          <w:rtl/>
        </w:rPr>
        <w:tab/>
        <w:t>ينبغي ألا يُنظر إلى النساء والأطفال وغيرهم من الأشخاص، مثل الأشخاص ذوي الإعاقة، على أنهم مجرد ضحايا أو من زاوية الضعف وحدها. بل ينبغي الاعتراف بهم بوصفهم عوامل تغيير وشركاء أساسيين في الجهود المحلية والوطنية والدولية الرامية إلى التصدي لتغير المناخ</w:t>
      </w:r>
      <w:r w:rsidR="002A2E07" w:rsidRPr="00416923">
        <w:rPr>
          <w:rStyle w:val="FootnoteReference"/>
          <w:rtl/>
        </w:rPr>
        <w:t>(</w:t>
      </w:r>
      <w:r w:rsidR="002A2E07" w:rsidRPr="00416923">
        <w:rPr>
          <w:rStyle w:val="FootnoteReference"/>
          <w:rFonts w:cs="Times New Roman"/>
          <w:b w:val="0"/>
          <w:position w:val="4"/>
          <w:sz w:val="20"/>
        </w:rPr>
        <w:footnoteReference w:id="5"/>
      </w:r>
      <w:r w:rsidR="002A2E07" w:rsidRPr="00416923">
        <w:rPr>
          <w:rStyle w:val="FootnoteReference"/>
          <w:rtl/>
        </w:rPr>
        <w:t>)</w:t>
      </w:r>
      <w:r w:rsidR="00416923">
        <w:rPr>
          <w:rFonts w:hint="cs"/>
          <w:rtl/>
        </w:rPr>
        <w:t xml:space="preserve">. </w:t>
      </w:r>
      <w:r w:rsidRPr="00416923">
        <w:rPr>
          <w:rtl/>
        </w:rPr>
        <w:t>وتشدد اللجان على أن الدول يجب أن تضمن لهؤلاء الأفراد حق الإنسان في المشاركة</w:t>
      </w:r>
      <w:r w:rsidR="002A2E07" w:rsidRPr="00416923">
        <w:rPr>
          <w:rStyle w:val="FootnoteReference"/>
          <w:rtl/>
        </w:rPr>
        <w:t>(</w:t>
      </w:r>
      <w:r w:rsidR="002A2E07" w:rsidRPr="00416923">
        <w:rPr>
          <w:rStyle w:val="FootnoteReference"/>
          <w:rFonts w:cs="Times New Roman"/>
          <w:b w:val="0"/>
          <w:position w:val="4"/>
          <w:sz w:val="20"/>
        </w:rPr>
        <w:footnoteReference w:id="6"/>
      </w:r>
      <w:r w:rsidR="002A2E07" w:rsidRPr="00416923">
        <w:rPr>
          <w:rStyle w:val="FootnoteReference"/>
          <w:rtl/>
        </w:rPr>
        <w:t>)</w:t>
      </w:r>
      <w:r w:rsidRPr="00416923">
        <w:rPr>
          <w:rtl/>
        </w:rPr>
        <w:t xml:space="preserve"> في صنع السياسات المناخية، وأنه يجب عليها، بالنظر إلى حجم التحدي المناخي وتعقيده، أن تحرص على اتباع نهج يشمل الجهات المعنية المتعددة ويستثمر أفكار جميع هذه الجهات وطاقاتها وإبداعها.</w:t>
      </w:r>
    </w:p>
    <w:p w14:paraId="53483ACD" w14:textId="35F870AB" w:rsidR="00AA4E00" w:rsidRPr="00416923" w:rsidRDefault="00AA4E00" w:rsidP="00AA4E00">
      <w:pPr>
        <w:pStyle w:val="SingleTxtGA"/>
        <w:rPr>
          <w:rFonts w:cs="Times New Roman"/>
          <w:szCs w:val="20"/>
          <w:rtl/>
          <w:lang w:val="ar-SA" w:eastAsia="zh-TW"/>
        </w:rPr>
      </w:pPr>
      <w:r w:rsidRPr="00416923">
        <w:rPr>
          <w:szCs w:val="20"/>
          <w:rtl/>
        </w:rPr>
        <w:t>9-</w:t>
      </w:r>
      <w:r w:rsidRPr="00416923">
        <w:rPr>
          <w:rtl/>
        </w:rPr>
        <w:tab/>
        <w:t>وترحب اللجان بالتعاون الدولي من أجل التصدي لتغير المناخ برعاية اتفاقية الأمم المتحدة الإطارية بشأن تغير المناخ واتفاق باريس، وبالالتزامات والمساهمات الوطنية التي قدمتها جميع الدول للتخفيف من آثار تغير المناخ. وترحب أيضا</w:t>
      </w:r>
      <w:r w:rsidR="00885842">
        <w:rPr>
          <w:rFonts w:hint="cs"/>
          <w:rtl/>
        </w:rPr>
        <w:t>ً</w:t>
      </w:r>
      <w:r w:rsidRPr="00416923">
        <w:rPr>
          <w:rtl/>
        </w:rPr>
        <w:t xml:space="preserve"> بتعبئة المجتمع المدني، ولا سيما النساء والأطفال والشباب، لحث الحكومات على اتخاذ إجراءات أكثر طموحا</w:t>
      </w:r>
      <w:r w:rsidR="00CD63C0">
        <w:rPr>
          <w:rFonts w:hint="cs"/>
          <w:rtl/>
        </w:rPr>
        <w:t>ً</w:t>
      </w:r>
      <w:r w:rsidRPr="00416923">
        <w:rPr>
          <w:rtl/>
        </w:rPr>
        <w:t xml:space="preserve"> بشأن المناخ. بيد أن اللجان تلاحظ بقلق بالغ أن الالتزامات الحالية للدول بموجب اتفاق باريس غير كافية لضمان ألا يتعدى الاحترار العالمي حدود </w:t>
      </w:r>
      <w:r w:rsidRPr="00416923">
        <w:rPr>
          <w:szCs w:val="20"/>
          <w:rtl/>
        </w:rPr>
        <w:t>1</w:t>
      </w:r>
      <w:r w:rsidR="00416923">
        <w:rPr>
          <w:rFonts w:ascii="Traditional Arabic" w:hAnsi="Traditional Arabic"/>
          <w:szCs w:val="20"/>
          <w:rtl/>
        </w:rPr>
        <w:t>,</w:t>
      </w:r>
      <w:r w:rsidRPr="00416923">
        <w:rPr>
          <w:szCs w:val="20"/>
          <w:rtl/>
        </w:rPr>
        <w:t>5</w:t>
      </w:r>
      <w:r w:rsidRPr="00416923">
        <w:rPr>
          <w:rtl/>
        </w:rPr>
        <w:t xml:space="preserve"> درجة مئوية فوق مستويات ما قبل الحقبة الصناعية</w:t>
      </w:r>
      <w:r w:rsidR="002A2E07" w:rsidRPr="00416923">
        <w:rPr>
          <w:rStyle w:val="FootnoteReference"/>
          <w:rtl/>
        </w:rPr>
        <w:t>(</w:t>
      </w:r>
      <w:r w:rsidR="002A2E07" w:rsidRPr="00416923">
        <w:rPr>
          <w:rStyle w:val="FootnoteReference"/>
          <w:rFonts w:cs="Times New Roman"/>
          <w:b w:val="0"/>
          <w:position w:val="4"/>
          <w:sz w:val="20"/>
        </w:rPr>
        <w:footnoteReference w:id="7"/>
      </w:r>
      <w:r w:rsidR="002A2E07" w:rsidRPr="00416923">
        <w:rPr>
          <w:rStyle w:val="FootnoteReference"/>
          <w:rtl/>
        </w:rPr>
        <w:t>)</w:t>
      </w:r>
      <w:r w:rsidR="00416923">
        <w:rPr>
          <w:rFonts w:hint="cs"/>
          <w:rtl/>
        </w:rPr>
        <w:t xml:space="preserve">، </w:t>
      </w:r>
      <w:r w:rsidRPr="00416923">
        <w:rPr>
          <w:rtl/>
        </w:rPr>
        <w:t xml:space="preserve">وأن دولا كثيرة لا تسير نحو الوفاء بالتزاماتها. وهكذا، تعرّض الدول سكانها وأجيالها المقبلة للمخاطر الكبيرة على حقوق الإنسان، المرتبطة بارتفاع درجات الحرارة. </w:t>
      </w:r>
    </w:p>
    <w:p w14:paraId="1504B014" w14:textId="77777777" w:rsidR="00AA4E00" w:rsidRPr="00416923" w:rsidRDefault="00AA4E00" w:rsidP="00A6760C">
      <w:pPr>
        <w:pStyle w:val="H23GA"/>
        <w:rPr>
          <w:rFonts w:cs="Times New Roman"/>
          <w:szCs w:val="20"/>
          <w:rtl/>
          <w:lang w:val="ar-SA" w:eastAsia="zh-TW"/>
        </w:rPr>
      </w:pPr>
      <w:r w:rsidRPr="00416923">
        <w:rPr>
          <w:rtl/>
        </w:rPr>
        <w:tab/>
      </w:r>
      <w:r w:rsidRPr="00416923">
        <w:rPr>
          <w:rtl/>
        </w:rPr>
        <w:tab/>
        <w:t xml:space="preserve">التزامات الدول في مجال حقوق الإنسان </w:t>
      </w:r>
    </w:p>
    <w:p w14:paraId="6FE3AE6D" w14:textId="7BF60A61" w:rsidR="00AA4E00" w:rsidRPr="00416923" w:rsidRDefault="00AA4E00" w:rsidP="00AA4E00">
      <w:pPr>
        <w:pStyle w:val="SingleTxtGA"/>
        <w:rPr>
          <w:rStyle w:val="FootnoteReference"/>
          <w:rFonts w:cs="Times New Roman"/>
          <w:szCs w:val="18"/>
          <w:rtl/>
          <w:lang w:val="ar-SA" w:eastAsia="zh-TW"/>
        </w:rPr>
      </w:pPr>
      <w:r w:rsidRPr="00416923">
        <w:rPr>
          <w:szCs w:val="20"/>
          <w:rtl/>
        </w:rPr>
        <w:t>10-</w:t>
      </w:r>
      <w:r w:rsidRPr="00416923">
        <w:rPr>
          <w:rtl/>
        </w:rPr>
        <w:tab/>
        <w:t>بموجب اتفاقية القضاء على جميع أشكال التمييز ضد المرأة، والعهد الدولي الخاص بالحقوق الاقتصادية والاجتماعية والثقافية، والاتفاقية الدولية لحماية حقوق جميع العمال المهاجرين وأفراد أسرهم، واتفاقية حقوق الطفل، واتفاقية حقوق الأشخاص ذوي الإعاقة، تقع على عاتق الدول الأطراف التزامات، منها ما يتجاوز الحدود الإقليمية، باحترام جميع حقوق الإنسان لجميع الشعوب وحمايتها وإعمالها</w:t>
      </w:r>
      <w:r w:rsidR="002A2E07" w:rsidRPr="00416923">
        <w:rPr>
          <w:rStyle w:val="FootnoteReference"/>
          <w:rtl/>
        </w:rPr>
        <w:t>(</w:t>
      </w:r>
      <w:r w:rsidR="002A2E07" w:rsidRPr="00416923">
        <w:rPr>
          <w:rStyle w:val="FootnoteReference"/>
          <w:rFonts w:cs="Times New Roman"/>
          <w:b w:val="0"/>
          <w:position w:val="4"/>
          <w:sz w:val="20"/>
        </w:rPr>
        <w:footnoteReference w:id="8"/>
      </w:r>
      <w:r w:rsidR="002A2E07" w:rsidRPr="00416923">
        <w:rPr>
          <w:rStyle w:val="FootnoteReference"/>
          <w:rtl/>
        </w:rPr>
        <w:t>)</w:t>
      </w:r>
      <w:r w:rsidR="00416923">
        <w:rPr>
          <w:rFonts w:hint="cs"/>
          <w:rtl/>
        </w:rPr>
        <w:t xml:space="preserve">. </w:t>
      </w:r>
      <w:r w:rsidRPr="00416923">
        <w:rPr>
          <w:rtl/>
        </w:rPr>
        <w:t>وعدم اتخاذ تدابير لمنع الضرر المتوقع أن يلحق حقوق الإنسان من جراء تغير المناخ، أو لتنظيم الأنشطة التي تسهم في هذا الضرر، يمكن أن يشكل انتهاكاً لالتزامات الدول في مجال حقوق الإنسان</w:t>
      </w:r>
      <w:r w:rsidR="002A2E07" w:rsidRPr="00416923">
        <w:rPr>
          <w:rStyle w:val="FootnoteReference"/>
          <w:rtl/>
        </w:rPr>
        <w:t>(</w:t>
      </w:r>
      <w:r w:rsidR="002A2E07" w:rsidRPr="00416923">
        <w:rPr>
          <w:rStyle w:val="FootnoteReference"/>
          <w:rFonts w:cs="Times New Roman"/>
          <w:b w:val="0"/>
          <w:position w:val="4"/>
          <w:sz w:val="20"/>
        </w:rPr>
        <w:footnoteReference w:id="9"/>
      </w:r>
      <w:r w:rsidR="002A2E07" w:rsidRPr="00416923">
        <w:rPr>
          <w:rStyle w:val="FootnoteReference"/>
          <w:rtl/>
        </w:rPr>
        <w:t>)</w:t>
      </w:r>
      <w:r w:rsidR="00416923" w:rsidRPr="00416923">
        <w:rPr>
          <w:rStyle w:val="FootnoteReference"/>
          <w:rFonts w:hint="cs"/>
          <w:vertAlign w:val="baseline"/>
          <w:rtl/>
        </w:rPr>
        <w:t>.</w:t>
      </w:r>
    </w:p>
    <w:p w14:paraId="0CA79086" w14:textId="41D5F299" w:rsidR="00AA4E00" w:rsidRPr="00885842" w:rsidRDefault="00AA4E00" w:rsidP="00AA4E00">
      <w:pPr>
        <w:pStyle w:val="SingleTxtGA"/>
        <w:rPr>
          <w:rStyle w:val="FootnoteReference"/>
          <w:rFonts w:cs="Times New Roman"/>
          <w:spacing w:val="-2"/>
          <w:szCs w:val="18"/>
          <w:rtl/>
          <w:lang w:val="ar-SA" w:eastAsia="zh-TW"/>
        </w:rPr>
      </w:pPr>
      <w:r w:rsidRPr="00416923">
        <w:rPr>
          <w:szCs w:val="20"/>
          <w:rtl/>
        </w:rPr>
        <w:t>11-</w:t>
      </w:r>
      <w:r w:rsidRPr="00416923">
        <w:rPr>
          <w:rtl/>
        </w:rPr>
        <w:tab/>
      </w:r>
      <w:r w:rsidRPr="00885842">
        <w:rPr>
          <w:spacing w:val="-2"/>
          <w:rtl/>
        </w:rPr>
        <w:t>ولكي تمتثل الدول التزاماتها في مجال حقوق الإنسان وتحقق أهداف اتفاق باريس، يجب عليها أن تعتمد وتنفذ سياسات ترمي إلى خفض الانبعاثات. ويجب أن تعكس هذه السياسات أعلى مستوى ممكن من الطموح، وأن تعزز القدرة على تحمل تغير المناخ، وأن تكفل اتساق الاستثمارات العامة والخاصة مع مسار يفضي إلى خفض انبعاثات الكربون وإلى التنمية القادرة على تحمل تغير المناخ</w:t>
      </w:r>
      <w:r w:rsidR="002A2E07" w:rsidRPr="00885842">
        <w:rPr>
          <w:rStyle w:val="FootnoteReference"/>
          <w:spacing w:val="-2"/>
          <w:rtl/>
        </w:rPr>
        <w:t>(</w:t>
      </w:r>
      <w:r w:rsidR="002A2E07" w:rsidRPr="00885842">
        <w:rPr>
          <w:rStyle w:val="FootnoteReference"/>
          <w:rFonts w:cs="Times New Roman"/>
          <w:b w:val="0"/>
          <w:spacing w:val="-2"/>
          <w:position w:val="4"/>
          <w:sz w:val="20"/>
        </w:rPr>
        <w:footnoteReference w:id="10"/>
      </w:r>
      <w:r w:rsidR="002A2E07" w:rsidRPr="00885842">
        <w:rPr>
          <w:rStyle w:val="FootnoteReference"/>
          <w:spacing w:val="-2"/>
          <w:rtl/>
        </w:rPr>
        <w:t>)</w:t>
      </w:r>
      <w:r w:rsidR="00416923" w:rsidRPr="00885842">
        <w:rPr>
          <w:rFonts w:cs="Times New Roman" w:hint="cs"/>
          <w:spacing w:val="-2"/>
          <w:szCs w:val="18"/>
          <w:rtl/>
          <w:lang w:val="ar-SA" w:eastAsia="zh-TW"/>
        </w:rPr>
        <w:t>.</w:t>
      </w:r>
    </w:p>
    <w:p w14:paraId="13602126" w14:textId="619A9017" w:rsidR="00AA4E00" w:rsidRPr="00416923" w:rsidRDefault="00AA4E00" w:rsidP="00416923">
      <w:pPr>
        <w:pStyle w:val="SingleTxtGA"/>
        <w:rPr>
          <w:rFonts w:cs="Times New Roman"/>
          <w:szCs w:val="20"/>
          <w:rtl/>
          <w:lang w:val="ar-SA" w:eastAsia="zh-TW"/>
        </w:rPr>
      </w:pPr>
      <w:r w:rsidRPr="00416923">
        <w:rPr>
          <w:szCs w:val="20"/>
          <w:rtl/>
        </w:rPr>
        <w:t>12-</w:t>
      </w:r>
      <w:r w:rsidRPr="00416923">
        <w:rPr>
          <w:rtl/>
        </w:rPr>
        <w:tab/>
        <w:t>وينبغي للدول الأطراف، في جهودها الرامية إلى خفض الانبعاثات، أن تسهم بفعالية في التخلي التدريجي عن الوقود الأحفوري وتعزيز الطاقة المتجددة والتصدي للانبعاثات الناشئة عن قطاع الأراضي، بطرق منها مكافحة إزالة الغابات</w:t>
      </w:r>
      <w:r w:rsidR="002A2E07" w:rsidRPr="00416923">
        <w:rPr>
          <w:rStyle w:val="FootnoteReference"/>
          <w:rtl/>
        </w:rPr>
        <w:t>(</w:t>
      </w:r>
      <w:r w:rsidR="002A2E07" w:rsidRPr="00416923">
        <w:rPr>
          <w:rStyle w:val="FootnoteReference"/>
          <w:rFonts w:cs="Times New Roman"/>
          <w:b w:val="0"/>
          <w:position w:val="4"/>
          <w:sz w:val="20"/>
        </w:rPr>
        <w:footnoteReference w:id="11"/>
      </w:r>
      <w:r w:rsidR="002A2E07" w:rsidRPr="00416923">
        <w:rPr>
          <w:rStyle w:val="FootnoteReference"/>
          <w:rtl/>
        </w:rPr>
        <w:t>)</w:t>
      </w:r>
      <w:r w:rsidR="00416923">
        <w:rPr>
          <w:rFonts w:hint="cs"/>
          <w:rtl/>
        </w:rPr>
        <w:t xml:space="preserve">. </w:t>
      </w:r>
      <w:r w:rsidRPr="00416923">
        <w:rPr>
          <w:rtl/>
        </w:rPr>
        <w:t>وبالإضافة إلى ذلك، يجب على الدول تنظيم الجهات الفاعلة الخاصة، بما يشمل مساءلتها عن الضرر الذي تسببه على الصعيد المحلي وخارج الحدود الإقليمية على حد سواء</w:t>
      </w:r>
      <w:r w:rsidR="002A2E07" w:rsidRPr="00416923">
        <w:rPr>
          <w:rStyle w:val="FootnoteReference"/>
          <w:rtl/>
        </w:rPr>
        <w:t>(</w:t>
      </w:r>
      <w:r w:rsidR="002A2E07" w:rsidRPr="00416923">
        <w:rPr>
          <w:rStyle w:val="FootnoteReference"/>
          <w:rFonts w:cs="Times New Roman"/>
          <w:b w:val="0"/>
          <w:position w:val="4"/>
          <w:sz w:val="20"/>
        </w:rPr>
        <w:footnoteReference w:id="12"/>
      </w:r>
      <w:r w:rsidR="002A2E07" w:rsidRPr="00416923">
        <w:rPr>
          <w:rStyle w:val="FootnoteReference"/>
          <w:rtl/>
        </w:rPr>
        <w:t>)</w:t>
      </w:r>
      <w:r w:rsidR="00416923">
        <w:rPr>
          <w:rFonts w:hint="cs"/>
          <w:rtl/>
        </w:rPr>
        <w:t xml:space="preserve">. </w:t>
      </w:r>
      <w:r w:rsidRPr="00416923">
        <w:rPr>
          <w:rtl/>
        </w:rPr>
        <w:t>وينبغي للدول أيضاً أن توقف الحوافز المالية أو الاستثمارات الموجهة إلى الأنشطة والهياكل الأساسية التي لا تتسق مع مسارات انبعاثات غازات الدفيئة المنخفضة، سواء من جانب الجهات الفاعلة العامة أم الخاصة، باعتبار ذلك أحد التدابير الكفيلة بمنع حدوث المزيد من الأضرار والمخاطر.</w:t>
      </w:r>
      <w:bookmarkStart w:id="3" w:name="_Hlk17275917"/>
      <w:bookmarkEnd w:id="3"/>
    </w:p>
    <w:p w14:paraId="69E478AF" w14:textId="77777777" w:rsidR="00AA4E00" w:rsidRPr="00416923" w:rsidRDefault="00AA4E00" w:rsidP="00AA4E00">
      <w:pPr>
        <w:pStyle w:val="SingleTxtGA"/>
        <w:rPr>
          <w:rFonts w:cs="Times New Roman"/>
          <w:szCs w:val="20"/>
          <w:rtl/>
          <w:lang w:val="ar-SA" w:eastAsia="zh-TW"/>
        </w:rPr>
      </w:pPr>
      <w:r w:rsidRPr="00416923">
        <w:rPr>
          <w:szCs w:val="20"/>
          <w:rtl/>
        </w:rPr>
        <w:t>13-</w:t>
      </w:r>
      <w:r w:rsidRPr="00416923">
        <w:rPr>
          <w:rtl/>
        </w:rPr>
        <w:tab/>
        <w:t xml:space="preserve">وعند خفض الانبعاثات والتكيف مع الآثار المناخية، يجب على الدول أن تسعى إلى التصدي لجميع أشكال التمييز وعدم المساواة، بما في ذلك النهوض بالمساواة الجوهرية بين الجنسين، وحماية حقوق الشعوب الأصلية والأشخاص ذوي الإعاقة، ومراعاة مصالح الطفل الفضلى. </w:t>
      </w:r>
    </w:p>
    <w:p w14:paraId="7CF6AF28" w14:textId="6AA1F044" w:rsidR="00AA4E00" w:rsidRPr="00416923" w:rsidRDefault="00AA4E00" w:rsidP="00AA4E00">
      <w:pPr>
        <w:pStyle w:val="SingleTxtGA"/>
        <w:rPr>
          <w:rFonts w:cs="Times New Roman"/>
          <w:szCs w:val="20"/>
          <w:rtl/>
          <w:lang w:val="ar-SA" w:eastAsia="zh-TW"/>
        </w:rPr>
      </w:pPr>
      <w:r w:rsidRPr="00416923">
        <w:rPr>
          <w:szCs w:val="20"/>
          <w:rtl/>
        </w:rPr>
        <w:t>14-</w:t>
      </w:r>
      <w:r w:rsidRPr="00416923">
        <w:rPr>
          <w:rtl/>
        </w:rPr>
        <w:tab/>
        <w:t>ويضطر عدد متزايد من الناس إلى الهجرة لأن دولهم الأصلية لا تستطيع ضمان التمتع بظروف معيشية لائقة، بسبب زيادة الكوارث الجوية المائية، وإخلاء المناطق المعرضة بقدر كبير لخطر الكوارث، وتدهور البيئة والكوارث البطيئة التقدم، واختفاء الدول الجزرية الصغيرة نتيجة لارتفاع مستويات سطح البحر، بل ونشوب صراعات على الوصول إلى الموارد. والهجرة استراتيجية طبيعية للتكيف البشري في مواجهة آثار تغير المناخ والكوارث الطبيعية، والخيار الوحيد أمام مجتمعات بأكملها. ويجب أن تتصدى الأمم المتحدة والدول للهجرة المتصلة بتغير المناخ بوصفها شكلا</w:t>
      </w:r>
      <w:r w:rsidR="00CD63C0">
        <w:rPr>
          <w:rFonts w:hint="cs"/>
          <w:rtl/>
        </w:rPr>
        <w:t>ً</w:t>
      </w:r>
      <w:r w:rsidRPr="00416923">
        <w:rPr>
          <w:rtl/>
        </w:rPr>
        <w:t xml:space="preserve"> ناشئا</w:t>
      </w:r>
      <w:r w:rsidR="00CD63C0">
        <w:rPr>
          <w:rFonts w:hint="cs"/>
          <w:rtl/>
        </w:rPr>
        <w:t>ً</w:t>
      </w:r>
      <w:r w:rsidRPr="00416923">
        <w:rPr>
          <w:rtl/>
        </w:rPr>
        <w:t xml:space="preserve"> من أشكال الهجرة والتشرد الداخلي. </w:t>
      </w:r>
      <w:bookmarkStart w:id="4" w:name="_Hlk40251154"/>
      <w:bookmarkEnd w:id="4"/>
    </w:p>
    <w:p w14:paraId="1EAA8CB7" w14:textId="77777777" w:rsidR="00AA4E00" w:rsidRPr="00416923" w:rsidRDefault="00AA4E00" w:rsidP="00AA4E00">
      <w:pPr>
        <w:pStyle w:val="SingleTxtGA"/>
        <w:rPr>
          <w:rFonts w:cs="Times New Roman"/>
          <w:szCs w:val="20"/>
          <w:rtl/>
          <w:lang w:val="ar-SA" w:eastAsia="zh-TW"/>
        </w:rPr>
      </w:pPr>
      <w:r w:rsidRPr="00416923">
        <w:rPr>
          <w:szCs w:val="20"/>
          <w:rtl/>
        </w:rPr>
        <w:t>15-</w:t>
      </w:r>
      <w:r w:rsidRPr="00416923">
        <w:rPr>
          <w:rtl/>
        </w:rPr>
        <w:tab/>
        <w:t>ولذا يجب على الدول أن تتصدى لآثار تغير المناخ والتدهور البيئي والكوارث الطبيعية بوصفها عوامل دافعة للهجرة وأن تكفل ألا تعوق هذه العوامل تمتع المهاجرين وأسرهم بحقوق الإنسان. وبالإضافة إلى ذلك، ينبغي للدول أن توفر للعمال المهاجرين المشردين عبر الحدود الدولية في سياق تغير المناخ أو الكوارث والذين لا يستطيعون العودة إلى بلدانهم آليات حماية تكميلية وترتيبات حماية مؤقتة أو ترتيبات للإقامة.</w:t>
      </w:r>
    </w:p>
    <w:p w14:paraId="0FE513A3" w14:textId="77777777" w:rsidR="00AA4E00" w:rsidRPr="00416923" w:rsidRDefault="00AA4E00" w:rsidP="00AA4E00">
      <w:pPr>
        <w:pStyle w:val="SingleTxtGA"/>
        <w:rPr>
          <w:rFonts w:cs="Times New Roman"/>
          <w:szCs w:val="20"/>
          <w:rtl/>
          <w:lang w:val="ar-SA" w:eastAsia="zh-TW"/>
        </w:rPr>
      </w:pPr>
      <w:r w:rsidRPr="00416923">
        <w:rPr>
          <w:szCs w:val="20"/>
          <w:rtl/>
        </w:rPr>
        <w:t>16-</w:t>
      </w:r>
      <w:r w:rsidRPr="00416923">
        <w:rPr>
          <w:rtl/>
        </w:rPr>
        <w:tab/>
        <w:t>وفي تصميم السياسات المناخية وتنفيذها، يجب على الدول أيضاً أن تحترم حقوق الجميع وتحميها وتعملها، بسبل منها فرض العناية الواجبة في مجال حقوق الإنسان وضمان الحصول على التعليم وإذكاء الوعي وتوفير المعلومات البيئية وإشراك الجمهور في صنع القرار. وعلى وجه الخصوص، تقع على عاتق الدول مسؤولية حماية حقوق المدافعين عن حقوق الإنسان البيئية والذود عنها بفعالية، ويشمل ذلك المدافعين عن البيئة من النساء وأفراد الشعوب الأصلية والأطفال.</w:t>
      </w:r>
    </w:p>
    <w:p w14:paraId="622F0ECF" w14:textId="77777777" w:rsidR="00AA4E00" w:rsidRPr="00416923" w:rsidRDefault="00AA4E00" w:rsidP="00A6760C">
      <w:pPr>
        <w:pStyle w:val="H23GA"/>
        <w:rPr>
          <w:rFonts w:cs="Times New Roman"/>
          <w:szCs w:val="20"/>
          <w:rtl/>
          <w:lang w:val="ar-SA" w:eastAsia="zh-TW"/>
        </w:rPr>
      </w:pPr>
      <w:r w:rsidRPr="00416923">
        <w:rPr>
          <w:rtl/>
        </w:rPr>
        <w:tab/>
      </w:r>
      <w:r w:rsidRPr="00416923">
        <w:rPr>
          <w:rtl/>
        </w:rPr>
        <w:tab/>
        <w:t>التعاون الدولي</w:t>
      </w:r>
    </w:p>
    <w:p w14:paraId="4257F6B0" w14:textId="618B3EE3" w:rsidR="00AA4E00" w:rsidRPr="00416923" w:rsidRDefault="00AA4E00" w:rsidP="00AA4E00">
      <w:pPr>
        <w:pStyle w:val="SingleTxtGA"/>
        <w:rPr>
          <w:rFonts w:cs="Times New Roman"/>
          <w:szCs w:val="20"/>
          <w:rtl/>
          <w:lang w:val="ar-SA" w:eastAsia="zh-TW"/>
        </w:rPr>
      </w:pPr>
      <w:r w:rsidRPr="00416923">
        <w:rPr>
          <w:szCs w:val="20"/>
          <w:rtl/>
        </w:rPr>
        <w:t>17-</w:t>
      </w:r>
      <w:r w:rsidRPr="00416923">
        <w:rPr>
          <w:rtl/>
        </w:rPr>
        <w:tab/>
        <w:t>ينبغي للدول المرتفعة الدخل، في إطار المساعدة والتعاون الدوليين من أجل إعمال حقوق الإنسان، أن تدعم جهود التكيف والتخفيف في البلدان النامية عن طريق تيسير عمليات نقل التكنولوجيا الخضراء والمساهمة في تمويل التخفيف من آثار تغير المناخ والتكيف معه. وبالإضافة إلى ذلك، يجب على الدول أن تتعاون بحسن نية على بلورة استجابات عالمية للتصدي للخسائر والأضرار المتصلة بالمناخ التي تعانيها أشد البلدان ضعفا</w:t>
      </w:r>
      <w:r w:rsidR="00CD63C0">
        <w:rPr>
          <w:rFonts w:hint="cs"/>
          <w:rtl/>
        </w:rPr>
        <w:t>ً</w:t>
      </w:r>
      <w:r w:rsidRPr="00416923">
        <w:rPr>
          <w:rtl/>
        </w:rPr>
        <w:t xml:space="preserve">، مع إيلاء اهتمام خاص لحماية حقوق الأفراد المعرضين بوجه خاص لخطر الضرر المناخي، والتصدي للأثر المدمر لاضطرابات المناخ، بما في ذلك أثرها على النساء والأطفال والأشخاص ذوي الإعاقة والشعوب الأصلية. </w:t>
      </w:r>
    </w:p>
    <w:p w14:paraId="439F8F76" w14:textId="77777777" w:rsidR="00AA4E00" w:rsidRPr="00416923" w:rsidRDefault="00AA4E00" w:rsidP="00A6760C">
      <w:pPr>
        <w:pStyle w:val="H23GA"/>
        <w:rPr>
          <w:rFonts w:cs="Times New Roman" w:hint="cs"/>
          <w:szCs w:val="20"/>
          <w:rtl/>
          <w:lang w:val="ar-SA" w:eastAsia="zh-TW"/>
        </w:rPr>
      </w:pPr>
      <w:r w:rsidRPr="00416923">
        <w:rPr>
          <w:rtl/>
        </w:rPr>
        <w:tab/>
      </w:r>
      <w:r w:rsidRPr="00416923">
        <w:rPr>
          <w:rtl/>
        </w:rPr>
        <w:tab/>
        <w:t>دور اللجان</w:t>
      </w:r>
    </w:p>
    <w:p w14:paraId="5B4F6D52" w14:textId="77777777" w:rsidR="00AA4E00" w:rsidRPr="00416923" w:rsidRDefault="00AA4E00" w:rsidP="00AA4E00">
      <w:pPr>
        <w:pStyle w:val="SingleTxtGA"/>
        <w:rPr>
          <w:rFonts w:cs="Times New Roman"/>
          <w:szCs w:val="20"/>
          <w:rtl/>
          <w:lang w:val="ar-SA" w:eastAsia="zh-TW"/>
        </w:rPr>
      </w:pPr>
      <w:r w:rsidRPr="00416923">
        <w:rPr>
          <w:szCs w:val="20"/>
          <w:rtl/>
        </w:rPr>
        <w:t>18-</w:t>
      </w:r>
      <w:r w:rsidRPr="00416923">
        <w:rPr>
          <w:rtl/>
        </w:rPr>
        <w:tab/>
        <w:t>ستواصل اللجان، في عملها المقبل، استعراض آثار تغير المناخ والكوارث الناجمة عن المناخ على أصحاب الحقوق المحميين بموجب معاهدات كل منها. وستواصل أيضاً تزويد الدول الأطراف بالتوجيه بشأن الكيفية التي يمكنها بها الوفاء بالتزاماتها بموجب هذه الصكوك فيما يتعلق بالتخفيف من آثار تغير المناخ والتكيف معه.</w:t>
      </w:r>
    </w:p>
    <w:p w14:paraId="6AA8A982" w14:textId="5BD9E643" w:rsidR="00AA4E00" w:rsidRPr="002A2E07" w:rsidRDefault="002A2E07" w:rsidP="002A2E07">
      <w:pPr>
        <w:spacing w:before="120"/>
        <w:jc w:val="center"/>
        <w:rPr>
          <w:rFonts w:hint="cs"/>
          <w:u w:val="single"/>
          <w:rtl/>
        </w:rPr>
      </w:pPr>
      <w:r>
        <w:rPr>
          <w:u w:val="single"/>
          <w:rtl/>
        </w:rPr>
        <w:tab/>
      </w:r>
      <w:r>
        <w:rPr>
          <w:u w:val="single"/>
          <w:rtl/>
        </w:rPr>
        <w:tab/>
      </w:r>
      <w:r>
        <w:rPr>
          <w:u w:val="single"/>
          <w:rtl/>
        </w:rPr>
        <w:tab/>
      </w:r>
    </w:p>
    <w:sectPr w:rsidR="00AA4E00" w:rsidRPr="002A2E07" w:rsidSect="005A2F3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CF4E6" w14:textId="77777777" w:rsidR="004D15F8" w:rsidRPr="002901D9" w:rsidRDefault="004D15F8" w:rsidP="002901D9">
      <w:pPr>
        <w:spacing w:after="60" w:line="240" w:lineRule="auto"/>
        <w:rPr>
          <w:i/>
          <w:iCs/>
        </w:rPr>
      </w:pPr>
      <w:r>
        <w:rPr>
          <w:rFonts w:hint="cs"/>
          <w:i/>
          <w:iCs/>
          <w:rtl/>
        </w:rPr>
        <w:t>الحواشي</w:t>
      </w:r>
    </w:p>
  </w:endnote>
  <w:endnote w:type="continuationSeparator" w:id="0">
    <w:p w14:paraId="0013ACB8" w14:textId="77777777" w:rsidR="004D15F8" w:rsidRDefault="004D15F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2DD15" w14:textId="77777777" w:rsidR="005A2F39" w:rsidRPr="00AA4E00" w:rsidRDefault="00AA4E00" w:rsidP="00AA4E00">
    <w:pPr>
      <w:pStyle w:val="Footer"/>
      <w:tabs>
        <w:tab w:val="right" w:pos="9598"/>
      </w:tabs>
      <w:rPr>
        <w:sz w:val="17"/>
      </w:rPr>
    </w:pPr>
    <w:r>
      <w:rPr>
        <w:sz w:val="17"/>
      </w:rPr>
      <w:t>GE.20-06716</w:t>
    </w:r>
    <w:r>
      <w:rPr>
        <w:sz w:val="17"/>
      </w:rPr>
      <w:tab/>
    </w:r>
    <w:r w:rsidRPr="00AA4E00">
      <w:rPr>
        <w:b/>
        <w:sz w:val="18"/>
      </w:rPr>
      <w:fldChar w:fldCharType="begin"/>
    </w:r>
    <w:r w:rsidRPr="00AA4E00">
      <w:rPr>
        <w:b/>
        <w:sz w:val="18"/>
      </w:rPr>
      <w:instrText xml:space="preserve"> PAGE  \* MERGEFORMAT </w:instrText>
    </w:r>
    <w:r w:rsidRPr="00AA4E00">
      <w:rPr>
        <w:b/>
        <w:sz w:val="18"/>
      </w:rPr>
      <w:fldChar w:fldCharType="separate"/>
    </w:r>
    <w:r>
      <w:rPr>
        <w:b/>
        <w:sz w:val="18"/>
      </w:rPr>
      <w:t>2</w:t>
    </w:r>
    <w:r w:rsidRPr="00AA4E0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B2F61" w14:textId="77777777" w:rsidR="006959B0" w:rsidRPr="00AA4E00" w:rsidRDefault="00AA4E00" w:rsidP="006959B0">
    <w:pPr>
      <w:pStyle w:val="Footer"/>
      <w:tabs>
        <w:tab w:val="right" w:pos="9599"/>
      </w:tabs>
      <w:jc w:val="left"/>
      <w:rPr>
        <w:b/>
        <w:sz w:val="18"/>
        <w:lang w:val="en-US"/>
      </w:rPr>
    </w:pPr>
    <w:r w:rsidRPr="00AA4E00">
      <w:rPr>
        <w:b/>
        <w:sz w:val="18"/>
        <w:lang w:val="en-US"/>
      </w:rPr>
      <w:fldChar w:fldCharType="begin"/>
    </w:r>
    <w:r w:rsidRPr="00AA4E00">
      <w:rPr>
        <w:b/>
        <w:sz w:val="18"/>
        <w:lang w:val="en-US"/>
      </w:rPr>
      <w:instrText xml:space="preserve"> PAGE  \* MERGEFORMAT </w:instrText>
    </w:r>
    <w:r w:rsidRPr="00AA4E00">
      <w:rPr>
        <w:b/>
        <w:sz w:val="18"/>
        <w:lang w:val="en-US"/>
      </w:rPr>
      <w:fldChar w:fldCharType="separate"/>
    </w:r>
    <w:r w:rsidRPr="00AA4E00">
      <w:rPr>
        <w:b/>
        <w:noProof/>
        <w:sz w:val="18"/>
        <w:lang w:val="en-US"/>
      </w:rPr>
      <w:t>3</w:t>
    </w:r>
    <w:r w:rsidRPr="00AA4E00">
      <w:rPr>
        <w:b/>
        <w:sz w:val="18"/>
        <w:lang w:val="en-US"/>
      </w:rPr>
      <w:fldChar w:fldCharType="end"/>
    </w:r>
    <w:r>
      <w:rPr>
        <w:b/>
        <w:sz w:val="18"/>
        <w:lang w:val="en-US"/>
      </w:rPr>
      <w:tab/>
    </w:r>
    <w:r>
      <w:rPr>
        <w:sz w:val="17"/>
        <w:lang w:val="en-US"/>
      </w:rPr>
      <w:t>GE.20-06716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4315B" w14:textId="77777777" w:rsidR="00AA29CE" w:rsidRDefault="005A2F39" w:rsidP="007C1295">
    <w:pPr>
      <w:pStyle w:val="Footer"/>
      <w:spacing w:before="360"/>
      <w:jc w:val="right"/>
      <w:rPr>
        <w:sz w:val="20"/>
        <w:szCs w:val="20"/>
      </w:rPr>
    </w:pPr>
    <w:r>
      <w:rPr>
        <w:sz w:val="20"/>
        <w:szCs w:val="20"/>
      </w:rPr>
      <w:t>GE.20-06716</w:t>
    </w:r>
    <w:r w:rsidR="00AA29CE">
      <w:rPr>
        <w:noProof/>
        <w:lang w:val="en-US"/>
      </w:rPr>
      <w:drawing>
        <wp:anchor distT="0" distB="0" distL="114300" distR="114300" simplePos="0" relativeHeight="251665408" behindDoc="1" locked="1" layoutInCell="0" allowOverlap="1" wp14:anchorId="3A9BF7B9" wp14:editId="0C7B387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A29CE" w:rsidRPr="007A0286">
      <w:rPr>
        <w:sz w:val="20"/>
        <w:szCs w:val="20"/>
      </w:rPr>
      <w:t>(A)</w:t>
    </w:r>
  </w:p>
  <w:p w14:paraId="53364B48" w14:textId="77777777" w:rsidR="005A2F39" w:rsidRPr="005A2F39" w:rsidRDefault="005A2F39" w:rsidP="005A2F3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1D4AB105" wp14:editId="5575E11C">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94D00" w14:textId="77777777" w:rsidR="004D15F8" w:rsidRDefault="004D15F8" w:rsidP="00CB28F9">
      <w:pPr>
        <w:pStyle w:val="Footer"/>
        <w:bidi/>
        <w:spacing w:after="80" w:line="200" w:lineRule="exact"/>
        <w:ind w:left="680"/>
      </w:pPr>
      <w:r>
        <w:rPr>
          <w:rtl/>
        </w:rPr>
        <w:t>__________</w:t>
      </w:r>
    </w:p>
  </w:footnote>
  <w:footnote w:type="continuationSeparator" w:id="0">
    <w:p w14:paraId="4640D7BF" w14:textId="77777777" w:rsidR="004D15F8" w:rsidRDefault="004D15F8" w:rsidP="00656392">
      <w:pPr>
        <w:spacing w:line="240" w:lineRule="auto"/>
      </w:pPr>
      <w:r>
        <w:continuationSeparator/>
      </w:r>
    </w:p>
  </w:footnote>
  <w:footnote w:id="1">
    <w:p w14:paraId="54C0A36E" w14:textId="56B3F528" w:rsidR="002A2E07" w:rsidRPr="00416923" w:rsidRDefault="00416923" w:rsidP="00416923">
      <w:pPr>
        <w:pStyle w:val="FootnoteText1"/>
        <w:rPr>
          <w:rFonts w:eastAsiaTheme="minorEastAsia" w:hint="cs"/>
          <w:rtl/>
          <w:lang w:val="ar-SA" w:eastAsia="zh-TW"/>
        </w:rPr>
      </w:pPr>
      <w:r w:rsidRPr="00416923">
        <w:rPr>
          <w:rFonts w:eastAsiaTheme="minorEastAsia"/>
          <w:b/>
          <w:bCs/>
          <w:rtl/>
        </w:rPr>
        <w:t>(</w:t>
      </w:r>
      <w:r w:rsidRPr="00416923">
        <w:rPr>
          <w:rStyle w:val="FootnoteReference"/>
          <w:rFonts w:eastAsiaTheme="minorEastAsia" w:cs="Times New Roman"/>
          <w:b w:val="0"/>
          <w:szCs w:val="26"/>
          <w:vertAlign w:val="baseline"/>
        </w:rPr>
        <w:footnoteRef/>
      </w:r>
      <w:r w:rsidRPr="00416923">
        <w:rPr>
          <w:rFonts w:eastAsiaTheme="minorEastAsia"/>
          <w:b/>
          <w:bCs/>
          <w:rtl/>
        </w:rPr>
        <w:t>)</w:t>
      </w:r>
      <w:r w:rsidRPr="00416923">
        <w:rPr>
          <w:rFonts w:eastAsiaTheme="minorEastAsia"/>
          <w:b/>
          <w:bCs/>
          <w:rtl/>
        </w:rPr>
        <w:tab/>
      </w:r>
      <w:r w:rsidR="002A2E07" w:rsidRPr="00416923">
        <w:rPr>
          <w:rFonts w:eastAsiaTheme="minorEastAsia"/>
          <w:rtl/>
        </w:rPr>
        <w:t xml:space="preserve">انظر </w:t>
      </w:r>
      <w:proofErr w:type="spellStart"/>
      <w:r w:rsidRPr="00416923">
        <w:rPr>
          <w:rFonts w:eastAsiaTheme="minorEastAsia"/>
        </w:rPr>
        <w:t>www.ipcc.ch</w:t>
      </w:r>
      <w:proofErr w:type="spellEnd"/>
      <w:r w:rsidRPr="00416923">
        <w:rPr>
          <w:rFonts w:eastAsiaTheme="minorEastAsia"/>
        </w:rPr>
        <w:t>/</w:t>
      </w:r>
      <w:proofErr w:type="spellStart"/>
      <w:r w:rsidRPr="00416923">
        <w:rPr>
          <w:rFonts w:eastAsiaTheme="minorEastAsia"/>
        </w:rPr>
        <w:t>sr</w:t>
      </w:r>
      <w:r w:rsidRPr="00416923">
        <w:rPr>
          <w:rFonts w:eastAsiaTheme="minorEastAsia"/>
          <w:szCs w:val="18"/>
        </w:rPr>
        <w:t>15</w:t>
      </w:r>
      <w:proofErr w:type="spellEnd"/>
      <w:r w:rsidRPr="00416923">
        <w:rPr>
          <w:rFonts w:eastAsiaTheme="minorEastAsia"/>
        </w:rPr>
        <w:t>/</w:t>
      </w:r>
      <w:r w:rsidR="002A2E07" w:rsidRPr="00416923">
        <w:rPr>
          <w:rFonts w:eastAsiaTheme="minorEastAsia"/>
          <w:rtl/>
        </w:rPr>
        <w:t>.</w:t>
      </w:r>
    </w:p>
  </w:footnote>
  <w:footnote w:id="2">
    <w:p w14:paraId="01D33B86" w14:textId="7DB6AE8C" w:rsidR="002A2E07" w:rsidRPr="00416923" w:rsidRDefault="00416923" w:rsidP="00416923">
      <w:pPr>
        <w:pStyle w:val="FootnoteText1"/>
        <w:rPr>
          <w:rFonts w:eastAsiaTheme="minorEastAsia"/>
          <w:rtl/>
          <w:lang w:val="ar-SA" w:eastAsia="zh-TW"/>
        </w:rPr>
      </w:pPr>
      <w:r w:rsidRPr="00416923">
        <w:rPr>
          <w:rFonts w:eastAsiaTheme="minorEastAsia"/>
          <w:b/>
          <w:bCs/>
          <w:rtl/>
        </w:rPr>
        <w:t>(</w:t>
      </w:r>
      <w:r w:rsidRPr="00416923">
        <w:rPr>
          <w:rStyle w:val="FootnoteReference"/>
          <w:rFonts w:eastAsiaTheme="minorEastAsia" w:cs="Times New Roman"/>
          <w:b w:val="0"/>
          <w:szCs w:val="26"/>
          <w:vertAlign w:val="baseline"/>
        </w:rPr>
        <w:footnoteRef/>
      </w:r>
      <w:r w:rsidRPr="00416923">
        <w:rPr>
          <w:rFonts w:eastAsiaTheme="minorEastAsia"/>
          <w:b/>
          <w:bCs/>
          <w:rtl/>
        </w:rPr>
        <w:t>)</w:t>
      </w:r>
      <w:r w:rsidRPr="00416923">
        <w:rPr>
          <w:rFonts w:eastAsiaTheme="minorEastAsia"/>
          <w:b/>
          <w:bCs/>
          <w:rtl/>
        </w:rPr>
        <w:tab/>
      </w:r>
      <w:r w:rsidR="002A2E07" w:rsidRPr="00416923">
        <w:rPr>
          <w:rFonts w:eastAsiaTheme="minorEastAsia"/>
          <w:rtl/>
        </w:rPr>
        <w:t>انظر تقرير المقرر الخاص المعني بمسألة التزامات حقوق الإنسان المتصلة بالتمتع ببيئة آمنة ونظيفة وصحية ومستدامة بشأن التزامات حقوق الإنسان المتعلقة بالحفاظ على التنوع البيولوجي والاستفادة منه على نحو مستدام (</w:t>
      </w:r>
      <w:r w:rsidR="002A2E07" w:rsidRPr="00416923">
        <w:rPr>
          <w:rFonts w:eastAsiaTheme="minorEastAsia"/>
        </w:rPr>
        <w:t>A/HRC/</w:t>
      </w:r>
      <w:r w:rsidR="002A2E07" w:rsidRPr="00416923">
        <w:rPr>
          <w:rFonts w:eastAsiaTheme="minorEastAsia"/>
          <w:szCs w:val="18"/>
        </w:rPr>
        <w:t>34</w:t>
      </w:r>
      <w:r w:rsidR="002A2E07" w:rsidRPr="00416923">
        <w:rPr>
          <w:rFonts w:eastAsiaTheme="minorEastAsia"/>
        </w:rPr>
        <w:t>/</w:t>
      </w:r>
      <w:r w:rsidR="002A2E07" w:rsidRPr="00416923">
        <w:rPr>
          <w:rFonts w:eastAsiaTheme="minorEastAsia"/>
          <w:szCs w:val="18"/>
        </w:rPr>
        <w:t>49</w:t>
      </w:r>
      <w:r w:rsidR="002A2E07" w:rsidRPr="00416923">
        <w:rPr>
          <w:rFonts w:eastAsiaTheme="minorEastAsia"/>
          <w:rtl/>
        </w:rPr>
        <w:t>).</w:t>
      </w:r>
      <w:bookmarkStart w:id="1" w:name="_Toc472589396"/>
      <w:bookmarkEnd w:id="1"/>
    </w:p>
  </w:footnote>
  <w:footnote w:id="3">
    <w:p w14:paraId="3BC23C38" w14:textId="6CDF7EF5" w:rsidR="002A2E07" w:rsidRPr="00416923" w:rsidRDefault="00416923" w:rsidP="00416923">
      <w:pPr>
        <w:pStyle w:val="FootnoteText1"/>
        <w:rPr>
          <w:rFonts w:eastAsiaTheme="minorEastAsia"/>
          <w:rtl/>
          <w:lang w:val="ar-SA" w:eastAsia="zh-TW"/>
        </w:rPr>
      </w:pPr>
      <w:r w:rsidRPr="00416923">
        <w:rPr>
          <w:rFonts w:eastAsiaTheme="minorEastAsia"/>
          <w:b/>
          <w:bCs/>
          <w:rtl/>
        </w:rPr>
        <w:t>(</w:t>
      </w:r>
      <w:r w:rsidRPr="00416923">
        <w:rPr>
          <w:rStyle w:val="FootnoteReference"/>
          <w:rFonts w:eastAsiaTheme="minorEastAsia" w:cs="Times New Roman"/>
          <w:b w:val="0"/>
          <w:szCs w:val="26"/>
          <w:vertAlign w:val="baseline"/>
        </w:rPr>
        <w:footnoteRef/>
      </w:r>
      <w:r w:rsidRPr="00416923">
        <w:rPr>
          <w:rFonts w:eastAsiaTheme="minorEastAsia"/>
          <w:b/>
          <w:bCs/>
          <w:rtl/>
        </w:rPr>
        <w:t>)</w:t>
      </w:r>
      <w:r w:rsidRPr="00416923">
        <w:rPr>
          <w:rFonts w:eastAsiaTheme="minorEastAsia"/>
          <w:b/>
          <w:bCs/>
          <w:rtl/>
        </w:rPr>
        <w:tab/>
      </w:r>
      <w:r w:rsidR="002A2E07" w:rsidRPr="00416923">
        <w:rPr>
          <w:rFonts w:eastAsiaTheme="minorEastAsia"/>
          <w:rtl/>
        </w:rPr>
        <w:t>انظر الدراسة التحليلية التي أجرتها مفوضية الأمم المتحدة السامية لحقوق الإنسان بشأن العلاقة بين تغير المناخ والتمتع الكامل والفعلي بحقوق الطفل (</w:t>
      </w:r>
      <w:r w:rsidR="002A2E07" w:rsidRPr="00416923">
        <w:rPr>
          <w:rFonts w:eastAsiaTheme="minorEastAsia"/>
        </w:rPr>
        <w:t>A/HRC/</w:t>
      </w:r>
      <w:r w:rsidR="002A2E07" w:rsidRPr="00416923">
        <w:rPr>
          <w:rFonts w:eastAsiaTheme="minorEastAsia"/>
          <w:szCs w:val="18"/>
        </w:rPr>
        <w:t>35</w:t>
      </w:r>
      <w:r w:rsidR="002A2E07" w:rsidRPr="00416923">
        <w:rPr>
          <w:rFonts w:eastAsiaTheme="minorEastAsia"/>
        </w:rPr>
        <w:t>/</w:t>
      </w:r>
      <w:r w:rsidR="002A2E07" w:rsidRPr="00416923">
        <w:rPr>
          <w:rFonts w:eastAsiaTheme="minorEastAsia"/>
          <w:szCs w:val="18"/>
        </w:rPr>
        <w:t>13</w:t>
      </w:r>
      <w:r w:rsidR="002A2E07" w:rsidRPr="00416923">
        <w:rPr>
          <w:rFonts w:eastAsiaTheme="minorEastAsia"/>
          <w:rtl/>
        </w:rPr>
        <w:t>).</w:t>
      </w:r>
    </w:p>
  </w:footnote>
  <w:footnote w:id="4">
    <w:p w14:paraId="6835B0F7" w14:textId="2ABC9A7D" w:rsidR="002A2E07" w:rsidRPr="00416923" w:rsidRDefault="00416923" w:rsidP="00416923">
      <w:pPr>
        <w:pStyle w:val="FootnoteText1"/>
        <w:rPr>
          <w:rFonts w:eastAsiaTheme="minorEastAsia" w:hint="cs"/>
          <w:rtl/>
          <w:lang w:eastAsia="zh-TW"/>
        </w:rPr>
      </w:pPr>
      <w:r w:rsidRPr="00416923">
        <w:rPr>
          <w:rFonts w:eastAsiaTheme="minorEastAsia"/>
          <w:b/>
          <w:bCs/>
          <w:rtl/>
        </w:rPr>
        <w:t>(</w:t>
      </w:r>
      <w:r w:rsidRPr="00416923">
        <w:rPr>
          <w:rStyle w:val="FootnoteReference"/>
          <w:rFonts w:eastAsiaTheme="minorEastAsia" w:cs="Times New Roman"/>
          <w:b w:val="0"/>
          <w:szCs w:val="26"/>
          <w:vertAlign w:val="baseline"/>
        </w:rPr>
        <w:footnoteRef/>
      </w:r>
      <w:r w:rsidRPr="00416923">
        <w:rPr>
          <w:rFonts w:eastAsiaTheme="minorEastAsia"/>
          <w:b/>
          <w:bCs/>
          <w:rtl/>
        </w:rPr>
        <w:t>)</w:t>
      </w:r>
      <w:r w:rsidRPr="00416923">
        <w:rPr>
          <w:rFonts w:eastAsiaTheme="minorEastAsia"/>
          <w:b/>
          <w:bCs/>
          <w:rtl/>
        </w:rPr>
        <w:tab/>
      </w:r>
      <w:r w:rsidR="002A2E07" w:rsidRPr="00416923">
        <w:rPr>
          <w:rFonts w:eastAsiaTheme="minorEastAsia"/>
          <w:rtl/>
        </w:rPr>
        <w:t xml:space="preserve">انظر </w:t>
      </w:r>
      <w:r>
        <w:t>“</w:t>
      </w:r>
      <w:r w:rsidRPr="00C8782C">
        <w:t xml:space="preserve">Climate </w:t>
      </w:r>
      <w:r>
        <w:t>c</w:t>
      </w:r>
      <w:r w:rsidRPr="00C8782C">
        <w:t xml:space="preserve">hange and </w:t>
      </w:r>
      <w:r>
        <w:t>c</w:t>
      </w:r>
      <w:r w:rsidRPr="00C8782C">
        <w:t>hildren</w:t>
      </w:r>
      <w:r>
        <w:t>’</w:t>
      </w:r>
      <w:r w:rsidRPr="00C8782C">
        <w:t xml:space="preserve">s </w:t>
      </w:r>
      <w:r>
        <w:t>h</w:t>
      </w:r>
      <w:r w:rsidRPr="00C8782C">
        <w:t xml:space="preserve">ealth: </w:t>
      </w:r>
      <w:r>
        <w:t>a</w:t>
      </w:r>
      <w:r w:rsidRPr="00C8782C">
        <w:t xml:space="preserve"> </w:t>
      </w:r>
      <w:proofErr w:type="gramStart"/>
      <w:r>
        <w:t>c</w:t>
      </w:r>
      <w:r w:rsidRPr="00C8782C">
        <w:t>ommentary</w:t>
      </w:r>
      <w:r>
        <w:t>”,</w:t>
      </w:r>
      <w:proofErr w:type="gramEnd"/>
      <w:r w:rsidRPr="00C8782C">
        <w:t xml:space="preserve"> </w:t>
      </w:r>
      <w:r w:rsidRPr="001E1290">
        <w:rPr>
          <w:i/>
          <w:iCs/>
        </w:rPr>
        <w:t>Children</w:t>
      </w:r>
      <w:r>
        <w:t xml:space="preserve">, vol. </w:t>
      </w:r>
      <w:r w:rsidRPr="00416923">
        <w:rPr>
          <w:szCs w:val="18"/>
        </w:rPr>
        <w:t>2</w:t>
      </w:r>
      <w:r>
        <w:t xml:space="preserve">, No. </w:t>
      </w:r>
      <w:r w:rsidRPr="00416923">
        <w:rPr>
          <w:szCs w:val="18"/>
        </w:rPr>
        <w:t>4</w:t>
      </w:r>
      <w:r>
        <w:t xml:space="preserve"> </w:t>
      </w:r>
      <w:r w:rsidRPr="00C8782C">
        <w:t>(</w:t>
      </w:r>
      <w:r>
        <w:t xml:space="preserve">October </w:t>
      </w:r>
      <w:r w:rsidRPr="00416923">
        <w:rPr>
          <w:szCs w:val="18"/>
        </w:rPr>
        <w:t>2015</w:t>
      </w:r>
      <w:r w:rsidRPr="00C8782C">
        <w:t>)</w:t>
      </w:r>
      <w:r>
        <w:rPr>
          <w:rFonts w:eastAsiaTheme="minorEastAsia" w:hint="cs"/>
          <w:rtl/>
          <w:lang w:val="ar-SA" w:eastAsia="zh-TW"/>
        </w:rPr>
        <w:t>؛ و</w:t>
      </w:r>
      <w:r>
        <w:t>Council on Environmental Health, “</w:t>
      </w:r>
      <w:r w:rsidRPr="00FD7F5F">
        <w:t xml:space="preserve">Global </w:t>
      </w:r>
      <w:r>
        <w:t>c</w:t>
      </w:r>
      <w:r w:rsidRPr="00FD7F5F">
        <w:t xml:space="preserve">limate </w:t>
      </w:r>
      <w:r>
        <w:t>c</w:t>
      </w:r>
      <w:r w:rsidRPr="00FD7F5F">
        <w:t xml:space="preserve">hange and </w:t>
      </w:r>
      <w:r>
        <w:t>c</w:t>
      </w:r>
      <w:r w:rsidRPr="00FD7F5F">
        <w:t>hildren</w:t>
      </w:r>
      <w:r>
        <w:t>’</w:t>
      </w:r>
      <w:r w:rsidRPr="00FD7F5F">
        <w:t xml:space="preserve">s </w:t>
      </w:r>
      <w:r>
        <w:t>h</w:t>
      </w:r>
      <w:r w:rsidRPr="00FD7F5F">
        <w:t>ealth</w:t>
      </w:r>
      <w:r>
        <w:t>”,</w:t>
      </w:r>
      <w:r w:rsidR="008B7B51">
        <w:br/>
      </w:r>
      <w:r w:rsidRPr="001E1290">
        <w:rPr>
          <w:i/>
          <w:iCs/>
        </w:rPr>
        <w:t>Pediatrics</w:t>
      </w:r>
      <w:r>
        <w:t xml:space="preserve">, vol. </w:t>
      </w:r>
      <w:r w:rsidRPr="00416923">
        <w:rPr>
          <w:szCs w:val="18"/>
        </w:rPr>
        <w:t>136</w:t>
      </w:r>
      <w:r>
        <w:t xml:space="preserve">, No. </w:t>
      </w:r>
      <w:r w:rsidRPr="00416923">
        <w:rPr>
          <w:szCs w:val="18"/>
        </w:rPr>
        <w:t>5</w:t>
      </w:r>
      <w:r>
        <w:t xml:space="preserve"> (November </w:t>
      </w:r>
      <w:r w:rsidRPr="00416923">
        <w:rPr>
          <w:szCs w:val="18"/>
        </w:rPr>
        <w:t>2015</w:t>
      </w:r>
      <w:r>
        <w:t>)</w:t>
      </w:r>
      <w:r>
        <w:rPr>
          <w:rFonts w:eastAsiaTheme="minorEastAsia" w:hint="cs"/>
          <w:rtl/>
          <w:lang w:eastAsia="zh-TW"/>
        </w:rPr>
        <w:t>.</w:t>
      </w:r>
    </w:p>
  </w:footnote>
  <w:footnote w:id="5">
    <w:p w14:paraId="767DCAAE" w14:textId="1BD6A368" w:rsidR="002A2E07" w:rsidRPr="00416923" w:rsidRDefault="00416923" w:rsidP="00416923">
      <w:pPr>
        <w:pStyle w:val="FootnoteText1"/>
        <w:rPr>
          <w:rFonts w:eastAsiaTheme="minorEastAsia"/>
          <w:rtl/>
          <w:lang w:val="ar-SA" w:eastAsia="zh-TW"/>
        </w:rPr>
      </w:pPr>
      <w:r w:rsidRPr="00416923">
        <w:rPr>
          <w:rFonts w:eastAsiaTheme="minorEastAsia"/>
          <w:b/>
          <w:bCs/>
          <w:rtl/>
        </w:rPr>
        <w:t>(</w:t>
      </w:r>
      <w:r w:rsidRPr="00416923">
        <w:rPr>
          <w:rStyle w:val="FootnoteReference"/>
          <w:rFonts w:eastAsiaTheme="minorEastAsia" w:cs="Times New Roman"/>
          <w:b w:val="0"/>
          <w:szCs w:val="26"/>
          <w:vertAlign w:val="baseline"/>
        </w:rPr>
        <w:footnoteRef/>
      </w:r>
      <w:r w:rsidRPr="00416923">
        <w:rPr>
          <w:rFonts w:eastAsiaTheme="minorEastAsia"/>
          <w:b/>
          <w:bCs/>
          <w:rtl/>
        </w:rPr>
        <w:t>)</w:t>
      </w:r>
      <w:r w:rsidRPr="00416923">
        <w:rPr>
          <w:rFonts w:eastAsiaTheme="minorEastAsia"/>
          <w:b/>
          <w:bCs/>
          <w:rtl/>
        </w:rPr>
        <w:tab/>
      </w:r>
      <w:r w:rsidR="002A2E07" w:rsidRPr="00416923">
        <w:rPr>
          <w:rFonts w:eastAsiaTheme="minorEastAsia"/>
          <w:rtl/>
        </w:rPr>
        <w:t xml:space="preserve">اللجنة المعنية بالقضاء على التمييز ضد المرأة، التوصية العامة رقم </w:t>
      </w:r>
      <w:r w:rsidR="002A2E07" w:rsidRPr="00416923">
        <w:rPr>
          <w:rFonts w:eastAsiaTheme="minorEastAsia"/>
          <w:szCs w:val="18"/>
          <w:rtl/>
        </w:rPr>
        <w:t>37</w:t>
      </w:r>
      <w:r w:rsidR="002A2E07" w:rsidRPr="00416923">
        <w:rPr>
          <w:rFonts w:eastAsiaTheme="minorEastAsia"/>
          <w:rtl/>
        </w:rPr>
        <w:t xml:space="preserve">، الفقرتان </w:t>
      </w:r>
      <w:r w:rsidR="002A2E07" w:rsidRPr="00416923">
        <w:rPr>
          <w:rFonts w:eastAsiaTheme="minorEastAsia"/>
          <w:szCs w:val="18"/>
          <w:rtl/>
        </w:rPr>
        <w:t>7</w:t>
      </w:r>
      <w:r w:rsidR="002A2E07" w:rsidRPr="00416923">
        <w:rPr>
          <w:rFonts w:eastAsiaTheme="minorEastAsia"/>
          <w:rtl/>
        </w:rPr>
        <w:t xml:space="preserve"> </w:t>
      </w:r>
      <w:proofErr w:type="spellStart"/>
      <w:r w:rsidR="002A2E07" w:rsidRPr="00416923">
        <w:rPr>
          <w:rFonts w:eastAsiaTheme="minorEastAsia"/>
          <w:rtl/>
        </w:rPr>
        <w:t>و</w:t>
      </w:r>
      <w:r w:rsidR="002A2E07" w:rsidRPr="00416923">
        <w:rPr>
          <w:rFonts w:eastAsiaTheme="minorEastAsia"/>
          <w:szCs w:val="18"/>
          <w:rtl/>
        </w:rPr>
        <w:t>8</w:t>
      </w:r>
      <w:proofErr w:type="spellEnd"/>
      <w:r w:rsidR="002A2E07" w:rsidRPr="00416923">
        <w:rPr>
          <w:rFonts w:eastAsiaTheme="minorEastAsia"/>
          <w:rtl/>
        </w:rPr>
        <w:t>.</w:t>
      </w:r>
    </w:p>
  </w:footnote>
  <w:footnote w:id="6">
    <w:p w14:paraId="395634BD" w14:textId="4BB0DDA4" w:rsidR="002A2E07" w:rsidRPr="00416923" w:rsidRDefault="00416923" w:rsidP="00416923">
      <w:pPr>
        <w:pStyle w:val="FootnoteText1"/>
        <w:rPr>
          <w:rFonts w:eastAsiaTheme="minorEastAsia"/>
          <w:rtl/>
          <w:lang w:val="ar-SA" w:eastAsia="zh-TW"/>
        </w:rPr>
      </w:pPr>
      <w:r w:rsidRPr="00416923">
        <w:rPr>
          <w:rFonts w:eastAsiaTheme="minorEastAsia"/>
          <w:b/>
          <w:bCs/>
          <w:rtl/>
        </w:rPr>
        <w:t>(</w:t>
      </w:r>
      <w:r w:rsidRPr="00416923">
        <w:rPr>
          <w:rStyle w:val="FootnoteReference"/>
          <w:rFonts w:eastAsiaTheme="minorEastAsia" w:cs="Times New Roman"/>
          <w:b w:val="0"/>
          <w:szCs w:val="26"/>
          <w:vertAlign w:val="baseline"/>
        </w:rPr>
        <w:footnoteRef/>
      </w:r>
      <w:r w:rsidRPr="00416923">
        <w:rPr>
          <w:rFonts w:eastAsiaTheme="minorEastAsia"/>
          <w:b/>
          <w:bCs/>
          <w:rtl/>
        </w:rPr>
        <w:t>)</w:t>
      </w:r>
      <w:r w:rsidRPr="00416923">
        <w:rPr>
          <w:rFonts w:eastAsiaTheme="minorEastAsia"/>
          <w:b/>
          <w:bCs/>
          <w:rtl/>
        </w:rPr>
        <w:tab/>
      </w:r>
      <w:r w:rsidR="002A2E07" w:rsidRPr="00416923">
        <w:rPr>
          <w:rFonts w:eastAsiaTheme="minorEastAsia"/>
          <w:rtl/>
        </w:rPr>
        <w:t xml:space="preserve">المرجع نفسه، الفقرات من </w:t>
      </w:r>
      <w:r w:rsidR="002A2E07" w:rsidRPr="00416923">
        <w:rPr>
          <w:rFonts w:eastAsiaTheme="minorEastAsia"/>
          <w:szCs w:val="18"/>
          <w:rtl/>
        </w:rPr>
        <w:t>32</w:t>
      </w:r>
      <w:r w:rsidR="002A2E07" w:rsidRPr="00416923">
        <w:rPr>
          <w:rFonts w:eastAsiaTheme="minorEastAsia"/>
          <w:rtl/>
        </w:rPr>
        <w:t xml:space="preserve"> إلى </w:t>
      </w:r>
      <w:r w:rsidR="002A2E07" w:rsidRPr="00416923">
        <w:rPr>
          <w:rFonts w:eastAsiaTheme="minorEastAsia"/>
          <w:szCs w:val="18"/>
          <w:rtl/>
        </w:rPr>
        <w:t>36</w:t>
      </w:r>
      <w:r w:rsidR="002A2E07" w:rsidRPr="00416923">
        <w:rPr>
          <w:rFonts w:eastAsiaTheme="minorEastAsia"/>
          <w:rtl/>
        </w:rPr>
        <w:t xml:space="preserve">؛ اتفاقية القضاء على جميع أشكال التمييز ضد المرأة، المواد </w:t>
      </w:r>
      <w:r w:rsidR="002A2E07" w:rsidRPr="00416923">
        <w:rPr>
          <w:rFonts w:eastAsiaTheme="minorEastAsia"/>
          <w:szCs w:val="18"/>
          <w:rtl/>
        </w:rPr>
        <w:t>7</w:t>
      </w:r>
      <w:r w:rsidR="002A2E07" w:rsidRPr="00416923">
        <w:rPr>
          <w:rFonts w:eastAsiaTheme="minorEastAsia"/>
          <w:rtl/>
        </w:rPr>
        <w:t xml:space="preserve"> </w:t>
      </w:r>
      <w:proofErr w:type="spellStart"/>
      <w:r w:rsidR="002A2E07" w:rsidRPr="00416923">
        <w:rPr>
          <w:rFonts w:eastAsiaTheme="minorEastAsia"/>
          <w:rtl/>
        </w:rPr>
        <w:t>و</w:t>
      </w:r>
      <w:r w:rsidR="002A2E07" w:rsidRPr="00416923">
        <w:rPr>
          <w:rFonts w:eastAsiaTheme="minorEastAsia"/>
          <w:szCs w:val="18"/>
          <w:rtl/>
        </w:rPr>
        <w:t>8</w:t>
      </w:r>
      <w:proofErr w:type="spellEnd"/>
      <w:r w:rsidR="002A2E07" w:rsidRPr="00416923">
        <w:rPr>
          <w:rFonts w:eastAsiaTheme="minorEastAsia"/>
          <w:rtl/>
        </w:rPr>
        <w:t xml:space="preserve"> </w:t>
      </w:r>
      <w:proofErr w:type="spellStart"/>
      <w:r w:rsidR="002A2E07" w:rsidRPr="00416923">
        <w:rPr>
          <w:rFonts w:eastAsiaTheme="minorEastAsia"/>
          <w:rtl/>
        </w:rPr>
        <w:t>و</w:t>
      </w:r>
      <w:r w:rsidR="002A2E07" w:rsidRPr="00416923">
        <w:rPr>
          <w:rFonts w:eastAsiaTheme="minorEastAsia"/>
          <w:szCs w:val="18"/>
          <w:rtl/>
        </w:rPr>
        <w:t>14</w:t>
      </w:r>
      <w:proofErr w:type="spellEnd"/>
      <w:r w:rsidR="002A2E07" w:rsidRPr="00416923">
        <w:rPr>
          <w:rFonts w:eastAsiaTheme="minorEastAsia"/>
          <w:rtl/>
        </w:rPr>
        <w:t xml:space="preserve">؛ واتفاقية حقوق الطفل، المادة </w:t>
      </w:r>
      <w:r w:rsidR="002A2E07" w:rsidRPr="00416923">
        <w:rPr>
          <w:rFonts w:eastAsiaTheme="minorEastAsia"/>
          <w:szCs w:val="18"/>
          <w:rtl/>
        </w:rPr>
        <w:t>12</w:t>
      </w:r>
      <w:r w:rsidR="002A2E07" w:rsidRPr="00416923">
        <w:rPr>
          <w:rFonts w:eastAsiaTheme="minorEastAsia"/>
          <w:rtl/>
        </w:rPr>
        <w:t xml:space="preserve">؛ والإعلان العالمي لحقوق الإنسان، المادة </w:t>
      </w:r>
      <w:r w:rsidR="002A2E07" w:rsidRPr="00416923">
        <w:rPr>
          <w:rFonts w:eastAsiaTheme="minorEastAsia"/>
          <w:szCs w:val="18"/>
          <w:rtl/>
        </w:rPr>
        <w:t>21</w:t>
      </w:r>
      <w:r w:rsidR="002A2E07" w:rsidRPr="00416923">
        <w:rPr>
          <w:rFonts w:eastAsiaTheme="minorEastAsia"/>
          <w:rtl/>
        </w:rPr>
        <w:t xml:space="preserve">؛ والعهد الدولي الخاص بالحقوق المدنية والسياسية، المادة </w:t>
      </w:r>
      <w:r w:rsidR="002A2E07" w:rsidRPr="00416923">
        <w:rPr>
          <w:rFonts w:eastAsiaTheme="minorEastAsia"/>
          <w:szCs w:val="18"/>
          <w:rtl/>
        </w:rPr>
        <w:t>25</w:t>
      </w:r>
      <w:r w:rsidR="002A2E07" w:rsidRPr="00416923">
        <w:rPr>
          <w:rFonts w:eastAsiaTheme="minorEastAsia"/>
          <w:rtl/>
        </w:rPr>
        <w:t>؛ واتفاقية حقوق الأشخاص ذوي الإعاقة، المواد</w:t>
      </w:r>
      <w:r w:rsidR="00885842">
        <w:rPr>
          <w:rFonts w:eastAsiaTheme="minorEastAsia" w:hint="cs"/>
          <w:rtl/>
        </w:rPr>
        <w:t xml:space="preserve"> </w:t>
      </w:r>
      <w:r w:rsidR="00CD63C0">
        <w:rPr>
          <w:rFonts w:eastAsiaTheme="minorEastAsia" w:hint="cs"/>
          <w:szCs w:val="18"/>
          <w:rtl/>
        </w:rPr>
        <w:t>4</w:t>
      </w:r>
      <w:r w:rsidR="00885842">
        <w:rPr>
          <w:rFonts w:eastAsiaTheme="minorEastAsia" w:hint="cs"/>
          <w:szCs w:val="18"/>
          <w:rtl/>
        </w:rPr>
        <w:t>(</w:t>
      </w:r>
      <w:r w:rsidR="00CD63C0">
        <w:rPr>
          <w:rFonts w:eastAsiaTheme="minorEastAsia" w:hint="cs"/>
          <w:szCs w:val="18"/>
          <w:rtl/>
        </w:rPr>
        <w:t>3</w:t>
      </w:r>
      <w:r w:rsidR="00885842">
        <w:rPr>
          <w:rFonts w:eastAsiaTheme="minorEastAsia" w:hint="cs"/>
          <w:szCs w:val="18"/>
          <w:rtl/>
        </w:rPr>
        <w:t>)</w:t>
      </w:r>
      <w:r w:rsidR="002A2E07" w:rsidRPr="00416923">
        <w:rPr>
          <w:rFonts w:eastAsiaTheme="minorEastAsia"/>
          <w:rtl/>
        </w:rPr>
        <w:t xml:space="preserve"> و</w:t>
      </w:r>
      <w:proofErr w:type="spellStart"/>
      <w:r w:rsidR="002A2E07" w:rsidRPr="00416923">
        <w:rPr>
          <w:rFonts w:eastAsiaTheme="minorEastAsia"/>
          <w:szCs w:val="18"/>
          <w:rtl/>
        </w:rPr>
        <w:t>29</w:t>
      </w:r>
      <w:proofErr w:type="spellEnd"/>
      <w:r w:rsidR="002A2E07" w:rsidRPr="00416923">
        <w:rPr>
          <w:rFonts w:eastAsiaTheme="minorEastAsia"/>
          <w:rtl/>
        </w:rPr>
        <w:t xml:space="preserve"> </w:t>
      </w:r>
      <w:proofErr w:type="spellStart"/>
      <w:r w:rsidR="002A2E07" w:rsidRPr="00416923">
        <w:rPr>
          <w:rFonts w:eastAsiaTheme="minorEastAsia"/>
          <w:rtl/>
        </w:rPr>
        <w:t>و</w:t>
      </w:r>
      <w:r w:rsidR="002A2E07" w:rsidRPr="00416923">
        <w:rPr>
          <w:rFonts w:eastAsiaTheme="minorEastAsia"/>
          <w:szCs w:val="18"/>
          <w:rtl/>
        </w:rPr>
        <w:t>33</w:t>
      </w:r>
      <w:proofErr w:type="spellEnd"/>
      <w:r w:rsidR="002A2E07" w:rsidRPr="00416923">
        <w:rPr>
          <w:rFonts w:eastAsiaTheme="minorEastAsia"/>
          <w:rtl/>
        </w:rPr>
        <w:t>(</w:t>
      </w:r>
      <w:r w:rsidR="002A2E07" w:rsidRPr="00416923">
        <w:rPr>
          <w:rFonts w:eastAsiaTheme="minorEastAsia"/>
          <w:szCs w:val="18"/>
          <w:rtl/>
        </w:rPr>
        <w:t>3</w:t>
      </w:r>
      <w:r w:rsidR="002A2E07" w:rsidRPr="00416923">
        <w:rPr>
          <w:rFonts w:eastAsiaTheme="minorEastAsia"/>
          <w:rtl/>
        </w:rPr>
        <w:t>).</w:t>
      </w:r>
    </w:p>
  </w:footnote>
  <w:footnote w:id="7">
    <w:p w14:paraId="11D91EEA" w14:textId="14D41205" w:rsidR="002A2E07" w:rsidRPr="00416923" w:rsidRDefault="00416923" w:rsidP="00416923">
      <w:pPr>
        <w:pStyle w:val="FootnoteText1"/>
        <w:rPr>
          <w:rFonts w:eastAsiaTheme="minorEastAsia" w:hint="cs"/>
          <w:rtl/>
          <w:lang w:val="ar-SA" w:eastAsia="zh-TW"/>
        </w:rPr>
      </w:pPr>
      <w:r w:rsidRPr="00416923">
        <w:rPr>
          <w:rFonts w:eastAsiaTheme="minorEastAsia"/>
          <w:b/>
          <w:bCs/>
          <w:rtl/>
        </w:rPr>
        <w:t>(</w:t>
      </w:r>
      <w:r w:rsidRPr="00416923">
        <w:rPr>
          <w:rStyle w:val="FootnoteReference"/>
          <w:rFonts w:eastAsiaTheme="minorEastAsia" w:cs="Times New Roman"/>
          <w:b w:val="0"/>
          <w:szCs w:val="26"/>
          <w:vertAlign w:val="baseline"/>
        </w:rPr>
        <w:footnoteRef/>
      </w:r>
      <w:r w:rsidRPr="00416923">
        <w:rPr>
          <w:rFonts w:eastAsiaTheme="minorEastAsia"/>
          <w:b/>
          <w:bCs/>
          <w:rtl/>
        </w:rPr>
        <w:t>)</w:t>
      </w:r>
      <w:r w:rsidRPr="00416923">
        <w:rPr>
          <w:rFonts w:eastAsiaTheme="minorEastAsia"/>
          <w:b/>
          <w:bCs/>
          <w:rtl/>
        </w:rPr>
        <w:tab/>
      </w:r>
      <w:r w:rsidR="002A2E07" w:rsidRPr="00416923">
        <w:rPr>
          <w:rFonts w:eastAsiaTheme="minorEastAsia"/>
          <w:rtl/>
        </w:rPr>
        <w:t>انظر</w:t>
      </w:r>
      <w:proofErr w:type="spellStart"/>
      <w:r w:rsidR="00885842" w:rsidRPr="00885842">
        <w:rPr>
          <w:rFonts w:eastAsiaTheme="minorEastAsia"/>
        </w:rPr>
        <w:t>www.ipcc.ch</w:t>
      </w:r>
      <w:proofErr w:type="spellEnd"/>
      <w:r w:rsidR="00885842" w:rsidRPr="00885842">
        <w:rPr>
          <w:rFonts w:eastAsiaTheme="minorEastAsia"/>
        </w:rPr>
        <w:t>/</w:t>
      </w:r>
      <w:proofErr w:type="spellStart"/>
      <w:r w:rsidR="00885842" w:rsidRPr="00885842">
        <w:rPr>
          <w:rFonts w:eastAsiaTheme="minorEastAsia"/>
        </w:rPr>
        <w:t>sr15</w:t>
      </w:r>
      <w:proofErr w:type="spellEnd"/>
      <w:r w:rsidR="00885842">
        <w:rPr>
          <w:rFonts w:eastAsiaTheme="minorEastAsia"/>
        </w:rPr>
        <w:t>/</w:t>
      </w:r>
      <w:r w:rsidR="002A2E07" w:rsidRPr="00416923">
        <w:rPr>
          <w:rFonts w:eastAsiaTheme="minorEastAsia"/>
          <w:rtl/>
        </w:rPr>
        <w:t>.</w:t>
      </w:r>
    </w:p>
  </w:footnote>
  <w:footnote w:id="8">
    <w:p w14:paraId="790F1669" w14:textId="6EEBCFF1" w:rsidR="002A2E07" w:rsidRPr="00885842" w:rsidRDefault="00416923" w:rsidP="00416923">
      <w:pPr>
        <w:pStyle w:val="FootnoteText1"/>
        <w:rPr>
          <w:rFonts w:eastAsiaTheme="minorEastAsia"/>
          <w:spacing w:val="-2"/>
          <w:rtl/>
          <w:lang w:val="ar-SA" w:eastAsia="zh-TW"/>
        </w:rPr>
      </w:pPr>
      <w:r w:rsidRPr="00416923">
        <w:rPr>
          <w:rFonts w:eastAsiaTheme="minorEastAsia"/>
          <w:b/>
          <w:bCs/>
          <w:rtl/>
        </w:rPr>
        <w:t>(</w:t>
      </w:r>
      <w:r w:rsidRPr="00416923">
        <w:rPr>
          <w:rStyle w:val="FootnoteReference"/>
          <w:rFonts w:eastAsiaTheme="minorEastAsia" w:cs="Times New Roman"/>
          <w:b w:val="0"/>
          <w:szCs w:val="26"/>
          <w:vertAlign w:val="baseline"/>
        </w:rPr>
        <w:footnoteRef/>
      </w:r>
      <w:r w:rsidRPr="00416923">
        <w:rPr>
          <w:rFonts w:eastAsiaTheme="minorEastAsia"/>
          <w:b/>
          <w:bCs/>
          <w:rtl/>
        </w:rPr>
        <w:t>)</w:t>
      </w:r>
      <w:r w:rsidRPr="00416923">
        <w:rPr>
          <w:rFonts w:eastAsiaTheme="minorEastAsia"/>
          <w:b/>
          <w:bCs/>
          <w:rtl/>
        </w:rPr>
        <w:tab/>
      </w:r>
      <w:r w:rsidR="002A2E07" w:rsidRPr="00885842">
        <w:rPr>
          <w:rFonts w:eastAsiaTheme="minorEastAsia"/>
          <w:spacing w:val="-2"/>
          <w:rtl/>
        </w:rPr>
        <w:t>انظر أيضا</w:t>
      </w:r>
      <w:r w:rsidR="00CD63C0">
        <w:rPr>
          <w:rFonts w:eastAsiaTheme="minorEastAsia" w:hint="cs"/>
          <w:spacing w:val="-2"/>
          <w:rtl/>
        </w:rPr>
        <w:t>ً</w:t>
      </w:r>
      <w:r w:rsidR="002A2E07" w:rsidRPr="00885842">
        <w:rPr>
          <w:rFonts w:eastAsiaTheme="minorEastAsia"/>
          <w:spacing w:val="-2"/>
          <w:rtl/>
        </w:rPr>
        <w:t xml:space="preserve">، في هذا السياق، ميثاق الأمم المتحدة، المادتين </w:t>
      </w:r>
      <w:r w:rsidR="002A2E07" w:rsidRPr="00885842">
        <w:rPr>
          <w:rFonts w:eastAsiaTheme="minorEastAsia"/>
          <w:spacing w:val="-2"/>
          <w:szCs w:val="18"/>
          <w:rtl/>
        </w:rPr>
        <w:t>55</w:t>
      </w:r>
      <w:r w:rsidR="002A2E07" w:rsidRPr="00885842">
        <w:rPr>
          <w:rFonts w:eastAsiaTheme="minorEastAsia"/>
          <w:spacing w:val="-2"/>
          <w:rtl/>
        </w:rPr>
        <w:t xml:space="preserve"> </w:t>
      </w:r>
      <w:proofErr w:type="spellStart"/>
      <w:r w:rsidR="002A2E07" w:rsidRPr="00885842">
        <w:rPr>
          <w:rFonts w:eastAsiaTheme="minorEastAsia"/>
          <w:spacing w:val="-2"/>
          <w:rtl/>
        </w:rPr>
        <w:t>و</w:t>
      </w:r>
      <w:r w:rsidR="002A2E07" w:rsidRPr="00885842">
        <w:rPr>
          <w:rFonts w:eastAsiaTheme="minorEastAsia"/>
          <w:spacing w:val="-2"/>
          <w:szCs w:val="18"/>
          <w:rtl/>
        </w:rPr>
        <w:t>56</w:t>
      </w:r>
      <w:proofErr w:type="spellEnd"/>
      <w:r w:rsidR="002A2E07" w:rsidRPr="00885842">
        <w:rPr>
          <w:rFonts w:eastAsiaTheme="minorEastAsia"/>
          <w:spacing w:val="-2"/>
          <w:rtl/>
        </w:rPr>
        <w:t xml:space="preserve">؛ واللجنة المعنية بالحقوق الاقتصادية والاجتماعية والثقافية، التعليق العام رقم </w:t>
      </w:r>
      <w:r w:rsidR="002A2E07" w:rsidRPr="00885842">
        <w:rPr>
          <w:rFonts w:eastAsiaTheme="minorEastAsia"/>
          <w:spacing w:val="-2"/>
          <w:szCs w:val="18"/>
          <w:rtl/>
        </w:rPr>
        <w:t>24</w:t>
      </w:r>
      <w:r w:rsidR="002A2E07" w:rsidRPr="00885842">
        <w:rPr>
          <w:rFonts w:eastAsiaTheme="minorEastAsia"/>
          <w:spacing w:val="-2"/>
          <w:rtl/>
        </w:rPr>
        <w:t>(</w:t>
      </w:r>
      <w:r w:rsidR="002A2E07" w:rsidRPr="00885842">
        <w:rPr>
          <w:rFonts w:eastAsiaTheme="minorEastAsia"/>
          <w:spacing w:val="-2"/>
          <w:szCs w:val="18"/>
          <w:rtl/>
        </w:rPr>
        <w:t>2017</w:t>
      </w:r>
      <w:r w:rsidR="002A2E07" w:rsidRPr="00885842">
        <w:rPr>
          <w:rFonts w:eastAsiaTheme="minorEastAsia"/>
          <w:spacing w:val="-2"/>
          <w:rtl/>
        </w:rPr>
        <w:t xml:space="preserve">) بشأن التزامات الدول بموجب العهد الدولي الخاص بالحقوق الاقتصادية والاجتماعية والثقافية في سياق الأنشطة التجارية، الفقرات من </w:t>
      </w:r>
      <w:r w:rsidR="002A2E07" w:rsidRPr="00885842">
        <w:rPr>
          <w:rFonts w:eastAsiaTheme="minorEastAsia"/>
          <w:spacing w:val="-2"/>
          <w:szCs w:val="18"/>
          <w:rtl/>
        </w:rPr>
        <w:t>26</w:t>
      </w:r>
      <w:r w:rsidR="002A2E07" w:rsidRPr="00885842">
        <w:rPr>
          <w:rFonts w:eastAsiaTheme="minorEastAsia"/>
          <w:spacing w:val="-2"/>
          <w:rtl/>
        </w:rPr>
        <w:t xml:space="preserve"> إلى </w:t>
      </w:r>
      <w:r w:rsidR="002A2E07" w:rsidRPr="00885842">
        <w:rPr>
          <w:rFonts w:eastAsiaTheme="minorEastAsia"/>
          <w:spacing w:val="-2"/>
          <w:szCs w:val="18"/>
          <w:rtl/>
        </w:rPr>
        <w:t>28</w:t>
      </w:r>
      <w:r w:rsidR="002A2E07" w:rsidRPr="00885842">
        <w:rPr>
          <w:rFonts w:eastAsiaTheme="minorEastAsia"/>
          <w:spacing w:val="-2"/>
          <w:rtl/>
        </w:rPr>
        <w:t xml:space="preserve">؛ والوثائق </w:t>
      </w:r>
      <w:r w:rsidRPr="00885842">
        <w:rPr>
          <w:rFonts w:eastAsiaTheme="minorEastAsia"/>
          <w:spacing w:val="-2"/>
        </w:rPr>
        <w:t>E/</w:t>
      </w:r>
      <w:proofErr w:type="spellStart"/>
      <w:r w:rsidRPr="00885842">
        <w:rPr>
          <w:rFonts w:eastAsiaTheme="minorEastAsia"/>
          <w:spacing w:val="-2"/>
        </w:rPr>
        <w:t>C.</w:t>
      </w:r>
      <w:r w:rsidRPr="00885842">
        <w:rPr>
          <w:rFonts w:eastAsiaTheme="minorEastAsia"/>
          <w:spacing w:val="-2"/>
          <w:szCs w:val="18"/>
        </w:rPr>
        <w:t>12</w:t>
      </w:r>
      <w:proofErr w:type="spellEnd"/>
      <w:r w:rsidRPr="00885842">
        <w:rPr>
          <w:rFonts w:eastAsiaTheme="minorEastAsia"/>
          <w:spacing w:val="-2"/>
        </w:rPr>
        <w:t>/AUS/CO/</w:t>
      </w:r>
      <w:r w:rsidRPr="00885842">
        <w:rPr>
          <w:rFonts w:eastAsiaTheme="minorEastAsia"/>
          <w:spacing w:val="-2"/>
          <w:szCs w:val="18"/>
        </w:rPr>
        <w:t>5</w:t>
      </w:r>
      <w:r w:rsidR="002A2E07" w:rsidRPr="00885842">
        <w:rPr>
          <w:rFonts w:eastAsiaTheme="minorEastAsia"/>
          <w:spacing w:val="-2"/>
          <w:rtl/>
        </w:rPr>
        <w:t xml:space="preserve">، الفقرتين </w:t>
      </w:r>
      <w:r w:rsidR="002A2E07" w:rsidRPr="00885842">
        <w:rPr>
          <w:rFonts w:eastAsiaTheme="minorEastAsia"/>
          <w:spacing w:val="-2"/>
          <w:szCs w:val="18"/>
          <w:rtl/>
        </w:rPr>
        <w:t>11</w:t>
      </w:r>
      <w:r w:rsidR="002A2E07" w:rsidRPr="00885842">
        <w:rPr>
          <w:rFonts w:eastAsiaTheme="minorEastAsia"/>
          <w:spacing w:val="-2"/>
          <w:rtl/>
        </w:rPr>
        <w:t xml:space="preserve"> </w:t>
      </w:r>
      <w:proofErr w:type="spellStart"/>
      <w:r w:rsidR="002A2E07" w:rsidRPr="00885842">
        <w:rPr>
          <w:rFonts w:eastAsiaTheme="minorEastAsia"/>
          <w:spacing w:val="-2"/>
          <w:rtl/>
        </w:rPr>
        <w:t>و</w:t>
      </w:r>
      <w:r w:rsidR="002A2E07" w:rsidRPr="00885842">
        <w:rPr>
          <w:rFonts w:eastAsiaTheme="minorEastAsia"/>
          <w:spacing w:val="-2"/>
          <w:szCs w:val="18"/>
          <w:rtl/>
        </w:rPr>
        <w:t>12</w:t>
      </w:r>
      <w:proofErr w:type="spellEnd"/>
      <w:r w:rsidR="002A2E07" w:rsidRPr="00885842">
        <w:rPr>
          <w:rFonts w:eastAsiaTheme="minorEastAsia"/>
          <w:spacing w:val="-2"/>
          <w:rtl/>
        </w:rPr>
        <w:t>؛ و</w:t>
      </w:r>
      <w:r w:rsidRPr="00885842">
        <w:rPr>
          <w:rFonts w:eastAsiaTheme="minorEastAsia"/>
          <w:spacing w:val="-2"/>
        </w:rPr>
        <w:t>E/</w:t>
      </w:r>
      <w:proofErr w:type="spellStart"/>
      <w:r w:rsidRPr="00885842">
        <w:rPr>
          <w:rFonts w:eastAsiaTheme="minorEastAsia"/>
          <w:spacing w:val="-2"/>
        </w:rPr>
        <w:t>C.</w:t>
      </w:r>
      <w:r w:rsidRPr="00885842">
        <w:rPr>
          <w:rFonts w:eastAsiaTheme="minorEastAsia"/>
          <w:spacing w:val="-2"/>
          <w:szCs w:val="18"/>
        </w:rPr>
        <w:t>12</w:t>
      </w:r>
      <w:proofErr w:type="spellEnd"/>
      <w:r w:rsidRPr="00885842">
        <w:rPr>
          <w:rFonts w:eastAsiaTheme="minorEastAsia"/>
          <w:spacing w:val="-2"/>
        </w:rPr>
        <w:t>/ARG/CO/</w:t>
      </w:r>
      <w:r w:rsidRPr="00885842">
        <w:rPr>
          <w:rFonts w:eastAsiaTheme="minorEastAsia"/>
          <w:spacing w:val="-2"/>
          <w:szCs w:val="18"/>
        </w:rPr>
        <w:t>4</w:t>
      </w:r>
      <w:r w:rsidR="002A2E07" w:rsidRPr="00885842">
        <w:rPr>
          <w:rFonts w:eastAsiaTheme="minorEastAsia"/>
          <w:spacing w:val="-2"/>
          <w:rtl/>
        </w:rPr>
        <w:t xml:space="preserve">، الفقرتين </w:t>
      </w:r>
      <w:r w:rsidR="002A2E07" w:rsidRPr="00885842">
        <w:rPr>
          <w:rFonts w:eastAsiaTheme="minorEastAsia"/>
          <w:spacing w:val="-2"/>
          <w:szCs w:val="18"/>
          <w:rtl/>
        </w:rPr>
        <w:t>13</w:t>
      </w:r>
      <w:r w:rsidR="00506A89">
        <w:rPr>
          <w:rFonts w:eastAsiaTheme="minorEastAsia" w:hint="cs"/>
          <w:spacing w:val="-2"/>
          <w:rtl/>
        </w:rPr>
        <w:t xml:space="preserve"> </w:t>
      </w:r>
      <w:proofErr w:type="spellStart"/>
      <w:r w:rsidR="002A2E07" w:rsidRPr="00885842">
        <w:rPr>
          <w:rFonts w:eastAsiaTheme="minorEastAsia"/>
          <w:spacing w:val="-2"/>
          <w:rtl/>
        </w:rPr>
        <w:t>و</w:t>
      </w:r>
      <w:r w:rsidR="002A2E07" w:rsidRPr="00885842">
        <w:rPr>
          <w:rFonts w:eastAsiaTheme="minorEastAsia"/>
          <w:spacing w:val="-2"/>
          <w:szCs w:val="18"/>
          <w:rtl/>
        </w:rPr>
        <w:t>14</w:t>
      </w:r>
      <w:proofErr w:type="spellEnd"/>
      <w:r w:rsidR="002A2E07" w:rsidRPr="00885842">
        <w:rPr>
          <w:rFonts w:eastAsiaTheme="minorEastAsia"/>
          <w:spacing w:val="-2"/>
          <w:rtl/>
        </w:rPr>
        <w:t>؛ و</w:t>
      </w:r>
      <w:r w:rsidRPr="00885842">
        <w:rPr>
          <w:rFonts w:eastAsiaTheme="minorEastAsia"/>
          <w:spacing w:val="-2"/>
        </w:rPr>
        <w:t>CRC/C/NOR/CO/</w:t>
      </w:r>
      <w:r w:rsidRPr="00885842">
        <w:rPr>
          <w:rFonts w:eastAsiaTheme="minorEastAsia"/>
          <w:spacing w:val="-2"/>
          <w:szCs w:val="18"/>
        </w:rPr>
        <w:t>5</w:t>
      </w:r>
      <w:r w:rsidRPr="00885842">
        <w:rPr>
          <w:rFonts w:eastAsiaTheme="minorEastAsia"/>
          <w:spacing w:val="-2"/>
        </w:rPr>
        <w:t>-</w:t>
      </w:r>
      <w:r w:rsidRPr="00885842">
        <w:rPr>
          <w:rFonts w:eastAsiaTheme="minorEastAsia"/>
          <w:spacing w:val="-2"/>
          <w:szCs w:val="18"/>
        </w:rPr>
        <w:t>6</w:t>
      </w:r>
      <w:r w:rsidR="002A2E07" w:rsidRPr="00885842">
        <w:rPr>
          <w:rFonts w:eastAsiaTheme="minorEastAsia"/>
          <w:spacing w:val="-2"/>
          <w:rtl/>
        </w:rPr>
        <w:t xml:space="preserve">، الفقرة </w:t>
      </w:r>
      <w:r w:rsidR="002A2E07" w:rsidRPr="00885842">
        <w:rPr>
          <w:rFonts w:eastAsiaTheme="minorEastAsia"/>
          <w:spacing w:val="-2"/>
          <w:szCs w:val="18"/>
          <w:rtl/>
        </w:rPr>
        <w:t>27</w:t>
      </w:r>
      <w:r w:rsidR="002A2E07" w:rsidRPr="00885842">
        <w:rPr>
          <w:rFonts w:eastAsiaTheme="minorEastAsia"/>
          <w:spacing w:val="-2"/>
          <w:rtl/>
        </w:rPr>
        <w:t>؛ و</w:t>
      </w:r>
      <w:r w:rsidRPr="00885842">
        <w:rPr>
          <w:rFonts w:eastAsiaTheme="minorEastAsia"/>
          <w:spacing w:val="-2"/>
        </w:rPr>
        <w:t>CRC/CRC/C/JPN/CO/</w:t>
      </w:r>
      <w:r w:rsidRPr="00885842">
        <w:rPr>
          <w:rFonts w:eastAsiaTheme="minorEastAsia"/>
          <w:spacing w:val="-2"/>
          <w:szCs w:val="18"/>
        </w:rPr>
        <w:t>4</w:t>
      </w:r>
      <w:r w:rsidRPr="00885842">
        <w:rPr>
          <w:rFonts w:eastAsiaTheme="minorEastAsia"/>
          <w:spacing w:val="-2"/>
        </w:rPr>
        <w:t>-</w:t>
      </w:r>
      <w:r w:rsidRPr="00885842">
        <w:rPr>
          <w:rFonts w:eastAsiaTheme="minorEastAsia"/>
          <w:spacing w:val="-2"/>
          <w:szCs w:val="18"/>
        </w:rPr>
        <w:t>5</w:t>
      </w:r>
      <w:r w:rsidR="002A2E07" w:rsidRPr="00885842">
        <w:rPr>
          <w:rFonts w:eastAsiaTheme="minorEastAsia"/>
          <w:spacing w:val="-2"/>
          <w:rtl/>
        </w:rPr>
        <w:t xml:space="preserve">، الفقرة </w:t>
      </w:r>
      <w:r w:rsidR="002A2E07" w:rsidRPr="00885842">
        <w:rPr>
          <w:rFonts w:eastAsiaTheme="minorEastAsia"/>
          <w:spacing w:val="-2"/>
          <w:szCs w:val="18"/>
          <w:rtl/>
        </w:rPr>
        <w:t>37</w:t>
      </w:r>
      <w:r w:rsidR="002A2E07" w:rsidRPr="00885842">
        <w:rPr>
          <w:rFonts w:eastAsiaTheme="minorEastAsia"/>
          <w:spacing w:val="-2"/>
          <w:rtl/>
        </w:rPr>
        <w:t xml:space="preserve">؛ واللجنة المعنية بالقضاء على التمييز ضد المرأة، التوصية العامة رقم </w:t>
      </w:r>
      <w:r w:rsidR="002A2E07" w:rsidRPr="00885842">
        <w:rPr>
          <w:rFonts w:eastAsiaTheme="minorEastAsia"/>
          <w:spacing w:val="-2"/>
          <w:szCs w:val="18"/>
          <w:rtl/>
        </w:rPr>
        <w:t>37</w:t>
      </w:r>
      <w:r w:rsidR="002A2E07" w:rsidRPr="00885842">
        <w:rPr>
          <w:rFonts w:eastAsiaTheme="minorEastAsia"/>
          <w:spacing w:val="-2"/>
          <w:rtl/>
        </w:rPr>
        <w:t xml:space="preserve">، الفقرات من </w:t>
      </w:r>
      <w:r w:rsidR="002A2E07" w:rsidRPr="00885842">
        <w:rPr>
          <w:rFonts w:eastAsiaTheme="minorEastAsia"/>
          <w:spacing w:val="-2"/>
          <w:szCs w:val="18"/>
          <w:rtl/>
        </w:rPr>
        <w:t>43</w:t>
      </w:r>
      <w:r w:rsidR="002A2E07" w:rsidRPr="00885842">
        <w:rPr>
          <w:rFonts w:eastAsiaTheme="minorEastAsia"/>
          <w:spacing w:val="-2"/>
          <w:rtl/>
        </w:rPr>
        <w:t xml:space="preserve"> إلى </w:t>
      </w:r>
      <w:r w:rsidR="002A2E07" w:rsidRPr="00885842">
        <w:rPr>
          <w:rFonts w:eastAsiaTheme="minorEastAsia"/>
          <w:spacing w:val="-2"/>
          <w:szCs w:val="18"/>
          <w:rtl/>
        </w:rPr>
        <w:t>46</w:t>
      </w:r>
      <w:r w:rsidR="002A2E07" w:rsidRPr="00885842">
        <w:rPr>
          <w:rFonts w:eastAsiaTheme="minorEastAsia"/>
          <w:spacing w:val="-2"/>
          <w:rtl/>
        </w:rPr>
        <w:t>؛ والوثيقتين</w:t>
      </w:r>
      <w:r w:rsidRPr="00885842">
        <w:rPr>
          <w:rFonts w:eastAsiaTheme="minorEastAsia" w:hint="cs"/>
          <w:spacing w:val="-2"/>
          <w:rtl/>
        </w:rPr>
        <w:t xml:space="preserve"> </w:t>
      </w:r>
      <w:r w:rsidRPr="00885842">
        <w:rPr>
          <w:rFonts w:eastAsiaTheme="minorEastAsia"/>
          <w:spacing w:val="-2"/>
        </w:rPr>
        <w:t>CEDAW/C/AUS/CO/</w:t>
      </w:r>
      <w:r w:rsidRPr="00885842">
        <w:rPr>
          <w:rFonts w:eastAsiaTheme="minorEastAsia"/>
          <w:spacing w:val="-2"/>
          <w:szCs w:val="18"/>
        </w:rPr>
        <w:t>8</w:t>
      </w:r>
      <w:r w:rsidR="002A2E07" w:rsidRPr="00885842">
        <w:rPr>
          <w:rFonts w:eastAsiaTheme="minorEastAsia"/>
          <w:spacing w:val="-2"/>
          <w:rtl/>
        </w:rPr>
        <w:t xml:space="preserve">، الفقرتين </w:t>
      </w:r>
      <w:r w:rsidR="002A2E07" w:rsidRPr="00885842">
        <w:rPr>
          <w:rFonts w:eastAsiaTheme="minorEastAsia"/>
          <w:spacing w:val="-2"/>
          <w:szCs w:val="18"/>
          <w:rtl/>
        </w:rPr>
        <w:t>29</w:t>
      </w:r>
      <w:r w:rsidR="002A2E07" w:rsidRPr="00885842">
        <w:rPr>
          <w:rFonts w:eastAsiaTheme="minorEastAsia"/>
          <w:spacing w:val="-2"/>
          <w:rtl/>
        </w:rPr>
        <w:t xml:space="preserve"> </w:t>
      </w:r>
      <w:proofErr w:type="spellStart"/>
      <w:r w:rsidR="002A2E07" w:rsidRPr="00885842">
        <w:rPr>
          <w:rFonts w:eastAsiaTheme="minorEastAsia"/>
          <w:spacing w:val="-2"/>
          <w:rtl/>
        </w:rPr>
        <w:t>و</w:t>
      </w:r>
      <w:r w:rsidR="002A2E07" w:rsidRPr="00885842">
        <w:rPr>
          <w:rFonts w:eastAsiaTheme="minorEastAsia"/>
          <w:spacing w:val="-2"/>
          <w:szCs w:val="18"/>
          <w:rtl/>
        </w:rPr>
        <w:t>30</w:t>
      </w:r>
      <w:proofErr w:type="spellEnd"/>
      <w:r w:rsidR="002A2E07" w:rsidRPr="00885842">
        <w:rPr>
          <w:rFonts w:eastAsiaTheme="minorEastAsia"/>
          <w:spacing w:val="-2"/>
          <w:rtl/>
        </w:rPr>
        <w:t>؛ و</w:t>
      </w:r>
      <w:r w:rsidRPr="00885842">
        <w:rPr>
          <w:rFonts w:eastAsiaTheme="minorEastAsia"/>
          <w:spacing w:val="-2"/>
        </w:rPr>
        <w:t>CEDAW/C/NOR/CO/</w:t>
      </w:r>
      <w:r w:rsidRPr="00885842">
        <w:rPr>
          <w:rFonts w:eastAsiaTheme="minorEastAsia"/>
          <w:spacing w:val="-2"/>
          <w:szCs w:val="18"/>
        </w:rPr>
        <w:t>9</w:t>
      </w:r>
      <w:r w:rsidR="002A2E07" w:rsidRPr="00885842">
        <w:rPr>
          <w:rFonts w:eastAsiaTheme="minorEastAsia"/>
          <w:spacing w:val="-2"/>
          <w:rtl/>
        </w:rPr>
        <w:t xml:space="preserve">، الفقرتين </w:t>
      </w:r>
      <w:r w:rsidR="002A2E07" w:rsidRPr="00885842">
        <w:rPr>
          <w:rFonts w:eastAsiaTheme="minorEastAsia"/>
          <w:spacing w:val="-2"/>
          <w:szCs w:val="18"/>
          <w:rtl/>
        </w:rPr>
        <w:t>14</w:t>
      </w:r>
      <w:r w:rsidR="002A2E07" w:rsidRPr="00885842">
        <w:rPr>
          <w:rFonts w:eastAsiaTheme="minorEastAsia"/>
          <w:spacing w:val="-2"/>
          <w:rtl/>
        </w:rPr>
        <w:t xml:space="preserve"> </w:t>
      </w:r>
      <w:proofErr w:type="spellStart"/>
      <w:r w:rsidR="002A2E07" w:rsidRPr="00885842">
        <w:rPr>
          <w:rFonts w:eastAsiaTheme="minorEastAsia"/>
          <w:spacing w:val="-2"/>
          <w:rtl/>
        </w:rPr>
        <w:t>و</w:t>
      </w:r>
      <w:r w:rsidR="002A2E07" w:rsidRPr="00885842">
        <w:rPr>
          <w:rFonts w:eastAsiaTheme="minorEastAsia"/>
          <w:spacing w:val="-2"/>
          <w:szCs w:val="18"/>
          <w:rtl/>
        </w:rPr>
        <w:t>15</w:t>
      </w:r>
      <w:proofErr w:type="spellEnd"/>
      <w:r w:rsidR="002A2E07" w:rsidRPr="00885842">
        <w:rPr>
          <w:rFonts w:eastAsiaTheme="minorEastAsia"/>
          <w:spacing w:val="-2"/>
          <w:rtl/>
        </w:rPr>
        <w:t>.</w:t>
      </w:r>
    </w:p>
  </w:footnote>
  <w:footnote w:id="9">
    <w:p w14:paraId="457D4E27" w14:textId="32D99167" w:rsidR="002A2E07" w:rsidRPr="00416923" w:rsidRDefault="00416923" w:rsidP="00416923">
      <w:pPr>
        <w:pStyle w:val="FootnoteText1"/>
        <w:rPr>
          <w:rFonts w:eastAsiaTheme="minorEastAsia"/>
          <w:rtl/>
          <w:lang w:val="ar-SA" w:eastAsia="zh-TW"/>
        </w:rPr>
      </w:pPr>
      <w:r w:rsidRPr="00416923">
        <w:rPr>
          <w:rFonts w:eastAsiaTheme="minorEastAsia"/>
          <w:b/>
          <w:bCs/>
          <w:rtl/>
        </w:rPr>
        <w:t>(</w:t>
      </w:r>
      <w:r w:rsidRPr="00416923">
        <w:rPr>
          <w:rStyle w:val="FootnoteReference"/>
          <w:rFonts w:eastAsiaTheme="minorEastAsia" w:cs="Times New Roman"/>
          <w:b w:val="0"/>
          <w:szCs w:val="26"/>
          <w:vertAlign w:val="baseline"/>
        </w:rPr>
        <w:footnoteRef/>
      </w:r>
      <w:r w:rsidRPr="00416923">
        <w:rPr>
          <w:rFonts w:eastAsiaTheme="minorEastAsia"/>
          <w:b/>
          <w:bCs/>
          <w:rtl/>
        </w:rPr>
        <w:t>)</w:t>
      </w:r>
      <w:r w:rsidRPr="00416923">
        <w:rPr>
          <w:rFonts w:eastAsiaTheme="minorEastAsia"/>
          <w:b/>
          <w:bCs/>
          <w:rtl/>
        </w:rPr>
        <w:tab/>
      </w:r>
      <w:r w:rsidR="002A2E07" w:rsidRPr="00416923">
        <w:rPr>
          <w:rFonts w:eastAsiaTheme="minorEastAsia"/>
        </w:rPr>
        <w:t>CRC/C/ESP/CO/</w:t>
      </w:r>
      <w:r w:rsidR="002A2E07" w:rsidRPr="00416923">
        <w:rPr>
          <w:rFonts w:eastAsiaTheme="minorEastAsia"/>
          <w:szCs w:val="18"/>
        </w:rPr>
        <w:t>5</w:t>
      </w:r>
      <w:r w:rsidR="002A2E07" w:rsidRPr="00416923">
        <w:rPr>
          <w:rFonts w:eastAsiaTheme="minorEastAsia"/>
        </w:rPr>
        <w:t>-</w:t>
      </w:r>
      <w:r w:rsidR="002A2E07" w:rsidRPr="00416923">
        <w:rPr>
          <w:rFonts w:eastAsiaTheme="minorEastAsia"/>
          <w:szCs w:val="18"/>
        </w:rPr>
        <w:t>6</w:t>
      </w:r>
      <w:r w:rsidR="002A2E07" w:rsidRPr="00416923">
        <w:rPr>
          <w:rFonts w:eastAsiaTheme="minorEastAsia"/>
          <w:rtl/>
        </w:rPr>
        <w:t xml:space="preserve">، الفقرة </w:t>
      </w:r>
      <w:r w:rsidR="002A2E07" w:rsidRPr="00416923">
        <w:rPr>
          <w:rFonts w:eastAsiaTheme="minorEastAsia"/>
          <w:szCs w:val="18"/>
          <w:rtl/>
        </w:rPr>
        <w:t>36</w:t>
      </w:r>
      <w:r w:rsidR="002A2E07" w:rsidRPr="00416923">
        <w:rPr>
          <w:rFonts w:eastAsiaTheme="minorEastAsia"/>
          <w:rtl/>
        </w:rPr>
        <w:t>؛ و</w:t>
      </w:r>
      <w:r w:rsidR="002A2E07" w:rsidRPr="00416923">
        <w:rPr>
          <w:rFonts w:eastAsiaTheme="minorEastAsia"/>
        </w:rPr>
        <w:t>CRC/C/GBR/CO/</w:t>
      </w:r>
      <w:r w:rsidR="002A2E07" w:rsidRPr="00416923">
        <w:rPr>
          <w:rFonts w:eastAsiaTheme="minorEastAsia"/>
          <w:szCs w:val="18"/>
        </w:rPr>
        <w:t>5</w:t>
      </w:r>
      <w:r w:rsidR="002A2E07" w:rsidRPr="00416923">
        <w:rPr>
          <w:rFonts w:eastAsiaTheme="minorEastAsia"/>
          <w:rtl/>
        </w:rPr>
        <w:t xml:space="preserve"> و</w:t>
      </w:r>
      <w:proofErr w:type="spellStart"/>
      <w:r w:rsidRPr="00416923">
        <w:rPr>
          <w:rFonts w:eastAsiaTheme="minorEastAsia"/>
        </w:rPr>
        <w:t>Corr.</w:t>
      </w:r>
      <w:r w:rsidRPr="00416923">
        <w:rPr>
          <w:rFonts w:eastAsiaTheme="minorEastAsia"/>
          <w:szCs w:val="18"/>
        </w:rPr>
        <w:t>1</w:t>
      </w:r>
      <w:proofErr w:type="spellEnd"/>
      <w:r w:rsidR="002A2E07" w:rsidRPr="00416923">
        <w:rPr>
          <w:rFonts w:eastAsiaTheme="minorEastAsia"/>
          <w:rtl/>
        </w:rPr>
        <w:t xml:space="preserve">، الفقرتان </w:t>
      </w:r>
      <w:r w:rsidR="002A2E07" w:rsidRPr="00416923">
        <w:rPr>
          <w:rFonts w:eastAsiaTheme="minorEastAsia"/>
          <w:szCs w:val="18"/>
          <w:rtl/>
        </w:rPr>
        <w:t>68</w:t>
      </w:r>
      <w:r w:rsidR="002A2E07" w:rsidRPr="00416923">
        <w:rPr>
          <w:rFonts w:eastAsiaTheme="minorEastAsia"/>
          <w:rtl/>
        </w:rPr>
        <w:t xml:space="preserve"> </w:t>
      </w:r>
      <w:proofErr w:type="spellStart"/>
      <w:r w:rsidR="002A2E07" w:rsidRPr="00416923">
        <w:rPr>
          <w:rFonts w:eastAsiaTheme="minorEastAsia"/>
          <w:rtl/>
        </w:rPr>
        <w:t>و</w:t>
      </w:r>
      <w:r w:rsidR="002A2E07" w:rsidRPr="00416923">
        <w:rPr>
          <w:rFonts w:eastAsiaTheme="minorEastAsia"/>
          <w:szCs w:val="18"/>
          <w:rtl/>
        </w:rPr>
        <w:t>69</w:t>
      </w:r>
      <w:proofErr w:type="spellEnd"/>
      <w:r w:rsidR="002A2E07" w:rsidRPr="00416923">
        <w:rPr>
          <w:rFonts w:eastAsiaTheme="minorEastAsia"/>
          <w:rtl/>
        </w:rPr>
        <w:t>؛ اللجنة المعنية بالحقوق الاقتصادية والاجتماعية والثقافية، بيان بشأن تغيّر المناخ والعهد الدولي الخاص بالحقوق الاقتصادية والاجتماعية والثقافية؛ و</w:t>
      </w:r>
      <w:r w:rsidR="002A2E07" w:rsidRPr="00416923">
        <w:rPr>
          <w:rFonts w:eastAsiaTheme="minorEastAsia"/>
        </w:rPr>
        <w:t>E/</w:t>
      </w:r>
      <w:proofErr w:type="spellStart"/>
      <w:r w:rsidR="002A2E07" w:rsidRPr="00416923">
        <w:rPr>
          <w:rFonts w:eastAsiaTheme="minorEastAsia"/>
        </w:rPr>
        <w:t>C.</w:t>
      </w:r>
      <w:r w:rsidR="002A2E07" w:rsidRPr="00416923">
        <w:rPr>
          <w:rFonts w:eastAsiaTheme="minorEastAsia"/>
          <w:szCs w:val="18"/>
        </w:rPr>
        <w:t>12</w:t>
      </w:r>
      <w:proofErr w:type="spellEnd"/>
      <w:r w:rsidR="002A2E07" w:rsidRPr="00416923">
        <w:rPr>
          <w:rFonts w:eastAsiaTheme="minorEastAsia"/>
        </w:rPr>
        <w:t>/AUS/CO/</w:t>
      </w:r>
      <w:r w:rsidR="002A2E07" w:rsidRPr="00416923">
        <w:rPr>
          <w:rFonts w:eastAsiaTheme="minorEastAsia"/>
          <w:szCs w:val="18"/>
        </w:rPr>
        <w:t>5</w:t>
      </w:r>
      <w:r w:rsidR="002A2E07" w:rsidRPr="00416923">
        <w:rPr>
          <w:rFonts w:eastAsiaTheme="minorEastAsia"/>
          <w:rtl/>
        </w:rPr>
        <w:t xml:space="preserve">؛ واللجنة المعنية بالقضاء على التمييز ضد المرأة، التوصية العامة رقم </w:t>
      </w:r>
      <w:r w:rsidR="002A2E07" w:rsidRPr="00416923">
        <w:rPr>
          <w:rFonts w:eastAsiaTheme="minorEastAsia"/>
          <w:szCs w:val="18"/>
          <w:rtl/>
        </w:rPr>
        <w:t>37</w:t>
      </w:r>
      <w:r w:rsidR="002A2E07" w:rsidRPr="00416923">
        <w:rPr>
          <w:rFonts w:eastAsiaTheme="minorEastAsia"/>
          <w:rtl/>
        </w:rPr>
        <w:t xml:space="preserve">، الفقرة </w:t>
      </w:r>
      <w:r w:rsidR="002A2E07" w:rsidRPr="00416923">
        <w:rPr>
          <w:rFonts w:eastAsiaTheme="minorEastAsia"/>
          <w:szCs w:val="18"/>
          <w:rtl/>
        </w:rPr>
        <w:t>14</w:t>
      </w:r>
      <w:r w:rsidR="002A2E07" w:rsidRPr="00416923">
        <w:rPr>
          <w:rFonts w:eastAsiaTheme="minorEastAsia"/>
          <w:rtl/>
        </w:rPr>
        <w:t>؛ و</w:t>
      </w:r>
      <w:r w:rsidR="002A2E07" w:rsidRPr="00416923">
        <w:rPr>
          <w:rFonts w:eastAsiaTheme="minorEastAsia"/>
        </w:rPr>
        <w:t>CEDAW/C/NOR/CO/</w:t>
      </w:r>
      <w:r w:rsidR="002A2E07" w:rsidRPr="00416923">
        <w:rPr>
          <w:rFonts w:eastAsiaTheme="minorEastAsia"/>
          <w:szCs w:val="18"/>
        </w:rPr>
        <w:t>9</w:t>
      </w:r>
      <w:r w:rsidR="002A2E07" w:rsidRPr="00416923">
        <w:rPr>
          <w:rFonts w:eastAsiaTheme="minorEastAsia"/>
          <w:rtl/>
        </w:rPr>
        <w:t>.</w:t>
      </w:r>
    </w:p>
  </w:footnote>
  <w:footnote w:id="10">
    <w:p w14:paraId="16E66EC4" w14:textId="28DAB9CA" w:rsidR="002A2E07" w:rsidRPr="00416923" w:rsidRDefault="00416923" w:rsidP="00416923">
      <w:pPr>
        <w:pStyle w:val="FootnoteText1"/>
        <w:rPr>
          <w:rFonts w:eastAsiaTheme="minorEastAsia"/>
          <w:rtl/>
          <w:lang w:val="ar-SA" w:eastAsia="zh-TW"/>
        </w:rPr>
      </w:pPr>
      <w:r w:rsidRPr="00416923">
        <w:rPr>
          <w:rFonts w:eastAsiaTheme="minorEastAsia"/>
          <w:b/>
          <w:bCs/>
          <w:rtl/>
        </w:rPr>
        <w:t>(</w:t>
      </w:r>
      <w:r w:rsidRPr="00416923">
        <w:rPr>
          <w:rStyle w:val="FootnoteReference"/>
          <w:rFonts w:eastAsiaTheme="minorEastAsia" w:cs="Times New Roman"/>
          <w:b w:val="0"/>
          <w:szCs w:val="26"/>
          <w:vertAlign w:val="baseline"/>
        </w:rPr>
        <w:footnoteRef/>
      </w:r>
      <w:r w:rsidRPr="00416923">
        <w:rPr>
          <w:rFonts w:eastAsiaTheme="minorEastAsia"/>
          <w:b/>
          <w:bCs/>
          <w:rtl/>
        </w:rPr>
        <w:t>)</w:t>
      </w:r>
      <w:r w:rsidRPr="00416923">
        <w:rPr>
          <w:rFonts w:eastAsiaTheme="minorEastAsia"/>
          <w:b/>
          <w:bCs/>
          <w:rtl/>
        </w:rPr>
        <w:tab/>
      </w:r>
      <w:r w:rsidR="002A2E07" w:rsidRPr="00416923">
        <w:rPr>
          <w:rFonts w:eastAsiaTheme="minorEastAsia"/>
          <w:rtl/>
        </w:rPr>
        <w:t xml:space="preserve">اتفاق باريس، الفقرة </w:t>
      </w:r>
      <w:r w:rsidR="002A2E07" w:rsidRPr="00416923">
        <w:rPr>
          <w:rFonts w:eastAsiaTheme="minorEastAsia"/>
          <w:szCs w:val="18"/>
          <w:rtl/>
        </w:rPr>
        <w:t>2</w:t>
      </w:r>
      <w:r w:rsidR="002A2E07" w:rsidRPr="00416923">
        <w:rPr>
          <w:rFonts w:eastAsiaTheme="minorEastAsia"/>
          <w:rtl/>
        </w:rPr>
        <w:t>-</w:t>
      </w:r>
      <w:r w:rsidR="002A2E07" w:rsidRPr="00416923">
        <w:rPr>
          <w:rFonts w:eastAsiaTheme="minorEastAsia"/>
          <w:szCs w:val="18"/>
          <w:rtl/>
        </w:rPr>
        <w:t>1</w:t>
      </w:r>
      <w:r w:rsidR="002A2E07" w:rsidRPr="00416923">
        <w:rPr>
          <w:rFonts w:eastAsiaTheme="minorEastAsia"/>
          <w:rtl/>
        </w:rPr>
        <w:t>.</w:t>
      </w:r>
    </w:p>
  </w:footnote>
  <w:footnote w:id="11">
    <w:p w14:paraId="216A4B33" w14:textId="6BF5EC8E" w:rsidR="002A2E07" w:rsidRPr="00416923" w:rsidRDefault="00416923" w:rsidP="00416923">
      <w:pPr>
        <w:pStyle w:val="FootnoteText1"/>
        <w:rPr>
          <w:rFonts w:eastAsiaTheme="minorEastAsia"/>
          <w:rtl/>
          <w:lang w:val="ar-SA" w:eastAsia="zh-TW"/>
        </w:rPr>
      </w:pPr>
      <w:r w:rsidRPr="00416923">
        <w:rPr>
          <w:rFonts w:eastAsiaTheme="minorEastAsia"/>
          <w:b/>
          <w:bCs/>
          <w:rtl/>
        </w:rPr>
        <w:t>(</w:t>
      </w:r>
      <w:r w:rsidRPr="00416923">
        <w:rPr>
          <w:rStyle w:val="FootnoteReference"/>
          <w:rFonts w:eastAsiaTheme="minorEastAsia" w:cs="Times New Roman"/>
          <w:b w:val="0"/>
          <w:szCs w:val="26"/>
          <w:vertAlign w:val="baseline"/>
        </w:rPr>
        <w:footnoteRef/>
      </w:r>
      <w:r w:rsidRPr="00416923">
        <w:rPr>
          <w:rFonts w:eastAsiaTheme="minorEastAsia"/>
          <w:b/>
          <w:bCs/>
          <w:rtl/>
        </w:rPr>
        <w:t>)</w:t>
      </w:r>
      <w:r w:rsidRPr="00416923">
        <w:rPr>
          <w:rFonts w:eastAsiaTheme="minorEastAsia"/>
          <w:b/>
          <w:bCs/>
          <w:rtl/>
        </w:rPr>
        <w:tab/>
      </w:r>
      <w:r w:rsidR="002A2E07" w:rsidRPr="00416923">
        <w:rPr>
          <w:rFonts w:eastAsiaTheme="minorEastAsia"/>
          <w:rtl/>
        </w:rPr>
        <w:t xml:space="preserve">اللجنة المعنية بالقضاء على التمييز ضد المرأة، التوصية العامة رقم </w:t>
      </w:r>
      <w:r w:rsidR="002A2E07" w:rsidRPr="00416923">
        <w:rPr>
          <w:rFonts w:eastAsiaTheme="minorEastAsia"/>
          <w:szCs w:val="18"/>
          <w:rtl/>
        </w:rPr>
        <w:t>37</w:t>
      </w:r>
      <w:r w:rsidR="002A2E07" w:rsidRPr="00416923">
        <w:rPr>
          <w:rFonts w:eastAsiaTheme="minorEastAsia"/>
          <w:rtl/>
        </w:rPr>
        <w:t>؛ و</w:t>
      </w:r>
      <w:r w:rsidR="002A2E07" w:rsidRPr="00416923">
        <w:rPr>
          <w:rFonts w:eastAsiaTheme="minorEastAsia"/>
        </w:rPr>
        <w:t>CEDAW/C/AUS/CO/</w:t>
      </w:r>
      <w:r w:rsidR="002A2E07" w:rsidRPr="00416923">
        <w:rPr>
          <w:rFonts w:eastAsiaTheme="minorEastAsia"/>
          <w:szCs w:val="18"/>
        </w:rPr>
        <w:t>8</w:t>
      </w:r>
      <w:r w:rsidR="002A2E07" w:rsidRPr="00416923">
        <w:rPr>
          <w:rFonts w:eastAsiaTheme="minorEastAsia"/>
          <w:rtl/>
        </w:rPr>
        <w:t>؛ و</w:t>
      </w:r>
      <w:r w:rsidR="002A2E07" w:rsidRPr="00416923">
        <w:rPr>
          <w:rFonts w:eastAsiaTheme="minorEastAsia"/>
        </w:rPr>
        <w:t>CRC/C/NER/CO/</w:t>
      </w:r>
      <w:r w:rsidR="002A2E07" w:rsidRPr="00416923">
        <w:rPr>
          <w:rFonts w:eastAsiaTheme="minorEastAsia"/>
          <w:szCs w:val="18"/>
        </w:rPr>
        <w:t>3</w:t>
      </w:r>
      <w:r w:rsidR="002A2E07" w:rsidRPr="00416923">
        <w:rPr>
          <w:rFonts w:eastAsiaTheme="minorEastAsia"/>
        </w:rPr>
        <w:t>-</w:t>
      </w:r>
      <w:r w:rsidR="002A2E07" w:rsidRPr="00416923">
        <w:rPr>
          <w:rFonts w:eastAsiaTheme="minorEastAsia"/>
          <w:szCs w:val="18"/>
        </w:rPr>
        <w:t>5</w:t>
      </w:r>
      <w:r w:rsidR="002A2E07" w:rsidRPr="00416923">
        <w:rPr>
          <w:rFonts w:eastAsiaTheme="minorEastAsia"/>
          <w:rtl/>
        </w:rPr>
        <w:t>؛ واللجنة المعنية بالحقوق الاقتصادية والاجتماعية والثقافية، بيان بشأن تغيّر المناخ والعهد الدولي الخاص بالحقوق الاقتصادية والاجتماعية والثقافية؛ و</w:t>
      </w:r>
      <w:r w:rsidR="002A2E07" w:rsidRPr="00416923">
        <w:rPr>
          <w:rFonts w:eastAsiaTheme="minorEastAsia"/>
        </w:rPr>
        <w:t>E/</w:t>
      </w:r>
      <w:proofErr w:type="spellStart"/>
      <w:r w:rsidR="002A2E07" w:rsidRPr="00416923">
        <w:rPr>
          <w:rFonts w:eastAsiaTheme="minorEastAsia"/>
        </w:rPr>
        <w:t>C.</w:t>
      </w:r>
      <w:r w:rsidR="002A2E07" w:rsidRPr="00416923">
        <w:rPr>
          <w:rFonts w:eastAsiaTheme="minorEastAsia"/>
          <w:szCs w:val="18"/>
        </w:rPr>
        <w:t>12</w:t>
      </w:r>
      <w:proofErr w:type="spellEnd"/>
      <w:r w:rsidR="002A2E07" w:rsidRPr="00416923">
        <w:rPr>
          <w:rFonts w:eastAsiaTheme="minorEastAsia"/>
        </w:rPr>
        <w:t>/ARG/CO/</w:t>
      </w:r>
      <w:r w:rsidR="002A2E07" w:rsidRPr="00416923">
        <w:rPr>
          <w:rFonts w:eastAsiaTheme="minorEastAsia"/>
          <w:szCs w:val="18"/>
        </w:rPr>
        <w:t>4</w:t>
      </w:r>
      <w:r w:rsidR="002A2E07" w:rsidRPr="00416923">
        <w:rPr>
          <w:rFonts w:eastAsiaTheme="minorEastAsia"/>
          <w:rtl/>
        </w:rPr>
        <w:t>.</w:t>
      </w:r>
    </w:p>
  </w:footnote>
  <w:footnote w:id="12">
    <w:p w14:paraId="0081DE9B" w14:textId="750AE7A9" w:rsidR="002A2E07" w:rsidRPr="00416923" w:rsidRDefault="00416923" w:rsidP="00416923">
      <w:pPr>
        <w:pStyle w:val="FootnoteText1"/>
        <w:rPr>
          <w:rFonts w:eastAsiaTheme="minorEastAsia"/>
          <w:rtl/>
          <w:lang w:val="ar-SA" w:eastAsia="zh-TW"/>
        </w:rPr>
      </w:pPr>
      <w:r w:rsidRPr="00416923">
        <w:rPr>
          <w:rFonts w:eastAsiaTheme="minorEastAsia"/>
          <w:b/>
          <w:bCs/>
          <w:rtl/>
        </w:rPr>
        <w:t>(</w:t>
      </w:r>
      <w:r w:rsidRPr="00416923">
        <w:rPr>
          <w:rStyle w:val="FootnoteReference"/>
          <w:rFonts w:eastAsiaTheme="minorEastAsia" w:cs="Times New Roman"/>
          <w:b w:val="0"/>
          <w:szCs w:val="26"/>
          <w:vertAlign w:val="baseline"/>
        </w:rPr>
        <w:footnoteRef/>
      </w:r>
      <w:r w:rsidRPr="00416923">
        <w:rPr>
          <w:rFonts w:eastAsiaTheme="minorEastAsia"/>
          <w:b/>
          <w:bCs/>
          <w:rtl/>
        </w:rPr>
        <w:t>)</w:t>
      </w:r>
      <w:r w:rsidRPr="00416923">
        <w:rPr>
          <w:rFonts w:eastAsiaTheme="minorEastAsia"/>
          <w:b/>
          <w:bCs/>
          <w:rtl/>
        </w:rPr>
        <w:tab/>
      </w:r>
      <w:r w:rsidR="002A2E07" w:rsidRPr="00416923">
        <w:rPr>
          <w:rFonts w:eastAsiaTheme="minorEastAsia"/>
          <w:rtl/>
        </w:rPr>
        <w:t xml:space="preserve">اللجنة المعنية بالحقوق الاقتصادية والاجتماعية والثقافية، بيان بشأن تغيّر المناخ والعهد الدولي الخاص بالحقوق الاقتصادية والاجتماعية والثقافية؛ واللجنة المعنية بالقضاء على التمييز ضد المرأة، التوصية العامة رقم </w:t>
      </w:r>
      <w:r w:rsidR="002A2E07" w:rsidRPr="00416923">
        <w:rPr>
          <w:rFonts w:eastAsiaTheme="minorEastAsia"/>
          <w:szCs w:val="18"/>
          <w:rtl/>
        </w:rPr>
        <w:t>37</w:t>
      </w:r>
      <w:r w:rsidR="002A2E07" w:rsidRPr="00416923">
        <w:rPr>
          <w:rFonts w:eastAsiaTheme="minorEastAsia"/>
          <w:rtl/>
        </w:rPr>
        <w:t>؛ و</w:t>
      </w:r>
      <w:r w:rsidR="002A2E07" w:rsidRPr="00416923">
        <w:rPr>
          <w:rFonts w:eastAsiaTheme="minorEastAsia"/>
        </w:rPr>
        <w:t>CEDAW/C/FJI/CO/</w:t>
      </w:r>
      <w:r w:rsidR="002A2E07" w:rsidRPr="00416923">
        <w:rPr>
          <w:rFonts w:eastAsiaTheme="minorEastAsia"/>
          <w:szCs w:val="18"/>
        </w:rPr>
        <w:t>5</w:t>
      </w:r>
      <w:r w:rsidR="002A2E07" w:rsidRPr="00416923">
        <w:rPr>
          <w:rFonts w:eastAsiaTheme="minorEastAsia"/>
          <w:rtl/>
        </w:rPr>
        <w:t>؛ و</w:t>
      </w:r>
      <w:r w:rsidR="002A2E07" w:rsidRPr="00416923">
        <w:rPr>
          <w:rFonts w:eastAsiaTheme="minorEastAsia"/>
        </w:rPr>
        <w:t>CRC/C/ESP/CO/</w:t>
      </w:r>
      <w:r w:rsidR="002A2E07" w:rsidRPr="00416923">
        <w:rPr>
          <w:rFonts w:eastAsiaTheme="minorEastAsia"/>
          <w:szCs w:val="18"/>
        </w:rPr>
        <w:t>5</w:t>
      </w:r>
      <w:r w:rsidR="002A2E07" w:rsidRPr="00416923">
        <w:rPr>
          <w:rFonts w:eastAsiaTheme="minorEastAsia"/>
        </w:rPr>
        <w:t>-</w:t>
      </w:r>
      <w:r w:rsidR="002A2E07" w:rsidRPr="00416923">
        <w:rPr>
          <w:rFonts w:eastAsiaTheme="minorEastAsia"/>
          <w:szCs w:val="18"/>
        </w:rPr>
        <w:t>6</w:t>
      </w:r>
      <w:r w:rsidR="002A2E07" w:rsidRPr="00416923">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8D7CA" w14:textId="77777777" w:rsidR="005A2F39" w:rsidRPr="00AA4E00" w:rsidRDefault="00AA4E00" w:rsidP="00AA4E00">
    <w:pPr>
      <w:pStyle w:val="Header"/>
      <w:jc w:val="right"/>
    </w:pPr>
    <w:r w:rsidRPr="00AA4E00">
      <w:t>HRI/2019/1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E53F6" w14:textId="77777777" w:rsidR="005A2F39" w:rsidRPr="00AA4E00" w:rsidRDefault="00AA4E00" w:rsidP="00AA4E00">
    <w:pPr>
      <w:pStyle w:val="Header"/>
      <w:jc w:val="left"/>
    </w:pPr>
    <w:r w:rsidRPr="00AA4E00">
      <w:t>HRI/2019/1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4D15F8"/>
    <w:rsid w:val="000076D5"/>
    <w:rsid w:val="00043663"/>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2A2E07"/>
    <w:rsid w:val="003260FF"/>
    <w:rsid w:val="00343D95"/>
    <w:rsid w:val="00354CC2"/>
    <w:rsid w:val="00374341"/>
    <w:rsid w:val="003D1062"/>
    <w:rsid w:val="00416923"/>
    <w:rsid w:val="00420D7B"/>
    <w:rsid w:val="00450B21"/>
    <w:rsid w:val="00453B63"/>
    <w:rsid w:val="00455780"/>
    <w:rsid w:val="004B0A1C"/>
    <w:rsid w:val="004D15F8"/>
    <w:rsid w:val="004D298E"/>
    <w:rsid w:val="00506A89"/>
    <w:rsid w:val="0054472E"/>
    <w:rsid w:val="005662A9"/>
    <w:rsid w:val="005827D4"/>
    <w:rsid w:val="0059622A"/>
    <w:rsid w:val="005A2F39"/>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C1295"/>
    <w:rsid w:val="00852A9A"/>
    <w:rsid w:val="00885842"/>
    <w:rsid w:val="008B7B51"/>
    <w:rsid w:val="008F49E1"/>
    <w:rsid w:val="0090370F"/>
    <w:rsid w:val="009269D2"/>
    <w:rsid w:val="00942135"/>
    <w:rsid w:val="009521B0"/>
    <w:rsid w:val="00994130"/>
    <w:rsid w:val="009A7E9F"/>
    <w:rsid w:val="009E5018"/>
    <w:rsid w:val="00A12B37"/>
    <w:rsid w:val="00A130A4"/>
    <w:rsid w:val="00A6760C"/>
    <w:rsid w:val="00AA29CE"/>
    <w:rsid w:val="00AA4E00"/>
    <w:rsid w:val="00AB6758"/>
    <w:rsid w:val="00B13763"/>
    <w:rsid w:val="00B477A4"/>
    <w:rsid w:val="00B54045"/>
    <w:rsid w:val="00C438D7"/>
    <w:rsid w:val="00C81B50"/>
    <w:rsid w:val="00CB28F9"/>
    <w:rsid w:val="00CD1801"/>
    <w:rsid w:val="00CD63C0"/>
    <w:rsid w:val="00D10EF1"/>
    <w:rsid w:val="00D42810"/>
    <w:rsid w:val="00D914A7"/>
    <w:rsid w:val="00DD13C3"/>
    <w:rsid w:val="00DD596E"/>
    <w:rsid w:val="00DD621E"/>
    <w:rsid w:val="00DF0575"/>
    <w:rsid w:val="00E47D15"/>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E321946"/>
  <w15:docId w15:val="{E97592D7-ABDA-4F86-977E-938E3E44C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A4E00"/>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AA4E00"/>
    <w:pPr>
      <w:keepNext/>
      <w:keepLines/>
      <w:tabs>
        <w:tab w:val="right" w:pos="851"/>
      </w:tabs>
      <w:bidi w:val="0"/>
      <w:spacing w:before="360" w:after="240" w:line="300" w:lineRule="exact"/>
      <w:ind w:left="1134" w:right="1134" w:hanging="1134"/>
      <w:jc w:val="left"/>
    </w:pPr>
    <w:rPr>
      <w:rFonts w:hint="cs"/>
      <w:b/>
      <w:sz w:val="28"/>
      <w:lang w:val="en-GB" w:eastAsia="zh-CN"/>
    </w:rPr>
  </w:style>
  <w:style w:type="paragraph" w:customStyle="1" w:styleId="SingleTxtG">
    <w:name w:val="_ Single Txt_G"/>
    <w:basedOn w:val="Normal"/>
    <w:rsid w:val="00AA4E00"/>
    <w:pPr>
      <w:bidi w:val="0"/>
      <w:spacing w:after="120" w:line="240" w:lineRule="auto"/>
      <w:ind w:left="1134" w:right="1134"/>
      <w:jc w:val="both"/>
    </w:pPr>
    <w:rPr>
      <w:rFonts w:hint="cs"/>
      <w:lang w:val="en-GB" w:eastAsia="zh-CN"/>
    </w:rPr>
  </w:style>
  <w:style w:type="paragraph" w:customStyle="1" w:styleId="H1G">
    <w:name w:val="_ H_1_G"/>
    <w:basedOn w:val="Normal"/>
    <w:next w:val="Normal"/>
    <w:rsid w:val="00AA4E00"/>
    <w:pPr>
      <w:keepNext/>
      <w:keepLines/>
      <w:tabs>
        <w:tab w:val="right" w:pos="851"/>
      </w:tabs>
      <w:bidi w:val="0"/>
      <w:spacing w:before="360" w:after="240" w:line="270" w:lineRule="exact"/>
      <w:ind w:left="1134" w:right="1134" w:hanging="1134"/>
      <w:jc w:val="left"/>
    </w:pPr>
    <w:rPr>
      <w:rFonts w:hint="cs"/>
      <w:b/>
      <w:sz w:val="24"/>
      <w:lang w:val="en-GB" w:eastAsia="zh-CN"/>
    </w:rPr>
  </w:style>
  <w:style w:type="paragraph" w:customStyle="1" w:styleId="H23G">
    <w:name w:val="_ H_2/3_G"/>
    <w:basedOn w:val="Normal"/>
    <w:next w:val="Normal"/>
    <w:rsid w:val="00AA4E00"/>
    <w:pPr>
      <w:keepNext/>
      <w:keepLines/>
      <w:tabs>
        <w:tab w:val="right" w:pos="851"/>
      </w:tabs>
      <w:bidi w:val="0"/>
      <w:spacing w:before="240" w:after="120" w:line="240" w:lineRule="exact"/>
      <w:ind w:left="1134" w:right="1134" w:hanging="1134"/>
      <w:jc w:val="left"/>
    </w:pPr>
    <w:rPr>
      <w:rFonts w:hint="cs"/>
      <w:b/>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31D0B-CC54-4EE2-8840-32B62AF69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5</Pages>
  <Words>1526</Words>
  <Characters>8061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HRI/2019/1</vt:lpstr>
    </vt:vector>
  </TitlesOfParts>
  <Company>DCM</Company>
  <LinksUpToDate>false</LinksUpToDate>
  <CharactersWithSpaces>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HRI/2019/1</dc:title>
  <dc:subject>GE. 2006716A</dc:subject>
  <dc:creator>IBAL</dc:creator>
  <cp:keywords/>
  <dc:description>Distr.: General_x000d_
14 May 2020_x000d_
Original: English_x000d_
</dc:description>
  <cp:lastModifiedBy>Ibrahim Balan</cp:lastModifiedBy>
  <cp:revision>2</cp:revision>
  <dcterms:created xsi:type="dcterms:W3CDTF">2020-06-23T08:23:00Z</dcterms:created>
  <dcterms:modified xsi:type="dcterms:W3CDTF">2020-06-23T08:23:00Z</dcterms:modified>
</cp:coreProperties>
</file>